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4126D" w14:textId="152C6F21" w:rsidR="00C4502F" w:rsidRDefault="00CB4940" w:rsidP="001309CC">
      <w:pPr>
        <w:spacing w:after="0" w:line="259" w:lineRule="auto"/>
        <w:ind w:left="0" w:right="0" w:firstLine="0"/>
        <w:jc w:val="center"/>
      </w:pPr>
      <w:r>
        <w:rPr>
          <w:rFonts w:ascii="Times New Roman" w:eastAsia="Times New Roman" w:hAnsi="Times New Roman" w:cs="Times New Roman"/>
        </w:rPr>
        <w:t>1</w:t>
      </w:r>
    </w:p>
    <w:p w14:paraId="4F03E87E" w14:textId="77777777" w:rsidR="00C4502F" w:rsidRDefault="00CB4940">
      <w:pPr>
        <w:spacing w:after="0" w:line="259" w:lineRule="auto"/>
        <w:ind w:left="0" w:right="0" w:firstLine="0"/>
      </w:pPr>
      <w:r>
        <w:rPr>
          <w:rFonts w:ascii="Times New Roman" w:eastAsia="Times New Roman" w:hAnsi="Times New Roman" w:cs="Times New Roman"/>
          <w:sz w:val="20"/>
        </w:rPr>
        <w:t xml:space="preserve"> </w:t>
      </w:r>
    </w:p>
    <w:p w14:paraId="63FAFE37" w14:textId="77777777" w:rsidR="00C4502F" w:rsidRDefault="00CB4940">
      <w:pPr>
        <w:spacing w:after="0" w:line="259" w:lineRule="auto"/>
        <w:ind w:left="2799" w:right="0" w:firstLine="0"/>
      </w:pPr>
      <w:r>
        <w:rPr>
          <w:rFonts w:ascii="Times New Roman" w:eastAsia="Times New Roman" w:hAnsi="Times New Roman" w:cs="Times New Roman"/>
          <w:sz w:val="20"/>
        </w:rPr>
        <w:t xml:space="preserve"> </w:t>
      </w:r>
    </w:p>
    <w:p w14:paraId="2EF77905" w14:textId="77777777" w:rsidR="00C4502F" w:rsidRDefault="00CB4940">
      <w:pPr>
        <w:spacing w:after="0" w:line="259" w:lineRule="auto"/>
        <w:ind w:left="2799" w:right="0" w:firstLine="0"/>
      </w:pPr>
      <w:r>
        <w:rPr>
          <w:rFonts w:ascii="Times New Roman" w:eastAsia="Times New Roman" w:hAnsi="Times New Roman" w:cs="Times New Roman"/>
          <w:sz w:val="20"/>
        </w:rPr>
        <w:t xml:space="preserve"> </w:t>
      </w:r>
    </w:p>
    <w:p w14:paraId="66EA8403" w14:textId="77777777" w:rsidR="00C4502F" w:rsidRDefault="00CB4940">
      <w:pPr>
        <w:spacing w:after="0" w:line="259" w:lineRule="auto"/>
        <w:ind w:left="2799" w:right="0" w:firstLine="0"/>
      </w:pPr>
      <w:r>
        <w:rPr>
          <w:rFonts w:ascii="Times New Roman" w:eastAsia="Times New Roman" w:hAnsi="Times New Roman" w:cs="Times New Roman"/>
          <w:sz w:val="20"/>
        </w:rPr>
        <w:t xml:space="preserve"> </w:t>
      </w:r>
    </w:p>
    <w:p w14:paraId="4DD76711" w14:textId="77777777" w:rsidR="00C4502F" w:rsidRDefault="00CB4940">
      <w:pPr>
        <w:spacing w:after="44" w:line="259" w:lineRule="auto"/>
        <w:ind w:left="1661" w:right="0" w:firstLine="0"/>
      </w:pPr>
      <w:r>
        <w:rPr>
          <w:rFonts w:ascii="Calibri" w:eastAsia="Calibri" w:hAnsi="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77EB7EEC" w14:textId="77777777" w:rsidR="00C4502F" w:rsidRDefault="00C4502F">
                              <w:pPr>
                                <w:spacing w:after="160" w:line="259" w:lineRule="auto"/>
                                <w:ind w:left="0" w:right="0" w:firstLine="0"/>
                              </w:pP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CB494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CB4940">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01AB77F4"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7EB7EEC" w14:textId="77777777" w:rsidR="00C4502F" w:rsidRDefault="00C4502F">
                        <w:pPr>
                          <w:spacing w:after="160" w:line="259" w:lineRule="auto"/>
                          <w:ind w:left="0" w:right="0" w:firstLine="0"/>
                        </w:pP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0A52CE2" w14:textId="77777777" w:rsidR="00C4502F" w:rsidRDefault="00CB4940">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FC16A44" w14:textId="77777777" w:rsidR="00C4502F" w:rsidRDefault="00CB4940">
                        <w:pPr>
                          <w:spacing w:after="160" w:line="259"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5B99DA4E" w14:textId="77777777" w:rsidR="00C4502F" w:rsidRDefault="00CB4940">
      <w:pPr>
        <w:spacing w:after="0" w:line="259" w:lineRule="auto"/>
        <w:ind w:left="0" w:right="0" w:firstLine="0"/>
      </w:pPr>
      <w:r>
        <w:rPr>
          <w:sz w:val="58"/>
        </w:rPr>
        <w:t xml:space="preserve"> </w:t>
      </w:r>
    </w:p>
    <w:p w14:paraId="3858C817" w14:textId="77777777" w:rsidR="00C4502F" w:rsidRDefault="00CB4940">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w:t>
      </w:r>
      <w:proofErr w:type="spellStart"/>
      <w:r>
        <w:rPr>
          <w:sz w:val="58"/>
        </w:rPr>
        <w:t>Canol</w:t>
      </w:r>
      <w:proofErr w:type="spellEnd"/>
      <w:r>
        <w:rPr>
          <w:sz w:val="58"/>
        </w:rPr>
        <w:t xml:space="preserve"> Dinas / </w:t>
      </w:r>
    </w:p>
    <w:p w14:paraId="4100E775" w14:textId="77777777" w:rsidR="00C4502F" w:rsidRDefault="00CB4940">
      <w:pPr>
        <w:spacing w:after="0" w:line="259" w:lineRule="auto"/>
        <w:ind w:right="1322"/>
        <w:jc w:val="right"/>
      </w:pPr>
      <w:r>
        <w:rPr>
          <w:sz w:val="58"/>
        </w:rPr>
        <w:t xml:space="preserve">Institute of Inner City Learning  </w:t>
      </w:r>
    </w:p>
    <w:p w14:paraId="5ABC49D2" w14:textId="77777777" w:rsidR="00C4502F" w:rsidRDefault="00CB4940">
      <w:pPr>
        <w:spacing w:after="0" w:line="259" w:lineRule="auto"/>
        <w:ind w:left="0" w:right="0" w:firstLine="0"/>
      </w:pPr>
      <w:r>
        <w:rPr>
          <w:sz w:val="20"/>
        </w:rPr>
        <w:t xml:space="preserve"> </w:t>
      </w:r>
    </w:p>
    <w:p w14:paraId="0468E0B9" w14:textId="77777777" w:rsidR="00C4502F" w:rsidRDefault="00CB4940">
      <w:pPr>
        <w:spacing w:after="321" w:line="259" w:lineRule="auto"/>
        <w:ind w:left="0" w:right="0" w:firstLine="0"/>
      </w:pPr>
      <w:r>
        <w:rPr>
          <w:sz w:val="20"/>
        </w:rPr>
        <w:t xml:space="preserve"> </w:t>
      </w:r>
    </w:p>
    <w:p w14:paraId="4681CE1B" w14:textId="77777777" w:rsidR="00C4502F" w:rsidRDefault="00CB4940">
      <w:pPr>
        <w:spacing w:after="0" w:line="259" w:lineRule="auto"/>
        <w:ind w:left="413" w:right="0" w:firstLine="0"/>
        <w:jc w:val="center"/>
      </w:pPr>
      <w:r>
        <w:rPr>
          <w:sz w:val="56"/>
        </w:rPr>
        <w:t xml:space="preserve"> </w:t>
      </w:r>
    </w:p>
    <w:p w14:paraId="7CCCC4C9" w14:textId="77777777" w:rsidR="00C4502F" w:rsidRDefault="00CB4940">
      <w:pPr>
        <w:spacing w:after="0" w:line="259" w:lineRule="auto"/>
        <w:ind w:left="413" w:right="0" w:firstLine="0"/>
        <w:jc w:val="center"/>
      </w:pPr>
      <w:r>
        <w:rPr>
          <w:sz w:val="56"/>
        </w:rPr>
        <w:t xml:space="preserve"> </w:t>
      </w:r>
    </w:p>
    <w:p w14:paraId="4585E6DF" w14:textId="54F58178" w:rsidR="00C4502F" w:rsidRDefault="002E6E8F" w:rsidP="002E6E8F">
      <w:pPr>
        <w:spacing w:after="0" w:line="259" w:lineRule="auto"/>
        <w:ind w:left="2611" w:right="0"/>
      </w:pPr>
      <w:r>
        <w:rPr>
          <w:sz w:val="56"/>
        </w:rPr>
        <w:t>BA Leadership and Management</w:t>
      </w:r>
    </w:p>
    <w:p w14:paraId="3CF6CE95" w14:textId="77777777" w:rsidR="00C4502F" w:rsidRDefault="00CB4940">
      <w:pPr>
        <w:spacing w:after="0" w:line="259" w:lineRule="auto"/>
        <w:ind w:left="452" w:right="0" w:firstLine="0"/>
        <w:jc w:val="center"/>
      </w:pPr>
      <w:r>
        <w:rPr>
          <w:sz w:val="70"/>
        </w:rPr>
        <w:t xml:space="preserve"> </w:t>
      </w:r>
    </w:p>
    <w:p w14:paraId="635FEE3D" w14:textId="77777777" w:rsidR="00C4502F" w:rsidRDefault="00CB4940">
      <w:pPr>
        <w:spacing w:after="0" w:line="259" w:lineRule="auto"/>
        <w:ind w:left="413" w:right="0" w:firstLine="0"/>
        <w:jc w:val="center"/>
      </w:pPr>
      <w:r>
        <w:rPr>
          <w:sz w:val="56"/>
        </w:rPr>
        <w:t xml:space="preserve"> </w:t>
      </w:r>
    </w:p>
    <w:p w14:paraId="72437844" w14:textId="77777777" w:rsidR="00C4502F" w:rsidRDefault="00CB4940">
      <w:pPr>
        <w:spacing w:after="0" w:line="259" w:lineRule="auto"/>
        <w:ind w:left="0" w:right="0" w:firstLine="0"/>
      </w:pPr>
      <w:r>
        <w:rPr>
          <w:b/>
          <w:sz w:val="56"/>
        </w:rPr>
        <w:t xml:space="preserve"> </w:t>
      </w:r>
    </w:p>
    <w:p w14:paraId="2169CE4D" w14:textId="77777777" w:rsidR="00C4502F" w:rsidRDefault="00CB4940">
      <w:pPr>
        <w:spacing w:after="0" w:line="259" w:lineRule="auto"/>
        <w:ind w:left="0" w:right="0" w:firstLine="0"/>
      </w:pPr>
      <w:r>
        <w:rPr>
          <w:b/>
          <w:sz w:val="56"/>
        </w:rPr>
        <w:t xml:space="preserve"> </w:t>
      </w:r>
    </w:p>
    <w:p w14:paraId="731C34B7" w14:textId="77777777" w:rsidR="00C4502F" w:rsidRDefault="00CB4940">
      <w:pPr>
        <w:spacing w:after="0" w:line="259" w:lineRule="auto"/>
        <w:ind w:left="0" w:right="0" w:firstLine="0"/>
      </w:pPr>
      <w:r>
        <w:rPr>
          <w:b/>
          <w:sz w:val="56"/>
        </w:rPr>
        <w:t xml:space="preserve"> </w:t>
      </w:r>
    </w:p>
    <w:p w14:paraId="1C1F3B08" w14:textId="77777777" w:rsidR="00C4502F" w:rsidRDefault="00CB4940">
      <w:pPr>
        <w:spacing w:after="0" w:line="259" w:lineRule="auto"/>
        <w:ind w:left="0" w:right="0" w:firstLine="0"/>
      </w:pPr>
      <w:r>
        <w:rPr>
          <w:rFonts w:ascii="Calibri" w:eastAsia="Calibri" w:hAnsi="Calibri" w:cs="Calibri"/>
          <w:sz w:val="22"/>
        </w:rPr>
        <w:t xml:space="preserve"> </w:t>
      </w:r>
    </w:p>
    <w:p w14:paraId="752860C5" w14:textId="77777777" w:rsidR="00C4502F" w:rsidRDefault="00CB4940">
      <w:pPr>
        <w:spacing w:after="1779" w:line="259" w:lineRule="auto"/>
        <w:ind w:left="0" w:right="0" w:firstLine="0"/>
      </w:pPr>
      <w:r>
        <w:rPr>
          <w:sz w:val="20"/>
        </w:rPr>
        <w:t xml:space="preserve"> </w:t>
      </w:r>
    </w:p>
    <w:p w14:paraId="3175D05A" w14:textId="57765A4C" w:rsidR="005A430F" w:rsidRPr="005A430F" w:rsidRDefault="005A430F" w:rsidP="001309CC">
      <w:pPr>
        <w:tabs>
          <w:tab w:val="center" w:pos="5564"/>
        </w:tabs>
        <w:spacing w:after="434" w:line="259" w:lineRule="auto"/>
        <w:ind w:left="-15" w:right="0" w:firstLine="0"/>
        <w:sectPr w:rsidR="005A430F" w:rsidRPr="005A430F">
          <w:footerReference w:type="even" r:id="rId10"/>
          <w:footerReference w:type="default" r:id="rId11"/>
          <w:footerReference w:type="first" r:id="rId12"/>
          <w:pgSz w:w="12240" w:h="15840"/>
          <w:pgMar w:top="528" w:right="1095" w:bottom="990" w:left="499" w:header="720" w:footer="720" w:gutter="0"/>
          <w:cols w:space="720"/>
        </w:sectPr>
      </w:pPr>
    </w:p>
    <w:p w14:paraId="0FC6D514" w14:textId="77777777" w:rsidR="00C4502F" w:rsidRDefault="00CB4940">
      <w:pPr>
        <w:spacing w:after="211" w:line="259" w:lineRule="auto"/>
        <w:ind w:left="30" w:right="0" w:firstLine="0"/>
        <w:jc w:val="center"/>
      </w:pPr>
      <w:r>
        <w:rPr>
          <w:b/>
          <w:sz w:val="32"/>
        </w:rPr>
        <w:lastRenderedPageBreak/>
        <w:t xml:space="preserve"> </w:t>
      </w:r>
    </w:p>
    <w:p w14:paraId="59E92593" w14:textId="77777777" w:rsidR="00C4502F" w:rsidRDefault="00CB4940">
      <w:pPr>
        <w:spacing w:after="262" w:line="259" w:lineRule="auto"/>
        <w:ind w:left="30" w:right="0" w:firstLine="0"/>
        <w:jc w:val="center"/>
      </w:pPr>
      <w:r>
        <w:rPr>
          <w:b/>
          <w:sz w:val="32"/>
        </w:rPr>
        <w:t xml:space="preserve"> </w:t>
      </w:r>
    </w:p>
    <w:p w14:paraId="6DB39E91" w14:textId="6EB13940" w:rsidR="00C4502F" w:rsidRDefault="00C4502F">
      <w:pPr>
        <w:spacing w:after="0" w:line="259" w:lineRule="auto"/>
        <w:ind w:left="97" w:right="0" w:firstLine="0"/>
        <w:jc w:val="center"/>
        <w:rPr>
          <w:b/>
          <w:bCs/>
          <w:sz w:val="56"/>
          <w:szCs w:val="56"/>
        </w:rPr>
      </w:pPr>
    </w:p>
    <w:p w14:paraId="039FE144" w14:textId="17E69C71" w:rsidR="00F12A10" w:rsidRPr="00F12A10" w:rsidRDefault="00F12A10">
      <w:pPr>
        <w:spacing w:after="0" w:line="259" w:lineRule="auto"/>
        <w:ind w:left="97" w:right="0" w:firstLine="0"/>
        <w:jc w:val="center"/>
        <w:rPr>
          <w:sz w:val="56"/>
          <w:szCs w:val="56"/>
        </w:rPr>
      </w:pPr>
      <w:r>
        <w:rPr>
          <w:b/>
          <w:bCs/>
          <w:sz w:val="56"/>
          <w:szCs w:val="56"/>
        </w:rPr>
        <w:t>Shell</w:t>
      </w:r>
      <w:r w:rsidR="003C0650">
        <w:rPr>
          <w:b/>
          <w:bCs/>
          <w:sz w:val="56"/>
          <w:szCs w:val="56"/>
        </w:rPr>
        <w:t xml:space="preserve"> PLC</w:t>
      </w:r>
      <w:r>
        <w:rPr>
          <w:b/>
          <w:bCs/>
          <w:sz w:val="56"/>
          <w:szCs w:val="56"/>
        </w:rPr>
        <w:t xml:space="preserve"> relationship between </w:t>
      </w:r>
      <w:r w:rsidRPr="0065491F">
        <w:rPr>
          <w:b/>
          <w:bCs/>
          <w:sz w:val="56"/>
          <w:szCs w:val="56"/>
        </w:rPr>
        <w:t>Profitability and Sustainability</w:t>
      </w:r>
      <w:r>
        <w:rPr>
          <w:b/>
          <w:bCs/>
          <w:sz w:val="56"/>
          <w:szCs w:val="56"/>
        </w:rPr>
        <w:t xml:space="preserve"> </w:t>
      </w:r>
    </w:p>
    <w:p w14:paraId="1ED718CA" w14:textId="77777777" w:rsidR="00C4502F" w:rsidRPr="0065491F" w:rsidRDefault="00CB4940">
      <w:pPr>
        <w:spacing w:after="0" w:line="259" w:lineRule="auto"/>
        <w:ind w:left="97" w:right="0" w:firstLine="0"/>
        <w:jc w:val="center"/>
        <w:rPr>
          <w:b/>
          <w:bCs/>
          <w:sz w:val="56"/>
          <w:szCs w:val="56"/>
        </w:rPr>
      </w:pPr>
      <w:r w:rsidRPr="0065491F">
        <w:rPr>
          <w:b/>
          <w:bCs/>
          <w:sz w:val="240"/>
          <w:szCs w:val="56"/>
        </w:rPr>
        <w:t xml:space="preserve"> </w:t>
      </w:r>
    </w:p>
    <w:p w14:paraId="3CDEB774" w14:textId="77777777" w:rsidR="00C4502F" w:rsidRDefault="00CB4940">
      <w:pPr>
        <w:spacing w:after="0" w:line="259" w:lineRule="auto"/>
        <w:ind w:left="97" w:right="0" w:firstLine="0"/>
        <w:jc w:val="center"/>
      </w:pPr>
      <w:r>
        <w:rPr>
          <w:b/>
          <w:sz w:val="56"/>
        </w:rPr>
        <w:t xml:space="preserve"> </w:t>
      </w:r>
    </w:p>
    <w:p w14:paraId="0BCCDFBA" w14:textId="77777777" w:rsidR="0065491F" w:rsidRDefault="0065491F" w:rsidP="0065491F">
      <w:pPr>
        <w:spacing w:after="148" w:line="259" w:lineRule="auto"/>
        <w:ind w:left="0" w:right="0" w:firstLine="0"/>
        <w:jc w:val="center"/>
        <w:rPr>
          <w:b/>
          <w:sz w:val="56"/>
        </w:rPr>
      </w:pPr>
      <w:r>
        <w:rPr>
          <w:b/>
          <w:sz w:val="56"/>
        </w:rPr>
        <w:t>Lamar Omar Walters</w:t>
      </w:r>
    </w:p>
    <w:p w14:paraId="36164072" w14:textId="2F4F77CC" w:rsidR="00C4502F" w:rsidRDefault="0065491F" w:rsidP="0065491F">
      <w:pPr>
        <w:spacing w:after="148" w:line="259" w:lineRule="auto"/>
        <w:ind w:left="0" w:right="0" w:firstLine="0"/>
        <w:jc w:val="center"/>
      </w:pPr>
      <w:r>
        <w:rPr>
          <w:b/>
          <w:sz w:val="56"/>
        </w:rPr>
        <w:t>2310732</w:t>
      </w:r>
    </w:p>
    <w:p w14:paraId="0EB31B53" w14:textId="77777777" w:rsidR="00C4502F" w:rsidRDefault="00CB4940">
      <w:pPr>
        <w:spacing w:after="0" w:line="259" w:lineRule="auto"/>
        <w:ind w:left="0" w:right="0" w:firstLine="0"/>
      </w:pPr>
      <w:r>
        <w:rPr>
          <w:rFonts w:ascii="Calibri" w:eastAsia="Calibri" w:hAnsi="Calibri" w:cs="Calibri"/>
          <w:sz w:val="40"/>
        </w:rPr>
        <w:t xml:space="preserve"> </w:t>
      </w:r>
    </w:p>
    <w:p w14:paraId="082C04B1" w14:textId="77777777" w:rsidR="00C4502F" w:rsidRDefault="00CB4940">
      <w:pPr>
        <w:spacing w:after="0" w:line="259" w:lineRule="auto"/>
        <w:ind w:left="0" w:right="0" w:firstLine="0"/>
      </w:pPr>
      <w:r>
        <w:rPr>
          <w:rFonts w:ascii="Calibri" w:eastAsia="Calibri" w:hAnsi="Calibri" w:cs="Calibri"/>
          <w:sz w:val="40"/>
        </w:rPr>
        <w:t xml:space="preserve"> </w:t>
      </w:r>
    </w:p>
    <w:p w14:paraId="1BBC9CFF" w14:textId="77777777" w:rsidR="00C4502F" w:rsidRDefault="00CB4940">
      <w:pPr>
        <w:spacing w:after="86" w:line="252" w:lineRule="auto"/>
        <w:ind w:left="0" w:right="8972" w:firstLine="0"/>
      </w:pPr>
      <w:r>
        <w:rPr>
          <w:rFonts w:ascii="Calibri" w:eastAsia="Calibri" w:hAnsi="Calibri" w:cs="Calibri"/>
          <w:sz w:val="40"/>
        </w:rPr>
        <w:t xml:space="preserve"> </w:t>
      </w:r>
      <w:r>
        <w:rPr>
          <w:sz w:val="40"/>
        </w:rPr>
        <w:t xml:space="preserve"> </w:t>
      </w:r>
    </w:p>
    <w:p w14:paraId="02FBCB68" w14:textId="7000B5E7" w:rsidR="00230AD0" w:rsidRPr="00692003" w:rsidRDefault="00230AD0" w:rsidP="0065491F">
      <w:pPr>
        <w:spacing w:after="0" w:line="259" w:lineRule="auto"/>
        <w:ind w:left="0" w:right="55" w:firstLine="0"/>
        <w:jc w:val="center"/>
        <w:rPr>
          <w:b/>
          <w:bCs/>
          <w:sz w:val="52"/>
          <w:szCs w:val="52"/>
        </w:rPr>
      </w:pPr>
      <w:r w:rsidRPr="00692003">
        <w:rPr>
          <w:b/>
          <w:bCs/>
          <w:sz w:val="52"/>
          <w:szCs w:val="52"/>
        </w:rPr>
        <w:t>Patrick Yeboah</w:t>
      </w:r>
    </w:p>
    <w:p w14:paraId="7621419C" w14:textId="77777777" w:rsidR="00C4502F" w:rsidRDefault="00CB4940">
      <w:pPr>
        <w:spacing w:after="0" w:line="259" w:lineRule="auto"/>
        <w:ind w:left="30" w:right="0" w:firstLine="0"/>
        <w:jc w:val="center"/>
      </w:pPr>
      <w:r>
        <w:rPr>
          <w:sz w:val="32"/>
        </w:rPr>
        <w:t xml:space="preserve"> </w:t>
      </w:r>
    </w:p>
    <w:p w14:paraId="74DEEB10" w14:textId="77777777" w:rsidR="00C4502F" w:rsidRDefault="00CB4940">
      <w:pPr>
        <w:spacing w:after="0" w:line="259" w:lineRule="auto"/>
        <w:ind w:left="30" w:right="0" w:firstLine="0"/>
        <w:jc w:val="center"/>
      </w:pPr>
      <w:r>
        <w:rPr>
          <w:sz w:val="32"/>
        </w:rPr>
        <w:t xml:space="preserve"> </w:t>
      </w:r>
    </w:p>
    <w:p w14:paraId="26ECCC82" w14:textId="77777777" w:rsidR="00C4502F" w:rsidRDefault="00CB4940">
      <w:pPr>
        <w:spacing w:after="0" w:line="259" w:lineRule="auto"/>
        <w:ind w:left="30" w:right="0" w:firstLine="0"/>
        <w:jc w:val="center"/>
      </w:pPr>
      <w:r>
        <w:rPr>
          <w:sz w:val="32"/>
        </w:rPr>
        <w:t xml:space="preserve"> </w:t>
      </w:r>
    </w:p>
    <w:p w14:paraId="656E6F44" w14:textId="77777777" w:rsidR="00C4502F" w:rsidRDefault="00CB4940">
      <w:pPr>
        <w:spacing w:after="0" w:line="259" w:lineRule="auto"/>
        <w:ind w:left="30" w:right="0" w:firstLine="0"/>
        <w:jc w:val="center"/>
      </w:pPr>
      <w:r>
        <w:rPr>
          <w:sz w:val="32"/>
        </w:rPr>
        <w:t xml:space="preserve"> </w:t>
      </w:r>
    </w:p>
    <w:p w14:paraId="58AF6DF3" w14:textId="77777777" w:rsidR="00C4502F" w:rsidRDefault="00CB4940">
      <w:pPr>
        <w:spacing w:after="0" w:line="259" w:lineRule="auto"/>
        <w:ind w:left="30" w:right="0" w:firstLine="0"/>
        <w:jc w:val="center"/>
      </w:pPr>
      <w:r>
        <w:rPr>
          <w:sz w:val="32"/>
        </w:rPr>
        <w:t xml:space="preserve"> </w:t>
      </w:r>
    </w:p>
    <w:p w14:paraId="5D19F2D8" w14:textId="77777777" w:rsidR="00C4502F" w:rsidRDefault="00CB4940">
      <w:pPr>
        <w:spacing w:after="0" w:line="259" w:lineRule="auto"/>
        <w:ind w:left="30" w:right="0" w:firstLine="0"/>
        <w:jc w:val="center"/>
      </w:pPr>
      <w:r>
        <w:rPr>
          <w:sz w:val="32"/>
        </w:rPr>
        <w:t xml:space="preserve"> </w:t>
      </w:r>
    </w:p>
    <w:p w14:paraId="47863411" w14:textId="77777777" w:rsidR="00C4502F" w:rsidRDefault="00CB4940">
      <w:pPr>
        <w:spacing w:after="0" w:line="259" w:lineRule="auto"/>
        <w:ind w:left="30" w:right="0" w:firstLine="0"/>
        <w:jc w:val="center"/>
      </w:pPr>
      <w:r>
        <w:rPr>
          <w:sz w:val="32"/>
        </w:rPr>
        <w:t xml:space="preserve"> </w:t>
      </w:r>
    </w:p>
    <w:p w14:paraId="028843BA" w14:textId="631B1198" w:rsidR="00C4502F" w:rsidRDefault="00CB4940">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CB4940">
      <w:pPr>
        <w:spacing w:after="0" w:line="259" w:lineRule="auto"/>
        <w:ind w:left="8" w:right="0" w:firstLine="0"/>
        <w:jc w:val="center"/>
      </w:pPr>
      <w:r>
        <w:t xml:space="preserve"> </w:t>
      </w:r>
    </w:p>
    <w:p w14:paraId="78EB93A5" w14:textId="78EE9291" w:rsidR="00C4502F" w:rsidRDefault="00DE5BB1">
      <w:pPr>
        <w:spacing w:after="141" w:line="259" w:lineRule="auto"/>
        <w:ind w:right="54"/>
        <w:jc w:val="center"/>
      </w:pPr>
      <w:r>
        <w:t>07</w:t>
      </w:r>
      <w:r w:rsidR="00CB4940">
        <w:t>/</w:t>
      </w:r>
      <w:r>
        <w:t>20266</w:t>
      </w:r>
    </w:p>
    <w:p w14:paraId="008C2545" w14:textId="77777777" w:rsidR="00C4502F" w:rsidRDefault="00CB4940">
      <w:pPr>
        <w:spacing w:after="0" w:line="259" w:lineRule="auto"/>
        <w:ind w:left="0" w:right="0" w:firstLine="0"/>
      </w:pPr>
      <w:r>
        <w:rPr>
          <w:rFonts w:ascii="Calibri" w:eastAsia="Calibri" w:hAnsi="Calibri" w:cs="Calibri"/>
          <w:sz w:val="22"/>
        </w:rPr>
        <w:t xml:space="preserve"> </w:t>
      </w:r>
    </w:p>
    <w:p w14:paraId="1B7E7327" w14:textId="77777777" w:rsidR="00C4502F" w:rsidRDefault="00CB4940">
      <w:pPr>
        <w:spacing w:after="0" w:line="259" w:lineRule="auto"/>
        <w:ind w:left="0" w:right="0" w:firstLine="0"/>
      </w:pPr>
      <w:r>
        <w:rPr>
          <w:rFonts w:ascii="Calibri" w:eastAsia="Calibri" w:hAnsi="Calibri" w:cs="Calibri"/>
          <w:sz w:val="22"/>
        </w:rPr>
        <w:t xml:space="preserve"> </w:t>
      </w:r>
    </w:p>
    <w:p w14:paraId="41BBD6FC" w14:textId="0305FAA3" w:rsidR="00C4502F" w:rsidRDefault="00C4502F">
      <w:pPr>
        <w:spacing w:after="0" w:line="259" w:lineRule="auto"/>
        <w:ind w:left="0" w:right="0" w:firstLine="0"/>
      </w:pPr>
    </w:p>
    <w:p w14:paraId="51C445B7" w14:textId="77777777" w:rsidR="0065491F" w:rsidRDefault="0065491F">
      <w:pPr>
        <w:pStyle w:val="Heading2"/>
        <w:ind w:left="10" w:right="57"/>
      </w:pPr>
    </w:p>
    <w:p w14:paraId="4C36B2DC" w14:textId="77777777" w:rsidR="00DE5BB1" w:rsidRDefault="00DE5BB1">
      <w:pPr>
        <w:spacing w:after="160" w:line="278" w:lineRule="auto"/>
        <w:ind w:left="0" w:right="0" w:firstLine="0"/>
        <w:rPr>
          <w:b/>
          <w:sz w:val="28"/>
        </w:rPr>
      </w:pPr>
      <w:r>
        <w:br w:type="page"/>
      </w:r>
    </w:p>
    <w:p w14:paraId="5A18F988" w14:textId="176D03C7" w:rsidR="00C4502F" w:rsidRDefault="00CB4940">
      <w:pPr>
        <w:pStyle w:val="Heading2"/>
        <w:ind w:left="10" w:right="57"/>
      </w:pPr>
      <w:r>
        <w:lastRenderedPageBreak/>
        <w:t xml:space="preserve">DECLARATION </w:t>
      </w:r>
    </w:p>
    <w:p w14:paraId="0B29BE09" w14:textId="77777777" w:rsidR="00C4502F" w:rsidRDefault="00CB4940">
      <w:pPr>
        <w:spacing w:after="0" w:line="259" w:lineRule="auto"/>
        <w:ind w:left="0" w:right="0" w:firstLine="0"/>
      </w:pPr>
      <w:r>
        <w:rPr>
          <w:sz w:val="22"/>
        </w:rPr>
        <w:t xml:space="preserve"> </w:t>
      </w:r>
    </w:p>
    <w:p w14:paraId="5B6C1AC3" w14:textId="15E758D2" w:rsidR="00C4502F" w:rsidRDefault="00CB4940">
      <w:pPr>
        <w:ind w:left="-5" w:right="39"/>
      </w:pPr>
      <w:r>
        <w:t xml:space="preserve">I, </w:t>
      </w:r>
      <w:r w:rsidR="00904244">
        <w:rPr>
          <w:i/>
        </w:rPr>
        <w:t>Lamar Walters</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CB4940">
      <w:pPr>
        <w:spacing w:after="0" w:line="259" w:lineRule="auto"/>
        <w:ind w:left="0" w:right="0" w:firstLine="0"/>
      </w:pPr>
      <w:r>
        <w:t xml:space="preserve"> </w:t>
      </w:r>
    </w:p>
    <w:p w14:paraId="36758A24" w14:textId="2C29DBDA" w:rsidR="00C4502F" w:rsidRDefault="00CB4940">
      <w:pPr>
        <w:spacing w:after="33"/>
        <w:ind w:left="-5" w:right="4319"/>
      </w:pPr>
      <w:r>
        <w:t>Signature:</w:t>
      </w:r>
      <w:r w:rsidR="008F70E2">
        <w:t xml:space="preserve"> </w:t>
      </w:r>
      <w:r w:rsidR="008F70E2" w:rsidRPr="00737C61">
        <w:rPr>
          <w:rFonts w:ascii="Vijaya" w:hAnsi="Vijaya" w:cs="Vijaya"/>
        </w:rPr>
        <w:t>Lamar W</w:t>
      </w:r>
      <w:r w:rsidR="00672FDE" w:rsidRPr="00737C61">
        <w:rPr>
          <w:rFonts w:ascii="Vijaya" w:hAnsi="Vijaya" w:cs="Vijaya"/>
        </w:rPr>
        <w:t>alters</w:t>
      </w:r>
      <w:r>
        <w:t xml:space="preserve"> </w:t>
      </w:r>
    </w:p>
    <w:p w14:paraId="56415707" w14:textId="2773B2D7" w:rsidR="00C4502F" w:rsidRDefault="00CB4940">
      <w:pPr>
        <w:ind w:left="-5" w:right="39"/>
      </w:pPr>
      <w:r>
        <w:t xml:space="preserve">Date: </w:t>
      </w:r>
      <w:r w:rsidR="00B57E2C">
        <w:t>20/07/2026</w:t>
      </w:r>
    </w:p>
    <w:p w14:paraId="23B47A1E" w14:textId="77777777" w:rsidR="00C4502F" w:rsidRDefault="00CB4940">
      <w:pPr>
        <w:spacing w:after="14" w:line="259" w:lineRule="auto"/>
        <w:ind w:left="0" w:right="0" w:firstLine="0"/>
      </w:pPr>
      <w:r>
        <w:t xml:space="preserve"> </w:t>
      </w:r>
    </w:p>
    <w:p w14:paraId="5DBD8AD1" w14:textId="77777777" w:rsidR="00C4502F" w:rsidRDefault="00CB4940">
      <w:pPr>
        <w:spacing w:after="0" w:line="259" w:lineRule="auto"/>
        <w:ind w:left="0" w:right="0" w:firstLine="0"/>
      </w:pPr>
      <w:r>
        <w:rPr>
          <w:b/>
          <w:sz w:val="28"/>
        </w:rPr>
        <w:t xml:space="preserve"> </w:t>
      </w:r>
    </w:p>
    <w:p w14:paraId="4B835D6D" w14:textId="77777777" w:rsidR="00C4502F" w:rsidRDefault="00CB4940">
      <w:pPr>
        <w:spacing w:after="0" w:line="259" w:lineRule="auto"/>
        <w:ind w:left="0" w:right="0" w:firstLine="0"/>
      </w:pPr>
      <w:r>
        <w:rPr>
          <w:b/>
          <w:sz w:val="28"/>
        </w:rPr>
        <w:t xml:space="preserve"> </w:t>
      </w:r>
    </w:p>
    <w:p w14:paraId="09A3EED9" w14:textId="77777777" w:rsidR="00C4502F" w:rsidRDefault="00CB4940">
      <w:pPr>
        <w:spacing w:after="0" w:line="259" w:lineRule="auto"/>
        <w:ind w:left="0" w:right="0" w:firstLine="0"/>
      </w:pPr>
      <w:r>
        <w:rPr>
          <w:b/>
          <w:sz w:val="28"/>
        </w:rPr>
        <w:t xml:space="preserve"> </w:t>
      </w:r>
    </w:p>
    <w:p w14:paraId="710EC2E9" w14:textId="77777777" w:rsidR="00C4502F" w:rsidRDefault="00CB4940">
      <w:pPr>
        <w:spacing w:after="0" w:line="259" w:lineRule="auto"/>
        <w:ind w:left="0" w:right="0" w:firstLine="0"/>
      </w:pPr>
      <w:r>
        <w:rPr>
          <w:b/>
          <w:sz w:val="28"/>
        </w:rPr>
        <w:t xml:space="preserve"> </w:t>
      </w:r>
    </w:p>
    <w:p w14:paraId="5E585ACE" w14:textId="77777777" w:rsidR="00C4502F" w:rsidRDefault="00CB4940">
      <w:pPr>
        <w:spacing w:after="0" w:line="259" w:lineRule="auto"/>
        <w:ind w:left="0" w:right="0" w:firstLine="0"/>
      </w:pPr>
      <w:r>
        <w:rPr>
          <w:b/>
          <w:sz w:val="28"/>
        </w:rPr>
        <w:t xml:space="preserve"> </w:t>
      </w:r>
    </w:p>
    <w:p w14:paraId="7EA07BE8" w14:textId="77777777" w:rsidR="00C4502F" w:rsidRDefault="00CB4940">
      <w:pPr>
        <w:spacing w:after="0" w:line="259" w:lineRule="auto"/>
        <w:ind w:left="0" w:right="0" w:firstLine="0"/>
      </w:pPr>
      <w:r>
        <w:rPr>
          <w:b/>
          <w:sz w:val="28"/>
        </w:rPr>
        <w:t xml:space="preserve"> </w:t>
      </w:r>
    </w:p>
    <w:p w14:paraId="6DBE62C6" w14:textId="77777777" w:rsidR="00C4502F" w:rsidRDefault="00CB4940">
      <w:pPr>
        <w:spacing w:after="0" w:line="259" w:lineRule="auto"/>
        <w:ind w:left="0" w:right="0" w:firstLine="0"/>
      </w:pPr>
      <w:r>
        <w:rPr>
          <w:b/>
          <w:sz w:val="28"/>
        </w:rPr>
        <w:t xml:space="preserve"> </w:t>
      </w:r>
    </w:p>
    <w:p w14:paraId="3BE02A8F" w14:textId="77777777" w:rsidR="00C4502F" w:rsidRDefault="00CB4940">
      <w:pPr>
        <w:spacing w:after="0" w:line="259" w:lineRule="auto"/>
        <w:ind w:left="0" w:right="0" w:firstLine="0"/>
      </w:pPr>
      <w:r>
        <w:rPr>
          <w:b/>
          <w:sz w:val="28"/>
        </w:rPr>
        <w:t xml:space="preserve"> </w:t>
      </w:r>
    </w:p>
    <w:p w14:paraId="21CD87B1" w14:textId="77777777" w:rsidR="00C4502F" w:rsidRDefault="00CB4940">
      <w:pPr>
        <w:spacing w:after="0" w:line="259" w:lineRule="auto"/>
        <w:ind w:left="0" w:right="0" w:firstLine="0"/>
      </w:pPr>
      <w:r>
        <w:rPr>
          <w:b/>
          <w:sz w:val="28"/>
        </w:rPr>
        <w:t xml:space="preserve"> </w:t>
      </w:r>
    </w:p>
    <w:p w14:paraId="64DB5FAD" w14:textId="77777777" w:rsidR="00C4502F" w:rsidRDefault="00CB4940">
      <w:pPr>
        <w:spacing w:after="0" w:line="259" w:lineRule="auto"/>
        <w:ind w:left="0" w:right="0" w:firstLine="0"/>
      </w:pPr>
      <w:r>
        <w:rPr>
          <w:b/>
          <w:sz w:val="28"/>
        </w:rPr>
        <w:t xml:space="preserve"> </w:t>
      </w:r>
    </w:p>
    <w:p w14:paraId="4EF24989" w14:textId="77777777" w:rsidR="00C4502F" w:rsidRDefault="00CB4940">
      <w:pPr>
        <w:spacing w:after="0" w:line="259" w:lineRule="auto"/>
        <w:ind w:left="0" w:right="0" w:firstLine="0"/>
      </w:pPr>
      <w:r>
        <w:rPr>
          <w:b/>
          <w:sz w:val="28"/>
        </w:rPr>
        <w:t xml:space="preserve"> </w:t>
      </w:r>
    </w:p>
    <w:p w14:paraId="3FFBF6DE" w14:textId="77777777" w:rsidR="00C4502F" w:rsidRDefault="00CB4940">
      <w:pPr>
        <w:spacing w:after="0" w:line="259" w:lineRule="auto"/>
        <w:ind w:left="0" w:right="0" w:firstLine="0"/>
      </w:pPr>
      <w:r>
        <w:rPr>
          <w:b/>
          <w:sz w:val="28"/>
        </w:rPr>
        <w:t xml:space="preserve"> </w:t>
      </w:r>
    </w:p>
    <w:p w14:paraId="403A8448" w14:textId="77777777" w:rsidR="00C4502F" w:rsidRDefault="00CB4940">
      <w:pPr>
        <w:spacing w:after="0" w:line="259" w:lineRule="auto"/>
        <w:ind w:left="0" w:right="0" w:firstLine="0"/>
      </w:pPr>
      <w:r>
        <w:rPr>
          <w:b/>
          <w:sz w:val="28"/>
        </w:rPr>
        <w:t xml:space="preserve"> </w:t>
      </w:r>
    </w:p>
    <w:p w14:paraId="1FF18BA2" w14:textId="77777777" w:rsidR="00C4502F" w:rsidRDefault="00CB4940">
      <w:pPr>
        <w:spacing w:after="0" w:line="259" w:lineRule="auto"/>
        <w:ind w:left="0" w:right="0" w:firstLine="0"/>
      </w:pPr>
      <w:r>
        <w:rPr>
          <w:b/>
          <w:sz w:val="28"/>
        </w:rPr>
        <w:t xml:space="preserve"> </w:t>
      </w:r>
    </w:p>
    <w:p w14:paraId="108698A7" w14:textId="77777777" w:rsidR="00C4502F" w:rsidRDefault="00CB4940">
      <w:pPr>
        <w:spacing w:after="0" w:line="259" w:lineRule="auto"/>
        <w:ind w:left="0" w:right="0" w:firstLine="0"/>
      </w:pPr>
      <w:r>
        <w:rPr>
          <w:b/>
          <w:sz w:val="28"/>
        </w:rPr>
        <w:t xml:space="preserve"> </w:t>
      </w:r>
    </w:p>
    <w:p w14:paraId="169AE722" w14:textId="77777777" w:rsidR="00C4502F" w:rsidRDefault="00CB4940">
      <w:pPr>
        <w:spacing w:after="0" w:line="259" w:lineRule="auto"/>
        <w:ind w:left="0" w:right="0" w:firstLine="0"/>
      </w:pPr>
      <w:r>
        <w:rPr>
          <w:b/>
          <w:sz w:val="28"/>
        </w:rPr>
        <w:t xml:space="preserve"> </w:t>
      </w:r>
    </w:p>
    <w:p w14:paraId="4FA1BA20" w14:textId="77777777" w:rsidR="00C4502F" w:rsidRDefault="00CB4940">
      <w:pPr>
        <w:spacing w:after="0" w:line="259" w:lineRule="auto"/>
        <w:ind w:left="0" w:right="0" w:firstLine="0"/>
      </w:pPr>
      <w:r>
        <w:rPr>
          <w:b/>
          <w:sz w:val="28"/>
        </w:rPr>
        <w:t xml:space="preserve"> </w:t>
      </w:r>
    </w:p>
    <w:p w14:paraId="0A6E2F00" w14:textId="77777777" w:rsidR="00C4502F" w:rsidRDefault="00CB4940">
      <w:pPr>
        <w:spacing w:after="0" w:line="259" w:lineRule="auto"/>
        <w:ind w:left="0" w:right="0" w:firstLine="0"/>
      </w:pPr>
      <w:r>
        <w:rPr>
          <w:b/>
          <w:sz w:val="28"/>
        </w:rPr>
        <w:t xml:space="preserve"> </w:t>
      </w:r>
    </w:p>
    <w:p w14:paraId="400DD084" w14:textId="77777777" w:rsidR="00C4502F" w:rsidRDefault="00CB4940">
      <w:pPr>
        <w:spacing w:after="0" w:line="259" w:lineRule="auto"/>
        <w:ind w:left="0" w:right="0" w:firstLine="0"/>
      </w:pPr>
      <w:r>
        <w:rPr>
          <w:b/>
          <w:sz w:val="28"/>
        </w:rPr>
        <w:t xml:space="preserve"> </w:t>
      </w:r>
    </w:p>
    <w:p w14:paraId="6D0536A9" w14:textId="77777777" w:rsidR="00C4502F" w:rsidRDefault="00CB4940">
      <w:pPr>
        <w:spacing w:after="0" w:line="259" w:lineRule="auto"/>
        <w:ind w:left="0" w:right="0" w:firstLine="0"/>
      </w:pPr>
      <w:r>
        <w:rPr>
          <w:b/>
          <w:sz w:val="28"/>
        </w:rPr>
        <w:t xml:space="preserve"> </w:t>
      </w:r>
    </w:p>
    <w:p w14:paraId="7C0EE202" w14:textId="77777777" w:rsidR="00C4502F" w:rsidRDefault="00CB4940">
      <w:pPr>
        <w:spacing w:after="0" w:line="259" w:lineRule="auto"/>
        <w:ind w:left="0" w:right="0" w:firstLine="0"/>
      </w:pPr>
      <w:r>
        <w:rPr>
          <w:b/>
          <w:sz w:val="28"/>
        </w:rPr>
        <w:t xml:space="preserve"> </w:t>
      </w:r>
    </w:p>
    <w:p w14:paraId="6201673A" w14:textId="77777777" w:rsidR="00C4502F" w:rsidRDefault="00CB4940">
      <w:pPr>
        <w:spacing w:after="0" w:line="259" w:lineRule="auto"/>
        <w:ind w:left="0" w:right="0" w:firstLine="0"/>
      </w:pPr>
      <w:r>
        <w:rPr>
          <w:b/>
          <w:sz w:val="28"/>
        </w:rPr>
        <w:t xml:space="preserve"> </w:t>
      </w:r>
    </w:p>
    <w:p w14:paraId="6AE209B0" w14:textId="77777777" w:rsidR="00C4502F" w:rsidRDefault="00CB4940">
      <w:pPr>
        <w:spacing w:after="0" w:line="259" w:lineRule="auto"/>
        <w:ind w:left="0" w:right="0" w:firstLine="0"/>
      </w:pPr>
      <w:r>
        <w:rPr>
          <w:b/>
          <w:sz w:val="28"/>
        </w:rPr>
        <w:t xml:space="preserve"> </w:t>
      </w:r>
    </w:p>
    <w:p w14:paraId="7C9A9B2C" w14:textId="77777777" w:rsidR="00C4502F" w:rsidRDefault="00CB4940">
      <w:pPr>
        <w:spacing w:after="0" w:line="259" w:lineRule="auto"/>
        <w:ind w:left="0" w:right="0" w:firstLine="0"/>
      </w:pPr>
      <w:r>
        <w:rPr>
          <w:b/>
          <w:sz w:val="28"/>
        </w:rPr>
        <w:t xml:space="preserve"> </w:t>
      </w:r>
    </w:p>
    <w:p w14:paraId="523FD919" w14:textId="77777777" w:rsidR="00C4502F" w:rsidRDefault="00CB4940">
      <w:pPr>
        <w:spacing w:after="0" w:line="259" w:lineRule="auto"/>
        <w:ind w:left="0" w:right="0" w:firstLine="0"/>
      </w:pPr>
      <w:r>
        <w:rPr>
          <w:b/>
          <w:sz w:val="28"/>
        </w:rPr>
        <w:t xml:space="preserve"> </w:t>
      </w:r>
    </w:p>
    <w:p w14:paraId="7678867F" w14:textId="77777777" w:rsidR="00C4502F" w:rsidRDefault="00CB4940">
      <w:pPr>
        <w:spacing w:after="0" w:line="259" w:lineRule="auto"/>
        <w:ind w:left="0" w:right="0" w:firstLine="0"/>
      </w:pPr>
      <w:r>
        <w:rPr>
          <w:b/>
          <w:sz w:val="28"/>
        </w:rPr>
        <w:t xml:space="preserve"> </w:t>
      </w:r>
    </w:p>
    <w:p w14:paraId="08CC9DFE" w14:textId="77777777" w:rsidR="00C4502F" w:rsidRDefault="00CB4940">
      <w:pPr>
        <w:spacing w:after="0" w:line="259" w:lineRule="auto"/>
        <w:ind w:left="0" w:right="0" w:firstLine="0"/>
      </w:pPr>
      <w:r>
        <w:rPr>
          <w:b/>
          <w:sz w:val="28"/>
        </w:rPr>
        <w:t xml:space="preserve"> </w:t>
      </w:r>
    </w:p>
    <w:p w14:paraId="2CD5C376" w14:textId="77777777" w:rsidR="00C4502F" w:rsidRDefault="00CB4940">
      <w:pPr>
        <w:spacing w:after="0" w:line="259" w:lineRule="auto"/>
        <w:ind w:left="0" w:right="0" w:firstLine="0"/>
      </w:pPr>
      <w:r>
        <w:rPr>
          <w:b/>
          <w:sz w:val="28"/>
        </w:rPr>
        <w:t xml:space="preserve"> </w:t>
      </w:r>
    </w:p>
    <w:p w14:paraId="1FB84376" w14:textId="77777777" w:rsidR="00C4502F" w:rsidRDefault="00CB4940">
      <w:pPr>
        <w:spacing w:after="0" w:line="259" w:lineRule="auto"/>
        <w:ind w:left="0" w:right="0" w:firstLine="0"/>
      </w:pPr>
      <w:r>
        <w:rPr>
          <w:b/>
          <w:sz w:val="28"/>
        </w:rPr>
        <w:t xml:space="preserve"> </w:t>
      </w:r>
    </w:p>
    <w:p w14:paraId="7B00C52E" w14:textId="77777777" w:rsidR="00C4502F" w:rsidRDefault="00CB4940">
      <w:pPr>
        <w:spacing w:after="0" w:line="259" w:lineRule="auto"/>
        <w:ind w:left="0" w:right="0" w:firstLine="0"/>
      </w:pPr>
      <w:r>
        <w:rPr>
          <w:b/>
          <w:sz w:val="28"/>
        </w:rPr>
        <w:t xml:space="preserve"> </w:t>
      </w:r>
    </w:p>
    <w:p w14:paraId="67996234" w14:textId="77777777" w:rsidR="00C4502F" w:rsidRDefault="00CB4940">
      <w:pPr>
        <w:spacing w:after="0" w:line="259" w:lineRule="auto"/>
        <w:ind w:left="0" w:right="0" w:firstLine="0"/>
      </w:pPr>
      <w:r>
        <w:rPr>
          <w:b/>
          <w:sz w:val="28"/>
        </w:rPr>
        <w:t xml:space="preserve"> </w:t>
      </w:r>
    </w:p>
    <w:p w14:paraId="025965B2" w14:textId="77777777" w:rsidR="00C4502F" w:rsidRDefault="00CB4940">
      <w:pPr>
        <w:spacing w:after="0" w:line="259" w:lineRule="auto"/>
        <w:ind w:left="0" w:right="0" w:firstLine="0"/>
      </w:pPr>
      <w:r>
        <w:rPr>
          <w:b/>
          <w:sz w:val="28"/>
        </w:rPr>
        <w:t xml:space="preserve"> </w:t>
      </w:r>
    </w:p>
    <w:p w14:paraId="3A9F1A5B" w14:textId="77777777" w:rsidR="00C4502F" w:rsidRDefault="00CB4940">
      <w:pPr>
        <w:spacing w:after="0" w:line="259" w:lineRule="auto"/>
        <w:ind w:left="20" w:right="0" w:firstLine="0"/>
        <w:jc w:val="center"/>
      </w:pPr>
      <w:r>
        <w:rPr>
          <w:b/>
          <w:sz w:val="28"/>
        </w:rPr>
        <w:t xml:space="preserve"> </w:t>
      </w:r>
    </w:p>
    <w:p w14:paraId="2C8F9721" w14:textId="77777777" w:rsidR="002E6E8F" w:rsidRDefault="002E6E8F">
      <w:pPr>
        <w:pStyle w:val="Heading2"/>
        <w:ind w:left="10" w:right="58"/>
      </w:pPr>
    </w:p>
    <w:p w14:paraId="3BBED30B" w14:textId="77777777" w:rsidR="002E6E8F" w:rsidRDefault="002E6E8F">
      <w:pPr>
        <w:pStyle w:val="Heading2"/>
        <w:ind w:left="10" w:right="58"/>
      </w:pPr>
    </w:p>
    <w:p w14:paraId="04C2F3D9" w14:textId="1BA59E83" w:rsidR="00C4502F" w:rsidRDefault="00CB4940">
      <w:pPr>
        <w:pStyle w:val="Heading2"/>
        <w:ind w:left="10" w:right="58"/>
      </w:pPr>
      <w:r>
        <w:t xml:space="preserve">ACKNOWLEDGEMENTS </w:t>
      </w:r>
    </w:p>
    <w:p w14:paraId="46118DB2" w14:textId="77777777" w:rsidR="00C4502F" w:rsidRDefault="00CB4940">
      <w:pPr>
        <w:spacing w:after="0" w:line="259" w:lineRule="auto"/>
        <w:ind w:left="0" w:right="0" w:firstLine="0"/>
      </w:pPr>
      <w:r>
        <w:rPr>
          <w:b/>
          <w:i/>
          <w:sz w:val="22"/>
        </w:rPr>
        <w:t xml:space="preserve"> </w:t>
      </w:r>
    </w:p>
    <w:p w14:paraId="2A75B28B" w14:textId="77777777" w:rsidR="00C4502F" w:rsidRDefault="00CB4940">
      <w:pPr>
        <w:spacing w:after="0" w:line="259" w:lineRule="auto"/>
        <w:ind w:left="0" w:right="0" w:firstLine="0"/>
      </w:pPr>
      <w:r>
        <w:rPr>
          <w:b/>
          <w:i/>
          <w:sz w:val="22"/>
        </w:rPr>
        <w:t xml:space="preserve"> </w:t>
      </w:r>
    </w:p>
    <w:p w14:paraId="54901536" w14:textId="16044B78" w:rsidR="000B6FEC" w:rsidRPr="000B6FEC" w:rsidRDefault="000B6FEC" w:rsidP="000B6FEC">
      <w:pPr>
        <w:spacing w:after="0" w:line="259" w:lineRule="auto"/>
        <w:ind w:left="0" w:right="0" w:firstLine="0"/>
      </w:pPr>
      <w:r w:rsidRPr="000B6FEC">
        <w:t>I would like to express my sincere gratitude to everyone who has supported me throughout the completion of this dissertation.</w:t>
      </w:r>
      <w:r w:rsidR="004761D2">
        <w:t xml:space="preserve"> </w:t>
      </w:r>
      <w:r w:rsidRPr="000B6FEC">
        <w:t>First and foremost, I would like to thank my mother for her unconditional love, encouragement, and unwavering belief in me. Her constant support, patience, and motivation have helped me overcome challenges and remain focused throughout my studies. I am truly grateful for everything she has done for me.</w:t>
      </w:r>
      <w:r w:rsidR="004761D2">
        <w:t xml:space="preserve"> </w:t>
      </w:r>
      <w:r w:rsidRPr="000B6FEC">
        <w:t xml:space="preserve">I would also like to extend my heartfelt thanks to my lecturer, </w:t>
      </w:r>
      <w:r w:rsidRPr="004761D2">
        <w:t>Dian Mayasari</w:t>
      </w:r>
      <w:r w:rsidRPr="000B6FEC">
        <w:t>, for her valuable knowledge, guidance, and encouragement throughout this research. Her expertise, constructive feedback, and dedication have greatly contributed to the development of this dissertation.</w:t>
      </w:r>
      <w:r w:rsidR="00832B8E">
        <w:t xml:space="preserve"> </w:t>
      </w:r>
      <w:r w:rsidRPr="000B6FEC">
        <w:t xml:space="preserve">Finally, I would like to express my sincere appreciation to my dissertation adviser, </w:t>
      </w:r>
      <w:r w:rsidRPr="00832B8E">
        <w:t>Patrik</w:t>
      </w:r>
      <w:r w:rsidR="00832B8E" w:rsidRPr="00832B8E">
        <w:t xml:space="preserve"> Yeboah</w:t>
      </w:r>
      <w:r w:rsidRPr="000B6FEC">
        <w:t>, for his guidance, advice, and continuous support throughout this project. His insightful feedback and encouragement have been invaluable in helping me complete this research successfully.</w:t>
      </w:r>
      <w:r w:rsidR="00832B8E">
        <w:t xml:space="preserve"> </w:t>
      </w:r>
      <w:r w:rsidRPr="000B6FEC">
        <w:t>To all those who have contributed to my academic journey, whether directly or indirectly, I offer my sincere thanks. Your support has played an important role in helping me reach this milestone.</w:t>
      </w:r>
    </w:p>
    <w:p w14:paraId="787111A3" w14:textId="329CF819" w:rsidR="00C4502F" w:rsidRDefault="00C4502F">
      <w:pPr>
        <w:spacing w:after="0" w:line="259" w:lineRule="auto"/>
        <w:ind w:left="0" w:right="0" w:firstLine="0"/>
      </w:pPr>
    </w:p>
    <w:p w14:paraId="24BE8BA9" w14:textId="77777777" w:rsidR="00C4502F" w:rsidRDefault="00CB4940">
      <w:pPr>
        <w:spacing w:after="0" w:line="259" w:lineRule="auto"/>
        <w:ind w:left="0" w:right="0" w:firstLine="0"/>
      </w:pPr>
      <w:r>
        <w:rPr>
          <w:rFonts w:ascii="Calibri" w:eastAsia="Calibri" w:hAnsi="Calibri" w:cs="Calibri"/>
          <w:i/>
          <w:sz w:val="22"/>
        </w:rPr>
        <w:t xml:space="preserve"> </w:t>
      </w:r>
    </w:p>
    <w:p w14:paraId="3D00862C" w14:textId="77777777" w:rsidR="00C4502F" w:rsidRDefault="00CB4940">
      <w:pPr>
        <w:spacing w:after="0" w:line="259" w:lineRule="auto"/>
        <w:ind w:left="0" w:right="0" w:firstLine="0"/>
      </w:pPr>
      <w:r>
        <w:rPr>
          <w:rFonts w:ascii="Calibri" w:eastAsia="Calibri" w:hAnsi="Calibri" w:cs="Calibri"/>
          <w:i/>
          <w:sz w:val="22"/>
        </w:rPr>
        <w:t xml:space="preserve"> </w:t>
      </w:r>
    </w:p>
    <w:p w14:paraId="58280D2A" w14:textId="77777777" w:rsidR="00C4502F" w:rsidRDefault="00CB4940">
      <w:pPr>
        <w:spacing w:after="0" w:line="259" w:lineRule="auto"/>
        <w:ind w:left="0" w:right="0" w:firstLine="0"/>
      </w:pPr>
      <w:r>
        <w:rPr>
          <w:rFonts w:ascii="Calibri" w:eastAsia="Calibri" w:hAnsi="Calibri" w:cs="Calibri"/>
          <w:i/>
          <w:sz w:val="22"/>
        </w:rPr>
        <w:t xml:space="preserve"> </w:t>
      </w:r>
    </w:p>
    <w:p w14:paraId="138DF388" w14:textId="77777777" w:rsidR="00C4502F" w:rsidRDefault="00CB4940">
      <w:pPr>
        <w:spacing w:after="0" w:line="259" w:lineRule="auto"/>
        <w:ind w:left="0" w:right="0" w:firstLine="0"/>
      </w:pPr>
      <w:r>
        <w:rPr>
          <w:rFonts w:ascii="Calibri" w:eastAsia="Calibri" w:hAnsi="Calibri" w:cs="Calibri"/>
          <w:i/>
          <w:sz w:val="22"/>
        </w:rPr>
        <w:t xml:space="preserve"> </w:t>
      </w:r>
    </w:p>
    <w:p w14:paraId="47C451C4" w14:textId="77777777" w:rsidR="00C4502F" w:rsidRDefault="00CB4940">
      <w:pPr>
        <w:spacing w:after="0" w:line="259" w:lineRule="auto"/>
        <w:ind w:left="0" w:right="0" w:firstLine="0"/>
      </w:pPr>
      <w:r>
        <w:rPr>
          <w:rFonts w:ascii="Calibri" w:eastAsia="Calibri" w:hAnsi="Calibri" w:cs="Calibri"/>
          <w:i/>
          <w:sz w:val="22"/>
        </w:rPr>
        <w:t xml:space="preserve"> </w:t>
      </w:r>
    </w:p>
    <w:p w14:paraId="5181B03B" w14:textId="77777777" w:rsidR="00C4502F" w:rsidRDefault="00CB4940">
      <w:pPr>
        <w:spacing w:after="0" w:line="259" w:lineRule="auto"/>
        <w:ind w:left="0" w:right="0" w:firstLine="0"/>
      </w:pPr>
      <w:r>
        <w:rPr>
          <w:rFonts w:ascii="Calibri" w:eastAsia="Calibri" w:hAnsi="Calibri" w:cs="Calibri"/>
          <w:i/>
          <w:sz w:val="22"/>
        </w:rPr>
        <w:t xml:space="preserve"> </w:t>
      </w:r>
    </w:p>
    <w:p w14:paraId="7752B414" w14:textId="77777777" w:rsidR="00C4502F" w:rsidRDefault="00CB4940">
      <w:pPr>
        <w:spacing w:after="0" w:line="259" w:lineRule="auto"/>
        <w:ind w:left="0" w:right="0" w:firstLine="0"/>
      </w:pPr>
      <w:r>
        <w:rPr>
          <w:rFonts w:ascii="Calibri" w:eastAsia="Calibri" w:hAnsi="Calibri" w:cs="Calibri"/>
          <w:i/>
          <w:sz w:val="22"/>
        </w:rPr>
        <w:t xml:space="preserve"> </w:t>
      </w:r>
    </w:p>
    <w:p w14:paraId="3AD34BA4" w14:textId="77777777" w:rsidR="00C4502F" w:rsidRDefault="00CB4940">
      <w:pPr>
        <w:spacing w:after="0" w:line="259" w:lineRule="auto"/>
        <w:ind w:left="0" w:right="0" w:firstLine="0"/>
      </w:pPr>
      <w:r>
        <w:rPr>
          <w:rFonts w:ascii="Calibri" w:eastAsia="Calibri" w:hAnsi="Calibri" w:cs="Calibri"/>
          <w:i/>
          <w:sz w:val="22"/>
        </w:rPr>
        <w:t xml:space="preserve"> </w:t>
      </w:r>
    </w:p>
    <w:p w14:paraId="5709AD77" w14:textId="77777777" w:rsidR="00C4502F" w:rsidRDefault="00CB4940">
      <w:pPr>
        <w:spacing w:after="0" w:line="259" w:lineRule="auto"/>
        <w:ind w:left="0" w:right="0" w:firstLine="0"/>
      </w:pPr>
      <w:r>
        <w:rPr>
          <w:rFonts w:ascii="Calibri" w:eastAsia="Calibri" w:hAnsi="Calibri" w:cs="Calibri"/>
          <w:i/>
          <w:sz w:val="22"/>
        </w:rPr>
        <w:t xml:space="preserve"> </w:t>
      </w:r>
    </w:p>
    <w:p w14:paraId="295094BC" w14:textId="77777777" w:rsidR="00C4502F" w:rsidRDefault="00CB4940">
      <w:pPr>
        <w:spacing w:after="0" w:line="259" w:lineRule="auto"/>
        <w:ind w:left="0" w:right="0" w:firstLine="0"/>
      </w:pPr>
      <w:r>
        <w:rPr>
          <w:rFonts w:ascii="Calibri" w:eastAsia="Calibri" w:hAnsi="Calibri" w:cs="Calibri"/>
          <w:i/>
          <w:sz w:val="22"/>
        </w:rPr>
        <w:t xml:space="preserve"> </w:t>
      </w:r>
    </w:p>
    <w:p w14:paraId="1366B65C" w14:textId="77777777" w:rsidR="00C4502F" w:rsidRDefault="00CB4940">
      <w:pPr>
        <w:spacing w:after="0" w:line="259" w:lineRule="auto"/>
        <w:ind w:left="0" w:right="0" w:firstLine="0"/>
      </w:pPr>
      <w:r>
        <w:rPr>
          <w:rFonts w:ascii="Calibri" w:eastAsia="Calibri" w:hAnsi="Calibri" w:cs="Calibri"/>
          <w:i/>
          <w:sz w:val="22"/>
        </w:rPr>
        <w:t xml:space="preserve"> </w:t>
      </w:r>
    </w:p>
    <w:p w14:paraId="666E9487" w14:textId="77777777" w:rsidR="00C4502F" w:rsidRDefault="00CB4940">
      <w:pPr>
        <w:spacing w:after="0" w:line="259" w:lineRule="auto"/>
        <w:ind w:left="0" w:right="0" w:firstLine="0"/>
      </w:pPr>
      <w:r>
        <w:rPr>
          <w:rFonts w:ascii="Calibri" w:eastAsia="Calibri" w:hAnsi="Calibri" w:cs="Calibri"/>
          <w:i/>
          <w:sz w:val="22"/>
        </w:rPr>
        <w:t xml:space="preserve"> </w:t>
      </w:r>
    </w:p>
    <w:p w14:paraId="3B44E638" w14:textId="77777777" w:rsidR="00C4502F" w:rsidRDefault="00CB4940">
      <w:pPr>
        <w:spacing w:after="0" w:line="259" w:lineRule="auto"/>
        <w:ind w:left="0" w:right="0" w:firstLine="0"/>
      </w:pPr>
      <w:r>
        <w:rPr>
          <w:rFonts w:ascii="Calibri" w:eastAsia="Calibri" w:hAnsi="Calibri" w:cs="Calibri"/>
          <w:i/>
          <w:sz w:val="22"/>
        </w:rPr>
        <w:t xml:space="preserve"> </w:t>
      </w:r>
    </w:p>
    <w:p w14:paraId="5D40D0C0" w14:textId="77777777" w:rsidR="00C4502F" w:rsidRDefault="00CB4940">
      <w:pPr>
        <w:spacing w:after="0" w:line="259" w:lineRule="auto"/>
        <w:ind w:left="0" w:right="0" w:firstLine="0"/>
      </w:pPr>
      <w:r>
        <w:rPr>
          <w:rFonts w:ascii="Calibri" w:eastAsia="Calibri" w:hAnsi="Calibri" w:cs="Calibri"/>
          <w:i/>
          <w:sz w:val="22"/>
        </w:rPr>
        <w:t xml:space="preserve"> </w:t>
      </w:r>
    </w:p>
    <w:p w14:paraId="1A9550DC" w14:textId="77777777" w:rsidR="00C4502F" w:rsidRDefault="00CB4940">
      <w:pPr>
        <w:spacing w:after="0" w:line="259" w:lineRule="auto"/>
        <w:ind w:left="0" w:right="0" w:firstLine="0"/>
      </w:pPr>
      <w:r>
        <w:rPr>
          <w:rFonts w:ascii="Calibri" w:eastAsia="Calibri" w:hAnsi="Calibri" w:cs="Calibri"/>
          <w:i/>
          <w:sz w:val="22"/>
        </w:rPr>
        <w:t xml:space="preserve"> </w:t>
      </w:r>
    </w:p>
    <w:p w14:paraId="6D4BCC1B" w14:textId="77777777" w:rsidR="00C4502F" w:rsidRDefault="00CB4940">
      <w:pPr>
        <w:spacing w:after="0" w:line="259" w:lineRule="auto"/>
        <w:ind w:left="0" w:right="0" w:firstLine="0"/>
      </w:pPr>
      <w:r>
        <w:rPr>
          <w:rFonts w:ascii="Calibri" w:eastAsia="Calibri" w:hAnsi="Calibri" w:cs="Calibri"/>
          <w:i/>
          <w:sz w:val="22"/>
        </w:rPr>
        <w:t xml:space="preserve"> </w:t>
      </w:r>
    </w:p>
    <w:p w14:paraId="0FE20CE4" w14:textId="77777777" w:rsidR="00C4502F" w:rsidRDefault="00CB4940">
      <w:pPr>
        <w:spacing w:after="0" w:line="259" w:lineRule="auto"/>
        <w:ind w:left="0" w:right="0" w:firstLine="0"/>
      </w:pPr>
      <w:r>
        <w:rPr>
          <w:rFonts w:ascii="Calibri" w:eastAsia="Calibri" w:hAnsi="Calibri" w:cs="Calibri"/>
          <w:i/>
          <w:sz w:val="22"/>
        </w:rPr>
        <w:t xml:space="preserve"> </w:t>
      </w:r>
    </w:p>
    <w:p w14:paraId="6E153BA6" w14:textId="77777777" w:rsidR="00C4502F" w:rsidRDefault="00CB4940">
      <w:pPr>
        <w:spacing w:after="0" w:line="259" w:lineRule="auto"/>
        <w:ind w:left="0" w:right="0" w:firstLine="0"/>
      </w:pPr>
      <w:r>
        <w:rPr>
          <w:rFonts w:ascii="Calibri" w:eastAsia="Calibri" w:hAnsi="Calibri" w:cs="Calibri"/>
          <w:i/>
          <w:sz w:val="22"/>
        </w:rPr>
        <w:t xml:space="preserve"> </w:t>
      </w:r>
    </w:p>
    <w:p w14:paraId="3F9E51AE" w14:textId="77777777" w:rsidR="00C4502F" w:rsidRDefault="00CB4940">
      <w:pPr>
        <w:spacing w:after="0" w:line="259" w:lineRule="auto"/>
        <w:ind w:left="0" w:right="0" w:firstLine="0"/>
      </w:pPr>
      <w:r>
        <w:rPr>
          <w:rFonts w:ascii="Calibri" w:eastAsia="Calibri" w:hAnsi="Calibri" w:cs="Calibri"/>
          <w:i/>
          <w:sz w:val="22"/>
        </w:rPr>
        <w:t xml:space="preserve"> </w:t>
      </w:r>
    </w:p>
    <w:p w14:paraId="37B05C26" w14:textId="77777777" w:rsidR="00C4502F" w:rsidRDefault="00CB4940">
      <w:pPr>
        <w:spacing w:after="0" w:line="259" w:lineRule="auto"/>
        <w:ind w:left="0" w:right="0" w:firstLine="0"/>
      </w:pPr>
      <w:r>
        <w:rPr>
          <w:rFonts w:ascii="Calibri" w:eastAsia="Calibri" w:hAnsi="Calibri" w:cs="Calibri"/>
          <w:i/>
          <w:sz w:val="22"/>
        </w:rPr>
        <w:t xml:space="preserve"> </w:t>
      </w:r>
    </w:p>
    <w:p w14:paraId="03CBF2C7" w14:textId="77777777" w:rsidR="00C4502F" w:rsidRDefault="00CB4940">
      <w:pPr>
        <w:spacing w:after="0" w:line="259" w:lineRule="auto"/>
        <w:ind w:left="0" w:right="0" w:firstLine="0"/>
      </w:pPr>
      <w:r>
        <w:rPr>
          <w:rFonts w:ascii="Calibri" w:eastAsia="Calibri" w:hAnsi="Calibri" w:cs="Calibri"/>
          <w:i/>
          <w:sz w:val="22"/>
        </w:rPr>
        <w:t xml:space="preserve"> </w:t>
      </w:r>
    </w:p>
    <w:p w14:paraId="422D6F05" w14:textId="77777777" w:rsidR="00C4502F" w:rsidRDefault="00CB4940">
      <w:pPr>
        <w:spacing w:after="0" w:line="259" w:lineRule="auto"/>
        <w:ind w:left="0" w:right="0" w:firstLine="0"/>
      </w:pPr>
      <w:r>
        <w:rPr>
          <w:rFonts w:ascii="Calibri" w:eastAsia="Calibri" w:hAnsi="Calibri" w:cs="Calibri"/>
          <w:i/>
          <w:sz w:val="22"/>
        </w:rPr>
        <w:t xml:space="preserve"> </w:t>
      </w:r>
    </w:p>
    <w:p w14:paraId="6408EB88" w14:textId="77777777" w:rsidR="00C4502F" w:rsidRDefault="00CB4940">
      <w:pPr>
        <w:spacing w:after="0" w:line="259" w:lineRule="auto"/>
        <w:ind w:left="0" w:right="0" w:firstLine="0"/>
      </w:pPr>
      <w:r>
        <w:rPr>
          <w:rFonts w:ascii="Calibri" w:eastAsia="Calibri" w:hAnsi="Calibri" w:cs="Calibri"/>
          <w:i/>
          <w:sz w:val="22"/>
        </w:rPr>
        <w:t xml:space="preserve"> </w:t>
      </w:r>
    </w:p>
    <w:p w14:paraId="45409CA5" w14:textId="77777777" w:rsidR="00C4502F" w:rsidRDefault="00CB4940">
      <w:pPr>
        <w:spacing w:after="0" w:line="259" w:lineRule="auto"/>
        <w:ind w:left="0" w:right="0" w:firstLine="0"/>
      </w:pPr>
      <w:r>
        <w:rPr>
          <w:rFonts w:ascii="Calibri" w:eastAsia="Calibri" w:hAnsi="Calibri" w:cs="Calibri"/>
          <w:i/>
          <w:sz w:val="22"/>
        </w:rPr>
        <w:t xml:space="preserve"> </w:t>
      </w:r>
    </w:p>
    <w:p w14:paraId="5AC6306B" w14:textId="77777777" w:rsidR="00C4502F" w:rsidRDefault="00CB4940">
      <w:pPr>
        <w:spacing w:after="0" w:line="259" w:lineRule="auto"/>
        <w:ind w:left="0" w:right="0" w:firstLine="0"/>
      </w:pPr>
      <w:r>
        <w:rPr>
          <w:rFonts w:ascii="Calibri" w:eastAsia="Calibri" w:hAnsi="Calibri" w:cs="Calibri"/>
          <w:i/>
          <w:sz w:val="22"/>
        </w:rPr>
        <w:t xml:space="preserve"> </w:t>
      </w:r>
    </w:p>
    <w:p w14:paraId="003C67D8" w14:textId="77777777" w:rsidR="00C4502F" w:rsidRDefault="00CB4940">
      <w:pPr>
        <w:spacing w:after="0" w:line="259" w:lineRule="auto"/>
        <w:ind w:left="0" w:right="0" w:firstLine="0"/>
      </w:pPr>
      <w:r>
        <w:rPr>
          <w:rFonts w:ascii="Calibri" w:eastAsia="Calibri" w:hAnsi="Calibri" w:cs="Calibri"/>
          <w:i/>
          <w:sz w:val="22"/>
        </w:rPr>
        <w:lastRenderedPageBreak/>
        <w:t xml:space="preserve"> </w:t>
      </w:r>
    </w:p>
    <w:p w14:paraId="28687D52" w14:textId="77777777" w:rsidR="00C4502F" w:rsidRDefault="00CB4940">
      <w:pPr>
        <w:spacing w:after="0" w:line="259" w:lineRule="auto"/>
        <w:ind w:left="0" w:right="0" w:firstLine="0"/>
      </w:pPr>
      <w:r>
        <w:rPr>
          <w:rFonts w:ascii="Calibri" w:eastAsia="Calibri" w:hAnsi="Calibri" w:cs="Calibri"/>
          <w:i/>
          <w:sz w:val="22"/>
        </w:rPr>
        <w:t xml:space="preserve"> </w:t>
      </w:r>
    </w:p>
    <w:p w14:paraId="4B9C80F1" w14:textId="77777777" w:rsidR="00C4502F" w:rsidRDefault="00CB4940">
      <w:pPr>
        <w:spacing w:after="0" w:line="259" w:lineRule="auto"/>
        <w:ind w:left="0" w:right="0" w:firstLine="0"/>
      </w:pPr>
      <w:r>
        <w:rPr>
          <w:rFonts w:ascii="Calibri" w:eastAsia="Calibri" w:hAnsi="Calibri" w:cs="Calibri"/>
          <w:i/>
          <w:sz w:val="22"/>
        </w:rPr>
        <w:t xml:space="preserve"> </w:t>
      </w:r>
    </w:p>
    <w:p w14:paraId="4E0B70B8" w14:textId="77777777" w:rsidR="00C4502F" w:rsidRDefault="00CB4940">
      <w:pPr>
        <w:spacing w:after="0" w:line="259" w:lineRule="auto"/>
        <w:ind w:left="0" w:right="0" w:firstLine="0"/>
      </w:pPr>
      <w:r>
        <w:rPr>
          <w:rFonts w:ascii="Calibri" w:eastAsia="Calibri" w:hAnsi="Calibri" w:cs="Calibri"/>
          <w:i/>
          <w:sz w:val="22"/>
        </w:rPr>
        <w:t xml:space="preserve"> </w:t>
      </w:r>
    </w:p>
    <w:p w14:paraId="27F03483" w14:textId="77777777" w:rsidR="00C4502F" w:rsidRDefault="00CB4940">
      <w:pPr>
        <w:spacing w:after="0" w:line="259" w:lineRule="auto"/>
        <w:ind w:left="0" w:right="0" w:firstLine="0"/>
      </w:pPr>
      <w:r>
        <w:rPr>
          <w:rFonts w:ascii="Calibri" w:eastAsia="Calibri" w:hAnsi="Calibri" w:cs="Calibri"/>
          <w:i/>
          <w:sz w:val="22"/>
        </w:rPr>
        <w:t xml:space="preserve"> </w:t>
      </w:r>
    </w:p>
    <w:p w14:paraId="451B4E1F" w14:textId="77777777" w:rsidR="00C4502F" w:rsidRDefault="00CB4940">
      <w:pPr>
        <w:spacing w:after="0" w:line="259" w:lineRule="auto"/>
        <w:ind w:left="0" w:right="0" w:firstLine="0"/>
      </w:pPr>
      <w:r>
        <w:rPr>
          <w:rFonts w:ascii="Calibri" w:eastAsia="Calibri" w:hAnsi="Calibri" w:cs="Calibri"/>
          <w:i/>
          <w:sz w:val="22"/>
        </w:rPr>
        <w:t xml:space="preserve"> </w:t>
      </w:r>
    </w:p>
    <w:p w14:paraId="4390CE82" w14:textId="77777777" w:rsidR="00C4502F" w:rsidRDefault="00CB4940">
      <w:pPr>
        <w:spacing w:after="0" w:line="259" w:lineRule="auto"/>
        <w:ind w:left="0" w:right="0" w:firstLine="0"/>
      </w:pPr>
      <w:r>
        <w:rPr>
          <w:rFonts w:ascii="Calibri" w:eastAsia="Calibri" w:hAnsi="Calibri" w:cs="Calibri"/>
          <w:i/>
          <w:sz w:val="22"/>
        </w:rPr>
        <w:t xml:space="preserve"> </w:t>
      </w:r>
    </w:p>
    <w:p w14:paraId="0549BC5B" w14:textId="508DCA91" w:rsidR="00C4502F" w:rsidRDefault="00CB4940" w:rsidP="005A430F">
      <w:pPr>
        <w:spacing w:after="0" w:line="259" w:lineRule="auto"/>
        <w:ind w:left="0" w:right="0" w:firstLine="0"/>
      </w:pPr>
      <w:r>
        <w:rPr>
          <w:rFonts w:ascii="Calibri" w:eastAsia="Calibri" w:hAnsi="Calibri" w:cs="Calibri"/>
          <w:i/>
          <w:sz w:val="22"/>
        </w:rPr>
        <w:t xml:space="preserve"> </w:t>
      </w:r>
      <w:r>
        <w:t xml:space="preserve">TABLE OF CONTENTS </w:t>
      </w:r>
    </w:p>
    <w:p w14:paraId="1B091135" w14:textId="77777777" w:rsidR="00C4502F" w:rsidRDefault="00CB4940">
      <w:pPr>
        <w:spacing w:after="0" w:line="259" w:lineRule="auto"/>
        <w:ind w:left="0" w:right="0" w:firstLine="0"/>
      </w:pPr>
      <w:r>
        <w:rPr>
          <w:sz w:val="22"/>
        </w:rPr>
        <w:t xml:space="preserve"> </w:t>
      </w:r>
    </w:p>
    <w:p w14:paraId="45E5D553" w14:textId="08D06EF7" w:rsidR="00C4502F" w:rsidRDefault="00C4502F">
      <w:pPr>
        <w:spacing w:after="0" w:line="259" w:lineRule="auto"/>
        <w:ind w:left="0" w:right="0" w:firstLine="0"/>
      </w:pPr>
    </w:p>
    <w:p w14:paraId="1D35BE66" w14:textId="77777777" w:rsidR="00C4502F" w:rsidRDefault="00CB4940">
      <w:pPr>
        <w:spacing w:after="31" w:line="259" w:lineRule="auto"/>
        <w:ind w:left="0" w:right="0" w:firstLine="0"/>
      </w:pPr>
      <w:r>
        <w:rPr>
          <w:sz w:val="22"/>
        </w:rPr>
        <w:t xml:space="preserve"> </w:t>
      </w:r>
    </w:p>
    <w:p w14:paraId="31D62273" w14:textId="41341808" w:rsidR="00C4502F" w:rsidRDefault="00CB4940">
      <w:pPr>
        <w:spacing w:after="260"/>
        <w:ind w:left="-5" w:right="39"/>
      </w:pPr>
      <w:r>
        <w:t xml:space="preserve">DECLARATION………………………………………………………………………….. </w:t>
      </w:r>
    </w:p>
    <w:p w14:paraId="7EF475FB" w14:textId="6DDC5ED1" w:rsidR="00C4502F" w:rsidRDefault="00CB4940">
      <w:pPr>
        <w:ind w:left="-5" w:right="39"/>
      </w:pPr>
      <w:r>
        <w:t xml:space="preserve">TITLE PAGE………………………………………………………………………………. </w:t>
      </w:r>
    </w:p>
    <w:p w14:paraId="035F2715" w14:textId="77777777" w:rsidR="00C4502F" w:rsidRDefault="00CB4940">
      <w:pPr>
        <w:spacing w:after="6" w:line="259" w:lineRule="auto"/>
        <w:ind w:left="0" w:right="0" w:firstLine="0"/>
      </w:pPr>
      <w:r>
        <w:t xml:space="preserve"> </w:t>
      </w:r>
    </w:p>
    <w:p w14:paraId="746AFEB5" w14:textId="0AA203A2" w:rsidR="00C4502F" w:rsidRDefault="00CB4940">
      <w:pPr>
        <w:ind w:left="-5" w:right="39"/>
      </w:pPr>
      <w:r>
        <w:t xml:space="preserve">ACKNOWLEDGEMENTS……………………………………………………………….. </w:t>
      </w:r>
    </w:p>
    <w:p w14:paraId="47BA5ACB" w14:textId="77777777" w:rsidR="00C4502F" w:rsidRDefault="00CB4940">
      <w:pPr>
        <w:spacing w:after="12" w:line="259" w:lineRule="auto"/>
        <w:ind w:left="0" w:right="0" w:firstLine="0"/>
      </w:pPr>
      <w:r>
        <w:t xml:space="preserve"> </w:t>
      </w:r>
    </w:p>
    <w:p w14:paraId="5289C6F4" w14:textId="6E7F9D35" w:rsidR="00C4502F" w:rsidRDefault="00CB4940" w:rsidP="005A430F">
      <w:pPr>
        <w:spacing w:after="4" w:line="259" w:lineRule="auto"/>
        <w:ind w:left="0" w:right="0" w:firstLine="0"/>
      </w:pPr>
      <w:r>
        <w:t>CHAPTER 1: INTRODUCTION………………………………………………………….</w:t>
      </w:r>
    </w:p>
    <w:p w14:paraId="0AA26539" w14:textId="77777777" w:rsidR="00C4502F" w:rsidRDefault="00CB4940">
      <w:pPr>
        <w:spacing w:after="40" w:line="259" w:lineRule="auto"/>
        <w:ind w:left="0" w:right="0" w:firstLine="0"/>
      </w:pPr>
      <w:r>
        <w:rPr>
          <w:sz w:val="22"/>
        </w:rPr>
        <w:t xml:space="preserve"> </w:t>
      </w:r>
    </w:p>
    <w:p w14:paraId="1311E260" w14:textId="4BDDBC36" w:rsidR="00C4502F" w:rsidRDefault="00CB4940">
      <w:pPr>
        <w:ind w:left="-5" w:right="39"/>
      </w:pPr>
      <w:r>
        <w:t xml:space="preserve">1.1 Introduction……………………………………………………………………………. </w:t>
      </w:r>
    </w:p>
    <w:p w14:paraId="302625DD" w14:textId="77777777" w:rsidR="00C4502F" w:rsidRDefault="00CB4940">
      <w:pPr>
        <w:spacing w:after="11" w:line="259" w:lineRule="auto"/>
        <w:ind w:left="0" w:right="0" w:firstLine="0"/>
      </w:pPr>
      <w:r>
        <w:t xml:space="preserve"> </w:t>
      </w:r>
    </w:p>
    <w:p w14:paraId="42875079" w14:textId="18390E19" w:rsidR="00C4502F" w:rsidRDefault="00CB4940">
      <w:pPr>
        <w:ind w:left="-5" w:right="39"/>
      </w:pPr>
      <w:r>
        <w:t>1.2 Background</w:t>
      </w:r>
      <w:r w:rsidR="002E6E8F">
        <w:t xml:space="preserve"> </w:t>
      </w:r>
      <w:r>
        <w:t>……………………………………………………………...</w:t>
      </w:r>
      <w:r w:rsidR="000D0F07">
        <w:t>...................</w:t>
      </w:r>
      <w:r>
        <w:t xml:space="preserve"> </w:t>
      </w:r>
      <w:r w:rsidR="000D0F07">
        <w:t xml:space="preserve">                  </w:t>
      </w:r>
      <w:r>
        <w:t xml:space="preserve"> </w:t>
      </w:r>
    </w:p>
    <w:p w14:paraId="5C270CD8" w14:textId="77777777" w:rsidR="00C4502F" w:rsidRDefault="00CB4940">
      <w:pPr>
        <w:spacing w:after="13" w:line="259" w:lineRule="auto"/>
        <w:ind w:left="0" w:right="0" w:firstLine="0"/>
      </w:pPr>
      <w:r>
        <w:t xml:space="preserve"> </w:t>
      </w:r>
    </w:p>
    <w:p w14:paraId="6124A0F8" w14:textId="1D73AF5E" w:rsidR="00C4502F" w:rsidRDefault="00CB4940">
      <w:pPr>
        <w:ind w:left="-5" w:right="39"/>
      </w:pPr>
      <w:r>
        <w:t>1.3 Research Aim…………………………………………………………………………</w:t>
      </w:r>
    </w:p>
    <w:p w14:paraId="55403684" w14:textId="77777777" w:rsidR="00C4502F" w:rsidRDefault="00CB4940">
      <w:pPr>
        <w:spacing w:after="6" w:line="259" w:lineRule="auto"/>
        <w:ind w:left="0" w:right="0" w:firstLine="0"/>
      </w:pPr>
      <w:r>
        <w:t xml:space="preserve"> </w:t>
      </w:r>
    </w:p>
    <w:p w14:paraId="1B78396D" w14:textId="51464166" w:rsidR="00C4502F" w:rsidRDefault="00CB4940">
      <w:pPr>
        <w:ind w:left="-5" w:right="39"/>
      </w:pPr>
      <w:r>
        <w:t xml:space="preserve">1.4 Research Objectives………………………………………………………………… </w:t>
      </w:r>
    </w:p>
    <w:p w14:paraId="288D0F56" w14:textId="77777777" w:rsidR="005A430F" w:rsidRDefault="005A430F">
      <w:pPr>
        <w:ind w:left="-5" w:right="39"/>
      </w:pPr>
    </w:p>
    <w:p w14:paraId="658F68CD" w14:textId="30BEF36B" w:rsidR="002E6E8F" w:rsidRDefault="002E6E8F">
      <w:pPr>
        <w:ind w:left="-5" w:right="39"/>
      </w:pPr>
      <w:r>
        <w:t>1.5Research Questions</w:t>
      </w:r>
    </w:p>
    <w:p w14:paraId="6E3FCB68" w14:textId="77777777" w:rsidR="00C4502F" w:rsidRDefault="00CB4940">
      <w:pPr>
        <w:spacing w:after="7" w:line="259" w:lineRule="auto"/>
        <w:ind w:left="0" w:right="0" w:firstLine="0"/>
      </w:pPr>
      <w:r>
        <w:t xml:space="preserve"> </w:t>
      </w:r>
    </w:p>
    <w:p w14:paraId="206B598E" w14:textId="51A482D1" w:rsidR="00C4502F" w:rsidRDefault="00CB4940">
      <w:pPr>
        <w:ind w:left="-5" w:right="39"/>
      </w:pPr>
      <w:r>
        <w:t>1.</w:t>
      </w:r>
      <w:r w:rsidR="002E6E8F">
        <w:t>6</w:t>
      </w:r>
      <w:r>
        <w:t xml:space="preserve"> Chapter Summary……………………………………………………………………  </w:t>
      </w:r>
    </w:p>
    <w:p w14:paraId="51577154" w14:textId="77777777" w:rsidR="00C4502F" w:rsidRDefault="00CB4940">
      <w:pPr>
        <w:spacing w:after="3" w:line="259" w:lineRule="auto"/>
        <w:ind w:left="0" w:right="0" w:firstLine="0"/>
      </w:pPr>
      <w:r>
        <w:t xml:space="preserve"> </w:t>
      </w:r>
    </w:p>
    <w:p w14:paraId="22A38E11" w14:textId="638118A7" w:rsidR="00C4502F" w:rsidRDefault="00CB4940">
      <w:pPr>
        <w:ind w:left="-5" w:right="39"/>
      </w:pPr>
      <w:r>
        <w:t xml:space="preserve">CHAPTER 2: Literature Review……………………………………………………….. </w:t>
      </w:r>
    </w:p>
    <w:p w14:paraId="778DE0E3" w14:textId="77777777" w:rsidR="00C4502F" w:rsidRDefault="00CB4940">
      <w:pPr>
        <w:spacing w:after="12" w:line="259" w:lineRule="auto"/>
        <w:ind w:left="0" w:right="0" w:firstLine="0"/>
      </w:pPr>
      <w:r>
        <w:t xml:space="preserve"> </w:t>
      </w:r>
    </w:p>
    <w:p w14:paraId="18F965F2" w14:textId="5B5E5433" w:rsidR="00C4502F" w:rsidRDefault="00CB4940">
      <w:pPr>
        <w:ind w:left="-5" w:right="39"/>
      </w:pPr>
      <w:r>
        <w:t>CHAPTER 3: Methodology………………………………………………………………</w:t>
      </w:r>
    </w:p>
    <w:p w14:paraId="5638DE47" w14:textId="706E1142" w:rsidR="00C4502F" w:rsidRDefault="00CB4940" w:rsidP="005A430F">
      <w:pPr>
        <w:spacing w:after="0" w:line="259" w:lineRule="auto"/>
        <w:ind w:left="0" w:right="0" w:firstLine="0"/>
      </w:pPr>
      <w:r>
        <w:t xml:space="preserve">3.1 Systematic Literature Review (SLR)………………………………………………. </w:t>
      </w:r>
    </w:p>
    <w:p w14:paraId="5EB41E63" w14:textId="77777777" w:rsidR="00C4502F" w:rsidRDefault="00CB4940">
      <w:pPr>
        <w:spacing w:after="9" w:line="259" w:lineRule="auto"/>
        <w:ind w:left="0" w:right="0" w:firstLine="0"/>
      </w:pPr>
      <w:r>
        <w:t xml:space="preserve"> </w:t>
      </w:r>
    </w:p>
    <w:p w14:paraId="3EFE9894" w14:textId="7CE48556" w:rsidR="00C4502F" w:rsidRDefault="00CB4940">
      <w:pPr>
        <w:ind w:left="-5" w:right="39"/>
      </w:pPr>
      <w:r>
        <w:t xml:space="preserve">3.2 Search Strategy……………………………………………………………………… </w:t>
      </w:r>
    </w:p>
    <w:p w14:paraId="48302CB9" w14:textId="77777777" w:rsidR="00C4502F" w:rsidRDefault="00CB4940">
      <w:pPr>
        <w:spacing w:after="10" w:line="259" w:lineRule="auto"/>
        <w:ind w:left="0" w:right="0" w:firstLine="0"/>
      </w:pPr>
      <w:r>
        <w:t xml:space="preserve"> </w:t>
      </w:r>
    </w:p>
    <w:p w14:paraId="7B308F91" w14:textId="7718E03D" w:rsidR="00C4502F" w:rsidRDefault="00CB4940">
      <w:pPr>
        <w:ind w:left="-5" w:right="39"/>
      </w:pPr>
      <w:r>
        <w:t xml:space="preserve">3.3 Search terms………………………………………………………………………… </w:t>
      </w:r>
    </w:p>
    <w:p w14:paraId="1100B021" w14:textId="77777777" w:rsidR="00C4502F" w:rsidRDefault="00CB4940">
      <w:pPr>
        <w:spacing w:after="11" w:line="259" w:lineRule="auto"/>
        <w:ind w:left="0" w:right="0" w:firstLine="0"/>
      </w:pPr>
      <w:r>
        <w:t xml:space="preserve"> </w:t>
      </w:r>
    </w:p>
    <w:p w14:paraId="62719E9A" w14:textId="189909BD" w:rsidR="00C4502F" w:rsidRPr="009D38BF" w:rsidRDefault="00CB4940">
      <w:pPr>
        <w:ind w:left="-5" w:right="39"/>
      </w:pPr>
      <w:r>
        <w:t xml:space="preserve">3.4 Key Words……………………………………………………………………………. </w:t>
      </w:r>
    </w:p>
    <w:p w14:paraId="3BDE7820" w14:textId="77777777" w:rsidR="00C4502F" w:rsidRPr="009D38BF" w:rsidRDefault="00CB4940">
      <w:pPr>
        <w:spacing w:after="11" w:line="259" w:lineRule="auto"/>
        <w:ind w:left="0" w:right="0" w:firstLine="0"/>
      </w:pPr>
      <w:r w:rsidRPr="009D38BF">
        <w:t xml:space="preserve"> </w:t>
      </w:r>
    </w:p>
    <w:p w14:paraId="60B338F7" w14:textId="4834A82B" w:rsidR="00C4502F" w:rsidRPr="002E6E8F" w:rsidRDefault="00CB4940">
      <w:pPr>
        <w:ind w:left="-5" w:right="39"/>
        <w:rPr>
          <w:lang w:val="es-ES"/>
        </w:rPr>
      </w:pPr>
      <w:r w:rsidRPr="002E6E8F">
        <w:rPr>
          <w:lang w:val="es-ES"/>
        </w:rPr>
        <w:t xml:space="preserve">3.5 </w:t>
      </w:r>
      <w:proofErr w:type="spellStart"/>
      <w:r w:rsidRPr="002E6E8F">
        <w:rPr>
          <w:lang w:val="es-ES"/>
        </w:rPr>
        <w:t>Databases</w:t>
      </w:r>
      <w:proofErr w:type="spellEnd"/>
      <w:r w:rsidRPr="002E6E8F">
        <w:rPr>
          <w:lang w:val="es-ES"/>
        </w:rPr>
        <w:t xml:space="preserve">……………………………………………………………………………. </w:t>
      </w:r>
    </w:p>
    <w:p w14:paraId="569D57A9" w14:textId="77777777" w:rsidR="00C4502F" w:rsidRPr="002E6E8F" w:rsidRDefault="00CB4940">
      <w:pPr>
        <w:spacing w:after="3" w:line="259" w:lineRule="auto"/>
        <w:ind w:left="0" w:right="0" w:firstLine="0"/>
        <w:rPr>
          <w:lang w:val="es-ES"/>
        </w:rPr>
      </w:pPr>
      <w:r w:rsidRPr="002E6E8F">
        <w:rPr>
          <w:lang w:val="es-ES"/>
        </w:rPr>
        <w:t xml:space="preserve"> </w:t>
      </w:r>
    </w:p>
    <w:p w14:paraId="6D38D8DD" w14:textId="37048EA7" w:rsidR="00C4502F" w:rsidRPr="002E6E8F" w:rsidRDefault="00CB4940">
      <w:pPr>
        <w:ind w:left="-5" w:right="39"/>
        <w:rPr>
          <w:lang w:val="es-ES"/>
        </w:rPr>
      </w:pPr>
      <w:r w:rsidRPr="002E6E8F">
        <w:rPr>
          <w:lang w:val="es-ES"/>
        </w:rPr>
        <w:t xml:space="preserve">3.6 </w:t>
      </w:r>
      <w:proofErr w:type="spellStart"/>
      <w:r w:rsidRPr="002E6E8F">
        <w:rPr>
          <w:lang w:val="es-ES"/>
        </w:rPr>
        <w:t>Inclusion</w:t>
      </w:r>
      <w:proofErr w:type="spellEnd"/>
      <w:r w:rsidRPr="002E6E8F">
        <w:rPr>
          <w:lang w:val="es-ES"/>
        </w:rPr>
        <w:t>/</w:t>
      </w:r>
      <w:proofErr w:type="spellStart"/>
      <w:r w:rsidRPr="002E6E8F">
        <w:rPr>
          <w:lang w:val="es-ES"/>
        </w:rPr>
        <w:t>Exclusion</w:t>
      </w:r>
      <w:proofErr w:type="spellEnd"/>
      <w:r w:rsidRPr="002E6E8F">
        <w:rPr>
          <w:lang w:val="es-ES"/>
        </w:rPr>
        <w:t xml:space="preserve"> </w:t>
      </w:r>
      <w:proofErr w:type="spellStart"/>
      <w:r w:rsidRPr="002E6E8F">
        <w:rPr>
          <w:lang w:val="es-ES"/>
        </w:rPr>
        <w:t>Criteria</w:t>
      </w:r>
      <w:proofErr w:type="spellEnd"/>
      <w:r w:rsidRPr="002E6E8F">
        <w:rPr>
          <w:lang w:val="es-ES"/>
        </w:rPr>
        <w:t xml:space="preserve">………………………………………………………….  </w:t>
      </w:r>
    </w:p>
    <w:p w14:paraId="38E49AC2" w14:textId="77777777" w:rsidR="00C4502F" w:rsidRPr="002E6E8F" w:rsidRDefault="00CB4940">
      <w:pPr>
        <w:spacing w:after="7" w:line="259" w:lineRule="auto"/>
        <w:ind w:left="0" w:right="0" w:firstLine="0"/>
        <w:rPr>
          <w:lang w:val="es-ES"/>
        </w:rPr>
      </w:pPr>
      <w:r w:rsidRPr="002E6E8F">
        <w:rPr>
          <w:lang w:val="es-ES"/>
        </w:rPr>
        <w:t xml:space="preserve"> </w:t>
      </w:r>
    </w:p>
    <w:p w14:paraId="3511E3B6" w14:textId="17F3D1C1" w:rsidR="00C4502F" w:rsidRPr="009D38BF" w:rsidRDefault="00CB4940">
      <w:pPr>
        <w:ind w:left="-5" w:right="39"/>
        <w:rPr>
          <w:lang w:val="es-ES"/>
        </w:rPr>
      </w:pPr>
      <w:r w:rsidRPr="002E6E8F">
        <w:rPr>
          <w:lang w:val="es-ES"/>
        </w:rPr>
        <w:lastRenderedPageBreak/>
        <w:t xml:space="preserve">3.6.1 </w:t>
      </w:r>
      <w:proofErr w:type="spellStart"/>
      <w:r w:rsidRPr="002E6E8F">
        <w:rPr>
          <w:lang w:val="es-ES"/>
        </w:rPr>
        <w:t>Inclusion</w:t>
      </w:r>
      <w:proofErr w:type="spellEnd"/>
      <w:r w:rsidRPr="002E6E8F">
        <w:rPr>
          <w:lang w:val="es-ES"/>
        </w:rPr>
        <w:t xml:space="preserve"> </w:t>
      </w:r>
      <w:proofErr w:type="spellStart"/>
      <w:r w:rsidRPr="002E6E8F">
        <w:rPr>
          <w:lang w:val="es-ES"/>
        </w:rPr>
        <w:t>Criteria</w:t>
      </w:r>
      <w:proofErr w:type="spellEnd"/>
      <w:r w:rsidRPr="002E6E8F">
        <w:rPr>
          <w:lang w:val="es-ES"/>
        </w:rPr>
        <w:t xml:space="preserve">…………………………………………………………………… </w:t>
      </w:r>
      <w:r w:rsidRPr="009D38BF">
        <w:rPr>
          <w:lang w:val="es-ES"/>
        </w:rPr>
        <w:t xml:space="preserve"> </w:t>
      </w:r>
    </w:p>
    <w:p w14:paraId="0A5991CA" w14:textId="69838164" w:rsidR="00C4502F" w:rsidRDefault="00CB4940">
      <w:pPr>
        <w:ind w:left="-5" w:right="39"/>
      </w:pPr>
      <w:r>
        <w:t xml:space="preserve">3.6.2 Exclusion Criteria…………………………………………………………………..  </w:t>
      </w:r>
    </w:p>
    <w:p w14:paraId="293AAF9A" w14:textId="77777777" w:rsidR="00C4502F" w:rsidRDefault="00CB4940">
      <w:pPr>
        <w:spacing w:after="9" w:line="259" w:lineRule="auto"/>
        <w:ind w:left="0" w:right="0" w:firstLine="0"/>
      </w:pPr>
      <w:r>
        <w:t xml:space="preserve"> </w:t>
      </w:r>
    </w:p>
    <w:p w14:paraId="4B6F69C8" w14:textId="32A5DCCC" w:rsidR="00C4502F" w:rsidRDefault="00CB4940">
      <w:pPr>
        <w:ind w:left="-5" w:right="39"/>
      </w:pPr>
      <w:r>
        <w:t xml:space="preserve">3.7 Search Results………………………………………………………………………. </w:t>
      </w:r>
    </w:p>
    <w:p w14:paraId="0C39F866" w14:textId="77777777" w:rsidR="00C4502F" w:rsidRDefault="00CB4940">
      <w:pPr>
        <w:spacing w:line="259" w:lineRule="auto"/>
        <w:ind w:left="0" w:right="0" w:firstLine="0"/>
      </w:pPr>
      <w:r>
        <w:t xml:space="preserve"> </w:t>
      </w:r>
    </w:p>
    <w:p w14:paraId="26FB1342" w14:textId="44F8140C" w:rsidR="00C4502F" w:rsidRDefault="00CB4940">
      <w:pPr>
        <w:ind w:left="-5" w:right="39"/>
      </w:pPr>
      <w:r>
        <w:t xml:space="preserve">3.8 Ethical Considerations………………………………………………………………  </w:t>
      </w:r>
    </w:p>
    <w:p w14:paraId="091E9948" w14:textId="77777777" w:rsidR="00C4502F" w:rsidRDefault="00CB4940">
      <w:pPr>
        <w:spacing w:after="7" w:line="259" w:lineRule="auto"/>
        <w:ind w:left="0" w:right="0" w:firstLine="0"/>
      </w:pPr>
      <w:r>
        <w:t xml:space="preserve"> </w:t>
      </w:r>
    </w:p>
    <w:p w14:paraId="75EB0B83" w14:textId="6CD59722" w:rsidR="00C4502F" w:rsidRDefault="00CB4940">
      <w:pPr>
        <w:ind w:left="-5" w:right="39"/>
      </w:pPr>
      <w:r>
        <w:t xml:space="preserve">3.9 Chapter Summary…………………………………………………………………… </w:t>
      </w:r>
    </w:p>
    <w:p w14:paraId="55258ECF" w14:textId="77777777" w:rsidR="00C4502F" w:rsidRDefault="00CB4940">
      <w:pPr>
        <w:spacing w:after="4" w:line="259" w:lineRule="auto"/>
        <w:ind w:left="0" w:right="0" w:firstLine="0"/>
      </w:pPr>
      <w:r>
        <w:t xml:space="preserve"> </w:t>
      </w:r>
    </w:p>
    <w:p w14:paraId="63EB5330" w14:textId="77777777" w:rsidR="002E6E8F" w:rsidRDefault="00CB4940">
      <w:pPr>
        <w:ind w:left="-5" w:right="39"/>
      </w:pPr>
      <w:r>
        <w:t xml:space="preserve">CHAPTER 4: </w:t>
      </w:r>
    </w:p>
    <w:p w14:paraId="1CE47C89" w14:textId="31CA7596" w:rsidR="00C4502F" w:rsidRDefault="002E6E8F">
      <w:pPr>
        <w:ind w:left="-5" w:right="39"/>
      </w:pPr>
      <w:r>
        <w:t xml:space="preserve">Findings and Discussions………………………………………………………….. </w:t>
      </w:r>
    </w:p>
    <w:p w14:paraId="048A4560" w14:textId="77777777" w:rsidR="00C4502F" w:rsidRDefault="00CB4940">
      <w:pPr>
        <w:spacing w:after="0" w:line="259" w:lineRule="auto"/>
        <w:ind w:left="0" w:right="0" w:firstLine="0"/>
      </w:pPr>
      <w:r>
        <w:t xml:space="preserve"> </w:t>
      </w:r>
    </w:p>
    <w:p w14:paraId="70428139" w14:textId="40280946" w:rsidR="00C4502F" w:rsidRDefault="00C4502F">
      <w:pPr>
        <w:spacing w:after="0" w:line="259" w:lineRule="auto"/>
        <w:ind w:left="0" w:right="0" w:firstLine="0"/>
      </w:pPr>
    </w:p>
    <w:p w14:paraId="40613ED5" w14:textId="77777777" w:rsidR="000D0F07" w:rsidRDefault="00CB4940">
      <w:pPr>
        <w:ind w:left="-5" w:right="39"/>
      </w:pPr>
      <w:r>
        <w:t xml:space="preserve">CHAPTER 5: </w:t>
      </w:r>
    </w:p>
    <w:p w14:paraId="42645840" w14:textId="0D0993CB" w:rsidR="00C4502F" w:rsidRDefault="009D38BF" w:rsidP="009D38BF">
      <w:pPr>
        <w:ind w:left="-5" w:right="39"/>
      </w:pPr>
      <w:r w:rsidRPr="009D38BF">
        <w:t xml:space="preserve">Recommendations, Conclusion and limitations of the research </w:t>
      </w:r>
      <w:r w:rsidR="000D0F07">
        <w:t xml:space="preserve">…………………………………..  </w:t>
      </w:r>
    </w:p>
    <w:p w14:paraId="1E9A627F" w14:textId="77777777" w:rsidR="00C4502F" w:rsidRDefault="00CB4940">
      <w:pPr>
        <w:spacing w:after="7" w:line="259" w:lineRule="auto"/>
        <w:ind w:left="0" w:right="0" w:firstLine="0"/>
      </w:pPr>
      <w:r>
        <w:t xml:space="preserve"> </w:t>
      </w:r>
    </w:p>
    <w:p w14:paraId="1C217D3B" w14:textId="77777777" w:rsidR="000D0F07" w:rsidRDefault="000D0F07">
      <w:pPr>
        <w:pStyle w:val="Heading2"/>
        <w:ind w:left="10" w:right="58"/>
      </w:pPr>
    </w:p>
    <w:p w14:paraId="390CEC8E" w14:textId="77777777" w:rsidR="000D0F07" w:rsidRDefault="000D0F07">
      <w:pPr>
        <w:pStyle w:val="Heading2"/>
        <w:ind w:left="10" w:right="58"/>
      </w:pPr>
    </w:p>
    <w:p w14:paraId="71432AD6" w14:textId="77777777" w:rsidR="000D0F07" w:rsidRDefault="000D0F07">
      <w:pPr>
        <w:pStyle w:val="Heading2"/>
        <w:ind w:left="10" w:right="58"/>
      </w:pPr>
    </w:p>
    <w:p w14:paraId="01D1DF53" w14:textId="77777777" w:rsidR="000D0F07" w:rsidRDefault="000D0F07">
      <w:pPr>
        <w:pStyle w:val="Heading2"/>
        <w:ind w:left="10" w:right="58"/>
      </w:pPr>
    </w:p>
    <w:p w14:paraId="6EA762E0" w14:textId="77777777" w:rsidR="000D0F07" w:rsidRDefault="000D0F07">
      <w:pPr>
        <w:pStyle w:val="Heading2"/>
        <w:ind w:left="10" w:right="58"/>
      </w:pPr>
    </w:p>
    <w:p w14:paraId="7673A8DB" w14:textId="77777777" w:rsidR="000D0F07" w:rsidRDefault="000D0F07">
      <w:pPr>
        <w:pStyle w:val="Heading2"/>
        <w:ind w:left="10" w:right="58"/>
      </w:pPr>
    </w:p>
    <w:p w14:paraId="02500F50" w14:textId="77777777" w:rsidR="000D0F07" w:rsidRDefault="000D0F07">
      <w:pPr>
        <w:pStyle w:val="Heading2"/>
        <w:ind w:left="10" w:right="58"/>
      </w:pPr>
    </w:p>
    <w:p w14:paraId="3C2ABFA9" w14:textId="77777777" w:rsidR="000D0F07" w:rsidRDefault="000D0F07">
      <w:pPr>
        <w:pStyle w:val="Heading2"/>
        <w:ind w:left="10" w:right="58"/>
      </w:pPr>
    </w:p>
    <w:p w14:paraId="6C8649E3" w14:textId="77777777" w:rsidR="000D0F07" w:rsidRDefault="000D0F07">
      <w:pPr>
        <w:pStyle w:val="Heading2"/>
        <w:ind w:left="10" w:right="58"/>
      </w:pPr>
    </w:p>
    <w:p w14:paraId="41AF2A57" w14:textId="77777777" w:rsidR="000D0F07" w:rsidRDefault="000D0F07">
      <w:pPr>
        <w:pStyle w:val="Heading2"/>
        <w:ind w:left="10" w:right="58"/>
      </w:pPr>
    </w:p>
    <w:p w14:paraId="05541D01" w14:textId="77777777" w:rsidR="000D0F07" w:rsidRDefault="000D0F07">
      <w:pPr>
        <w:pStyle w:val="Heading2"/>
        <w:ind w:left="10" w:right="58"/>
      </w:pPr>
    </w:p>
    <w:p w14:paraId="42E91F1F" w14:textId="77777777" w:rsidR="000D0F07" w:rsidRDefault="000D0F07">
      <w:pPr>
        <w:pStyle w:val="Heading2"/>
        <w:ind w:left="10" w:right="58"/>
      </w:pPr>
    </w:p>
    <w:p w14:paraId="4FE46919" w14:textId="77777777" w:rsidR="000D0F07" w:rsidRDefault="000D0F07">
      <w:pPr>
        <w:pStyle w:val="Heading2"/>
        <w:ind w:left="10" w:right="58"/>
      </w:pPr>
    </w:p>
    <w:p w14:paraId="1B85C2AF" w14:textId="77777777" w:rsidR="000D0F07" w:rsidRDefault="000D0F07">
      <w:pPr>
        <w:pStyle w:val="Heading2"/>
        <w:ind w:left="10" w:right="58"/>
      </w:pPr>
    </w:p>
    <w:p w14:paraId="5949F346" w14:textId="77777777" w:rsidR="000D0F07" w:rsidRDefault="000D0F07">
      <w:pPr>
        <w:pStyle w:val="Heading2"/>
        <w:ind w:left="10" w:right="58"/>
      </w:pPr>
    </w:p>
    <w:p w14:paraId="6B2900C5" w14:textId="77777777" w:rsidR="000D0F07" w:rsidRDefault="000D0F07">
      <w:pPr>
        <w:pStyle w:val="Heading2"/>
        <w:ind w:left="10" w:right="58"/>
      </w:pPr>
    </w:p>
    <w:p w14:paraId="2E0510EC" w14:textId="77777777" w:rsidR="000D0F07" w:rsidRDefault="000D0F07">
      <w:pPr>
        <w:pStyle w:val="Heading2"/>
        <w:ind w:left="10" w:right="58"/>
      </w:pPr>
    </w:p>
    <w:p w14:paraId="7207CAAB" w14:textId="77777777" w:rsidR="000D0F07" w:rsidRDefault="000D0F07">
      <w:pPr>
        <w:pStyle w:val="Heading2"/>
        <w:ind w:left="10" w:right="58"/>
      </w:pPr>
    </w:p>
    <w:p w14:paraId="2F103F48" w14:textId="77777777" w:rsidR="000D0F07" w:rsidRDefault="000D0F07">
      <w:pPr>
        <w:pStyle w:val="Heading2"/>
        <w:ind w:left="10" w:right="58"/>
      </w:pPr>
    </w:p>
    <w:p w14:paraId="61DD1384" w14:textId="77777777" w:rsidR="000D0F07" w:rsidRDefault="000D0F07">
      <w:pPr>
        <w:pStyle w:val="Heading2"/>
        <w:ind w:left="10" w:right="58"/>
      </w:pPr>
    </w:p>
    <w:p w14:paraId="0D60555B" w14:textId="3065B63B" w:rsidR="00C4502F" w:rsidRDefault="00C4502F">
      <w:pPr>
        <w:spacing w:after="294" w:line="259" w:lineRule="auto"/>
        <w:ind w:left="20" w:right="0" w:firstLine="0"/>
        <w:jc w:val="center"/>
      </w:pPr>
    </w:p>
    <w:p w14:paraId="43B7330A" w14:textId="77777777" w:rsidR="00C4502F" w:rsidRDefault="00CB4940">
      <w:pPr>
        <w:spacing w:after="294" w:line="259" w:lineRule="auto"/>
        <w:ind w:left="20" w:right="0" w:firstLine="0"/>
        <w:jc w:val="center"/>
      </w:pPr>
      <w:r>
        <w:rPr>
          <w:b/>
          <w:sz w:val="28"/>
        </w:rPr>
        <w:t xml:space="preserve"> </w:t>
      </w:r>
    </w:p>
    <w:p w14:paraId="662DDC33" w14:textId="77777777" w:rsidR="00C4502F" w:rsidRDefault="00CB4940">
      <w:pPr>
        <w:spacing w:after="0" w:line="259" w:lineRule="auto"/>
        <w:ind w:left="20" w:right="0" w:firstLine="0"/>
        <w:jc w:val="center"/>
      </w:pPr>
      <w:r>
        <w:rPr>
          <w:b/>
          <w:sz w:val="28"/>
        </w:rPr>
        <w:t xml:space="preserve"> </w:t>
      </w:r>
    </w:p>
    <w:p w14:paraId="08657B01" w14:textId="77777777" w:rsidR="00C4502F" w:rsidRDefault="00CB4940">
      <w:pPr>
        <w:spacing w:after="0" w:line="259" w:lineRule="auto"/>
        <w:ind w:left="20" w:right="0" w:firstLine="0"/>
        <w:jc w:val="center"/>
      </w:pPr>
      <w:r>
        <w:rPr>
          <w:b/>
          <w:sz w:val="28"/>
        </w:rPr>
        <w:t xml:space="preserve"> </w:t>
      </w:r>
    </w:p>
    <w:p w14:paraId="382C8D1C" w14:textId="77777777" w:rsidR="00C4502F" w:rsidRDefault="00CB4940">
      <w:pPr>
        <w:pStyle w:val="Heading2"/>
        <w:ind w:left="10" w:right="58"/>
      </w:pPr>
      <w:r>
        <w:lastRenderedPageBreak/>
        <w:t xml:space="preserve">LIST OF FIGURES </w:t>
      </w:r>
    </w:p>
    <w:p w14:paraId="202E4A68" w14:textId="77777777" w:rsidR="00C4502F" w:rsidRDefault="00CB4940">
      <w:pPr>
        <w:spacing w:after="0" w:line="259" w:lineRule="auto"/>
        <w:ind w:left="0" w:right="0" w:firstLine="0"/>
      </w:pPr>
      <w:r>
        <w:rPr>
          <w:rFonts w:ascii="Calibri" w:eastAsia="Calibri" w:hAnsi="Calibri" w:cs="Calibri"/>
          <w:sz w:val="22"/>
        </w:rPr>
        <w:t xml:space="preserve"> </w:t>
      </w:r>
    </w:p>
    <w:p w14:paraId="04A25DD5" w14:textId="77777777" w:rsidR="008442E1" w:rsidRDefault="00DC4C12" w:rsidP="008442E1">
      <w:pPr>
        <w:spacing w:after="27"/>
        <w:ind w:left="730" w:right="1079"/>
        <w:rPr>
          <w:noProof/>
        </w:rPr>
      </w:pPr>
      <w:r>
        <w:rPr>
          <w:b/>
        </w:rPr>
        <w:t xml:space="preserve"> </w:t>
      </w:r>
      <w:r w:rsidR="008442E1">
        <w:rPr>
          <w:b/>
        </w:rPr>
        <w:fldChar w:fldCharType="begin"/>
      </w:r>
      <w:r w:rsidR="008442E1">
        <w:rPr>
          <w:b/>
        </w:rPr>
        <w:instrText xml:space="preserve"> TOC \h \z \c "Table" </w:instrText>
      </w:r>
      <w:r w:rsidR="008442E1">
        <w:rPr>
          <w:b/>
        </w:rPr>
        <w:fldChar w:fldCharType="separate"/>
      </w:r>
    </w:p>
    <w:p w14:paraId="63F65E90" w14:textId="668BB395" w:rsidR="008442E1" w:rsidRDefault="008442E1">
      <w:pPr>
        <w:pStyle w:val="TableofFigures"/>
        <w:tabs>
          <w:tab w:val="right" w:leader="dot" w:pos="9073"/>
        </w:tabs>
        <w:rPr>
          <w:noProof/>
        </w:rPr>
      </w:pPr>
      <w:hyperlink w:anchor="_Toc235293083" w:history="1">
        <w:r w:rsidRPr="00F42192">
          <w:rPr>
            <w:rStyle w:val="Hyperlink"/>
            <w:noProof/>
          </w:rPr>
          <w:t>Table 1</w:t>
        </w:r>
        <w:r>
          <w:rPr>
            <w:noProof/>
            <w:webHidden/>
          </w:rPr>
          <w:tab/>
        </w:r>
        <w:r>
          <w:rPr>
            <w:noProof/>
            <w:webHidden/>
          </w:rPr>
          <w:fldChar w:fldCharType="begin"/>
        </w:r>
        <w:r>
          <w:rPr>
            <w:noProof/>
            <w:webHidden/>
          </w:rPr>
          <w:instrText xml:space="preserve"> PAGEREF _Toc235293083 \h </w:instrText>
        </w:r>
        <w:r>
          <w:rPr>
            <w:noProof/>
            <w:webHidden/>
          </w:rPr>
        </w:r>
        <w:r>
          <w:rPr>
            <w:noProof/>
            <w:webHidden/>
          </w:rPr>
          <w:fldChar w:fldCharType="separate"/>
        </w:r>
        <w:r>
          <w:rPr>
            <w:noProof/>
            <w:webHidden/>
          </w:rPr>
          <w:t>19</w:t>
        </w:r>
        <w:r>
          <w:rPr>
            <w:noProof/>
            <w:webHidden/>
          </w:rPr>
          <w:fldChar w:fldCharType="end"/>
        </w:r>
      </w:hyperlink>
    </w:p>
    <w:p w14:paraId="7D969E43" w14:textId="642A5801" w:rsidR="008442E1" w:rsidRDefault="008442E1">
      <w:pPr>
        <w:pStyle w:val="TableofFigures"/>
        <w:tabs>
          <w:tab w:val="right" w:leader="dot" w:pos="9073"/>
        </w:tabs>
        <w:rPr>
          <w:noProof/>
        </w:rPr>
      </w:pPr>
      <w:hyperlink w:anchor="_Toc235293084" w:history="1">
        <w:r w:rsidRPr="00F42192">
          <w:rPr>
            <w:rStyle w:val="Hyperlink"/>
            <w:noProof/>
          </w:rPr>
          <w:t>Table 2</w:t>
        </w:r>
        <w:r>
          <w:rPr>
            <w:noProof/>
            <w:webHidden/>
          </w:rPr>
          <w:tab/>
        </w:r>
        <w:r>
          <w:rPr>
            <w:noProof/>
            <w:webHidden/>
          </w:rPr>
          <w:fldChar w:fldCharType="begin"/>
        </w:r>
        <w:r>
          <w:rPr>
            <w:noProof/>
            <w:webHidden/>
          </w:rPr>
          <w:instrText xml:space="preserve"> PAGEREF _Toc235293084 \h </w:instrText>
        </w:r>
        <w:r>
          <w:rPr>
            <w:noProof/>
            <w:webHidden/>
          </w:rPr>
        </w:r>
        <w:r>
          <w:rPr>
            <w:noProof/>
            <w:webHidden/>
          </w:rPr>
          <w:fldChar w:fldCharType="separate"/>
        </w:r>
        <w:r>
          <w:rPr>
            <w:noProof/>
            <w:webHidden/>
          </w:rPr>
          <w:t>27</w:t>
        </w:r>
        <w:r>
          <w:rPr>
            <w:noProof/>
            <w:webHidden/>
          </w:rPr>
          <w:fldChar w:fldCharType="end"/>
        </w:r>
      </w:hyperlink>
    </w:p>
    <w:p w14:paraId="0FEE7B43" w14:textId="74C6AB31" w:rsidR="00C4502F" w:rsidRDefault="008442E1" w:rsidP="008442E1">
      <w:pPr>
        <w:spacing w:after="27"/>
        <w:ind w:left="730" w:right="1079"/>
      </w:pPr>
      <w:r>
        <w:rPr>
          <w:b/>
        </w:rPr>
        <w:fldChar w:fldCharType="end"/>
      </w:r>
    </w:p>
    <w:p w14:paraId="4AFB6DB7" w14:textId="77777777" w:rsidR="00C4502F" w:rsidRDefault="00CB4940">
      <w:pPr>
        <w:ind w:left="730" w:right="1096"/>
      </w:pPr>
      <w:r>
        <w:t xml:space="preserve"> </w:t>
      </w:r>
    </w:p>
    <w:p w14:paraId="2AACDE0C" w14:textId="77777777" w:rsidR="00C4502F" w:rsidRDefault="00CB4940">
      <w:pPr>
        <w:spacing w:after="0" w:line="259" w:lineRule="auto"/>
        <w:ind w:left="720" w:right="0" w:firstLine="0"/>
      </w:pPr>
      <w:r>
        <w:rPr>
          <w:rFonts w:ascii="Calibri" w:eastAsia="Calibri" w:hAnsi="Calibri" w:cs="Calibri"/>
        </w:rPr>
        <w:t xml:space="preserve"> </w:t>
      </w:r>
    </w:p>
    <w:p w14:paraId="44CF40A9" w14:textId="77777777" w:rsidR="00C4502F" w:rsidRDefault="00CB4940">
      <w:pPr>
        <w:spacing w:after="0" w:line="259" w:lineRule="auto"/>
        <w:ind w:left="720" w:right="0" w:firstLine="0"/>
      </w:pPr>
      <w:r>
        <w:t xml:space="preserve"> </w:t>
      </w:r>
    </w:p>
    <w:p w14:paraId="5DF0661D" w14:textId="77777777" w:rsidR="00C4502F" w:rsidRDefault="00CB4940">
      <w:pPr>
        <w:spacing w:after="0" w:line="259" w:lineRule="auto"/>
        <w:ind w:left="720" w:right="0" w:firstLine="0"/>
      </w:pPr>
      <w:r>
        <w:t xml:space="preserve"> </w:t>
      </w:r>
    </w:p>
    <w:p w14:paraId="6A8A54C1" w14:textId="77777777" w:rsidR="00C4502F" w:rsidRDefault="00CB4940">
      <w:pPr>
        <w:spacing w:after="0" w:line="259" w:lineRule="auto"/>
        <w:ind w:left="720" w:right="0" w:firstLine="0"/>
      </w:pPr>
      <w:r>
        <w:rPr>
          <w:rFonts w:ascii="Calibri" w:eastAsia="Calibri" w:hAnsi="Calibri" w:cs="Calibri"/>
        </w:rPr>
        <w:t xml:space="preserve"> </w:t>
      </w:r>
    </w:p>
    <w:p w14:paraId="57E2515E" w14:textId="77777777" w:rsidR="00C4502F" w:rsidRDefault="00CB4940">
      <w:pPr>
        <w:spacing w:after="10" w:line="259" w:lineRule="auto"/>
        <w:ind w:left="720" w:right="0" w:firstLine="0"/>
      </w:pPr>
      <w:r>
        <w:rPr>
          <w:rFonts w:ascii="Calibri" w:eastAsia="Calibri" w:hAnsi="Calibri" w:cs="Calibri"/>
        </w:rPr>
        <w:t xml:space="preserve"> </w:t>
      </w:r>
    </w:p>
    <w:p w14:paraId="20587A83" w14:textId="77777777" w:rsidR="00C4502F" w:rsidRDefault="00CB4940">
      <w:pPr>
        <w:spacing w:after="295" w:line="259" w:lineRule="auto"/>
        <w:ind w:left="20" w:right="0" w:firstLine="0"/>
        <w:jc w:val="center"/>
      </w:pPr>
      <w:r>
        <w:rPr>
          <w:b/>
          <w:sz w:val="28"/>
        </w:rPr>
        <w:t xml:space="preserve"> </w:t>
      </w:r>
    </w:p>
    <w:p w14:paraId="7D60B4A0" w14:textId="77777777" w:rsidR="00C4502F" w:rsidRDefault="00CB4940">
      <w:pPr>
        <w:spacing w:after="294" w:line="259" w:lineRule="auto"/>
        <w:ind w:left="0" w:right="0" w:firstLine="0"/>
      </w:pPr>
      <w:r>
        <w:rPr>
          <w:b/>
          <w:sz w:val="28"/>
        </w:rPr>
        <w:t xml:space="preserve"> </w:t>
      </w:r>
    </w:p>
    <w:p w14:paraId="01FE5172" w14:textId="77777777" w:rsidR="00C4502F" w:rsidRDefault="00CB4940">
      <w:pPr>
        <w:spacing w:after="294" w:line="259" w:lineRule="auto"/>
        <w:ind w:left="20" w:right="0" w:firstLine="0"/>
        <w:jc w:val="center"/>
      </w:pPr>
      <w:r>
        <w:rPr>
          <w:b/>
          <w:sz w:val="28"/>
        </w:rPr>
        <w:t xml:space="preserve"> </w:t>
      </w:r>
    </w:p>
    <w:p w14:paraId="14872482" w14:textId="77777777" w:rsidR="00C4502F" w:rsidRDefault="00CB4940">
      <w:pPr>
        <w:spacing w:after="294" w:line="259" w:lineRule="auto"/>
        <w:ind w:left="20" w:right="0" w:firstLine="0"/>
        <w:jc w:val="center"/>
      </w:pPr>
      <w:r>
        <w:rPr>
          <w:b/>
          <w:sz w:val="28"/>
        </w:rPr>
        <w:t xml:space="preserve"> </w:t>
      </w:r>
    </w:p>
    <w:p w14:paraId="1F905B82" w14:textId="77777777" w:rsidR="00C4502F" w:rsidRDefault="00CB4940">
      <w:pPr>
        <w:spacing w:after="0" w:line="259" w:lineRule="auto"/>
        <w:ind w:left="0" w:right="0" w:firstLine="0"/>
      </w:pPr>
      <w:r>
        <w:rPr>
          <w:b/>
          <w:sz w:val="28"/>
        </w:rPr>
        <w:t xml:space="preserve"> </w:t>
      </w:r>
    </w:p>
    <w:p w14:paraId="00135143" w14:textId="77777777" w:rsidR="00C4502F" w:rsidRDefault="00CB4940">
      <w:pPr>
        <w:pStyle w:val="Heading2"/>
        <w:spacing w:after="270"/>
        <w:ind w:left="10" w:right="58"/>
      </w:pPr>
      <w:bookmarkStart w:id="0" w:name="_ABBREVIATIONS"/>
      <w:bookmarkEnd w:id="0"/>
      <w:r>
        <w:t xml:space="preserve">ABBREVIATIONS </w:t>
      </w:r>
    </w:p>
    <w:p w14:paraId="00213250" w14:textId="536D457D" w:rsidR="00C4502F" w:rsidRDefault="00CB4940" w:rsidP="00B272CD">
      <w:pPr>
        <w:spacing w:after="27"/>
        <w:ind w:right="39"/>
      </w:pPr>
      <w:r>
        <w:t xml:space="preserve"> </w:t>
      </w:r>
    </w:p>
    <w:p w14:paraId="1493D8AB" w14:textId="57E0C263" w:rsidR="00C4502F" w:rsidRDefault="00D44309">
      <w:pPr>
        <w:spacing w:after="19" w:line="259" w:lineRule="auto"/>
        <w:ind w:left="720" w:right="0" w:firstLine="0"/>
      </w:pPr>
      <w:r w:rsidRPr="00E91A91">
        <w:t>ESG</w:t>
      </w:r>
      <w:r>
        <w:t>:</w:t>
      </w:r>
      <w:r w:rsidRPr="00E91A91">
        <w:t xml:space="preserve"> environmental, social and governance </w:t>
      </w:r>
      <w:r w:rsidR="00CB4940">
        <w:t xml:space="preserve"> </w:t>
      </w:r>
    </w:p>
    <w:p w14:paraId="1CD6DE69" w14:textId="24FE1922" w:rsidR="006C4236" w:rsidRDefault="006C4236">
      <w:pPr>
        <w:spacing w:after="0" w:line="259" w:lineRule="auto"/>
        <w:ind w:left="720" w:right="0" w:firstLine="0"/>
      </w:pPr>
      <w:r w:rsidRPr="006C4A83">
        <w:t>IOCs</w:t>
      </w:r>
      <w:r>
        <w:t xml:space="preserve">: </w:t>
      </w:r>
      <w:r w:rsidR="00810855" w:rsidRPr="006C4A83">
        <w:t>international oil companies</w:t>
      </w:r>
    </w:p>
    <w:p w14:paraId="11A0FF2C" w14:textId="7B202FCE" w:rsidR="00ED06BB" w:rsidRDefault="00ED06BB">
      <w:pPr>
        <w:spacing w:after="0" w:line="259" w:lineRule="auto"/>
        <w:ind w:left="720" w:right="0" w:firstLine="0"/>
      </w:pPr>
      <w:r w:rsidRPr="00EC4635">
        <w:t>LNG</w:t>
      </w:r>
      <w:r>
        <w:t xml:space="preserve">: </w:t>
      </w:r>
      <w:r w:rsidR="00E23452" w:rsidRPr="00EC4635">
        <w:t>liquefied natural gas</w:t>
      </w:r>
    </w:p>
    <w:p w14:paraId="5A625998" w14:textId="30E30E1B" w:rsidR="00C4502F" w:rsidRDefault="00BD43FB">
      <w:pPr>
        <w:spacing w:after="0" w:line="259" w:lineRule="auto"/>
        <w:ind w:left="720" w:right="0" w:firstLine="0"/>
      </w:pPr>
      <w:r>
        <w:t>PLC</w:t>
      </w:r>
      <w:r w:rsidR="009C33DB">
        <w:t xml:space="preserve">: </w:t>
      </w:r>
      <w:r w:rsidR="009C33DB" w:rsidRPr="009C33DB">
        <w:t>Public Limited Company</w:t>
      </w:r>
    </w:p>
    <w:p w14:paraId="2D5030EF" w14:textId="3EE683E5" w:rsidR="009C33DB" w:rsidRDefault="00EE011D">
      <w:pPr>
        <w:spacing w:after="0" w:line="259" w:lineRule="auto"/>
        <w:ind w:left="720" w:right="0" w:firstLine="0"/>
      </w:pPr>
      <w:r w:rsidRPr="00EE011D">
        <w:t>SLR</w:t>
      </w:r>
      <w:r>
        <w:t xml:space="preserve">: </w:t>
      </w:r>
      <w:r w:rsidRPr="00EE011D">
        <w:t>Systematic Literature Review</w:t>
      </w:r>
    </w:p>
    <w:p w14:paraId="3CFE3629" w14:textId="12FFD738" w:rsidR="00C4502F" w:rsidRDefault="006055F2">
      <w:pPr>
        <w:spacing w:after="0" w:line="259" w:lineRule="auto"/>
        <w:ind w:left="720" w:right="0" w:firstLine="0"/>
      </w:pPr>
      <w:r w:rsidRPr="006055F2">
        <w:t>ULSD</w:t>
      </w:r>
      <w:r w:rsidR="005E4EC2">
        <w:t>:</w:t>
      </w:r>
      <w:r w:rsidRPr="006055F2">
        <w:t xml:space="preserve"> </w:t>
      </w:r>
      <w:r w:rsidR="005E4EC2" w:rsidRPr="006055F2">
        <w:t>Ultra-low</w:t>
      </w:r>
      <w:r w:rsidRPr="006055F2">
        <w:t xml:space="preserve"> sulphur diesel</w:t>
      </w:r>
    </w:p>
    <w:p w14:paraId="7F70A68C" w14:textId="1B384B34" w:rsidR="00C4502F" w:rsidRDefault="005E4EC2">
      <w:pPr>
        <w:spacing w:after="0" w:line="259" w:lineRule="auto"/>
        <w:ind w:left="720" w:right="0" w:firstLine="0"/>
      </w:pPr>
      <w:r w:rsidRPr="005E4EC2">
        <w:t>ULSP</w:t>
      </w:r>
      <w:r>
        <w:t xml:space="preserve">: </w:t>
      </w:r>
      <w:r w:rsidRPr="005E4EC2">
        <w:t>Ultra-low sulphur unleaded petrol</w:t>
      </w:r>
      <w:r w:rsidR="00CB4940">
        <w:t xml:space="preserve"> </w:t>
      </w:r>
    </w:p>
    <w:p w14:paraId="14D22DF7" w14:textId="32106B39" w:rsidR="00CE027C" w:rsidRDefault="00CE027C" w:rsidP="00FE1C96">
      <w:pPr>
        <w:spacing w:after="0" w:line="259" w:lineRule="auto"/>
        <w:ind w:right="0"/>
        <w:rPr>
          <w:rFonts w:ascii="Calibri" w:eastAsia="Calibri" w:hAnsi="Calibri" w:cs="Calibri"/>
          <w:b/>
          <w:bCs/>
        </w:rPr>
      </w:pPr>
    </w:p>
    <w:p w14:paraId="1FB23908" w14:textId="22F7BB1E" w:rsidR="0065491F" w:rsidRDefault="00CB4940">
      <w:pPr>
        <w:spacing w:after="0" w:line="259" w:lineRule="auto"/>
        <w:ind w:left="720" w:right="0" w:firstLine="0"/>
        <w:rPr>
          <w:rFonts w:ascii="Calibri" w:eastAsia="Calibri" w:hAnsi="Calibri" w:cs="Calibri"/>
        </w:rPr>
      </w:pPr>
      <w:r>
        <w:rPr>
          <w:rFonts w:ascii="Calibri" w:eastAsia="Calibri" w:hAnsi="Calibri" w:cs="Calibri"/>
        </w:rPr>
        <w:t xml:space="preserve"> </w:t>
      </w:r>
    </w:p>
    <w:p w14:paraId="676B2C7D" w14:textId="77777777" w:rsidR="0065491F" w:rsidRDefault="0065491F">
      <w:pPr>
        <w:spacing w:after="160" w:line="278" w:lineRule="auto"/>
        <w:ind w:left="0" w:right="0" w:firstLine="0"/>
        <w:rPr>
          <w:rFonts w:ascii="Calibri" w:eastAsia="Calibri" w:hAnsi="Calibri" w:cs="Calibri"/>
        </w:rPr>
      </w:pPr>
      <w:r>
        <w:rPr>
          <w:rFonts w:ascii="Calibri" w:eastAsia="Calibri" w:hAnsi="Calibri" w:cs="Calibri"/>
        </w:rPr>
        <w:br w:type="page"/>
      </w:r>
    </w:p>
    <w:p w14:paraId="77A89952" w14:textId="1A0ECFA2" w:rsidR="0065491F" w:rsidRDefault="0065491F" w:rsidP="0065491F">
      <w:pPr>
        <w:pStyle w:val="Heading1"/>
        <w:jc w:val="center"/>
      </w:pPr>
      <w:r>
        <w:lastRenderedPageBreak/>
        <w:t>CHAPTER 1: INTRODUCTION</w:t>
      </w:r>
    </w:p>
    <w:p w14:paraId="71725D44" w14:textId="77777777" w:rsidR="00275F5B" w:rsidRPr="00275F5B" w:rsidRDefault="00275F5B" w:rsidP="00275F5B"/>
    <w:p w14:paraId="2D9F716E" w14:textId="70945FAF" w:rsidR="0065491F" w:rsidRDefault="0065491F" w:rsidP="0065491F">
      <w:pPr>
        <w:pStyle w:val="Heading2"/>
        <w:numPr>
          <w:ilvl w:val="1"/>
          <w:numId w:val="10"/>
        </w:numPr>
        <w:jc w:val="left"/>
      </w:pPr>
      <w:r w:rsidRPr="0065491F">
        <w:t>Introduction</w:t>
      </w:r>
    </w:p>
    <w:p w14:paraId="247F0C21" w14:textId="1BE0FAD3" w:rsidR="00ED138F" w:rsidRDefault="00776864" w:rsidP="000F1A2A">
      <w:pPr>
        <w:rPr>
          <w:color w:val="EE0000"/>
        </w:rPr>
      </w:pPr>
      <w:r>
        <w:rPr>
          <w:color w:val="EE0000"/>
        </w:rPr>
        <w:t xml:space="preserve"> </w:t>
      </w:r>
    </w:p>
    <w:p w14:paraId="353BCBB7" w14:textId="77777777" w:rsidR="008F655C" w:rsidRPr="004A4CCA" w:rsidRDefault="00F04C6C" w:rsidP="007B70DE">
      <w:pPr>
        <w:rPr>
          <w:color w:val="auto"/>
        </w:rPr>
      </w:pPr>
      <w:r w:rsidRPr="004A4CCA">
        <w:rPr>
          <w:color w:val="auto"/>
        </w:rPr>
        <w:t xml:space="preserve">This </w:t>
      </w:r>
      <w:r w:rsidR="00925DCB" w:rsidRPr="004A4CCA">
        <w:rPr>
          <w:color w:val="auto"/>
        </w:rPr>
        <w:t xml:space="preserve">systematic literature review is </w:t>
      </w:r>
      <w:r w:rsidR="000F678F" w:rsidRPr="004A4CCA">
        <w:rPr>
          <w:color w:val="auto"/>
        </w:rPr>
        <w:t>bein</w:t>
      </w:r>
      <w:r w:rsidR="00460081" w:rsidRPr="004A4CCA">
        <w:rPr>
          <w:color w:val="auto"/>
        </w:rPr>
        <w:t>g</w:t>
      </w:r>
      <w:r w:rsidR="000F678F" w:rsidRPr="004A4CCA">
        <w:rPr>
          <w:color w:val="auto"/>
        </w:rPr>
        <w:t xml:space="preserve"> conducted </w:t>
      </w:r>
      <w:r w:rsidR="00925DCB" w:rsidRPr="004A4CCA">
        <w:rPr>
          <w:color w:val="auto"/>
        </w:rPr>
        <w:t xml:space="preserve">to </w:t>
      </w:r>
    </w:p>
    <w:p w14:paraId="576EBDCA" w14:textId="2F847634" w:rsidR="008F655C" w:rsidRPr="004A4CCA" w:rsidRDefault="008F655C" w:rsidP="00BD4BE4">
      <w:pPr>
        <w:rPr>
          <w:color w:val="auto"/>
        </w:rPr>
      </w:pPr>
      <w:r w:rsidRPr="004A4CCA">
        <w:rPr>
          <w:color w:val="auto"/>
        </w:rPr>
        <w:t>examines the relationship between profitability and sustainability at Shell PLC, focusing on the company’s shift from fossil fuels toward renewable</w:t>
      </w:r>
      <w:r w:rsidR="005C559A" w:rsidRPr="004A4CCA">
        <w:rPr>
          <w:color w:val="auto"/>
        </w:rPr>
        <w:t>/sustainable</w:t>
      </w:r>
      <w:r w:rsidRPr="004A4CCA">
        <w:rPr>
          <w:color w:val="auto"/>
        </w:rPr>
        <w:t xml:space="preserve"> energy.</w:t>
      </w:r>
      <w:r w:rsidR="005C559A" w:rsidRPr="004A4CCA">
        <w:rPr>
          <w:color w:val="auto"/>
        </w:rPr>
        <w:t xml:space="preserve"> </w:t>
      </w:r>
      <w:r w:rsidR="00AB6A20" w:rsidRPr="004A4CCA">
        <w:rPr>
          <w:color w:val="auto"/>
        </w:rPr>
        <w:t>Sustainability means meeting present needs without harming the ability of future generations to meet theirs. In business, it involves balancing economic performance, environmental responsibility, and social impact. For Shell, this means reducing carbon emissions, investing in cleaner energy sources such as wind, solar, hydrogen, and biofuels, and still maintaining strong financial returns for shareholders</w:t>
      </w:r>
      <w:r w:rsidR="00BD4BE4" w:rsidRPr="004A4CCA">
        <w:rPr>
          <w:color w:val="auto"/>
        </w:rPr>
        <w:t xml:space="preserve">. </w:t>
      </w:r>
      <w:r w:rsidR="00463975" w:rsidRPr="004A4CCA">
        <w:rPr>
          <w:color w:val="auto"/>
        </w:rPr>
        <w:t xml:space="preserve">The </w:t>
      </w:r>
      <w:r w:rsidR="006F3F40" w:rsidRPr="004A4CCA">
        <w:rPr>
          <w:color w:val="auto"/>
        </w:rPr>
        <w:t>studies</w:t>
      </w:r>
      <w:r w:rsidR="00463975" w:rsidRPr="004A4CCA">
        <w:rPr>
          <w:color w:val="auto"/>
        </w:rPr>
        <w:t xml:space="preserve"> objective will </w:t>
      </w:r>
      <w:r w:rsidR="006F3F40" w:rsidRPr="004A4CCA">
        <w:rPr>
          <w:color w:val="auto"/>
        </w:rPr>
        <w:t xml:space="preserve">be to </w:t>
      </w:r>
      <w:r w:rsidR="00BD4BE4" w:rsidRPr="004A4CCA">
        <w:rPr>
          <w:color w:val="auto"/>
        </w:rPr>
        <w:t>assess</w:t>
      </w:r>
      <w:r w:rsidR="00463975" w:rsidRPr="004A4CCA">
        <w:rPr>
          <w:color w:val="auto"/>
        </w:rPr>
        <w:t xml:space="preserve"> whether Shell’s sustainability strategy supports long-term profitability</w:t>
      </w:r>
      <w:r w:rsidR="00BD4BE4" w:rsidRPr="004A4CCA">
        <w:rPr>
          <w:color w:val="auto"/>
        </w:rPr>
        <w:t xml:space="preserve"> and sustainability </w:t>
      </w:r>
      <w:r w:rsidR="00463975" w:rsidRPr="004A4CCA">
        <w:rPr>
          <w:color w:val="auto"/>
        </w:rPr>
        <w:t>or creates a trade-off between environmental goals and financial performance. It will analyse secondary data from Shell’s annual reports, sustainability disclosures, academic journals, and industry reports to explore how the company’s investments and policies affect revenue, profit, and competitiveness. The research will focus on the UK context while considering Shell’s global operations, and no primary data collection will be required.</w:t>
      </w:r>
    </w:p>
    <w:p w14:paraId="58CF4BF2" w14:textId="19378F7A" w:rsidR="0065491F" w:rsidRPr="00AF2100" w:rsidRDefault="0065491F" w:rsidP="00463975">
      <w:pPr>
        <w:ind w:left="0" w:firstLine="0"/>
        <w:rPr>
          <w:color w:val="EE0000"/>
        </w:rPr>
      </w:pPr>
    </w:p>
    <w:p w14:paraId="7D12A1F1" w14:textId="77777777" w:rsidR="007B70DE" w:rsidRPr="0065491F" w:rsidRDefault="007B70DE" w:rsidP="007B70DE"/>
    <w:p w14:paraId="23A16B97" w14:textId="793E6B0A" w:rsidR="0065491F" w:rsidRDefault="0065491F" w:rsidP="003568ED">
      <w:pPr>
        <w:pStyle w:val="Heading2"/>
        <w:numPr>
          <w:ilvl w:val="1"/>
          <w:numId w:val="10"/>
        </w:numPr>
        <w:jc w:val="left"/>
      </w:pPr>
      <w:r w:rsidRPr="0065491F">
        <w:t>Background</w:t>
      </w:r>
    </w:p>
    <w:p w14:paraId="77371393" w14:textId="1C1D81A7" w:rsidR="00031DCE" w:rsidRDefault="000B1BDA" w:rsidP="003568ED">
      <w:pPr>
        <w:ind w:left="0" w:firstLine="0"/>
      </w:pPr>
      <w:r w:rsidRPr="000B1BDA">
        <w:t>Climate change has become a central issue influencing global business strategy, government policy, and international economic development</w:t>
      </w:r>
      <w:r w:rsidR="00CB6B17">
        <w:t xml:space="preserve"> </w:t>
      </w:r>
      <w:sdt>
        <w:sdtPr>
          <w:id w:val="1921753667"/>
          <w:citation/>
        </w:sdtPr>
        <w:sdtEndPr/>
        <w:sdtContent>
          <w:r w:rsidR="002D0598">
            <w:fldChar w:fldCharType="begin"/>
          </w:r>
          <w:r w:rsidR="002D0598">
            <w:instrText xml:space="preserve"> CITATION Dan25 \l 2057 </w:instrText>
          </w:r>
          <w:r w:rsidR="002D0598">
            <w:fldChar w:fldCharType="separate"/>
          </w:r>
          <w:r w:rsidR="002D0598" w:rsidRPr="002D0598">
            <w:rPr>
              <w:noProof/>
            </w:rPr>
            <w:t>(Dongo &amp; Relvas, 2025)</w:t>
          </w:r>
          <w:r w:rsidR="002D0598">
            <w:fldChar w:fldCharType="end"/>
          </w:r>
        </w:sdtContent>
      </w:sdt>
      <w:r w:rsidRPr="000B1BDA">
        <w:t xml:space="preserve">. The Paris Agreement </w:t>
      </w:r>
      <w:sdt>
        <w:sdtPr>
          <w:id w:val="1434778216"/>
          <w:citation/>
        </w:sdtPr>
        <w:sdtEndPr/>
        <w:sdtContent>
          <w:r w:rsidR="00134824">
            <w:fldChar w:fldCharType="begin"/>
          </w:r>
          <w:r w:rsidR="000524DE">
            <w:instrText xml:space="preserve">CITATION uni26 \l 2057 </w:instrText>
          </w:r>
          <w:r w:rsidR="00134824">
            <w:fldChar w:fldCharType="separate"/>
          </w:r>
          <w:r w:rsidR="000524DE" w:rsidRPr="000524DE">
            <w:rPr>
              <w:noProof/>
            </w:rPr>
            <w:t>(United Nations, 2026)</w:t>
          </w:r>
          <w:r w:rsidR="00134824">
            <w:fldChar w:fldCharType="end"/>
          </w:r>
        </w:sdtContent>
      </w:sdt>
      <w:r w:rsidR="000524DE">
        <w:t xml:space="preserve"> </w:t>
      </w:r>
      <w:r w:rsidRPr="000B1BDA">
        <w:t>and other international environmental frameworks have intensified pressure on organisations to reduce carbon emissions and support sustainable development objectives</w:t>
      </w:r>
      <w:sdt>
        <w:sdtPr>
          <w:id w:val="-1542893038"/>
          <w:citation/>
        </w:sdtPr>
        <w:sdtEndPr/>
        <w:sdtContent>
          <w:r w:rsidR="000C018E">
            <w:fldChar w:fldCharType="begin"/>
          </w:r>
          <w:r w:rsidR="000C018E">
            <w:instrText xml:space="preserve"> CITATION Yet24 \l 2057 </w:instrText>
          </w:r>
          <w:r w:rsidR="000C018E">
            <w:fldChar w:fldCharType="separate"/>
          </w:r>
          <w:r w:rsidR="000C018E">
            <w:rPr>
              <w:noProof/>
            </w:rPr>
            <w:t xml:space="preserve"> </w:t>
          </w:r>
          <w:r w:rsidR="000C018E" w:rsidRPr="000C018E">
            <w:rPr>
              <w:noProof/>
            </w:rPr>
            <w:t>(Adebayo, et al., 2024)</w:t>
          </w:r>
          <w:r w:rsidR="000C018E">
            <w:fldChar w:fldCharType="end"/>
          </w:r>
        </w:sdtContent>
      </w:sdt>
      <w:r w:rsidRPr="000B1BDA">
        <w:t>. The energy sector plays a particularly important role in this transition because fossil fuel industries contribute significantly to global greenhouse gas emissions.</w:t>
      </w:r>
    </w:p>
    <w:p w14:paraId="18A87371" w14:textId="77777777" w:rsidR="00031DCE" w:rsidRDefault="00031DCE" w:rsidP="003568ED">
      <w:pPr>
        <w:ind w:left="0" w:firstLine="0"/>
      </w:pPr>
    </w:p>
    <w:p w14:paraId="164F1463" w14:textId="7169B5BE" w:rsidR="00BB38A9" w:rsidRDefault="00983039" w:rsidP="003568ED">
      <w:pPr>
        <w:ind w:left="0" w:firstLine="0"/>
      </w:pPr>
      <w:r w:rsidRPr="00983039">
        <w:t xml:space="preserve">Historically, international oil companies such as Shell, BP, ExxonMobil, and TotalEnergies have operated within highly profitable fossil fuel-based business models </w:t>
      </w:r>
      <w:sdt>
        <w:sdtPr>
          <w:id w:val="-1704850653"/>
          <w:citation/>
        </w:sdtPr>
        <w:sdtEndPr/>
        <w:sdtContent>
          <w:r w:rsidR="00310F99">
            <w:fldChar w:fldCharType="begin"/>
          </w:r>
          <w:r w:rsidR="00310F99">
            <w:instrText xml:space="preserve"> CITATION Kri23 \l 2057 </w:instrText>
          </w:r>
          <w:r w:rsidR="00310F99">
            <w:fldChar w:fldCharType="separate"/>
          </w:r>
          <w:r w:rsidR="00310F99" w:rsidRPr="00310F99">
            <w:rPr>
              <w:noProof/>
            </w:rPr>
            <w:t>(Halttunen, et al., 2023)</w:t>
          </w:r>
          <w:r w:rsidR="00310F99">
            <w:fldChar w:fldCharType="end"/>
          </w:r>
        </w:sdtContent>
      </w:sdt>
      <w:r w:rsidR="00310F99">
        <w:t xml:space="preserve">. </w:t>
      </w:r>
      <w:r w:rsidRPr="00983039">
        <w:t xml:space="preserve">These organisations developed their operational structures, technologies, and corporate strategies around oil and gas production for decades. However, increasing climate awareness and stricter environmental regulations have forced energy companies to reconsider their long-term strategic direction </w:t>
      </w:r>
      <w:sdt>
        <w:sdtPr>
          <w:id w:val="1777993593"/>
          <w:citation/>
        </w:sdtPr>
        <w:sdtEndPr/>
        <w:sdtContent>
          <w:r w:rsidR="00CA0FBC">
            <w:fldChar w:fldCharType="begin"/>
          </w:r>
          <w:r w:rsidR="00CA0FBC">
            <w:instrText xml:space="preserve"> CITATION Joa25 \l 2057 </w:instrText>
          </w:r>
          <w:r w:rsidR="00CA0FBC">
            <w:fldChar w:fldCharType="separate"/>
          </w:r>
          <w:r w:rsidR="00CA0FBC" w:rsidRPr="00CA0FBC">
            <w:rPr>
              <w:noProof/>
            </w:rPr>
            <w:t>(Setzer &amp; Higham, 2025)</w:t>
          </w:r>
          <w:r w:rsidR="00CA0FBC">
            <w:fldChar w:fldCharType="end"/>
          </w:r>
        </w:sdtContent>
      </w:sdt>
    </w:p>
    <w:p w14:paraId="5C26FB88" w14:textId="77777777" w:rsidR="00BB38A9" w:rsidRDefault="00BB38A9" w:rsidP="003568ED">
      <w:pPr>
        <w:ind w:left="0" w:firstLine="0"/>
      </w:pPr>
    </w:p>
    <w:p w14:paraId="75012A89" w14:textId="68FC4B41" w:rsidR="0035160D" w:rsidRDefault="0007140A" w:rsidP="003568ED">
      <w:pPr>
        <w:ind w:left="0" w:firstLine="0"/>
      </w:pPr>
      <w:r w:rsidRPr="0007140A">
        <w:t>Shell has positioned itself as one of the leading companies pursuing energy transition initiatives. The company has announced targets to reduce operational emissions, increase renewable energy investments, and achieve net-zero emissions by 2050</w:t>
      </w:r>
      <w:r w:rsidR="00664B03">
        <w:t xml:space="preserve"> </w:t>
      </w:r>
      <w:sdt>
        <w:sdtPr>
          <w:id w:val="912130619"/>
          <w:citation/>
        </w:sdtPr>
        <w:sdtEndPr/>
        <w:sdtContent>
          <w:r w:rsidR="0035160D" w:rsidRPr="00EC4635">
            <w:fldChar w:fldCharType="begin"/>
          </w:r>
          <w:r w:rsidR="0083674A">
            <w:instrText xml:space="preserve">CITATION She26 \l 2057 </w:instrText>
          </w:r>
          <w:r w:rsidR="0035160D" w:rsidRPr="00EC4635">
            <w:fldChar w:fldCharType="separate"/>
          </w:r>
          <w:r w:rsidR="0083674A" w:rsidRPr="0083674A">
            <w:rPr>
              <w:noProof/>
            </w:rPr>
            <w:t>(Shell, 2026)</w:t>
          </w:r>
          <w:r w:rsidR="0035160D" w:rsidRPr="00EC4635">
            <w:fldChar w:fldCharType="end"/>
          </w:r>
        </w:sdtContent>
      </w:sdt>
      <w:r w:rsidR="0035160D" w:rsidRPr="00EC4635">
        <w:t>.</w:t>
      </w:r>
      <w:r w:rsidR="00664B03">
        <w:t xml:space="preserve"> </w:t>
      </w:r>
      <w:r w:rsidR="004A170A" w:rsidRPr="004A170A">
        <w:t xml:space="preserve">Shell has also expanded into renewable electricity generation, electric vehicle charging infrastructure, hydrogen technologies, and carbon capture projects </w:t>
      </w:r>
      <w:sdt>
        <w:sdtPr>
          <w:id w:val="1865011689"/>
          <w:citation/>
        </w:sdtPr>
        <w:sdtEndPr/>
        <w:sdtContent>
          <w:r w:rsidR="0083674A">
            <w:fldChar w:fldCharType="begin"/>
          </w:r>
          <w:r w:rsidR="0083674A">
            <w:instrText xml:space="preserve"> CITATION She26 \l 2057 </w:instrText>
          </w:r>
          <w:r w:rsidR="0083674A">
            <w:fldChar w:fldCharType="separate"/>
          </w:r>
          <w:r w:rsidR="0083674A" w:rsidRPr="0083674A">
            <w:rPr>
              <w:noProof/>
            </w:rPr>
            <w:t>(Shell, 2026)</w:t>
          </w:r>
          <w:r w:rsidR="0083674A">
            <w:fldChar w:fldCharType="end"/>
          </w:r>
        </w:sdtContent>
      </w:sdt>
      <w:r w:rsidR="00FC4DB8">
        <w:t>.</w:t>
      </w:r>
    </w:p>
    <w:p w14:paraId="74D0DF30" w14:textId="77777777" w:rsidR="00FC4DB8" w:rsidRDefault="00FC4DB8" w:rsidP="003568ED">
      <w:pPr>
        <w:ind w:left="0" w:firstLine="0"/>
      </w:pPr>
    </w:p>
    <w:p w14:paraId="44F214CD" w14:textId="5E1CB682" w:rsidR="00FC4DB8" w:rsidRDefault="00FC4DB8" w:rsidP="003568ED">
      <w:pPr>
        <w:ind w:left="0" w:firstLine="0"/>
      </w:pPr>
      <w:r w:rsidRPr="00FC4DB8">
        <w:lastRenderedPageBreak/>
        <w:t>Despite these developments, Shell continues to rely heavily on oil and gas revenues to maintain profitability and shareholder returns. In recent years, the organisation has continued investing in LNG expansion and hydrocarbon extraction projects while simultaneously promoting sustainability commitments</w:t>
      </w:r>
      <w:r w:rsidR="001F2BA5">
        <w:t xml:space="preserve"> </w:t>
      </w:r>
      <w:sdt>
        <w:sdtPr>
          <w:id w:val="217634056"/>
          <w:citation/>
        </w:sdtPr>
        <w:sdtEndPr/>
        <w:sdtContent>
          <w:r w:rsidR="00E97154">
            <w:fldChar w:fldCharType="begin"/>
          </w:r>
          <w:r w:rsidR="00E97154">
            <w:instrText xml:space="preserve"> CITATION Vir25 \l 2057 </w:instrText>
          </w:r>
          <w:r w:rsidR="00E97154">
            <w:fldChar w:fldCharType="separate"/>
          </w:r>
          <w:r w:rsidR="00E97154" w:rsidRPr="00E97154">
            <w:rPr>
              <w:noProof/>
            </w:rPr>
            <w:t>(Furness, 2025)</w:t>
          </w:r>
          <w:r w:rsidR="00E97154">
            <w:fldChar w:fldCharType="end"/>
          </w:r>
        </w:sdtContent>
      </w:sdt>
      <w:r w:rsidRPr="00FC4DB8">
        <w:t>. This creates a strategic contradiction between environmental responsibility and financial performance</w:t>
      </w:r>
      <w:r w:rsidR="00E97154">
        <w:t>.</w:t>
      </w:r>
    </w:p>
    <w:p w14:paraId="601A44FF" w14:textId="77777777" w:rsidR="002063C7" w:rsidRDefault="002063C7" w:rsidP="003568ED">
      <w:pPr>
        <w:ind w:left="0" w:firstLine="0"/>
      </w:pPr>
    </w:p>
    <w:p w14:paraId="47A03A01" w14:textId="77777777" w:rsidR="002063C7" w:rsidRPr="00301456" w:rsidRDefault="002063C7" w:rsidP="002063C7">
      <w:pPr>
        <w:ind w:left="0" w:firstLine="0"/>
        <w:rPr>
          <w:color w:val="auto"/>
        </w:rPr>
      </w:pPr>
      <w:r w:rsidRPr="00301456">
        <w:rPr>
          <w:color w:val="auto"/>
        </w:rPr>
        <w:t>Sustainability refers to the ability to meet present needs without compromising the ability of future generations to meet their own needs, integrating environmental protection, social responsibility, and economic performance into organisational decision-making</w:t>
      </w:r>
      <w:r>
        <w:rPr>
          <w:color w:val="auto"/>
        </w:rPr>
        <w:t xml:space="preserve"> </w:t>
      </w:r>
      <w:sdt>
        <w:sdtPr>
          <w:rPr>
            <w:color w:val="auto"/>
          </w:rPr>
          <w:id w:val="1715547827"/>
          <w:citation/>
        </w:sdtPr>
        <w:sdtEndPr/>
        <w:sdtContent>
          <w:r>
            <w:rPr>
              <w:color w:val="auto"/>
            </w:rPr>
            <w:fldChar w:fldCharType="begin"/>
          </w:r>
          <w:r>
            <w:rPr>
              <w:color w:val="auto"/>
            </w:rPr>
            <w:instrText xml:space="preserve"> CITATION Gro87 \l 2057 </w:instrText>
          </w:r>
          <w:r>
            <w:rPr>
              <w:color w:val="auto"/>
            </w:rPr>
            <w:fldChar w:fldCharType="separate"/>
          </w:r>
          <w:r w:rsidRPr="008372C7">
            <w:rPr>
              <w:noProof/>
              <w:color w:val="auto"/>
            </w:rPr>
            <w:t>(Brundtland, 1987)</w:t>
          </w:r>
          <w:r>
            <w:rPr>
              <w:color w:val="auto"/>
            </w:rPr>
            <w:fldChar w:fldCharType="end"/>
          </w:r>
        </w:sdtContent>
      </w:sdt>
      <w:r w:rsidRPr="00301456">
        <w:rPr>
          <w:color w:val="auto"/>
        </w:rPr>
        <w:t>. Within the energy sector, sustainability has become a critical strategic priority due to increasing concerns regarding climate change, greenhouse gas emissions, resource depletion, and environmental degradation. For multinational energy companies such as Shell, sustainability primarily focuses on environmental sustainability, which involves reducing carbon emissions, supporting decarbonisation, investing in renewable energy technologies, and contributing towards global net-zero objectives.</w:t>
      </w:r>
    </w:p>
    <w:p w14:paraId="2E3D0DFB" w14:textId="77777777" w:rsidR="007171FD" w:rsidRDefault="007171FD" w:rsidP="003568ED">
      <w:pPr>
        <w:ind w:left="0" w:firstLine="0"/>
      </w:pPr>
    </w:p>
    <w:p w14:paraId="02A9502F" w14:textId="7E4D5A6D" w:rsidR="0065491F" w:rsidRDefault="007171FD" w:rsidP="001A0818">
      <w:pPr>
        <w:ind w:left="0" w:firstLine="0"/>
      </w:pPr>
      <w:r w:rsidRPr="007171FD">
        <w:t>The challenge of balancing sustainability with profitability has become increasingly important due to growing stakeholder expectations. Investors demand stable financial returns while environmental groups and governments pressure organisations to accelerate decarbonisation efforts. Furthermore, consumers increasingly expect organisations to demonstrate ethical and environmentally responsible behaviour. Failure to effectively manage these competing pressures could result in reputational damage, legal challenges, loss of investor confidence, and long-term competitive disadvantages</w:t>
      </w:r>
      <w:r>
        <w:t>.</w:t>
      </w:r>
    </w:p>
    <w:p w14:paraId="3B5DCDD9" w14:textId="77777777" w:rsidR="00301456" w:rsidRDefault="00301456" w:rsidP="00F12A10">
      <w:pPr>
        <w:ind w:left="0" w:firstLine="0"/>
        <w:jc w:val="center"/>
        <w:rPr>
          <w:b/>
          <w:bCs/>
          <w:color w:val="EE0000"/>
        </w:rPr>
      </w:pPr>
    </w:p>
    <w:p w14:paraId="04F0CDFD" w14:textId="50C738C4" w:rsidR="00633873" w:rsidRPr="0017103A" w:rsidRDefault="00F42170" w:rsidP="002063C7">
      <w:pPr>
        <w:ind w:left="0" w:firstLine="0"/>
        <w:rPr>
          <w:color w:val="auto"/>
        </w:rPr>
      </w:pPr>
      <w:r w:rsidRPr="0017103A">
        <w:rPr>
          <w:color w:val="auto"/>
        </w:rPr>
        <w:t>Despite the growing body of literature on corporate sustainability, energy transition, and climate change management, there remains a significant gap in understanding how major oil and gas companies effectively balance sustainability commitments with the need to maintain profitability. Existing studies have extensively examined energy transition at an industry level and have explored the environmental impacts of fossil fuel companies</w:t>
      </w:r>
      <w:r w:rsidR="00141493">
        <w:rPr>
          <w:color w:val="auto"/>
        </w:rPr>
        <w:t>;</w:t>
      </w:r>
      <w:r w:rsidR="00AE5830" w:rsidRPr="0017103A">
        <w:rPr>
          <w:color w:val="auto"/>
        </w:rPr>
        <w:t xml:space="preserve"> </w:t>
      </w:r>
      <w:r w:rsidR="0017103A" w:rsidRPr="0017103A">
        <w:rPr>
          <w:noProof/>
          <w:color w:val="auto"/>
        </w:rPr>
        <w:t>International Energy Agency 2023</w:t>
      </w:r>
      <w:r w:rsidR="00141493">
        <w:rPr>
          <w:noProof/>
          <w:color w:val="auto"/>
        </w:rPr>
        <w:t>;</w:t>
      </w:r>
      <w:r w:rsidR="00C83DCD">
        <w:rPr>
          <w:noProof/>
          <w:color w:val="auto"/>
        </w:rPr>
        <w:t xml:space="preserve"> </w:t>
      </w:r>
      <w:r w:rsidR="00C83DCD" w:rsidRPr="00C83DCD">
        <w:rPr>
          <w:noProof/>
          <w:color w:val="auto"/>
        </w:rPr>
        <w:t>Intergovernmental Panel on Climate Change 2023</w:t>
      </w:r>
      <w:r w:rsidR="00141493">
        <w:rPr>
          <w:noProof/>
          <w:color w:val="auto"/>
        </w:rPr>
        <w:t>;</w:t>
      </w:r>
      <w:r w:rsidR="00CA2096">
        <w:rPr>
          <w:noProof/>
          <w:color w:val="auto"/>
        </w:rPr>
        <w:t xml:space="preserve"> </w:t>
      </w:r>
      <w:r w:rsidR="00D548B9" w:rsidRPr="00D548B9">
        <w:rPr>
          <w:noProof/>
          <w:color w:val="auto"/>
        </w:rPr>
        <w:t>Frank W Geels</w:t>
      </w:r>
      <w:r w:rsidR="00E87E98" w:rsidRPr="004B0376">
        <w:rPr>
          <w:noProof/>
          <w:color w:val="auto"/>
        </w:rPr>
        <w:t xml:space="preserve"> 2014</w:t>
      </w:r>
      <w:r w:rsidR="00141493">
        <w:rPr>
          <w:noProof/>
          <w:color w:val="auto"/>
        </w:rPr>
        <w:t>;</w:t>
      </w:r>
      <w:r w:rsidR="00794E34">
        <w:rPr>
          <w:noProof/>
          <w:color w:val="auto"/>
        </w:rPr>
        <w:t xml:space="preserve"> </w:t>
      </w:r>
      <w:r w:rsidR="00D02867" w:rsidRPr="00D02867">
        <w:rPr>
          <w:noProof/>
          <w:color w:val="auto"/>
        </w:rPr>
        <w:t>Sovacool 2016</w:t>
      </w:r>
      <w:r w:rsidRPr="0017103A">
        <w:rPr>
          <w:color w:val="auto"/>
        </w:rPr>
        <w:t xml:space="preserve"> however, relatively limited research has focused specifically on how Shell aligns its publicly stated net-zero ambitions with its actual strategic decisions, investment priorities, and operational activities.</w:t>
      </w:r>
      <w:r w:rsidR="00752963" w:rsidRPr="0017103A">
        <w:rPr>
          <w:color w:val="auto"/>
        </w:rPr>
        <w:t xml:space="preserve"> </w:t>
      </w:r>
      <w:r w:rsidRPr="0017103A">
        <w:rPr>
          <w:color w:val="auto"/>
        </w:rPr>
        <w:t>While researchers have analysed Shell's sustainability reports, climate commitments, and renewable energy investments, there is still debate regarding whether these initiatives represent genuine organisational transformation or are primarily intended to maintain legitimacy among stakeholders.</w:t>
      </w:r>
    </w:p>
    <w:p w14:paraId="1CCBF367" w14:textId="77777777" w:rsidR="00633873" w:rsidRDefault="00633873" w:rsidP="002063C7">
      <w:pPr>
        <w:ind w:left="0" w:firstLine="0"/>
        <w:rPr>
          <w:color w:val="auto"/>
        </w:rPr>
      </w:pPr>
    </w:p>
    <w:p w14:paraId="10445045" w14:textId="2B7AC685" w:rsidR="00301456" w:rsidRPr="00F42170" w:rsidRDefault="00F42170" w:rsidP="002063C7">
      <w:pPr>
        <w:ind w:left="0" w:firstLine="0"/>
        <w:rPr>
          <w:color w:val="auto"/>
        </w:rPr>
      </w:pPr>
      <w:r w:rsidRPr="00F42170">
        <w:rPr>
          <w:color w:val="auto"/>
        </w:rPr>
        <w:t>Furthermore, much of the current literature examines sustainability, stakeholder pressure, or financial performance independently rather than investigating how these factors interact within a single organisation.</w:t>
      </w:r>
      <w:r w:rsidR="008E4DFF">
        <w:rPr>
          <w:color w:val="auto"/>
        </w:rPr>
        <w:t xml:space="preserve"> </w:t>
      </w:r>
      <w:r w:rsidR="00C459A6" w:rsidRPr="00C459A6">
        <w:rPr>
          <w:color w:val="auto"/>
        </w:rPr>
        <w:t xml:space="preserve">This dissertation therefore addresses an important research gap by providing a focused examination of Shell's energy transition strategy through the perspectives of stakeholder theory, institutional theory, and strategic ambidexterity. The topic is particularly important because Shell is one of the world's largest energy companies and plays a significant role in global efforts </w:t>
      </w:r>
      <w:r w:rsidR="00C459A6" w:rsidRPr="00C459A6">
        <w:rPr>
          <w:color w:val="auto"/>
        </w:rPr>
        <w:lastRenderedPageBreak/>
        <w:t>to reduce carbon emissions while continuing to meet energy demand. Understanding how Shell manages the tension between profitability and sustainability provides valuable insight into the wider challenges facing multinational energy organisations during the transition to a low-carbon economy. The findings of this research will contribute to existing leadership and management literature by enhancing understanding of strategic decision-making, organisational change, and sustainability implementation within a highly complex and rapidly evolving industry.</w:t>
      </w:r>
    </w:p>
    <w:p w14:paraId="65DF40FD" w14:textId="77777777" w:rsidR="00533B6E" w:rsidRDefault="00533B6E" w:rsidP="001A0818">
      <w:pPr>
        <w:ind w:left="0" w:firstLine="0"/>
        <w:rPr>
          <w:color w:val="EE0000"/>
          <w:sz w:val="28"/>
          <w:szCs w:val="28"/>
        </w:rPr>
      </w:pPr>
    </w:p>
    <w:p w14:paraId="03AC1A74" w14:textId="40CD05EC" w:rsidR="00267D61" w:rsidRPr="00FE123C" w:rsidRDefault="00533B6E" w:rsidP="001A0818">
      <w:pPr>
        <w:ind w:left="0" w:firstLine="0"/>
        <w:rPr>
          <w:color w:val="auto"/>
        </w:rPr>
      </w:pPr>
      <w:r w:rsidRPr="00FE123C">
        <w:rPr>
          <w:color w:val="auto"/>
        </w:rPr>
        <w:t xml:space="preserve">The global transition towards a low-carbon economy has created significant strategic challenges for multinational energy companies, particularly those whose business models have historically depended on fossil fuel production. Shell has publicly committed to achieving net-zero emissions by 2050 while continuing to invest substantially in oil and gas exploration and liquefied natural gas (LNG) projects. This has generated ongoing debate among investors, policymakers, environmental organisations and academics regarding whether the company's sustainability commitments are genuinely reflected in its strategic decisions and capital allocation. </w:t>
      </w:r>
    </w:p>
    <w:p w14:paraId="24F86756" w14:textId="3EB2166E" w:rsidR="00F26027" w:rsidRPr="00FE123C" w:rsidRDefault="00F26027" w:rsidP="001A0818">
      <w:pPr>
        <w:ind w:left="0" w:firstLine="0"/>
        <w:rPr>
          <w:color w:val="auto"/>
        </w:rPr>
      </w:pPr>
      <w:r w:rsidRPr="00FE123C">
        <w:rPr>
          <w:color w:val="auto"/>
        </w:rPr>
        <w:t>Addressing this problem is important because the findings will contribute to a better understanding of how multinational energy companies manage the tensions associated with energy transition while maintaining financial performance and long-term competitiveness.</w:t>
      </w:r>
    </w:p>
    <w:p w14:paraId="61859F6A" w14:textId="77777777" w:rsidR="00732D5E" w:rsidRPr="0065491F" w:rsidRDefault="00732D5E" w:rsidP="001A0818">
      <w:pPr>
        <w:ind w:left="0" w:firstLine="0"/>
      </w:pPr>
    </w:p>
    <w:p w14:paraId="3475C3C3" w14:textId="495B4ABC" w:rsidR="0065491F" w:rsidRDefault="0065491F" w:rsidP="007778CE">
      <w:pPr>
        <w:pStyle w:val="Heading2"/>
        <w:numPr>
          <w:ilvl w:val="1"/>
          <w:numId w:val="10"/>
        </w:numPr>
        <w:jc w:val="left"/>
      </w:pPr>
      <w:r w:rsidRPr="0065491F">
        <w:t>Research Aim</w:t>
      </w:r>
    </w:p>
    <w:p w14:paraId="1F6717BF" w14:textId="57767E4C" w:rsidR="00724E31" w:rsidRDefault="00724E31" w:rsidP="00724E31">
      <w:pPr>
        <w:ind w:left="0" w:firstLine="0"/>
      </w:pPr>
      <w:r>
        <w:t>The primary aim of this research is:</w:t>
      </w:r>
    </w:p>
    <w:p w14:paraId="6FB68D65" w14:textId="08516893" w:rsidR="007778CE" w:rsidRPr="007778CE" w:rsidRDefault="00724E31" w:rsidP="00724E31">
      <w:pPr>
        <w:ind w:left="0" w:firstLine="0"/>
      </w:pPr>
      <w:r>
        <w:t>To critically examine how Shell balances short-term profitability and long-term sustainability within its energy transition strategy.</w:t>
      </w:r>
    </w:p>
    <w:p w14:paraId="24E3DB86" w14:textId="5367A031" w:rsidR="0065491F" w:rsidRPr="0065491F" w:rsidRDefault="0065491F" w:rsidP="0065491F">
      <w:pPr>
        <w:pStyle w:val="Heading2"/>
        <w:jc w:val="left"/>
      </w:pPr>
    </w:p>
    <w:p w14:paraId="54695954" w14:textId="65D05367" w:rsidR="0065491F" w:rsidRDefault="0065491F" w:rsidP="00CD0D12">
      <w:pPr>
        <w:pStyle w:val="Heading2"/>
        <w:numPr>
          <w:ilvl w:val="1"/>
          <w:numId w:val="10"/>
        </w:numPr>
        <w:jc w:val="left"/>
      </w:pPr>
      <w:r w:rsidRPr="0065491F">
        <w:t>Research Objectives</w:t>
      </w:r>
    </w:p>
    <w:p w14:paraId="641119BC" w14:textId="3B593743" w:rsidR="005B4BED" w:rsidRPr="005B4BED" w:rsidRDefault="005B4BED" w:rsidP="005B4BED">
      <w:pPr>
        <w:ind w:left="0" w:firstLine="0"/>
      </w:pPr>
      <w:r w:rsidRPr="005B4BED">
        <w:t>To achieve the research aim, the following objectives have been developed:</w:t>
      </w:r>
    </w:p>
    <w:p w14:paraId="7F15294B" w14:textId="77777777" w:rsidR="005B4BED" w:rsidRPr="005B4BED" w:rsidRDefault="005B4BED" w:rsidP="005B4BED">
      <w:pPr>
        <w:numPr>
          <w:ilvl w:val="0"/>
          <w:numId w:val="11"/>
        </w:numPr>
      </w:pPr>
      <w:r w:rsidRPr="005B4BED">
        <w:t>To analyse Shell’s publicly stated energy transition and climate strategy.</w:t>
      </w:r>
    </w:p>
    <w:p w14:paraId="69DE26F1" w14:textId="77777777" w:rsidR="005B4BED" w:rsidRPr="005B4BED" w:rsidRDefault="005B4BED" w:rsidP="005B4BED">
      <w:pPr>
        <w:numPr>
          <w:ilvl w:val="0"/>
          <w:numId w:val="11"/>
        </w:numPr>
      </w:pPr>
      <w:r w:rsidRPr="005B4BED">
        <w:t>To evaluate the alignment between Shell’s capital allocation and its long-term decarbonisation commitments.</w:t>
      </w:r>
    </w:p>
    <w:p w14:paraId="0A88DFC5" w14:textId="77777777" w:rsidR="005B4BED" w:rsidRPr="005B4BED" w:rsidRDefault="005B4BED" w:rsidP="005B4BED">
      <w:pPr>
        <w:numPr>
          <w:ilvl w:val="0"/>
          <w:numId w:val="11"/>
        </w:numPr>
      </w:pPr>
      <w:r w:rsidRPr="005B4BED">
        <w:t>To explore stakeholder pressures influencing strategic decision-making at Shell.</w:t>
      </w:r>
    </w:p>
    <w:p w14:paraId="3FFD317A" w14:textId="77777777" w:rsidR="005B4BED" w:rsidRPr="005B4BED" w:rsidRDefault="005B4BED" w:rsidP="005B4BED">
      <w:pPr>
        <w:numPr>
          <w:ilvl w:val="0"/>
          <w:numId w:val="11"/>
        </w:numPr>
      </w:pPr>
      <w:r w:rsidRPr="005B4BED">
        <w:t>To assess organisational challenges Shell is encountering in implementing its energy transition strategy.</w:t>
      </w:r>
    </w:p>
    <w:p w14:paraId="0F26FD4E" w14:textId="55586A62" w:rsidR="00CD0D12" w:rsidRPr="00CD0D12" w:rsidRDefault="005B4BED" w:rsidP="0072577B">
      <w:pPr>
        <w:numPr>
          <w:ilvl w:val="0"/>
          <w:numId w:val="11"/>
        </w:numPr>
      </w:pPr>
      <w:r w:rsidRPr="005B4BED">
        <w:t>To evaluate the implications of balancing profitability and sustainability for Shell’s long-term competitiveness.</w:t>
      </w:r>
    </w:p>
    <w:p w14:paraId="6894C773" w14:textId="77777777" w:rsidR="0065491F" w:rsidRPr="0065491F" w:rsidRDefault="0065491F" w:rsidP="0065491F">
      <w:pPr>
        <w:pStyle w:val="Heading2"/>
        <w:jc w:val="left"/>
      </w:pPr>
    </w:p>
    <w:p w14:paraId="2EB4821C" w14:textId="02F3022A" w:rsidR="0065491F" w:rsidRPr="0065491F" w:rsidRDefault="0065491F" w:rsidP="0065491F">
      <w:pPr>
        <w:pStyle w:val="Heading2"/>
        <w:ind w:left="0" w:firstLine="0"/>
        <w:jc w:val="left"/>
      </w:pPr>
      <w:r w:rsidRPr="0065491F">
        <w:t>1.5</w:t>
      </w:r>
      <w:r w:rsidR="00B846F6">
        <w:t xml:space="preserve"> </w:t>
      </w:r>
      <w:r w:rsidRPr="0065491F">
        <w:t>Research Questions</w:t>
      </w:r>
    </w:p>
    <w:p w14:paraId="1AF3222D" w14:textId="77777777" w:rsidR="00B846F6" w:rsidRPr="00B846F6" w:rsidRDefault="00B846F6" w:rsidP="00783A92">
      <w:pPr>
        <w:ind w:left="0" w:firstLine="0"/>
      </w:pPr>
      <w:r w:rsidRPr="00B846F6">
        <w:t>This study seeks to answer the following research questions:</w:t>
      </w:r>
    </w:p>
    <w:p w14:paraId="7C72D077" w14:textId="77777777" w:rsidR="00B846F6" w:rsidRPr="00B846F6" w:rsidRDefault="00B846F6" w:rsidP="00B846F6">
      <w:pPr>
        <w:numPr>
          <w:ilvl w:val="0"/>
          <w:numId w:val="12"/>
        </w:numPr>
      </w:pPr>
      <w:r w:rsidRPr="00B846F6">
        <w:t>How effectively does Shell align its capital allocation with its net-zero commitments?</w:t>
      </w:r>
    </w:p>
    <w:p w14:paraId="5BB4674E" w14:textId="77777777" w:rsidR="00B846F6" w:rsidRPr="00B846F6" w:rsidRDefault="00B846F6" w:rsidP="00B846F6">
      <w:pPr>
        <w:numPr>
          <w:ilvl w:val="0"/>
          <w:numId w:val="12"/>
        </w:numPr>
      </w:pPr>
      <w:r w:rsidRPr="00B846F6">
        <w:t>What role do internal and external stakeholder pressures play in shaping Shell’s strategic decisions?</w:t>
      </w:r>
    </w:p>
    <w:p w14:paraId="32EC01C4" w14:textId="77777777" w:rsidR="00B846F6" w:rsidRPr="00B846F6" w:rsidRDefault="00B846F6" w:rsidP="00B846F6">
      <w:pPr>
        <w:numPr>
          <w:ilvl w:val="0"/>
          <w:numId w:val="12"/>
        </w:numPr>
      </w:pPr>
      <w:r w:rsidRPr="00B846F6">
        <w:t>What organisational barriers hinder Shell’s implementation of energy transition initiatives?</w:t>
      </w:r>
    </w:p>
    <w:p w14:paraId="230C7B4B" w14:textId="77777777" w:rsidR="00B846F6" w:rsidRDefault="00B846F6" w:rsidP="00B846F6">
      <w:pPr>
        <w:numPr>
          <w:ilvl w:val="0"/>
          <w:numId w:val="12"/>
        </w:numPr>
      </w:pPr>
      <w:r w:rsidRPr="00B846F6">
        <w:lastRenderedPageBreak/>
        <w:t>How does the strategic tension between profitability and sustainability influence Shell’s long-term competitiveness?</w:t>
      </w:r>
    </w:p>
    <w:p w14:paraId="1A156B38" w14:textId="7C354F9B" w:rsidR="00CE1675" w:rsidRPr="00CE1675" w:rsidRDefault="00CE1675" w:rsidP="00CE1675">
      <w:pPr>
        <w:ind w:left="360" w:firstLine="0"/>
        <w:rPr>
          <w:color w:val="EE0000"/>
        </w:rPr>
      </w:pPr>
      <w:r>
        <w:t xml:space="preserve"> </w:t>
      </w:r>
    </w:p>
    <w:p w14:paraId="0EEC33F6" w14:textId="77777777" w:rsidR="0072577B" w:rsidRDefault="0072577B" w:rsidP="0072577B"/>
    <w:p w14:paraId="1822C976" w14:textId="42E13F61" w:rsidR="00836A8D" w:rsidRPr="0065491F" w:rsidRDefault="00836A8D" w:rsidP="00836A8D">
      <w:pPr>
        <w:pStyle w:val="Heading2"/>
        <w:ind w:left="0" w:firstLine="0"/>
        <w:jc w:val="left"/>
      </w:pPr>
      <w:r w:rsidRPr="0065491F">
        <w:t>1.</w:t>
      </w:r>
      <w:r>
        <w:t xml:space="preserve">6 </w:t>
      </w:r>
      <w:r w:rsidR="003C121C" w:rsidRPr="003C121C">
        <w:t>Chapter Summary</w:t>
      </w:r>
    </w:p>
    <w:p w14:paraId="0FD3D4AC" w14:textId="77777777" w:rsidR="009D4221" w:rsidRDefault="00B75625" w:rsidP="00783A92">
      <w:pPr>
        <w:ind w:left="0" w:firstLine="0"/>
      </w:pPr>
      <w:r w:rsidRPr="00B75625">
        <w:t>This chapter introduced the dissertation by outlining the growing</w:t>
      </w:r>
      <w:r w:rsidR="00B709C7">
        <w:t xml:space="preserve"> </w:t>
      </w:r>
      <w:r w:rsidR="0006179E" w:rsidRPr="0006179E">
        <w:t>strategic importance of balancing profitability and sustainability within the global energy industry</w:t>
      </w:r>
      <w:r w:rsidRPr="00B75625">
        <w:t xml:space="preserve">. The chapter </w:t>
      </w:r>
      <w:r w:rsidR="0006179E">
        <w:t>outline</w:t>
      </w:r>
      <w:r w:rsidR="00E84DFE">
        <w:t>d</w:t>
      </w:r>
      <w:r w:rsidRPr="00B75625">
        <w:t xml:space="preserve"> the strategic tension faced by Shel</w:t>
      </w:r>
      <w:r w:rsidR="00E84DFE">
        <w:t xml:space="preserve">l </w:t>
      </w:r>
      <w:r w:rsidR="003D6669">
        <w:t>due to a</w:t>
      </w:r>
      <w:r w:rsidR="00C34C40">
        <w:t xml:space="preserve"> growing </w:t>
      </w:r>
      <w:r w:rsidR="00484A5E" w:rsidRPr="00484A5E">
        <w:t>climate change concerns, regulatory developments and stakeholder expectations</w:t>
      </w:r>
      <w:r w:rsidR="00484A5E">
        <w:t xml:space="preserve"> </w:t>
      </w:r>
      <w:r w:rsidR="00C802C6" w:rsidRPr="00C802C6">
        <w:t>have created significant challenges</w:t>
      </w:r>
      <w:r w:rsidR="00FC2215">
        <w:t>.</w:t>
      </w:r>
      <w:r w:rsidR="00A56C1E">
        <w:t xml:space="preserve"> </w:t>
      </w:r>
      <w:r w:rsidR="00006CF8">
        <w:t>T</w:t>
      </w:r>
      <w:r w:rsidR="00685EF3" w:rsidRPr="00685EF3">
        <w:t>he chapter established the research problem by highlighting the apparent contradiction between Shell's commitment to achieving net-zero emissions by 2050 and its continued reliance on profitable oil and gas operations.</w:t>
      </w:r>
    </w:p>
    <w:p w14:paraId="2BD74DF4" w14:textId="77777777" w:rsidR="009D4221" w:rsidRDefault="009D4221" w:rsidP="00783A92">
      <w:pPr>
        <w:ind w:left="0" w:firstLine="0"/>
      </w:pPr>
    </w:p>
    <w:p w14:paraId="1C30AC74" w14:textId="64E6DE05" w:rsidR="009D4221" w:rsidRDefault="009D4221" w:rsidP="00783A92">
      <w:pPr>
        <w:ind w:left="0" w:firstLine="0"/>
      </w:pPr>
      <w:r w:rsidRPr="009D4221">
        <w:t>The chapter also presented the research aim, objectives and questions, which provide the foundation for investigating how Shell manages the strategic tension between short-term financial performance and long-term sustainability. Furthermore, the significance of the study was discussed by identifying a gap in the existing literature regarding the alignment between Shell's sustainability commitments, capital allocation decisions and strategic implementation.</w:t>
      </w:r>
    </w:p>
    <w:p w14:paraId="13865A82" w14:textId="77777777" w:rsidR="00E84DFE" w:rsidRDefault="00E84DFE" w:rsidP="00783A92">
      <w:pPr>
        <w:ind w:left="0" w:firstLine="0"/>
      </w:pPr>
    </w:p>
    <w:p w14:paraId="133C2248" w14:textId="77777777" w:rsidR="00AE32D2" w:rsidRDefault="00AE32D2">
      <w:pPr>
        <w:spacing w:after="160" w:line="278" w:lineRule="auto"/>
        <w:ind w:left="0" w:right="0" w:firstLine="0"/>
      </w:pPr>
      <w:r>
        <w:br w:type="page"/>
      </w:r>
    </w:p>
    <w:p w14:paraId="0D257FF5" w14:textId="77777777" w:rsidR="00B75625" w:rsidRDefault="00B75625" w:rsidP="0072577B"/>
    <w:p w14:paraId="1C96AEF9" w14:textId="77777777" w:rsidR="003C121C" w:rsidRDefault="003C121C" w:rsidP="0072577B"/>
    <w:p w14:paraId="49F88812" w14:textId="764AAA8B" w:rsidR="003C121C" w:rsidRDefault="003C121C" w:rsidP="003C121C">
      <w:pPr>
        <w:pStyle w:val="Heading1"/>
        <w:jc w:val="center"/>
      </w:pPr>
      <w:r>
        <w:t xml:space="preserve">CHAPTER </w:t>
      </w:r>
      <w:r w:rsidR="00AE32D2">
        <w:t>2: Literature Review</w:t>
      </w:r>
    </w:p>
    <w:p w14:paraId="505ED61E" w14:textId="77777777" w:rsidR="00AE32D2" w:rsidRDefault="00AE32D2" w:rsidP="00AE32D2"/>
    <w:p w14:paraId="6FC8FFD0" w14:textId="77777777" w:rsidR="00D7317F" w:rsidRDefault="00D7317F" w:rsidP="007C53BB">
      <w:pPr>
        <w:rPr>
          <w:b/>
          <w:sz w:val="28"/>
        </w:rPr>
      </w:pPr>
    </w:p>
    <w:p w14:paraId="717A54A8" w14:textId="244300BB" w:rsidR="00D7317F" w:rsidRPr="005010E3" w:rsidRDefault="000101E6" w:rsidP="007C53BB">
      <w:pPr>
        <w:rPr>
          <w:b/>
          <w:color w:val="EE0000"/>
          <w:sz w:val="28"/>
        </w:rPr>
      </w:pPr>
      <w:r>
        <w:rPr>
          <w:b/>
          <w:color w:val="EE0000"/>
          <w:sz w:val="28"/>
        </w:rPr>
        <w:t xml:space="preserve">  </w:t>
      </w:r>
    </w:p>
    <w:p w14:paraId="7C098268" w14:textId="77777777" w:rsidR="00783A92" w:rsidRPr="0011445D" w:rsidRDefault="007771C5" w:rsidP="0011445D">
      <w:pPr>
        <w:pStyle w:val="Heading1"/>
        <w:rPr>
          <w:sz w:val="28"/>
          <w:szCs w:val="28"/>
        </w:rPr>
      </w:pPr>
      <w:r w:rsidRPr="0011445D">
        <w:rPr>
          <w:sz w:val="28"/>
          <w:szCs w:val="28"/>
        </w:rPr>
        <w:t>2.1 Introduction</w:t>
      </w:r>
    </w:p>
    <w:p w14:paraId="02D7623A" w14:textId="049E8F58" w:rsidR="007C53BB" w:rsidRPr="007C53BB" w:rsidRDefault="007C53BB" w:rsidP="00783A92">
      <w:pPr>
        <w:ind w:left="0" w:firstLine="0"/>
      </w:pPr>
      <w:r w:rsidRPr="007C53BB">
        <w:t>This chapter critically reviews the existing academic literature relating to the strategic tension between profitability and sustainability within the energy industry. The chapter examines theoretical perspectives including stakeholder theory, institutional theory, organisational ambidexterity, and sustainability management. Furthermore, the review analyses literature concerning energy transition strategies, stakeholder pressures, corporate legitimacy, organisational barriers, and financial implications associated with sustainability transformation in the oil and gas sector.</w:t>
      </w:r>
    </w:p>
    <w:p w14:paraId="629C05E4" w14:textId="77777777" w:rsidR="00202274" w:rsidRDefault="00202274" w:rsidP="007C53BB"/>
    <w:p w14:paraId="1BDFEDB1" w14:textId="7EDD2342" w:rsidR="00D7317F" w:rsidRPr="007C53BB" w:rsidRDefault="007C53BB" w:rsidP="00D7317F">
      <w:r w:rsidRPr="007C53BB">
        <w:t>The purpose of the literature review is to establish a strong theoretical and conceptual foundation for the research while identifying key gaps in existing academic knowledge. The chapter also demonstrates how the current study contributes to leadership and management literature through a focused analysis of Shell’s energy transition strategy.</w:t>
      </w:r>
    </w:p>
    <w:p w14:paraId="7A325FF2" w14:textId="147B3542" w:rsidR="00A72875" w:rsidRDefault="00A72875" w:rsidP="007C53BB"/>
    <w:p w14:paraId="70E8D0D7" w14:textId="6A38AE66" w:rsidR="00C07289" w:rsidRPr="0011445D" w:rsidRDefault="007771C5" w:rsidP="0011445D">
      <w:pPr>
        <w:pStyle w:val="Heading1"/>
        <w:rPr>
          <w:sz w:val="28"/>
          <w:szCs w:val="28"/>
        </w:rPr>
      </w:pPr>
      <w:r w:rsidRPr="0011445D">
        <w:rPr>
          <w:sz w:val="28"/>
          <w:szCs w:val="28"/>
        </w:rPr>
        <w:t>2.2 Energy Transition and the Strategic Dilemma in the Oil and Gas Industry</w:t>
      </w:r>
    </w:p>
    <w:p w14:paraId="5642C9EC" w14:textId="77777777" w:rsidR="00BB65F1" w:rsidRDefault="00BB65F1" w:rsidP="00783A92">
      <w:pPr>
        <w:pStyle w:val="NoSpacing"/>
        <w:ind w:left="0" w:firstLine="0"/>
      </w:pPr>
    </w:p>
    <w:p w14:paraId="2923974B" w14:textId="2D813A92" w:rsidR="008D7AEB" w:rsidRDefault="00ED7F9F" w:rsidP="00783A92">
      <w:pPr>
        <w:pStyle w:val="NoSpacing"/>
        <w:ind w:left="0" w:firstLine="0"/>
      </w:pPr>
      <w:proofErr w:type="spellStart"/>
      <w:r w:rsidRPr="00ED7F9F">
        <w:t>Sovacool</w:t>
      </w:r>
      <w:proofErr w:type="spellEnd"/>
      <w:r w:rsidRPr="00ED7F9F">
        <w:t xml:space="preserve"> (2016) describes energy transition as a long-term structural transformation in which societies replace fossil fuel-based energy systems with cleaner and more sustainable alternatives. He argues that energy transitions involve technological innovation, political change, economic restructuring, and social adaptation rather than simply replacing one energy source with another.</w:t>
      </w:r>
      <w:r w:rsidR="001911B8">
        <w:t xml:space="preserve"> </w:t>
      </w:r>
      <w:r w:rsidR="00B77982" w:rsidRPr="00B77982">
        <w:t>According to</w:t>
      </w:r>
      <w:r w:rsidR="00B77982">
        <w:t xml:space="preserve"> </w:t>
      </w:r>
      <w:r w:rsidR="002E6DE6" w:rsidRPr="007B6C20">
        <w:rPr>
          <w:noProof/>
        </w:rPr>
        <w:t xml:space="preserve">Dongo &amp; Relvas </w:t>
      </w:r>
      <w:r w:rsidR="00F0651C">
        <w:rPr>
          <w:noProof/>
        </w:rPr>
        <w:t>(</w:t>
      </w:r>
      <w:r w:rsidR="002E6DE6" w:rsidRPr="007B6C20">
        <w:rPr>
          <w:noProof/>
        </w:rPr>
        <w:t>2025)</w:t>
      </w:r>
      <w:r w:rsidR="00B77982" w:rsidRPr="00B77982">
        <w:t>, energy transition has become one of the most significant strategic challenges facing the oil and gas industry because fossil fuel organisations must adapt to changing environmental regulations, technological innovation, and stakeholder expectations.</w:t>
      </w:r>
    </w:p>
    <w:p w14:paraId="1CA2441A" w14:textId="77777777" w:rsidR="006C0D47" w:rsidRDefault="006C0D47" w:rsidP="00783A92">
      <w:pPr>
        <w:pStyle w:val="NoSpacing"/>
        <w:ind w:left="0" w:firstLine="0"/>
      </w:pPr>
    </w:p>
    <w:p w14:paraId="1FABED33" w14:textId="4319F13E" w:rsidR="006C0D47" w:rsidRPr="006C0D47" w:rsidRDefault="006C0D47" w:rsidP="006C0D47">
      <w:pPr>
        <w:pStyle w:val="NoSpacing"/>
      </w:pPr>
      <w:r w:rsidRPr="006C0D47">
        <w:t xml:space="preserve">Historically, </w:t>
      </w:r>
      <w:r w:rsidR="00E901FC">
        <w:t xml:space="preserve">IOC’s </w:t>
      </w:r>
      <w:r w:rsidRPr="006C0D47">
        <w:t>developed highly profitable business models based on hydrocarbon extraction, refining, and distribution. These organisations invested heavily in infrastructure, technologies, and operational capabilities specifically designed for fossil fuel production. As a result, oil and gas companies became structurally dependent on traditional energy systems and developed organisational cultures closely aligned with fossil fuel profitability.</w:t>
      </w:r>
    </w:p>
    <w:p w14:paraId="0D79515D" w14:textId="77777777" w:rsidR="006C0D47" w:rsidRDefault="006C0D47" w:rsidP="006C0D47">
      <w:pPr>
        <w:pStyle w:val="NoSpacing"/>
      </w:pPr>
    </w:p>
    <w:p w14:paraId="21B77D85" w14:textId="6ADC3F07" w:rsidR="006C0D47" w:rsidRDefault="006C0D47" w:rsidP="006C0D47">
      <w:pPr>
        <w:pStyle w:val="NoSpacing"/>
      </w:pPr>
      <w:r w:rsidRPr="006C0D47">
        <w:t xml:space="preserve">However, climate change concerns and increasing global commitment toward decarbonisation have intensified pressure on organisations to transition toward sustainable energy alternatives. International agreements such as the Paris Agreement have established long-term environmental objectives requiring substantial reductions in greenhouse gas emissions. Consequently, energy </w:t>
      </w:r>
      <w:r w:rsidRPr="006C0D47">
        <w:lastRenderedPageBreak/>
        <w:t>companies are now expected to contribute to sustainability goals while maintaining energy security and economic performance.</w:t>
      </w:r>
    </w:p>
    <w:p w14:paraId="1077AD86" w14:textId="77777777" w:rsidR="00E80A1E" w:rsidRDefault="00E80A1E" w:rsidP="006C0D47">
      <w:pPr>
        <w:pStyle w:val="NoSpacing"/>
      </w:pPr>
    </w:p>
    <w:p w14:paraId="301344ED" w14:textId="6CBCCB24" w:rsidR="00E80A1E" w:rsidRDefault="004760FD" w:rsidP="006C0D47">
      <w:pPr>
        <w:pStyle w:val="NoSpacing"/>
      </w:pPr>
      <w:r>
        <w:rPr>
          <w:noProof/>
        </w:rPr>
        <w:t>Halttune</w:t>
      </w:r>
      <w:r w:rsidR="00FE123C">
        <w:rPr>
          <w:noProof/>
        </w:rPr>
        <w:t>n,</w:t>
      </w:r>
      <w:r>
        <w:rPr>
          <w:noProof/>
        </w:rPr>
        <w:t xml:space="preserve"> Slade &amp; Staffell, </w:t>
      </w:r>
      <w:r w:rsidR="009465B8">
        <w:rPr>
          <w:noProof/>
        </w:rPr>
        <w:t>(</w:t>
      </w:r>
      <w:r>
        <w:rPr>
          <w:noProof/>
        </w:rPr>
        <w:t>2023)</w:t>
      </w:r>
      <w:r>
        <w:t xml:space="preserve"> </w:t>
      </w:r>
      <w:r w:rsidR="00A40984" w:rsidRPr="00A40984">
        <w:t>argue that international oil companies face a strategic dilemma because they must simultaneously exploit existing fossil fuel assets while exploring renewable energy opportunities. This creates a conflict between maintaining current profitability and investing in uncertain long-term sustainability initiatives. The authors describe this challenge as a process of where organisations attempt to diversify energy investments without abandoning profitable hydrocarbon operations.</w:t>
      </w:r>
    </w:p>
    <w:p w14:paraId="0DC61BCB" w14:textId="77777777" w:rsidR="0067054C" w:rsidRDefault="0067054C" w:rsidP="006C0D47">
      <w:pPr>
        <w:pStyle w:val="NoSpacing"/>
      </w:pPr>
    </w:p>
    <w:p w14:paraId="17161AEB" w14:textId="038D08B4" w:rsidR="0067054C" w:rsidRDefault="0067054C" w:rsidP="006C0D47">
      <w:pPr>
        <w:pStyle w:val="NoSpacing"/>
        <w:rPr>
          <w:color w:val="EE0000"/>
        </w:rPr>
      </w:pPr>
      <w:r w:rsidRPr="0067054C">
        <w:t>Several studies suggest that oil majors such as Shell, BP, and TotalEnergies have adopted gradual transition strategies rather than complete business model transformation. According to</w:t>
      </w:r>
      <w:r>
        <w:t xml:space="preserve"> </w:t>
      </w:r>
      <w:sdt>
        <w:sdtPr>
          <w:id w:val="-156773787"/>
          <w:citation/>
        </w:sdtPr>
        <w:sdtEndPr/>
        <w:sdtContent>
          <w:r>
            <w:fldChar w:fldCharType="begin"/>
          </w:r>
          <w:r w:rsidR="000254FE">
            <w:instrText xml:space="preserve">CITATION Mat19 \l 2057 </w:instrText>
          </w:r>
          <w:r>
            <w:fldChar w:fldCharType="separate"/>
          </w:r>
          <w:r w:rsidR="000254FE" w:rsidRPr="000254FE">
            <w:rPr>
              <w:noProof/>
            </w:rPr>
            <w:t>(Pickl, 2019)</w:t>
          </w:r>
          <w:r>
            <w:fldChar w:fldCharType="end"/>
          </w:r>
        </w:sdtContent>
      </w:sdt>
      <w:r w:rsidRPr="0067054C">
        <w:t>, many international oil companies continue prioritising fossil fuel revenues while selectively investing in renewable technologies such as wind energy, hydrogen, electric vehicle infrastructure, and carbon capture systems.</w:t>
      </w:r>
    </w:p>
    <w:p w14:paraId="0E43E2CE" w14:textId="77777777" w:rsidR="00877134" w:rsidRDefault="00877134" w:rsidP="006C0D47">
      <w:pPr>
        <w:pStyle w:val="NoSpacing"/>
      </w:pPr>
    </w:p>
    <w:p w14:paraId="6B2FFD1F" w14:textId="39FEAA54" w:rsidR="00B74556" w:rsidRDefault="00B74556" w:rsidP="00B74556">
      <w:pPr>
        <w:pStyle w:val="NoSpacing"/>
      </w:pPr>
      <w:r w:rsidRPr="00B74556">
        <w:t xml:space="preserve">Critics argue that such strategies may delay meaningful environmental progress because organisations remain financially dependent on fossil fuel extraction. </w:t>
      </w:r>
      <w:r w:rsidR="00945606" w:rsidRPr="00945606">
        <w:rPr>
          <w:noProof/>
        </w:rPr>
        <w:t xml:space="preserve">Dimitriou et al., </w:t>
      </w:r>
      <w:r w:rsidR="009465B8">
        <w:rPr>
          <w:noProof/>
        </w:rPr>
        <w:t>(</w:t>
      </w:r>
      <w:r w:rsidR="00945606" w:rsidRPr="00945606">
        <w:rPr>
          <w:noProof/>
        </w:rPr>
        <w:t>2025)</w:t>
      </w:r>
      <w:r w:rsidR="00945606">
        <w:t xml:space="preserve"> </w:t>
      </w:r>
      <w:r w:rsidRPr="00B74556">
        <w:t>explain that continued investment in hydrocarbon expansion may expose companies to transition risks including stranded assets, stricter regulations, reputational damage, and declining investor confidence. This suggests that organisations may experience increasing tension between immediate shareholder expectations and long-term sustainability objectives.</w:t>
      </w:r>
    </w:p>
    <w:p w14:paraId="507F1891" w14:textId="77777777" w:rsidR="00B74556" w:rsidRPr="00B74556" w:rsidRDefault="00B74556" w:rsidP="00B74556">
      <w:pPr>
        <w:pStyle w:val="NoSpacing"/>
      </w:pPr>
    </w:p>
    <w:p w14:paraId="63B0D41F" w14:textId="557A2C99" w:rsidR="00B74556" w:rsidRDefault="00B74556" w:rsidP="00B25122">
      <w:pPr>
        <w:pStyle w:val="NoSpacing"/>
      </w:pPr>
      <w:r w:rsidRPr="00B74556">
        <w:t>The literature demonstrates that energy transition is not simply a technological issue but also a strategic leadership and organisational challenge. Oil companies must redesign corporate strategies, restructure investment priorities, and manage internal resistance while responding to external stakeholder pressures. These challenges are particularly significant for Shell because the organisation publicly positions itself as a leader in sustainability transition while continuing substantial investment in fossil fuel activities.</w:t>
      </w:r>
      <w:r w:rsidR="00B25122">
        <w:t xml:space="preserve"> </w:t>
      </w:r>
      <w:r w:rsidRPr="00B74556">
        <w:t>Furthermore, the transition process involves high levels of uncertainty. Renewable technologies require significant capital expenditure, long-term infrastructure development, and uncertain financial returns. Consequently, organisational leaders may hesitate to rapidly abandon profitable oil and gas operations despite increasing environmental pressure.</w:t>
      </w:r>
    </w:p>
    <w:p w14:paraId="108ECF2C" w14:textId="77777777" w:rsidR="00B74556" w:rsidRPr="00B74556" w:rsidRDefault="00B74556" w:rsidP="00B74556">
      <w:pPr>
        <w:pStyle w:val="NoSpacing"/>
      </w:pPr>
    </w:p>
    <w:p w14:paraId="11C6A3FF" w14:textId="77777777" w:rsidR="00B74556" w:rsidRDefault="00B74556" w:rsidP="00B74556">
      <w:pPr>
        <w:pStyle w:val="NoSpacing"/>
      </w:pPr>
      <w:r w:rsidRPr="00B74556">
        <w:t>The existing literature therefore highlights a major strategic contradiction within the oil and gas industry. While organisations publicly support sustainability objectives and net-zero targets, their operational structures and financial dependence on hydrocarbons often limit the pace of transformation. This contradiction forms an important foundation for understanding Shell’s strategic balancing between profitability and sustainability.</w:t>
      </w:r>
    </w:p>
    <w:p w14:paraId="6D1E31CF" w14:textId="77777777" w:rsidR="00780A08" w:rsidRDefault="00780A08" w:rsidP="00B74556">
      <w:pPr>
        <w:pStyle w:val="NoSpacing"/>
      </w:pPr>
    </w:p>
    <w:p w14:paraId="21083FA6" w14:textId="77777777" w:rsidR="00B74556" w:rsidRDefault="00B74556" w:rsidP="00E95128">
      <w:pPr>
        <w:pStyle w:val="NoSpacing"/>
        <w:ind w:left="0" w:firstLine="0"/>
      </w:pPr>
    </w:p>
    <w:p w14:paraId="4552816F" w14:textId="77777777" w:rsidR="00A5251E" w:rsidRDefault="00A5251E" w:rsidP="006C0D47">
      <w:pPr>
        <w:pStyle w:val="NoSpacing"/>
      </w:pPr>
    </w:p>
    <w:p w14:paraId="3C7555BB" w14:textId="751696A4" w:rsidR="00821861" w:rsidRDefault="000A72EE" w:rsidP="00821861">
      <w:pPr>
        <w:pStyle w:val="Heading2"/>
        <w:ind w:left="0" w:firstLine="0"/>
        <w:jc w:val="left"/>
      </w:pPr>
      <w:r>
        <w:t>2</w:t>
      </w:r>
      <w:r w:rsidRPr="000A72EE">
        <w:t>.3 Stakeholder Theory and Corporate Sustainability</w:t>
      </w:r>
    </w:p>
    <w:p w14:paraId="22ABA602" w14:textId="6103D363" w:rsidR="00010276" w:rsidRPr="000A72EE" w:rsidRDefault="00D13754" w:rsidP="00B96A47">
      <w:r w:rsidRPr="00D13754">
        <w:t>R. Edward Freeman</w:t>
      </w:r>
      <w:r w:rsidR="00A6410A">
        <w:t>’s s</w:t>
      </w:r>
      <w:r w:rsidR="007533D8" w:rsidRPr="007533D8">
        <w:t xml:space="preserve">takeholder theory provides one of the most widely used theoretical frameworks for understanding organisational decision-making within </w:t>
      </w:r>
      <w:r w:rsidR="007533D8" w:rsidRPr="007533D8">
        <w:lastRenderedPageBreak/>
        <w:t>sustainability contexts.</w:t>
      </w:r>
      <w:r w:rsidR="00112F31">
        <w:t xml:space="preserve"> </w:t>
      </w:r>
      <w:r w:rsidR="00B67DFE" w:rsidRPr="00112F31">
        <w:rPr>
          <w:noProof/>
        </w:rPr>
        <w:t xml:space="preserve">Freeman, et al., </w:t>
      </w:r>
      <w:r w:rsidR="00B67DFE">
        <w:rPr>
          <w:noProof/>
        </w:rPr>
        <w:t>(</w:t>
      </w:r>
      <w:r w:rsidR="00B67DFE" w:rsidRPr="00112F31">
        <w:rPr>
          <w:noProof/>
        </w:rPr>
        <w:t>1984)</w:t>
      </w:r>
      <w:r w:rsidR="007533D8" w:rsidRPr="007533D8">
        <w:t xml:space="preserve"> define stakeholders as individuals or groups that can affect or are affected by organisational activities. Stakeholder theory argues that organisations should consider the interests of multiple stakeholder groups rather than focusing exclusively on shareholder profits.</w:t>
      </w:r>
      <w:r w:rsidR="00B96A47">
        <w:t xml:space="preserve"> </w:t>
      </w:r>
      <w:r w:rsidR="007533D8" w:rsidRPr="007533D8">
        <w:t>Within the energy sector, organisations such as Shell face competing pressures from various stakeholder groups including investors, governments, environmental activists, consumers, employees, and local communities. These stakeholders often possess conflicting expectations regarding sustainability, profitability, and energy security.</w:t>
      </w:r>
      <w:r w:rsidR="00B96A47">
        <w:t xml:space="preserve"> </w:t>
      </w:r>
      <w:r w:rsidR="001B2D73" w:rsidRPr="001B2D73">
        <w:t xml:space="preserve">Investors typically prioritise financial performance, stable dividends, and long-term profitability. However, institutional investors increasingly incorporate environmental, social, and governance (ESG) criteria into investment decisions. According to </w:t>
      </w:r>
      <w:r w:rsidR="007827AA" w:rsidRPr="007827AA">
        <w:rPr>
          <w:noProof/>
        </w:rPr>
        <w:t xml:space="preserve">Berger-Schmitz, et al., </w:t>
      </w:r>
      <w:r w:rsidR="00B411FE">
        <w:rPr>
          <w:noProof/>
        </w:rPr>
        <w:t>(</w:t>
      </w:r>
      <w:r w:rsidR="007827AA" w:rsidRPr="007827AA">
        <w:rPr>
          <w:noProof/>
        </w:rPr>
        <w:t>2023)</w:t>
      </w:r>
      <w:r w:rsidR="001B2D73" w:rsidRPr="001B2D73">
        <w:t>, many investors now expect energy companies to demonstrate credible sustainability strategies and measurable carbon reduction initiatives.</w:t>
      </w:r>
    </w:p>
    <w:p w14:paraId="69DC8172" w14:textId="348FE3F8" w:rsidR="00A5251E" w:rsidRDefault="00A5251E" w:rsidP="006C0D47">
      <w:pPr>
        <w:pStyle w:val="NoSpacing"/>
      </w:pPr>
    </w:p>
    <w:p w14:paraId="4E57E542" w14:textId="59113B16" w:rsidR="000409AB" w:rsidRDefault="000409AB" w:rsidP="008E4CF4">
      <w:pPr>
        <w:pStyle w:val="NoSpacing"/>
      </w:pPr>
      <w:r w:rsidRPr="000409AB">
        <w:t>Environmental organisations and climate activists exert pressure on oil companies to accelerate decarbonisation and reduce fossil fuel investments. Campaigns targeting Shell and other oil majors frequently criticise organisations for continuing</w:t>
      </w:r>
      <w:r w:rsidR="008E4CF4">
        <w:t xml:space="preserve"> </w:t>
      </w:r>
      <w:r w:rsidRPr="000409AB">
        <w:t>hydrocarbon expansion while publicly promoting sustainability commitments. These criticisms have contributed to growing debates surrounding corporate greenwashing.</w:t>
      </w:r>
      <w:r w:rsidR="008E4CF4">
        <w:t xml:space="preserve"> </w:t>
      </w:r>
      <w:r w:rsidRPr="000409AB">
        <w:t>Governments also play a significant stakeholder role through climate policies, environmental regulations, and carbon reduction targets. Increasing regulatory pressure forces organisations to adapt operational practices and invest in cleaner technologies. Failure to comply with environmental regulations may result in legal penalties, financial risks, and reputational damage.</w:t>
      </w:r>
      <w:r w:rsidR="008E4CF4">
        <w:t xml:space="preserve"> </w:t>
      </w:r>
      <w:r w:rsidRPr="000409AB">
        <w:t>Consumers increasingly expect organisations to demonstrate ethical and environmentally responsible behaviour. Corporate reputation and sustainability performance now influence purchasing decisions and public trust. Consequently, organisations face pressure to communicate sustainability commitments effectively while maintaining operational credibility.</w:t>
      </w:r>
    </w:p>
    <w:p w14:paraId="7F3219CB" w14:textId="77777777" w:rsidR="005E0152" w:rsidRDefault="005E0152" w:rsidP="000409AB">
      <w:pPr>
        <w:pStyle w:val="NoSpacing"/>
      </w:pPr>
    </w:p>
    <w:p w14:paraId="191817EB" w14:textId="052EEE9B" w:rsidR="004F732A" w:rsidRPr="004F732A" w:rsidRDefault="005E0152" w:rsidP="00081E57">
      <w:pPr>
        <w:pStyle w:val="NoSpacing"/>
      </w:pPr>
      <w:r w:rsidRPr="005E0152">
        <w:t>Freeman et al. (1984) argue that organisations must balance stakeholder interests to achieve long-term success. However, balancing these interests becomes highly challenging when stakeholder demands directly conflict. For example, shareholders may prioritise short-term profitability while environmental groups demand rapid fossil fuel reduction.</w:t>
      </w:r>
      <w:r w:rsidR="008E4CF4">
        <w:t xml:space="preserve"> </w:t>
      </w:r>
      <w:r w:rsidRPr="005E0152">
        <w:t>The literature suggests that stakeholder influence depends on factors such as power, legitimacy, and urgency. Stakeholders possessing greater financial or political influence often shape organisational decisions more significantly than weaker stakeholder groups. Within capital-intensive industries such as oil and gas, investors typically maintain substantial influence because organisations depend heavily on shareholder capital.</w:t>
      </w:r>
      <w:r w:rsidR="008E4CF4">
        <w:t xml:space="preserve"> </w:t>
      </w:r>
      <w:r w:rsidR="004F732A" w:rsidRPr="004F732A">
        <w:t>Berger-Schmitz et al. (2023) found that many organisations adopt sustainability strategies partly to maintain legitimacy and stakeholder confidence rather than achieving genuine transformation. Some firms implement symbolic sustainability initiatives designed to improve public image without significantly changing core business operations.</w:t>
      </w:r>
    </w:p>
    <w:p w14:paraId="11E07498" w14:textId="77777777" w:rsidR="004F732A" w:rsidRDefault="004F732A" w:rsidP="004F732A">
      <w:pPr>
        <w:pStyle w:val="NoSpacing"/>
      </w:pPr>
    </w:p>
    <w:p w14:paraId="4C5A4493" w14:textId="1DD1BA30" w:rsidR="004F732A" w:rsidRPr="004F732A" w:rsidRDefault="004F732A" w:rsidP="004F732A">
      <w:pPr>
        <w:pStyle w:val="NoSpacing"/>
      </w:pPr>
      <w:r w:rsidRPr="004F732A">
        <w:t>This creates an important analytical question regarding Shell’s sustainability strategy:</w:t>
      </w:r>
    </w:p>
    <w:p w14:paraId="170E9B05" w14:textId="77777777" w:rsidR="00081E57" w:rsidRDefault="004F732A" w:rsidP="00081E57">
      <w:pPr>
        <w:pStyle w:val="NoSpacing"/>
      </w:pPr>
      <w:r w:rsidRPr="004F732A">
        <w:t>Is Shell pursuing genuine strategic transformation or responding symbolically to stakeholder pressure?</w:t>
      </w:r>
      <w:r w:rsidR="00081E57">
        <w:t xml:space="preserve"> </w:t>
      </w:r>
    </w:p>
    <w:p w14:paraId="7899EA65" w14:textId="77777777" w:rsidR="00081E57" w:rsidRDefault="00081E57" w:rsidP="00081E57">
      <w:pPr>
        <w:pStyle w:val="NoSpacing"/>
      </w:pPr>
    </w:p>
    <w:p w14:paraId="7580911C" w14:textId="265DD3FA" w:rsidR="004F732A" w:rsidRDefault="004F732A" w:rsidP="00081E57">
      <w:pPr>
        <w:pStyle w:val="NoSpacing"/>
      </w:pPr>
      <w:r w:rsidRPr="004F732A">
        <w:t>The literature demonstrates that stakeholder pressure significantly influences corporate sustainability strategies. However, existing research also highlights inconsistencies between sustainability communication and operational implementation. This gap is particularly relevant when examining Shell’s energy transition strategy.</w:t>
      </w:r>
    </w:p>
    <w:p w14:paraId="66BE7A70" w14:textId="4A876ED9" w:rsidR="00C31BD1" w:rsidRDefault="00C31BD1" w:rsidP="00C31BD1">
      <w:pPr>
        <w:pStyle w:val="NoSpacing"/>
      </w:pPr>
    </w:p>
    <w:p w14:paraId="483846A2" w14:textId="77777777" w:rsidR="00C31BD1" w:rsidRDefault="00C31BD1" w:rsidP="00C31BD1">
      <w:pPr>
        <w:pStyle w:val="NoSpacing"/>
      </w:pPr>
    </w:p>
    <w:p w14:paraId="7277E288" w14:textId="77777777" w:rsidR="00C31BD1" w:rsidRDefault="00C31BD1" w:rsidP="00C31BD1">
      <w:pPr>
        <w:pStyle w:val="NoSpacing"/>
      </w:pPr>
    </w:p>
    <w:p w14:paraId="5A9F4F41" w14:textId="7FB18DCC" w:rsidR="00CE6701" w:rsidRPr="00175D90" w:rsidRDefault="00204369" w:rsidP="00175D90">
      <w:pPr>
        <w:pStyle w:val="Heading1"/>
        <w:rPr>
          <w:sz w:val="28"/>
          <w:szCs w:val="28"/>
        </w:rPr>
      </w:pPr>
      <w:r w:rsidRPr="00175D90">
        <w:rPr>
          <w:sz w:val="28"/>
          <w:szCs w:val="28"/>
        </w:rPr>
        <w:t xml:space="preserve">2.4 </w:t>
      </w:r>
      <w:r w:rsidR="00CE6701" w:rsidRPr="00175D90">
        <w:rPr>
          <w:sz w:val="28"/>
          <w:szCs w:val="28"/>
        </w:rPr>
        <w:t>Institutional Theory and Organisational Legitimacy</w:t>
      </w:r>
    </w:p>
    <w:p w14:paraId="5D9919C4" w14:textId="77777777" w:rsidR="00E87CB9" w:rsidRDefault="00E87CB9" w:rsidP="00CE6701">
      <w:pPr>
        <w:rPr>
          <w:b/>
          <w:sz w:val="28"/>
        </w:rPr>
      </w:pPr>
    </w:p>
    <w:p w14:paraId="2CB05D1C" w14:textId="547883A7" w:rsidR="00CE6701" w:rsidRPr="00204369" w:rsidRDefault="00CE6701" w:rsidP="00CE6701">
      <w:pPr>
        <w:rPr>
          <w:bCs/>
          <w:szCs w:val="22"/>
        </w:rPr>
      </w:pPr>
      <w:r w:rsidRPr="00204369">
        <w:rPr>
          <w:bCs/>
          <w:szCs w:val="22"/>
        </w:rPr>
        <w:t xml:space="preserve">Institutional theory provides additional insight into why organisations adopt sustainability practices and climate commitments. </w:t>
      </w:r>
      <w:r w:rsidR="00C17C36" w:rsidRPr="00C17C36">
        <w:rPr>
          <w:noProof/>
          <w:szCs w:val="22"/>
        </w:rPr>
        <w:t xml:space="preserve">DiMaggio &amp; Powell, </w:t>
      </w:r>
      <w:r w:rsidR="00C17C36">
        <w:rPr>
          <w:noProof/>
          <w:szCs w:val="22"/>
        </w:rPr>
        <w:t>(</w:t>
      </w:r>
      <w:r w:rsidR="00C17C36" w:rsidRPr="00C17C36">
        <w:rPr>
          <w:noProof/>
          <w:szCs w:val="22"/>
        </w:rPr>
        <w:t>1983)</w:t>
      </w:r>
      <w:r w:rsidR="00C17C36">
        <w:rPr>
          <w:bCs/>
          <w:szCs w:val="22"/>
        </w:rPr>
        <w:t xml:space="preserve"> </w:t>
      </w:r>
      <w:r w:rsidRPr="00204369">
        <w:rPr>
          <w:bCs/>
          <w:szCs w:val="22"/>
        </w:rPr>
        <w:t>argue that organisations become increasingly similar over time due to institutional pressures arising from regulations, professional norms, and competitive imitation.</w:t>
      </w:r>
    </w:p>
    <w:p w14:paraId="78B90D28" w14:textId="77777777" w:rsidR="00E87CB9" w:rsidRPr="00204369" w:rsidRDefault="00E87CB9" w:rsidP="00CE6701">
      <w:pPr>
        <w:rPr>
          <w:bCs/>
          <w:szCs w:val="22"/>
        </w:rPr>
      </w:pPr>
    </w:p>
    <w:p w14:paraId="04F0D59D" w14:textId="77777777" w:rsidR="00CE6701" w:rsidRPr="00204369" w:rsidRDefault="00CE6701" w:rsidP="00CE6701">
      <w:pPr>
        <w:rPr>
          <w:bCs/>
          <w:szCs w:val="22"/>
        </w:rPr>
      </w:pPr>
      <w:r w:rsidRPr="00204369">
        <w:rPr>
          <w:bCs/>
          <w:szCs w:val="22"/>
        </w:rPr>
        <w:t>Institutional theory identifies three primary forms of organisational pressure:</w:t>
      </w:r>
    </w:p>
    <w:p w14:paraId="263FA4BB" w14:textId="77777777" w:rsidR="00CE6701" w:rsidRPr="00204369" w:rsidRDefault="00CE6701" w:rsidP="00CE6701">
      <w:pPr>
        <w:numPr>
          <w:ilvl w:val="0"/>
          <w:numId w:val="13"/>
        </w:numPr>
        <w:rPr>
          <w:bCs/>
          <w:szCs w:val="22"/>
        </w:rPr>
      </w:pPr>
      <w:r w:rsidRPr="00204369">
        <w:rPr>
          <w:bCs/>
          <w:szCs w:val="22"/>
        </w:rPr>
        <w:t>Coercive pressures</w:t>
      </w:r>
    </w:p>
    <w:p w14:paraId="729F525A" w14:textId="77777777" w:rsidR="00CE6701" w:rsidRPr="00204369" w:rsidRDefault="00CE6701" w:rsidP="00CE6701">
      <w:pPr>
        <w:numPr>
          <w:ilvl w:val="0"/>
          <w:numId w:val="13"/>
        </w:numPr>
        <w:rPr>
          <w:bCs/>
          <w:szCs w:val="22"/>
        </w:rPr>
      </w:pPr>
      <w:r w:rsidRPr="00204369">
        <w:rPr>
          <w:bCs/>
          <w:szCs w:val="22"/>
        </w:rPr>
        <w:t>Mimetic pressures</w:t>
      </w:r>
    </w:p>
    <w:p w14:paraId="3502D1C8" w14:textId="427B77D7" w:rsidR="00E87CB9" w:rsidRDefault="00CE6701" w:rsidP="00282B88">
      <w:pPr>
        <w:numPr>
          <w:ilvl w:val="0"/>
          <w:numId w:val="13"/>
        </w:numPr>
        <w:rPr>
          <w:bCs/>
          <w:szCs w:val="22"/>
        </w:rPr>
      </w:pPr>
      <w:r w:rsidRPr="00204369">
        <w:rPr>
          <w:bCs/>
          <w:szCs w:val="22"/>
        </w:rPr>
        <w:t>Normative pressures</w:t>
      </w:r>
    </w:p>
    <w:p w14:paraId="504E95A7" w14:textId="77777777" w:rsidR="00282B88" w:rsidRPr="00282B88" w:rsidRDefault="00282B88" w:rsidP="00282B88">
      <w:pPr>
        <w:ind w:left="720" w:firstLine="0"/>
        <w:rPr>
          <w:bCs/>
          <w:szCs w:val="22"/>
        </w:rPr>
      </w:pPr>
    </w:p>
    <w:p w14:paraId="3B9F46C6" w14:textId="5D6A555E" w:rsidR="00CE6701" w:rsidRDefault="00CE6701" w:rsidP="006131FF">
      <w:pPr>
        <w:rPr>
          <w:bCs/>
          <w:szCs w:val="22"/>
        </w:rPr>
      </w:pPr>
      <w:r w:rsidRPr="00204369">
        <w:rPr>
          <w:bCs/>
          <w:szCs w:val="22"/>
        </w:rPr>
        <w:t>Coercive pressures emerge through government regulations, legal requirements, and policy frameworks. Within the energy sector, climate regulations and carbon reduction targets create pressure for organisations to reduce emissions and adopt sustainable practices.</w:t>
      </w:r>
      <w:r w:rsidR="006131FF">
        <w:rPr>
          <w:bCs/>
          <w:szCs w:val="22"/>
        </w:rPr>
        <w:t xml:space="preserve"> </w:t>
      </w:r>
      <w:r w:rsidRPr="00204369">
        <w:rPr>
          <w:bCs/>
          <w:szCs w:val="22"/>
        </w:rPr>
        <w:t>Mimetic pressures occur when organisations imitate competitors perceived as successful or legitimate. As major oil companies publicly announce net-zero commitments and renewable investments, competitors may adopt similar strategies to maintain legitimacy and competitive positioning.</w:t>
      </w:r>
      <w:r w:rsidR="006131FF">
        <w:rPr>
          <w:bCs/>
          <w:szCs w:val="22"/>
        </w:rPr>
        <w:t xml:space="preserve"> </w:t>
      </w:r>
      <w:r w:rsidRPr="00204369">
        <w:rPr>
          <w:bCs/>
          <w:szCs w:val="22"/>
        </w:rPr>
        <w:t>Normative pressures arise from professional expectations, industry standards, and social values. Growing environmental awareness and sustainability expectations encourage organisations to align with broader societal norms relating to climate responsibility.</w:t>
      </w:r>
    </w:p>
    <w:p w14:paraId="144A2FF0" w14:textId="77777777" w:rsidR="00975E38" w:rsidRDefault="00975E38" w:rsidP="001D60D8">
      <w:pPr>
        <w:ind w:left="0" w:firstLine="0"/>
        <w:rPr>
          <w:bCs/>
          <w:szCs w:val="22"/>
        </w:rPr>
      </w:pPr>
    </w:p>
    <w:p w14:paraId="278405A6" w14:textId="62D2DE23" w:rsidR="00A7260C" w:rsidRDefault="001D60D8" w:rsidP="001D60D8">
      <w:pPr>
        <w:ind w:left="0" w:firstLine="0"/>
        <w:rPr>
          <w:bCs/>
          <w:szCs w:val="22"/>
        </w:rPr>
      </w:pPr>
      <w:r w:rsidRPr="001D60D8">
        <w:rPr>
          <w:bCs/>
          <w:szCs w:val="22"/>
        </w:rPr>
        <w:t>Institutional theory suggests that organisations often adopt sustainability practices to maintain legitimacy rather than achieve substantial operational change. Legitimacy refers to the perception that organisational activities are socially acceptable and aligned with stakeholder expectations.</w:t>
      </w:r>
      <w:r w:rsidR="00975E38">
        <w:rPr>
          <w:bCs/>
          <w:szCs w:val="22"/>
        </w:rPr>
        <w:t xml:space="preserve"> </w:t>
      </w:r>
      <w:r w:rsidRPr="001D60D8">
        <w:rPr>
          <w:bCs/>
          <w:szCs w:val="22"/>
        </w:rPr>
        <w:t xml:space="preserve">Several scholars argue that climate communication strategies among oil companies may represent legitimacy management rather than genuine transformation. </w:t>
      </w:r>
      <w:r w:rsidR="003300F7" w:rsidRPr="00BA7A92">
        <w:rPr>
          <w:noProof/>
          <w:szCs w:val="22"/>
        </w:rPr>
        <w:t xml:space="preserve">Si, et al., </w:t>
      </w:r>
      <w:r w:rsidR="003300F7">
        <w:rPr>
          <w:noProof/>
          <w:szCs w:val="22"/>
        </w:rPr>
        <w:t>(</w:t>
      </w:r>
      <w:r w:rsidR="003300F7" w:rsidRPr="00BA7A92">
        <w:rPr>
          <w:noProof/>
          <w:szCs w:val="22"/>
        </w:rPr>
        <w:t>2023)</w:t>
      </w:r>
      <w:r w:rsidR="003300F7">
        <w:rPr>
          <w:bCs/>
          <w:szCs w:val="22"/>
        </w:rPr>
        <w:t xml:space="preserve"> </w:t>
      </w:r>
      <w:r w:rsidRPr="001D60D8">
        <w:rPr>
          <w:bCs/>
          <w:szCs w:val="22"/>
        </w:rPr>
        <w:t>found that fossil fuel companies frequently emphasise future renewable investments while continuing substantial fossil fuel operations. This phenomenon is commonly described as greenwashing.</w:t>
      </w:r>
      <w:r w:rsidR="000125DD">
        <w:rPr>
          <w:bCs/>
          <w:szCs w:val="22"/>
        </w:rPr>
        <w:t xml:space="preserve"> </w:t>
      </w:r>
      <w:r w:rsidRPr="001D60D8">
        <w:rPr>
          <w:bCs/>
          <w:szCs w:val="22"/>
        </w:rPr>
        <w:t>Greenwashing refers to organisational attempts to present environmentally responsible images without implementing meaningful sustainability practices</w:t>
      </w:r>
      <w:r w:rsidR="00215ABD">
        <w:rPr>
          <w:bCs/>
          <w:szCs w:val="22"/>
        </w:rPr>
        <w:t xml:space="preserve"> </w:t>
      </w:r>
      <w:sdt>
        <w:sdtPr>
          <w:rPr>
            <w:bCs/>
            <w:szCs w:val="22"/>
          </w:rPr>
          <w:id w:val="1719552836"/>
          <w:citation/>
        </w:sdtPr>
        <w:sdtEndPr/>
        <w:sdtContent>
          <w:r w:rsidR="00FD4BD7">
            <w:rPr>
              <w:bCs/>
              <w:szCs w:val="22"/>
            </w:rPr>
            <w:fldChar w:fldCharType="begin"/>
          </w:r>
          <w:r w:rsidR="00FD4BD7">
            <w:rPr>
              <w:bCs/>
              <w:szCs w:val="22"/>
            </w:rPr>
            <w:instrText xml:space="preserve"> CITATION Eig18 \l 2057 </w:instrText>
          </w:r>
          <w:r w:rsidR="00FD4BD7">
            <w:rPr>
              <w:bCs/>
              <w:szCs w:val="22"/>
            </w:rPr>
            <w:fldChar w:fldCharType="separate"/>
          </w:r>
          <w:r w:rsidR="00FD4BD7" w:rsidRPr="00FD4BD7">
            <w:rPr>
              <w:noProof/>
              <w:szCs w:val="22"/>
            </w:rPr>
            <w:t>(Tateishi, 2018)</w:t>
          </w:r>
          <w:r w:rsidR="00FD4BD7">
            <w:rPr>
              <w:bCs/>
              <w:szCs w:val="22"/>
            </w:rPr>
            <w:fldChar w:fldCharType="end"/>
          </w:r>
        </w:sdtContent>
      </w:sdt>
      <w:r w:rsidR="004D17D0">
        <w:rPr>
          <w:bCs/>
          <w:szCs w:val="22"/>
        </w:rPr>
        <w:t>.</w:t>
      </w:r>
      <w:r w:rsidRPr="001D60D8">
        <w:rPr>
          <w:bCs/>
          <w:szCs w:val="22"/>
        </w:rPr>
        <w:t xml:space="preserve"> Critics argue that some oil companies use sustainability reporting and net-zero pledges primarily to improve public reputation and reduce stakeholder criticism.</w:t>
      </w:r>
    </w:p>
    <w:p w14:paraId="37A6C2A3" w14:textId="77777777" w:rsidR="00371225" w:rsidRDefault="00371225" w:rsidP="001D60D8">
      <w:pPr>
        <w:ind w:left="0" w:firstLine="0"/>
        <w:rPr>
          <w:bCs/>
          <w:szCs w:val="22"/>
        </w:rPr>
      </w:pPr>
    </w:p>
    <w:p w14:paraId="0C7A0F74" w14:textId="4A4E7982" w:rsidR="00371225" w:rsidRPr="00371225" w:rsidRDefault="00371225" w:rsidP="00371225">
      <w:pPr>
        <w:ind w:left="0" w:firstLine="0"/>
        <w:rPr>
          <w:bCs/>
          <w:szCs w:val="22"/>
        </w:rPr>
      </w:pPr>
      <w:r w:rsidRPr="00371225">
        <w:rPr>
          <w:bCs/>
          <w:szCs w:val="22"/>
        </w:rPr>
        <w:lastRenderedPageBreak/>
        <w:t xml:space="preserve">However, other researchers caution against oversimplifying energy transition challenges. </w:t>
      </w:r>
      <w:r w:rsidR="00D46877" w:rsidRPr="00D46877">
        <w:rPr>
          <w:noProof/>
          <w:szCs w:val="22"/>
        </w:rPr>
        <w:t xml:space="preserve">Vieira, et al., </w:t>
      </w:r>
      <w:r w:rsidR="00D46877">
        <w:rPr>
          <w:noProof/>
          <w:szCs w:val="22"/>
        </w:rPr>
        <w:t>(</w:t>
      </w:r>
      <w:r w:rsidR="00D46877" w:rsidRPr="00D46877">
        <w:rPr>
          <w:noProof/>
          <w:szCs w:val="22"/>
        </w:rPr>
        <w:t>2023)</w:t>
      </w:r>
      <w:r w:rsidR="00D46877">
        <w:rPr>
          <w:bCs/>
          <w:szCs w:val="22"/>
        </w:rPr>
        <w:t xml:space="preserve"> </w:t>
      </w:r>
      <w:r w:rsidRPr="00371225">
        <w:rPr>
          <w:bCs/>
          <w:szCs w:val="22"/>
        </w:rPr>
        <w:t>explain that large-scale transformation within the oil and gas sector involves substantial technological, financial, and infrastructural limitations. Transitioning from fossil fuel dependency toward renewable energy systems requires long-term investment, organisational restructuring, and technological development.</w:t>
      </w:r>
    </w:p>
    <w:p w14:paraId="222167B2" w14:textId="77777777" w:rsidR="00371225" w:rsidRDefault="00371225" w:rsidP="00371225">
      <w:pPr>
        <w:ind w:left="0" w:firstLine="0"/>
        <w:rPr>
          <w:bCs/>
          <w:szCs w:val="22"/>
        </w:rPr>
      </w:pPr>
    </w:p>
    <w:p w14:paraId="41AF9C8C" w14:textId="6AC1A69B" w:rsidR="00371225" w:rsidRPr="00371225" w:rsidRDefault="00371225" w:rsidP="00371225">
      <w:pPr>
        <w:ind w:left="0" w:firstLine="0"/>
        <w:rPr>
          <w:bCs/>
          <w:szCs w:val="22"/>
        </w:rPr>
      </w:pPr>
      <w:r w:rsidRPr="00371225">
        <w:rPr>
          <w:bCs/>
          <w:szCs w:val="22"/>
        </w:rPr>
        <w:t>Therefore, institutional theory highlights two possible interpretations of Shell’s sustainability strategy:</w:t>
      </w:r>
    </w:p>
    <w:p w14:paraId="091584AC" w14:textId="77777777" w:rsidR="00371225" w:rsidRPr="00371225" w:rsidRDefault="00371225" w:rsidP="007C177F">
      <w:pPr>
        <w:rPr>
          <w:bCs/>
          <w:szCs w:val="22"/>
        </w:rPr>
      </w:pPr>
      <w:r w:rsidRPr="00371225">
        <w:rPr>
          <w:bCs/>
          <w:szCs w:val="22"/>
        </w:rPr>
        <w:t>Sustainability commitments as symbolic legitimacy management.</w:t>
      </w:r>
    </w:p>
    <w:p w14:paraId="198F7DD9" w14:textId="77777777" w:rsidR="00371225" w:rsidRPr="00371225" w:rsidRDefault="00371225" w:rsidP="007C177F">
      <w:pPr>
        <w:rPr>
          <w:bCs/>
          <w:szCs w:val="22"/>
        </w:rPr>
      </w:pPr>
      <w:r w:rsidRPr="00371225">
        <w:rPr>
          <w:bCs/>
          <w:szCs w:val="22"/>
        </w:rPr>
        <w:t>Sustainability commitments as genuine but constrained strategic transformation.</w:t>
      </w:r>
    </w:p>
    <w:p w14:paraId="6E249BC9" w14:textId="77777777" w:rsidR="00371225" w:rsidRDefault="00371225" w:rsidP="00371225">
      <w:pPr>
        <w:ind w:left="0" w:firstLine="0"/>
        <w:rPr>
          <w:bCs/>
          <w:szCs w:val="22"/>
        </w:rPr>
      </w:pPr>
    </w:p>
    <w:p w14:paraId="30DBACA0" w14:textId="232218F8" w:rsidR="00371225" w:rsidRPr="00371225" w:rsidRDefault="00371225" w:rsidP="00371225">
      <w:pPr>
        <w:ind w:left="0" w:firstLine="0"/>
        <w:rPr>
          <w:bCs/>
          <w:szCs w:val="22"/>
        </w:rPr>
      </w:pPr>
      <w:r w:rsidRPr="00371225">
        <w:rPr>
          <w:bCs/>
          <w:szCs w:val="22"/>
        </w:rPr>
        <w:t>This distinction is highly important because it influences how stakeholders evaluate Shell’s credibility and long-term competitiveness.</w:t>
      </w:r>
    </w:p>
    <w:p w14:paraId="05BD1B83" w14:textId="77777777" w:rsidR="00371225" w:rsidRDefault="00371225" w:rsidP="00371225">
      <w:pPr>
        <w:ind w:left="0" w:firstLine="0"/>
        <w:rPr>
          <w:bCs/>
          <w:szCs w:val="22"/>
        </w:rPr>
      </w:pPr>
    </w:p>
    <w:p w14:paraId="48D6FC64" w14:textId="53F8881E" w:rsidR="00371225" w:rsidRDefault="00371225" w:rsidP="00371225">
      <w:pPr>
        <w:ind w:left="0" w:firstLine="0"/>
        <w:rPr>
          <w:bCs/>
          <w:szCs w:val="22"/>
        </w:rPr>
      </w:pPr>
      <w:r w:rsidRPr="00371225">
        <w:rPr>
          <w:bCs/>
          <w:szCs w:val="22"/>
        </w:rPr>
        <w:t>Institutional theory also explains why sustainability communication has become increasingly standardised across the energy sector. Many oil companies now use similar terminology relating to net-zero emissions, carbon neutrality, and sustainable development. This similarity suggests that organisations may adopt common sustainability narratives to maintain legitimacy within changing institutional environments.</w:t>
      </w:r>
      <w:r w:rsidR="000125DD">
        <w:rPr>
          <w:bCs/>
          <w:szCs w:val="22"/>
        </w:rPr>
        <w:t xml:space="preserve"> </w:t>
      </w:r>
      <w:r w:rsidRPr="00371225">
        <w:rPr>
          <w:bCs/>
          <w:szCs w:val="22"/>
        </w:rPr>
        <w:t>The literature therefore demonstrates that institutional pressures significantly shape corporate sustainability strategies. However, existing studies provide limited understanding regarding the extent to which Shell’s operational and financial decisions genuinely align with its climate commitments.</w:t>
      </w:r>
    </w:p>
    <w:p w14:paraId="07E9812F" w14:textId="77777777" w:rsidR="008F7C17" w:rsidRDefault="008F7C17" w:rsidP="00371225">
      <w:pPr>
        <w:ind w:left="0" w:firstLine="0"/>
        <w:rPr>
          <w:bCs/>
          <w:szCs w:val="22"/>
        </w:rPr>
      </w:pPr>
    </w:p>
    <w:p w14:paraId="02A26299" w14:textId="68458C55" w:rsidR="00C31BD1" w:rsidRDefault="00DA3047" w:rsidP="00DA3047">
      <w:pPr>
        <w:pStyle w:val="Heading1"/>
        <w:rPr>
          <w:sz w:val="28"/>
          <w:szCs w:val="10"/>
        </w:rPr>
      </w:pPr>
      <w:r>
        <w:rPr>
          <w:sz w:val="28"/>
          <w:szCs w:val="10"/>
        </w:rPr>
        <w:t>2.</w:t>
      </w:r>
      <w:r w:rsidR="0096781A" w:rsidRPr="00DA3047">
        <w:rPr>
          <w:sz w:val="28"/>
          <w:szCs w:val="10"/>
        </w:rPr>
        <w:t>5 Strategic Ambidexterity and Organisational Tension</w:t>
      </w:r>
    </w:p>
    <w:p w14:paraId="7E90865B" w14:textId="77777777" w:rsidR="00DA3047" w:rsidRPr="00DA3047" w:rsidRDefault="00DA3047" w:rsidP="00DA3047">
      <w:pPr>
        <w:ind w:left="360" w:firstLine="0"/>
      </w:pPr>
    </w:p>
    <w:p w14:paraId="559A69FB" w14:textId="433CF15C" w:rsidR="00DF50D4" w:rsidRDefault="007D5A41" w:rsidP="002D7B0A">
      <w:pPr>
        <w:pStyle w:val="NoSpacing"/>
        <w:rPr>
          <w:bCs/>
        </w:rPr>
      </w:pPr>
      <w:r w:rsidRPr="007D5A41">
        <w:rPr>
          <w:bCs/>
        </w:rPr>
        <w:t>The theory of strategic ambidexterity provides an important framework for understanding how organisations attempt to balance competing strategic priorities, particularly during periods of significant environmental and technological change. Michael L. Tushman and Charles A. O'Reilly III 2013 define organisational ambidexterity as the ability of an organisation to simultaneously exploit its existing capabilities while exploring new opportunities for future growth. They argue that long-term organisational success depends on balancing these two activities rather than focusing exclusively on either operational efficiency or innovation. Organisations that rely solely on exploitation may achieve short-term profitability but risk becoming obsolete as market conditions evolve, whereas organisations that focus only on exploration may struggle to generate sufficient financial returns to sustain innovation.</w:t>
      </w:r>
    </w:p>
    <w:p w14:paraId="69110827" w14:textId="77777777" w:rsidR="007D5A41" w:rsidRPr="00A17092" w:rsidRDefault="007D5A41" w:rsidP="002D7B0A">
      <w:pPr>
        <w:pStyle w:val="NoSpacing"/>
        <w:rPr>
          <w:bCs/>
        </w:rPr>
      </w:pPr>
    </w:p>
    <w:p w14:paraId="5C607C9E" w14:textId="190450BF" w:rsidR="002D7B0A" w:rsidRPr="00A17092" w:rsidRDefault="002D7B0A" w:rsidP="002D7B0A">
      <w:pPr>
        <w:pStyle w:val="NoSpacing"/>
        <w:rPr>
          <w:bCs/>
        </w:rPr>
      </w:pPr>
      <w:r w:rsidRPr="00A17092">
        <w:rPr>
          <w:bCs/>
        </w:rPr>
        <w:t>Within the context of the oil and gas industry, ambidexterity refers to organisations attempting to maintain profitable fossil fuel operations while investing in renewable energy and sustainability innovation. This dual strategic approach is highly relevant to Shell because the organisation continues generating significant profits from oil and gas activities while publicly committing to energy transition initiatives.</w:t>
      </w:r>
    </w:p>
    <w:p w14:paraId="62FF26FE" w14:textId="77777777" w:rsidR="003E51B2" w:rsidRPr="00A17092" w:rsidRDefault="003E51B2" w:rsidP="002D7B0A">
      <w:pPr>
        <w:pStyle w:val="NoSpacing"/>
        <w:rPr>
          <w:bCs/>
        </w:rPr>
      </w:pPr>
    </w:p>
    <w:p w14:paraId="7C99A392" w14:textId="5119B9F1" w:rsidR="002D7B0A" w:rsidRPr="00A17092" w:rsidRDefault="002D7B0A" w:rsidP="002D7B0A">
      <w:pPr>
        <w:pStyle w:val="NoSpacing"/>
        <w:rPr>
          <w:bCs/>
        </w:rPr>
      </w:pPr>
      <w:r w:rsidRPr="00A17092">
        <w:rPr>
          <w:bCs/>
        </w:rPr>
        <w:t>Strategic ambidexterity involves balancing two distinct organisational activities:</w:t>
      </w:r>
    </w:p>
    <w:p w14:paraId="2D2500A4" w14:textId="77777777" w:rsidR="002D7B0A" w:rsidRPr="00A17092" w:rsidRDefault="002D7B0A" w:rsidP="002D7B0A">
      <w:pPr>
        <w:pStyle w:val="NoSpacing"/>
        <w:numPr>
          <w:ilvl w:val="0"/>
          <w:numId w:val="15"/>
        </w:numPr>
        <w:rPr>
          <w:bCs/>
        </w:rPr>
      </w:pPr>
      <w:r w:rsidRPr="00A17092">
        <w:rPr>
          <w:bCs/>
        </w:rPr>
        <w:t>Exploitation – maximising efficiency and profitability within existing operations.</w:t>
      </w:r>
    </w:p>
    <w:p w14:paraId="7F965CEE" w14:textId="77777777" w:rsidR="002D7B0A" w:rsidRPr="00A17092" w:rsidRDefault="002D7B0A" w:rsidP="002D7B0A">
      <w:pPr>
        <w:pStyle w:val="NoSpacing"/>
        <w:numPr>
          <w:ilvl w:val="0"/>
          <w:numId w:val="15"/>
        </w:numPr>
        <w:rPr>
          <w:bCs/>
        </w:rPr>
      </w:pPr>
      <w:r w:rsidRPr="00A17092">
        <w:rPr>
          <w:bCs/>
        </w:rPr>
        <w:t>Exploration – developing innovative technologies, processes, and future opportunities.</w:t>
      </w:r>
    </w:p>
    <w:p w14:paraId="1BE3B1F1" w14:textId="77777777" w:rsidR="00DF50D4" w:rsidRPr="00A17092" w:rsidRDefault="00DF50D4" w:rsidP="002D7B0A">
      <w:pPr>
        <w:pStyle w:val="NoSpacing"/>
        <w:rPr>
          <w:bCs/>
        </w:rPr>
      </w:pPr>
    </w:p>
    <w:p w14:paraId="4AAA08A8" w14:textId="451B7294" w:rsidR="00C376C9" w:rsidRPr="00A17092" w:rsidRDefault="002D7B0A" w:rsidP="004B16A6">
      <w:pPr>
        <w:pStyle w:val="NoSpacing"/>
        <w:rPr>
          <w:bCs/>
        </w:rPr>
      </w:pPr>
      <w:r w:rsidRPr="00A17092">
        <w:rPr>
          <w:bCs/>
        </w:rPr>
        <w:t>For Shell, exploitation involves continuing oil and gas production, LNG expansion, and hydrocarbon investments. Exploration involves renewable energy projects, hydrogen technologies, electric vehicle infrastructure, and carbon reduction initiatives.</w:t>
      </w:r>
      <w:r w:rsidR="00C044D6">
        <w:rPr>
          <w:bCs/>
        </w:rPr>
        <w:t xml:space="preserve"> </w:t>
      </w:r>
      <w:r w:rsidR="00C376C9" w:rsidRPr="00A17092">
        <w:rPr>
          <w:bCs/>
        </w:rPr>
        <w:t>According to</w:t>
      </w:r>
      <w:r w:rsidR="00096FD8" w:rsidRPr="00A17092">
        <w:rPr>
          <w:bCs/>
        </w:rPr>
        <w:t xml:space="preserve"> </w:t>
      </w:r>
      <w:r w:rsidR="00CA1467" w:rsidRPr="00A17092">
        <w:rPr>
          <w:noProof/>
        </w:rPr>
        <w:t>Raisch, et al., (2009)</w:t>
      </w:r>
      <w:r w:rsidR="00C376C9" w:rsidRPr="00A17092">
        <w:rPr>
          <w:bCs/>
        </w:rPr>
        <w:t>, ambidextrous organisations face major managerial and organisational challenges because exploitation and exploration often require different structures, cultures, and performance systems.</w:t>
      </w:r>
      <w:r w:rsidR="004B16A6">
        <w:rPr>
          <w:bCs/>
        </w:rPr>
        <w:t xml:space="preserve"> </w:t>
      </w:r>
      <w:r w:rsidR="00C376C9" w:rsidRPr="00A17092">
        <w:rPr>
          <w:bCs/>
        </w:rPr>
        <w:t>Traditional fossil fuel operations prioritise efficiency, operational stability, and financial performance. Renewable innovation, however, involves experimentation, uncertainty, and long-term investment horizons. These differences create internal tensions regarding resource allocation, organisational priorities, and leadership decisions.</w:t>
      </w:r>
    </w:p>
    <w:p w14:paraId="688A3B25" w14:textId="77777777" w:rsidR="004B16A6" w:rsidRDefault="004B16A6" w:rsidP="004B16A6">
      <w:pPr>
        <w:pStyle w:val="NoSpacing"/>
        <w:ind w:left="0" w:firstLine="0"/>
        <w:rPr>
          <w:noProof/>
        </w:rPr>
      </w:pPr>
    </w:p>
    <w:p w14:paraId="5257466E" w14:textId="5B550ABF" w:rsidR="005C50B6" w:rsidRPr="00A17092" w:rsidRDefault="00E6225F" w:rsidP="004B16A6">
      <w:pPr>
        <w:pStyle w:val="NoSpacing"/>
        <w:ind w:left="0" w:firstLine="0"/>
        <w:rPr>
          <w:bCs/>
        </w:rPr>
      </w:pPr>
      <w:r w:rsidRPr="00A17092">
        <w:rPr>
          <w:noProof/>
        </w:rPr>
        <w:t>Kassotaki, (2019)</w:t>
      </w:r>
      <w:r w:rsidR="000F5784" w:rsidRPr="00A17092">
        <w:rPr>
          <w:bCs/>
        </w:rPr>
        <w:t xml:space="preserve"> explains that ambidexterity becomes particularly difficult within highly capital-intensive industries because organisations/stakeholders often prioritise investments generating immediate financial returns.</w:t>
      </w:r>
      <w:r w:rsidR="005C50B6" w:rsidRPr="00A17092">
        <w:rPr>
          <w:rFonts w:ascii="Times New Roman" w:eastAsia="Times New Roman" w:hAnsi="Times New Roman" w:cs="Times New Roman"/>
          <w:color w:val="auto"/>
          <w:kern w:val="0"/>
          <w:lang w:eastAsia="en-GB"/>
          <w14:ligatures w14:val="none"/>
        </w:rPr>
        <w:t xml:space="preserve"> </w:t>
      </w:r>
      <w:r w:rsidR="005C50B6" w:rsidRPr="00A17092">
        <w:rPr>
          <w:bCs/>
        </w:rPr>
        <w:t>Fossil fuel projects generally provide more predictable profitability than renewable investments, making it difficult for organisations to rapidly shift capital toward sustainability initiatives.</w:t>
      </w:r>
      <w:r w:rsidR="00C044D6">
        <w:rPr>
          <w:bCs/>
        </w:rPr>
        <w:t xml:space="preserve"> </w:t>
      </w:r>
      <w:r w:rsidR="005C50B6" w:rsidRPr="00A17092">
        <w:rPr>
          <w:bCs/>
        </w:rPr>
        <w:t>Additionally, organisational cultures developed around fossil fuel operations may resist transformational change. Employees and managers within traditional business divisions may perceive renewable investments as threats to established operational structures and financial performance.</w:t>
      </w:r>
    </w:p>
    <w:p w14:paraId="7E7CDF67" w14:textId="77777777" w:rsidR="005C50B6" w:rsidRPr="00A17092" w:rsidRDefault="005C50B6" w:rsidP="005C50B6">
      <w:pPr>
        <w:pStyle w:val="NoSpacing"/>
        <w:rPr>
          <w:bCs/>
        </w:rPr>
      </w:pPr>
    </w:p>
    <w:p w14:paraId="0DD16791" w14:textId="73268894" w:rsidR="005C50B6" w:rsidRPr="00A17092" w:rsidRDefault="005C50B6" w:rsidP="004B16A6">
      <w:pPr>
        <w:pStyle w:val="NoSpacing"/>
        <w:rPr>
          <w:bCs/>
        </w:rPr>
      </w:pPr>
      <w:r w:rsidRPr="00A17092">
        <w:rPr>
          <w:bCs/>
        </w:rPr>
        <w:t>Research also suggests that performance measurement systems within oil companies often prioritise short-term profitability rather than long-term sustainability objectives. Consequently, managers may experience pressure to maintain fossil fuel revenues even when sustainability strategies require reduced hydrocarbon dependency.</w:t>
      </w:r>
      <w:r w:rsidR="004B16A6">
        <w:rPr>
          <w:bCs/>
        </w:rPr>
        <w:t xml:space="preserve"> </w:t>
      </w:r>
      <w:r w:rsidRPr="00A17092">
        <w:rPr>
          <w:bCs/>
        </w:rPr>
        <w:t>Despite these challenges, ambidexterity offers potential strategic advantages. Organisations capable of effectively balancing exploitation and exploration may achieve long-term adaptability and competitive resilience during industry transformation.</w:t>
      </w:r>
      <w:r w:rsidR="004B16A6">
        <w:rPr>
          <w:bCs/>
        </w:rPr>
        <w:t xml:space="preserve"> </w:t>
      </w:r>
      <w:r w:rsidRPr="00A17092">
        <w:rPr>
          <w:bCs/>
        </w:rPr>
        <w:t>The literature therefore highlights ambidexterity as both a strategic opportunity and a managerial challenge. However, limited research specifically examines how Shell manages organisational tensions associated with balancing profitability and sustainability objectives.</w:t>
      </w:r>
    </w:p>
    <w:p w14:paraId="428A1B09" w14:textId="77777777" w:rsidR="0049756A" w:rsidRDefault="0049756A" w:rsidP="005C50B6">
      <w:pPr>
        <w:pStyle w:val="NoSpacing"/>
        <w:rPr>
          <w:bCs/>
          <w:sz w:val="22"/>
          <w:szCs w:val="22"/>
        </w:rPr>
      </w:pPr>
    </w:p>
    <w:p w14:paraId="50A2A79E" w14:textId="77777777" w:rsidR="00926FEF" w:rsidRPr="00926FEF" w:rsidRDefault="00926FEF" w:rsidP="00926FEF">
      <w:pPr>
        <w:pStyle w:val="Heading1"/>
        <w:rPr>
          <w:b w:val="0"/>
          <w:bCs/>
          <w:sz w:val="28"/>
          <w:szCs w:val="10"/>
        </w:rPr>
      </w:pPr>
      <w:r>
        <w:rPr>
          <w:sz w:val="28"/>
          <w:szCs w:val="10"/>
        </w:rPr>
        <w:t>2</w:t>
      </w:r>
      <w:r w:rsidRPr="00926FEF">
        <w:rPr>
          <w:b w:val="0"/>
          <w:sz w:val="24"/>
        </w:rPr>
        <w:t xml:space="preserve"> </w:t>
      </w:r>
      <w:r w:rsidRPr="00926FEF">
        <w:rPr>
          <w:sz w:val="28"/>
          <w:szCs w:val="10"/>
        </w:rPr>
        <w:t>.6 Corporate Sustainability and Financial Performance</w:t>
      </w:r>
    </w:p>
    <w:p w14:paraId="393ED4D4" w14:textId="357EDD93" w:rsidR="003D4427" w:rsidRPr="00C376C9" w:rsidRDefault="003D4427" w:rsidP="00A17092">
      <w:pPr>
        <w:pStyle w:val="NoSpacing"/>
        <w:ind w:left="0" w:firstLine="0"/>
        <w:rPr>
          <w:bCs/>
          <w:sz w:val="22"/>
          <w:szCs w:val="22"/>
        </w:rPr>
      </w:pPr>
    </w:p>
    <w:p w14:paraId="620A0A8B" w14:textId="032E94CF" w:rsidR="00592D0D" w:rsidRPr="00A17092" w:rsidRDefault="00352C7A" w:rsidP="00570834">
      <w:pPr>
        <w:pStyle w:val="NoSpacing"/>
        <w:rPr>
          <w:bCs/>
        </w:rPr>
      </w:pPr>
      <w:r w:rsidRPr="00A17092">
        <w:rPr>
          <w:bCs/>
        </w:rPr>
        <w:t>One of the most debated topics within sustainability literature concerns the relationship between environmental responsibility and financial performance. Scholars continue debating whether sustainability investments enhance or reduce long-term organisational profitability.</w:t>
      </w:r>
      <w:r w:rsidR="00E640B1">
        <w:rPr>
          <w:bCs/>
        </w:rPr>
        <w:t xml:space="preserve"> </w:t>
      </w:r>
      <w:r w:rsidRPr="00A17092">
        <w:rPr>
          <w:bCs/>
        </w:rPr>
        <w:t xml:space="preserve">Some researchers argue that sustainability initiatives improve competitive advantage, corporate reputation, stakeholder trust, and long-term financial resilience. </w:t>
      </w:r>
      <w:r w:rsidR="008574AF" w:rsidRPr="00A17092">
        <w:rPr>
          <w:noProof/>
        </w:rPr>
        <w:t>Eccles, et al., (2014)</w:t>
      </w:r>
      <w:r w:rsidR="008574AF" w:rsidRPr="00A17092">
        <w:rPr>
          <w:bCs/>
        </w:rPr>
        <w:t xml:space="preserve"> </w:t>
      </w:r>
      <w:r w:rsidRPr="00A17092">
        <w:rPr>
          <w:bCs/>
        </w:rPr>
        <w:t>found that organisations with strong sustainability practices often demonstrate superior long-term financial performance compared with less sustainable competitors</w:t>
      </w:r>
      <w:r w:rsidR="00F61359" w:rsidRPr="00A17092">
        <w:rPr>
          <w:bCs/>
        </w:rPr>
        <w:t>.</w:t>
      </w:r>
      <w:r w:rsidR="00570834">
        <w:rPr>
          <w:bCs/>
        </w:rPr>
        <w:t xml:space="preserve"> </w:t>
      </w:r>
      <w:r w:rsidR="00592D0D" w:rsidRPr="00A17092">
        <w:rPr>
          <w:bCs/>
        </w:rPr>
        <w:t>Supporters of sustainability integration argue that environmental responsibility reduces exposure to regulatory risks, litigation, reputational damage, and climate-related operational disruptions. Furthermore, sustainability investments may attract environmentally conscious investors and consumers.</w:t>
      </w:r>
    </w:p>
    <w:p w14:paraId="597A6652" w14:textId="77777777" w:rsidR="002322D2" w:rsidRPr="00A17092" w:rsidRDefault="002322D2" w:rsidP="00592D0D">
      <w:pPr>
        <w:pStyle w:val="NoSpacing"/>
        <w:rPr>
          <w:bCs/>
        </w:rPr>
      </w:pPr>
    </w:p>
    <w:p w14:paraId="1D7702D9" w14:textId="4A20C045" w:rsidR="00251E6F" w:rsidRPr="00A17092" w:rsidRDefault="00592D0D" w:rsidP="00570834">
      <w:pPr>
        <w:pStyle w:val="NoSpacing"/>
        <w:rPr>
          <w:bCs/>
        </w:rPr>
      </w:pPr>
      <w:r w:rsidRPr="00A17092">
        <w:rPr>
          <w:bCs/>
        </w:rPr>
        <w:lastRenderedPageBreak/>
        <w:t>Within the energy sector, renewable investments may also create opportunities for future growth as global demand for low-carbon energy increases. Organisations that adapt successfully to sustainability trends may strengthen long-term market positioning</w:t>
      </w:r>
      <w:r w:rsidR="00570834">
        <w:rPr>
          <w:bCs/>
        </w:rPr>
        <w:t xml:space="preserve">. </w:t>
      </w:r>
      <w:r w:rsidRPr="00A17092">
        <w:rPr>
          <w:bCs/>
        </w:rPr>
        <w:t>However, other scholars argue that sustainability transformation creates substantial financial challenges, particularly within carbon-intensive industries such as oil and gas. Renewable technologies require large-scale capital expenditure, infrastructure development, and long investment horizons with uncertain returns.</w:t>
      </w:r>
      <w:r w:rsidR="00570834">
        <w:rPr>
          <w:bCs/>
        </w:rPr>
        <w:t xml:space="preserve"> </w:t>
      </w:r>
      <w:r w:rsidR="00251E6F" w:rsidRPr="00A17092">
        <w:rPr>
          <w:bCs/>
        </w:rPr>
        <w:t>According to Pickl (2019), renewable energy operations often generate lower short-term profitability compared with traditional oil and gas activities. Consequently, organisations may struggle to satisfy shareholder expectations while simultaneously increasing sustainability investments.</w:t>
      </w:r>
      <w:r w:rsidR="00570834">
        <w:rPr>
          <w:bCs/>
        </w:rPr>
        <w:t xml:space="preserve"> </w:t>
      </w:r>
      <w:r w:rsidR="00251E6F" w:rsidRPr="00A17092">
        <w:rPr>
          <w:bCs/>
        </w:rPr>
        <w:t>This challenge becomes particularly significant during periods of high oil and gas prices when hydrocarbon operations generate exceptional financial returns. Under such conditions, organisational leaders may prioritise fossil fuel expansion to maximise shareholder value.</w:t>
      </w:r>
    </w:p>
    <w:p w14:paraId="3C22BC32" w14:textId="77777777" w:rsidR="00F3583A" w:rsidRDefault="00F3583A" w:rsidP="00251E6F">
      <w:pPr>
        <w:pStyle w:val="NoSpacing"/>
        <w:rPr>
          <w:bCs/>
          <w:sz w:val="22"/>
          <w:szCs w:val="22"/>
        </w:rPr>
      </w:pPr>
    </w:p>
    <w:p w14:paraId="15A3F6C6" w14:textId="2E1A5FC3" w:rsidR="00E27440" w:rsidRDefault="00E27440">
      <w:pPr>
        <w:spacing w:after="160" w:line="278" w:lineRule="auto"/>
        <w:ind w:left="0" w:right="0" w:firstLine="0"/>
        <w:rPr>
          <w:bCs/>
        </w:rPr>
      </w:pPr>
      <w:r>
        <w:rPr>
          <w:bCs/>
        </w:rPr>
        <w:br w:type="page"/>
      </w:r>
    </w:p>
    <w:p w14:paraId="44D8923B" w14:textId="77777777" w:rsidR="00F3583A" w:rsidRPr="00E27440" w:rsidRDefault="00F3583A" w:rsidP="00251E6F">
      <w:pPr>
        <w:pStyle w:val="NoSpacing"/>
        <w:rPr>
          <w:bCs/>
        </w:rPr>
      </w:pPr>
    </w:p>
    <w:tbl>
      <w:tblPr>
        <w:tblStyle w:val="TableGrid0"/>
        <w:tblpPr w:leftFromText="180" w:rightFromText="180" w:vertAnchor="text" w:horzAnchor="margin" w:tblpX="-431" w:tblpY="241"/>
        <w:tblW w:w="10060" w:type="dxa"/>
        <w:tblLook w:val="04A0" w:firstRow="1" w:lastRow="0" w:firstColumn="1" w:lastColumn="0" w:noHBand="0" w:noVBand="1"/>
      </w:tblPr>
      <w:tblGrid>
        <w:gridCol w:w="1463"/>
        <w:gridCol w:w="1532"/>
        <w:gridCol w:w="1387"/>
        <w:gridCol w:w="1383"/>
        <w:gridCol w:w="1383"/>
        <w:gridCol w:w="1456"/>
        <w:gridCol w:w="1456"/>
      </w:tblGrid>
      <w:tr w:rsidR="00F12B8D" w:rsidRPr="00AB7095" w14:paraId="7732AD83" w14:textId="77777777" w:rsidTr="00F319E4">
        <w:tc>
          <w:tcPr>
            <w:tcW w:w="1555" w:type="dxa"/>
          </w:tcPr>
          <w:p w14:paraId="7395FD95" w14:textId="5822AF6E" w:rsidR="00F12B8D" w:rsidRPr="00AB7095" w:rsidRDefault="00F12B8D" w:rsidP="00F319E4">
            <w:pPr>
              <w:pStyle w:val="NoSpacing"/>
              <w:rPr>
                <w:bCs/>
                <w:sz w:val="22"/>
                <w:szCs w:val="22"/>
              </w:rPr>
            </w:pPr>
            <w:r w:rsidRPr="00F12B8D">
              <w:rPr>
                <w:b/>
                <w:bCs/>
                <w:sz w:val="22"/>
                <w:szCs w:val="22"/>
              </w:rPr>
              <w:t>Date</w:t>
            </w:r>
          </w:p>
        </w:tc>
        <w:tc>
          <w:tcPr>
            <w:tcW w:w="1689" w:type="dxa"/>
          </w:tcPr>
          <w:p w14:paraId="328CDC5C" w14:textId="5519ACBE" w:rsidR="001E73BE" w:rsidRDefault="00BB7356" w:rsidP="00F319E4">
            <w:pPr>
              <w:pStyle w:val="NoSpacing"/>
              <w:rPr>
                <w:b/>
                <w:bCs/>
                <w:sz w:val="22"/>
                <w:szCs w:val="22"/>
              </w:rPr>
            </w:pPr>
            <w:hyperlink w:anchor="_ABBREVIATIONS" w:history="1">
              <w:r w:rsidRPr="00BD645D">
                <w:rPr>
                  <w:rStyle w:val="Hyperlink"/>
                  <w:b/>
                  <w:bCs/>
                  <w:sz w:val="22"/>
                  <w:szCs w:val="22"/>
                </w:rPr>
                <w:t>ULSP</w:t>
              </w:r>
            </w:hyperlink>
          </w:p>
          <w:p w14:paraId="5C2E2880" w14:textId="64F1FD3C" w:rsidR="00F12B8D" w:rsidRPr="00AB7095" w:rsidRDefault="00BB7356" w:rsidP="00F319E4">
            <w:pPr>
              <w:pStyle w:val="NoSpacing"/>
              <w:rPr>
                <w:bCs/>
                <w:sz w:val="22"/>
                <w:szCs w:val="22"/>
              </w:rPr>
            </w:pPr>
            <w:r w:rsidRPr="00BB7356">
              <w:rPr>
                <w:b/>
                <w:bCs/>
                <w:sz w:val="22"/>
                <w:szCs w:val="22"/>
              </w:rPr>
              <w:t>Pump price in pence/litre</w:t>
            </w:r>
          </w:p>
        </w:tc>
        <w:tc>
          <w:tcPr>
            <w:tcW w:w="1392" w:type="dxa"/>
          </w:tcPr>
          <w:p w14:paraId="781141CE" w14:textId="05247E6D" w:rsidR="001E73BE" w:rsidRDefault="001E73BE" w:rsidP="00F319E4">
            <w:pPr>
              <w:pStyle w:val="NoSpacing"/>
              <w:rPr>
                <w:b/>
                <w:bCs/>
                <w:sz w:val="22"/>
                <w:szCs w:val="22"/>
              </w:rPr>
            </w:pPr>
            <w:hyperlink w:anchor="_ABBREVIATIONS" w:history="1">
              <w:r w:rsidRPr="00BD645D">
                <w:rPr>
                  <w:rStyle w:val="Hyperlink"/>
                  <w:b/>
                  <w:bCs/>
                  <w:sz w:val="22"/>
                  <w:szCs w:val="22"/>
                </w:rPr>
                <w:t>ULSD</w:t>
              </w:r>
            </w:hyperlink>
          </w:p>
          <w:p w14:paraId="71D49B93" w14:textId="3AF22F66" w:rsidR="00F12B8D" w:rsidRPr="00AB7095" w:rsidRDefault="00BB7356" w:rsidP="00F319E4">
            <w:pPr>
              <w:pStyle w:val="NoSpacing"/>
              <w:rPr>
                <w:bCs/>
                <w:sz w:val="22"/>
                <w:szCs w:val="22"/>
              </w:rPr>
            </w:pPr>
            <w:r w:rsidRPr="00BB7356">
              <w:rPr>
                <w:b/>
                <w:bCs/>
                <w:sz w:val="22"/>
                <w:szCs w:val="22"/>
              </w:rPr>
              <w:t>Pump price in pence/litre</w:t>
            </w:r>
          </w:p>
        </w:tc>
        <w:tc>
          <w:tcPr>
            <w:tcW w:w="1383" w:type="dxa"/>
          </w:tcPr>
          <w:p w14:paraId="508561C0" w14:textId="77777777" w:rsidR="00AE1651" w:rsidRDefault="00AE1651" w:rsidP="00F319E4">
            <w:pPr>
              <w:pStyle w:val="NoSpacing"/>
              <w:rPr>
                <w:b/>
                <w:bCs/>
                <w:sz w:val="22"/>
                <w:szCs w:val="22"/>
              </w:rPr>
            </w:pPr>
            <w:r w:rsidRPr="00AE1651">
              <w:rPr>
                <w:b/>
                <w:bCs/>
                <w:sz w:val="22"/>
                <w:szCs w:val="22"/>
              </w:rPr>
              <w:t>ULSP</w:t>
            </w:r>
          </w:p>
          <w:p w14:paraId="046157E2" w14:textId="6C714588" w:rsidR="00F12B8D" w:rsidRPr="00AB7095" w:rsidRDefault="00AE1651" w:rsidP="00F319E4">
            <w:pPr>
              <w:pStyle w:val="NoSpacing"/>
              <w:rPr>
                <w:bCs/>
                <w:sz w:val="22"/>
                <w:szCs w:val="22"/>
              </w:rPr>
            </w:pPr>
            <w:r w:rsidRPr="00AE1651">
              <w:rPr>
                <w:b/>
                <w:bCs/>
                <w:sz w:val="22"/>
                <w:szCs w:val="22"/>
              </w:rPr>
              <w:t>Duty rate in pence/litre</w:t>
            </w:r>
          </w:p>
        </w:tc>
        <w:tc>
          <w:tcPr>
            <w:tcW w:w="1383" w:type="dxa"/>
          </w:tcPr>
          <w:p w14:paraId="674A8359" w14:textId="77777777" w:rsidR="00ED4704" w:rsidRDefault="00ED4704" w:rsidP="00F319E4">
            <w:pPr>
              <w:pStyle w:val="NoSpacing"/>
              <w:rPr>
                <w:b/>
                <w:bCs/>
                <w:sz w:val="22"/>
                <w:szCs w:val="22"/>
              </w:rPr>
            </w:pPr>
            <w:r w:rsidRPr="00ED4704">
              <w:rPr>
                <w:b/>
                <w:bCs/>
                <w:sz w:val="22"/>
                <w:szCs w:val="22"/>
              </w:rPr>
              <w:t>ULSD</w:t>
            </w:r>
          </w:p>
          <w:p w14:paraId="257527C9" w14:textId="4979F8CC" w:rsidR="00F12B8D" w:rsidRPr="00AB7095" w:rsidRDefault="00ED4704" w:rsidP="00F319E4">
            <w:pPr>
              <w:pStyle w:val="NoSpacing"/>
              <w:rPr>
                <w:bCs/>
                <w:sz w:val="22"/>
                <w:szCs w:val="22"/>
              </w:rPr>
            </w:pPr>
            <w:r w:rsidRPr="00ED4704">
              <w:rPr>
                <w:b/>
                <w:bCs/>
                <w:sz w:val="22"/>
                <w:szCs w:val="22"/>
              </w:rPr>
              <w:t>Duty rate in pence/litre</w:t>
            </w:r>
          </w:p>
        </w:tc>
        <w:tc>
          <w:tcPr>
            <w:tcW w:w="1456" w:type="dxa"/>
          </w:tcPr>
          <w:p w14:paraId="7EF67A37" w14:textId="77777777" w:rsidR="00B50D64" w:rsidRDefault="00B50D64" w:rsidP="00F319E4">
            <w:pPr>
              <w:pStyle w:val="NoSpacing"/>
              <w:rPr>
                <w:b/>
                <w:bCs/>
                <w:sz w:val="22"/>
                <w:szCs w:val="22"/>
              </w:rPr>
            </w:pPr>
            <w:r w:rsidRPr="00B50D64">
              <w:rPr>
                <w:b/>
                <w:bCs/>
                <w:sz w:val="22"/>
                <w:szCs w:val="22"/>
              </w:rPr>
              <w:t>ULSP</w:t>
            </w:r>
          </w:p>
          <w:p w14:paraId="1A8403B8" w14:textId="1493A390" w:rsidR="00F12B8D" w:rsidRPr="00AB7095" w:rsidRDefault="00B50D64" w:rsidP="00F319E4">
            <w:pPr>
              <w:pStyle w:val="NoSpacing"/>
              <w:rPr>
                <w:bCs/>
                <w:sz w:val="22"/>
                <w:szCs w:val="22"/>
              </w:rPr>
            </w:pPr>
            <w:r w:rsidRPr="00B50D64">
              <w:rPr>
                <w:b/>
                <w:bCs/>
                <w:sz w:val="22"/>
                <w:szCs w:val="22"/>
              </w:rPr>
              <w:t>VAT percentage rate</w:t>
            </w:r>
          </w:p>
        </w:tc>
        <w:tc>
          <w:tcPr>
            <w:tcW w:w="1202" w:type="dxa"/>
          </w:tcPr>
          <w:p w14:paraId="73A05A6A" w14:textId="77777777" w:rsidR="006A6067" w:rsidRDefault="006A6067" w:rsidP="00F319E4">
            <w:pPr>
              <w:pStyle w:val="NoSpacing"/>
              <w:rPr>
                <w:b/>
                <w:bCs/>
                <w:sz w:val="22"/>
                <w:szCs w:val="22"/>
              </w:rPr>
            </w:pPr>
            <w:r w:rsidRPr="006A6067">
              <w:rPr>
                <w:b/>
                <w:bCs/>
                <w:sz w:val="22"/>
                <w:szCs w:val="22"/>
              </w:rPr>
              <w:t>ULSD</w:t>
            </w:r>
          </w:p>
          <w:p w14:paraId="558F5813" w14:textId="4926E15C" w:rsidR="00F12B8D" w:rsidRPr="00AB7095" w:rsidRDefault="006A6067" w:rsidP="00F319E4">
            <w:pPr>
              <w:pStyle w:val="NoSpacing"/>
              <w:rPr>
                <w:bCs/>
                <w:sz w:val="22"/>
                <w:szCs w:val="22"/>
              </w:rPr>
            </w:pPr>
            <w:r w:rsidRPr="006A6067">
              <w:rPr>
                <w:b/>
                <w:bCs/>
                <w:sz w:val="22"/>
                <w:szCs w:val="22"/>
              </w:rPr>
              <w:t>VAT percentage rate</w:t>
            </w:r>
          </w:p>
        </w:tc>
      </w:tr>
      <w:tr w:rsidR="00992813" w:rsidRPr="00AB7095" w14:paraId="3FD8A52D" w14:textId="77777777" w:rsidTr="00F319E4">
        <w:tc>
          <w:tcPr>
            <w:tcW w:w="1555" w:type="dxa"/>
            <w:hideMark/>
          </w:tcPr>
          <w:p w14:paraId="1DB380CA" w14:textId="77777777" w:rsidR="00992813" w:rsidRPr="00AB7095" w:rsidRDefault="00992813" w:rsidP="00F319E4">
            <w:pPr>
              <w:pStyle w:val="NoSpacing"/>
              <w:rPr>
                <w:bCs/>
                <w:sz w:val="22"/>
                <w:szCs w:val="22"/>
              </w:rPr>
            </w:pPr>
            <w:r w:rsidRPr="00AB7095">
              <w:rPr>
                <w:bCs/>
                <w:sz w:val="22"/>
                <w:szCs w:val="22"/>
              </w:rPr>
              <w:t>05/01/2026</w:t>
            </w:r>
          </w:p>
        </w:tc>
        <w:tc>
          <w:tcPr>
            <w:tcW w:w="1689" w:type="dxa"/>
            <w:hideMark/>
          </w:tcPr>
          <w:p w14:paraId="0A60805B" w14:textId="77777777" w:rsidR="00992813" w:rsidRPr="00AB7095" w:rsidRDefault="00992813" w:rsidP="00F319E4">
            <w:pPr>
              <w:pStyle w:val="NoSpacing"/>
              <w:rPr>
                <w:bCs/>
                <w:sz w:val="22"/>
                <w:szCs w:val="22"/>
              </w:rPr>
            </w:pPr>
            <w:r w:rsidRPr="00AB7095">
              <w:rPr>
                <w:bCs/>
                <w:sz w:val="22"/>
                <w:szCs w:val="22"/>
              </w:rPr>
              <w:t>134.9</w:t>
            </w:r>
          </w:p>
        </w:tc>
        <w:tc>
          <w:tcPr>
            <w:tcW w:w="1392" w:type="dxa"/>
            <w:hideMark/>
          </w:tcPr>
          <w:p w14:paraId="3328D4AA" w14:textId="77777777" w:rsidR="00992813" w:rsidRPr="00AB7095" w:rsidRDefault="00992813" w:rsidP="00F319E4">
            <w:pPr>
              <w:pStyle w:val="NoSpacing"/>
              <w:rPr>
                <w:bCs/>
                <w:sz w:val="22"/>
                <w:szCs w:val="22"/>
              </w:rPr>
            </w:pPr>
            <w:r w:rsidRPr="00AB7095">
              <w:rPr>
                <w:bCs/>
                <w:sz w:val="22"/>
                <w:szCs w:val="22"/>
              </w:rPr>
              <w:t>144.19</w:t>
            </w:r>
          </w:p>
        </w:tc>
        <w:tc>
          <w:tcPr>
            <w:tcW w:w="1383" w:type="dxa"/>
            <w:hideMark/>
          </w:tcPr>
          <w:p w14:paraId="40733AAD"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1F9ECC2D"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A0B9F35"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1AE78B53"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6C36ABB5" w14:textId="77777777" w:rsidTr="00F319E4">
        <w:tc>
          <w:tcPr>
            <w:tcW w:w="1555" w:type="dxa"/>
            <w:hideMark/>
          </w:tcPr>
          <w:p w14:paraId="754587C3" w14:textId="77777777" w:rsidR="00992813" w:rsidRPr="00AB7095" w:rsidRDefault="00992813" w:rsidP="00F319E4">
            <w:pPr>
              <w:pStyle w:val="NoSpacing"/>
              <w:rPr>
                <w:bCs/>
                <w:sz w:val="22"/>
                <w:szCs w:val="22"/>
              </w:rPr>
            </w:pPr>
            <w:r w:rsidRPr="00AB7095">
              <w:rPr>
                <w:bCs/>
                <w:sz w:val="22"/>
                <w:szCs w:val="22"/>
              </w:rPr>
              <w:t>12/01/2026</w:t>
            </w:r>
          </w:p>
        </w:tc>
        <w:tc>
          <w:tcPr>
            <w:tcW w:w="1689" w:type="dxa"/>
            <w:hideMark/>
          </w:tcPr>
          <w:p w14:paraId="07762A92" w14:textId="77777777" w:rsidR="00992813" w:rsidRPr="00AB7095" w:rsidRDefault="00992813" w:rsidP="00F319E4">
            <w:pPr>
              <w:pStyle w:val="NoSpacing"/>
              <w:rPr>
                <w:bCs/>
                <w:sz w:val="22"/>
                <w:szCs w:val="22"/>
              </w:rPr>
            </w:pPr>
            <w:r w:rsidRPr="00AB7095">
              <w:rPr>
                <w:bCs/>
                <w:sz w:val="22"/>
                <w:szCs w:val="22"/>
              </w:rPr>
              <w:t>133.43</w:t>
            </w:r>
          </w:p>
        </w:tc>
        <w:tc>
          <w:tcPr>
            <w:tcW w:w="1392" w:type="dxa"/>
            <w:hideMark/>
          </w:tcPr>
          <w:p w14:paraId="5B4BD7B6" w14:textId="77777777" w:rsidR="00992813" w:rsidRPr="00AB7095" w:rsidRDefault="00992813" w:rsidP="00F319E4">
            <w:pPr>
              <w:pStyle w:val="NoSpacing"/>
              <w:rPr>
                <w:bCs/>
                <w:sz w:val="22"/>
                <w:szCs w:val="22"/>
              </w:rPr>
            </w:pPr>
            <w:r w:rsidRPr="00AB7095">
              <w:rPr>
                <w:bCs/>
                <w:sz w:val="22"/>
                <w:szCs w:val="22"/>
              </w:rPr>
              <w:t>142.63</w:t>
            </w:r>
          </w:p>
        </w:tc>
        <w:tc>
          <w:tcPr>
            <w:tcW w:w="1383" w:type="dxa"/>
            <w:hideMark/>
          </w:tcPr>
          <w:p w14:paraId="079F558F"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06A20CC5"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11D08F6D"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091B025F"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4D12401" w14:textId="77777777" w:rsidTr="00F319E4">
        <w:tc>
          <w:tcPr>
            <w:tcW w:w="1555" w:type="dxa"/>
            <w:hideMark/>
          </w:tcPr>
          <w:p w14:paraId="08663D9C" w14:textId="77777777" w:rsidR="00992813" w:rsidRPr="00AB7095" w:rsidRDefault="00992813" w:rsidP="00F319E4">
            <w:pPr>
              <w:pStyle w:val="NoSpacing"/>
              <w:rPr>
                <w:bCs/>
                <w:sz w:val="22"/>
                <w:szCs w:val="22"/>
              </w:rPr>
            </w:pPr>
            <w:r w:rsidRPr="00AB7095">
              <w:rPr>
                <w:bCs/>
                <w:sz w:val="22"/>
                <w:szCs w:val="22"/>
              </w:rPr>
              <w:t>19/01/2026</w:t>
            </w:r>
          </w:p>
        </w:tc>
        <w:tc>
          <w:tcPr>
            <w:tcW w:w="1689" w:type="dxa"/>
            <w:hideMark/>
          </w:tcPr>
          <w:p w14:paraId="55565114" w14:textId="77777777" w:rsidR="00992813" w:rsidRPr="00AB7095" w:rsidRDefault="00992813" w:rsidP="00F319E4">
            <w:pPr>
              <w:pStyle w:val="NoSpacing"/>
              <w:rPr>
                <w:bCs/>
                <w:sz w:val="22"/>
                <w:szCs w:val="22"/>
              </w:rPr>
            </w:pPr>
            <w:r w:rsidRPr="00AB7095">
              <w:rPr>
                <w:bCs/>
                <w:sz w:val="22"/>
                <w:szCs w:val="22"/>
              </w:rPr>
              <w:t>132.64</w:t>
            </w:r>
          </w:p>
        </w:tc>
        <w:tc>
          <w:tcPr>
            <w:tcW w:w="1392" w:type="dxa"/>
            <w:hideMark/>
          </w:tcPr>
          <w:p w14:paraId="6B714A13" w14:textId="77777777" w:rsidR="00992813" w:rsidRPr="00AB7095" w:rsidRDefault="00992813" w:rsidP="00F319E4">
            <w:pPr>
              <w:pStyle w:val="NoSpacing"/>
              <w:rPr>
                <w:bCs/>
                <w:sz w:val="22"/>
                <w:szCs w:val="22"/>
              </w:rPr>
            </w:pPr>
            <w:r w:rsidRPr="00AB7095">
              <w:rPr>
                <w:bCs/>
                <w:sz w:val="22"/>
                <w:szCs w:val="22"/>
              </w:rPr>
              <w:t>141.82</w:t>
            </w:r>
          </w:p>
        </w:tc>
        <w:tc>
          <w:tcPr>
            <w:tcW w:w="1383" w:type="dxa"/>
            <w:hideMark/>
          </w:tcPr>
          <w:p w14:paraId="7433A4A0"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7C3F735A"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9392CD2"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11794823"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504CECE9" w14:textId="77777777" w:rsidTr="00F319E4">
        <w:tc>
          <w:tcPr>
            <w:tcW w:w="1555" w:type="dxa"/>
            <w:hideMark/>
          </w:tcPr>
          <w:p w14:paraId="165F2A89" w14:textId="77777777" w:rsidR="00992813" w:rsidRPr="00AB7095" w:rsidRDefault="00992813" w:rsidP="00F319E4">
            <w:pPr>
              <w:pStyle w:val="NoSpacing"/>
              <w:rPr>
                <w:bCs/>
                <w:sz w:val="22"/>
                <w:szCs w:val="22"/>
              </w:rPr>
            </w:pPr>
            <w:r w:rsidRPr="00AB7095">
              <w:rPr>
                <w:bCs/>
                <w:sz w:val="22"/>
                <w:szCs w:val="22"/>
              </w:rPr>
              <w:t>26/01/2026</w:t>
            </w:r>
          </w:p>
        </w:tc>
        <w:tc>
          <w:tcPr>
            <w:tcW w:w="1689" w:type="dxa"/>
            <w:hideMark/>
          </w:tcPr>
          <w:p w14:paraId="5BEF7A19" w14:textId="77777777" w:rsidR="00992813" w:rsidRPr="00AB7095" w:rsidRDefault="00992813" w:rsidP="00F319E4">
            <w:pPr>
              <w:pStyle w:val="NoSpacing"/>
              <w:rPr>
                <w:bCs/>
                <w:sz w:val="22"/>
                <w:szCs w:val="22"/>
              </w:rPr>
            </w:pPr>
            <w:r w:rsidRPr="00AB7095">
              <w:rPr>
                <w:bCs/>
                <w:sz w:val="22"/>
                <w:szCs w:val="22"/>
              </w:rPr>
              <w:t>132</w:t>
            </w:r>
          </w:p>
        </w:tc>
        <w:tc>
          <w:tcPr>
            <w:tcW w:w="1392" w:type="dxa"/>
            <w:hideMark/>
          </w:tcPr>
          <w:p w14:paraId="0D2BF0FE" w14:textId="77777777" w:rsidR="00992813" w:rsidRPr="00AB7095" w:rsidRDefault="00992813" w:rsidP="00F319E4">
            <w:pPr>
              <w:pStyle w:val="NoSpacing"/>
              <w:rPr>
                <w:bCs/>
                <w:sz w:val="22"/>
                <w:szCs w:val="22"/>
              </w:rPr>
            </w:pPr>
            <w:r w:rsidRPr="00AB7095">
              <w:rPr>
                <w:bCs/>
                <w:sz w:val="22"/>
                <w:szCs w:val="22"/>
              </w:rPr>
              <w:t>141.26</w:t>
            </w:r>
          </w:p>
        </w:tc>
        <w:tc>
          <w:tcPr>
            <w:tcW w:w="1383" w:type="dxa"/>
            <w:hideMark/>
          </w:tcPr>
          <w:p w14:paraId="69C906EE"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601BBD50"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33A92A3"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19183243"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3156F11F" w14:textId="77777777" w:rsidTr="00F319E4">
        <w:tc>
          <w:tcPr>
            <w:tcW w:w="1555" w:type="dxa"/>
            <w:hideMark/>
          </w:tcPr>
          <w:p w14:paraId="322985CE" w14:textId="77777777" w:rsidR="00992813" w:rsidRPr="00AB7095" w:rsidRDefault="00992813" w:rsidP="00F319E4">
            <w:pPr>
              <w:pStyle w:val="NoSpacing"/>
              <w:rPr>
                <w:bCs/>
                <w:sz w:val="22"/>
                <w:szCs w:val="22"/>
              </w:rPr>
            </w:pPr>
            <w:r w:rsidRPr="00AB7095">
              <w:rPr>
                <w:bCs/>
                <w:sz w:val="22"/>
                <w:szCs w:val="22"/>
              </w:rPr>
              <w:t>02/02/2026</w:t>
            </w:r>
          </w:p>
        </w:tc>
        <w:tc>
          <w:tcPr>
            <w:tcW w:w="1689" w:type="dxa"/>
            <w:hideMark/>
          </w:tcPr>
          <w:p w14:paraId="7DFEFD88" w14:textId="77777777" w:rsidR="00992813" w:rsidRPr="00AB7095" w:rsidRDefault="00992813" w:rsidP="00F319E4">
            <w:pPr>
              <w:pStyle w:val="NoSpacing"/>
              <w:rPr>
                <w:bCs/>
                <w:sz w:val="22"/>
                <w:szCs w:val="22"/>
              </w:rPr>
            </w:pPr>
            <w:r w:rsidRPr="00AB7095">
              <w:rPr>
                <w:bCs/>
                <w:sz w:val="22"/>
                <w:szCs w:val="22"/>
              </w:rPr>
              <w:t>131.62</w:t>
            </w:r>
          </w:p>
        </w:tc>
        <w:tc>
          <w:tcPr>
            <w:tcW w:w="1392" w:type="dxa"/>
            <w:hideMark/>
          </w:tcPr>
          <w:p w14:paraId="3A515879" w14:textId="77777777" w:rsidR="00992813" w:rsidRPr="00AB7095" w:rsidRDefault="00992813" w:rsidP="00F319E4">
            <w:pPr>
              <w:pStyle w:val="NoSpacing"/>
              <w:rPr>
                <w:bCs/>
                <w:sz w:val="22"/>
                <w:szCs w:val="22"/>
              </w:rPr>
            </w:pPr>
            <w:r w:rsidRPr="00AB7095">
              <w:rPr>
                <w:bCs/>
                <w:sz w:val="22"/>
                <w:szCs w:val="22"/>
              </w:rPr>
              <w:t>140.82</w:t>
            </w:r>
          </w:p>
        </w:tc>
        <w:tc>
          <w:tcPr>
            <w:tcW w:w="1383" w:type="dxa"/>
            <w:hideMark/>
          </w:tcPr>
          <w:p w14:paraId="5DBBDC6B"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0B03D322"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CC78629"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7D729F51"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23EC861D" w14:textId="77777777" w:rsidTr="00F319E4">
        <w:tc>
          <w:tcPr>
            <w:tcW w:w="1555" w:type="dxa"/>
            <w:hideMark/>
          </w:tcPr>
          <w:p w14:paraId="6F6CEE20" w14:textId="77777777" w:rsidR="00992813" w:rsidRPr="00AB7095" w:rsidRDefault="00992813" w:rsidP="00F319E4">
            <w:pPr>
              <w:pStyle w:val="NoSpacing"/>
              <w:rPr>
                <w:bCs/>
                <w:sz w:val="22"/>
                <w:szCs w:val="22"/>
              </w:rPr>
            </w:pPr>
            <w:r w:rsidRPr="00AB7095">
              <w:rPr>
                <w:bCs/>
                <w:sz w:val="22"/>
                <w:szCs w:val="22"/>
              </w:rPr>
              <w:t>09/02/2026</w:t>
            </w:r>
          </w:p>
        </w:tc>
        <w:tc>
          <w:tcPr>
            <w:tcW w:w="1689" w:type="dxa"/>
            <w:hideMark/>
          </w:tcPr>
          <w:p w14:paraId="40F846D9" w14:textId="77777777" w:rsidR="00992813" w:rsidRPr="00AB7095" w:rsidRDefault="00992813" w:rsidP="00F319E4">
            <w:pPr>
              <w:pStyle w:val="NoSpacing"/>
              <w:rPr>
                <w:bCs/>
                <w:sz w:val="22"/>
                <w:szCs w:val="22"/>
              </w:rPr>
            </w:pPr>
            <w:r w:rsidRPr="00AB7095">
              <w:rPr>
                <w:bCs/>
                <w:sz w:val="22"/>
                <w:szCs w:val="22"/>
              </w:rPr>
              <w:t>131.46</w:t>
            </w:r>
          </w:p>
        </w:tc>
        <w:tc>
          <w:tcPr>
            <w:tcW w:w="1392" w:type="dxa"/>
            <w:hideMark/>
          </w:tcPr>
          <w:p w14:paraId="0FC2CB2D" w14:textId="77777777" w:rsidR="00992813" w:rsidRPr="00AB7095" w:rsidRDefault="00992813" w:rsidP="00F319E4">
            <w:pPr>
              <w:pStyle w:val="NoSpacing"/>
              <w:rPr>
                <w:bCs/>
                <w:sz w:val="22"/>
                <w:szCs w:val="22"/>
              </w:rPr>
            </w:pPr>
            <w:r w:rsidRPr="00AB7095">
              <w:rPr>
                <w:bCs/>
                <w:sz w:val="22"/>
                <w:szCs w:val="22"/>
              </w:rPr>
              <w:t>140.72</w:t>
            </w:r>
          </w:p>
        </w:tc>
        <w:tc>
          <w:tcPr>
            <w:tcW w:w="1383" w:type="dxa"/>
            <w:hideMark/>
          </w:tcPr>
          <w:p w14:paraId="3EF936BE"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79B5F61B"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54AF56E7"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65A5C7BD"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24D8F681" w14:textId="77777777" w:rsidTr="00F319E4">
        <w:tc>
          <w:tcPr>
            <w:tcW w:w="1555" w:type="dxa"/>
            <w:hideMark/>
          </w:tcPr>
          <w:p w14:paraId="43E1C1F4" w14:textId="77777777" w:rsidR="00992813" w:rsidRPr="00AB7095" w:rsidRDefault="00992813" w:rsidP="00F319E4">
            <w:pPr>
              <w:pStyle w:val="NoSpacing"/>
              <w:rPr>
                <w:bCs/>
                <w:sz w:val="22"/>
                <w:szCs w:val="22"/>
              </w:rPr>
            </w:pPr>
            <w:r w:rsidRPr="00AB7095">
              <w:rPr>
                <w:bCs/>
                <w:sz w:val="22"/>
                <w:szCs w:val="22"/>
              </w:rPr>
              <w:t>16/02/2026</w:t>
            </w:r>
          </w:p>
        </w:tc>
        <w:tc>
          <w:tcPr>
            <w:tcW w:w="1689" w:type="dxa"/>
            <w:hideMark/>
          </w:tcPr>
          <w:p w14:paraId="46DA890E" w14:textId="77777777" w:rsidR="00992813" w:rsidRPr="00AB7095" w:rsidRDefault="00992813" w:rsidP="00F319E4">
            <w:pPr>
              <w:pStyle w:val="NoSpacing"/>
              <w:rPr>
                <w:bCs/>
                <w:sz w:val="22"/>
                <w:szCs w:val="22"/>
              </w:rPr>
            </w:pPr>
            <w:r w:rsidRPr="00AB7095">
              <w:rPr>
                <w:bCs/>
                <w:sz w:val="22"/>
                <w:szCs w:val="22"/>
              </w:rPr>
              <w:t>131.6</w:t>
            </w:r>
          </w:p>
        </w:tc>
        <w:tc>
          <w:tcPr>
            <w:tcW w:w="1392" w:type="dxa"/>
            <w:hideMark/>
          </w:tcPr>
          <w:p w14:paraId="48C8A8A4" w14:textId="77777777" w:rsidR="00992813" w:rsidRPr="00AB7095" w:rsidRDefault="00992813" w:rsidP="00F319E4">
            <w:pPr>
              <w:pStyle w:val="NoSpacing"/>
              <w:rPr>
                <w:bCs/>
                <w:sz w:val="22"/>
                <w:szCs w:val="22"/>
              </w:rPr>
            </w:pPr>
            <w:r w:rsidRPr="00AB7095">
              <w:rPr>
                <w:bCs/>
                <w:sz w:val="22"/>
                <w:szCs w:val="22"/>
              </w:rPr>
              <w:t>141.46</w:t>
            </w:r>
          </w:p>
        </w:tc>
        <w:tc>
          <w:tcPr>
            <w:tcW w:w="1383" w:type="dxa"/>
            <w:hideMark/>
          </w:tcPr>
          <w:p w14:paraId="54FA6B27"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25ED8D43"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55111DE"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322732EA"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2DE7D6AB" w14:textId="77777777" w:rsidTr="00F319E4">
        <w:tc>
          <w:tcPr>
            <w:tcW w:w="1555" w:type="dxa"/>
            <w:hideMark/>
          </w:tcPr>
          <w:p w14:paraId="32756EE2" w14:textId="77777777" w:rsidR="00992813" w:rsidRPr="00AB7095" w:rsidRDefault="00992813" w:rsidP="00F319E4">
            <w:pPr>
              <w:pStyle w:val="NoSpacing"/>
              <w:rPr>
                <w:bCs/>
                <w:sz w:val="22"/>
                <w:szCs w:val="22"/>
              </w:rPr>
            </w:pPr>
            <w:r w:rsidRPr="00AB7095">
              <w:rPr>
                <w:bCs/>
                <w:sz w:val="22"/>
                <w:szCs w:val="22"/>
              </w:rPr>
              <w:t>23/02/2026</w:t>
            </w:r>
          </w:p>
        </w:tc>
        <w:tc>
          <w:tcPr>
            <w:tcW w:w="1689" w:type="dxa"/>
            <w:hideMark/>
          </w:tcPr>
          <w:p w14:paraId="5E2B9A88" w14:textId="77777777" w:rsidR="00992813" w:rsidRPr="00AB7095" w:rsidRDefault="00992813" w:rsidP="00F319E4">
            <w:pPr>
              <w:pStyle w:val="NoSpacing"/>
              <w:rPr>
                <w:bCs/>
                <w:sz w:val="22"/>
                <w:szCs w:val="22"/>
              </w:rPr>
            </w:pPr>
            <w:r w:rsidRPr="00AB7095">
              <w:rPr>
                <w:bCs/>
                <w:sz w:val="22"/>
                <w:szCs w:val="22"/>
              </w:rPr>
              <w:t>131.71</w:t>
            </w:r>
          </w:p>
        </w:tc>
        <w:tc>
          <w:tcPr>
            <w:tcW w:w="1392" w:type="dxa"/>
            <w:hideMark/>
          </w:tcPr>
          <w:p w14:paraId="49D449B8" w14:textId="77777777" w:rsidR="00992813" w:rsidRPr="00AB7095" w:rsidRDefault="00992813" w:rsidP="00F319E4">
            <w:pPr>
              <w:pStyle w:val="NoSpacing"/>
              <w:rPr>
                <w:bCs/>
                <w:sz w:val="22"/>
                <w:szCs w:val="22"/>
              </w:rPr>
            </w:pPr>
            <w:r w:rsidRPr="00AB7095">
              <w:rPr>
                <w:bCs/>
                <w:sz w:val="22"/>
                <w:szCs w:val="22"/>
              </w:rPr>
              <w:t>141.46</w:t>
            </w:r>
          </w:p>
        </w:tc>
        <w:tc>
          <w:tcPr>
            <w:tcW w:w="1383" w:type="dxa"/>
            <w:hideMark/>
          </w:tcPr>
          <w:p w14:paraId="701CEA6A"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2059C4CB"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EDF62F5"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AE42838"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63356B60" w14:textId="77777777" w:rsidTr="00F319E4">
        <w:tc>
          <w:tcPr>
            <w:tcW w:w="1555" w:type="dxa"/>
            <w:hideMark/>
          </w:tcPr>
          <w:p w14:paraId="32232E4C" w14:textId="77777777" w:rsidR="00992813" w:rsidRPr="00AB7095" w:rsidRDefault="00992813" w:rsidP="00F319E4">
            <w:pPr>
              <w:pStyle w:val="NoSpacing"/>
              <w:rPr>
                <w:bCs/>
                <w:sz w:val="22"/>
                <w:szCs w:val="22"/>
              </w:rPr>
            </w:pPr>
            <w:r w:rsidRPr="00AB7095">
              <w:rPr>
                <w:bCs/>
                <w:sz w:val="22"/>
                <w:szCs w:val="22"/>
              </w:rPr>
              <w:t>02/03/2026</w:t>
            </w:r>
          </w:p>
        </w:tc>
        <w:tc>
          <w:tcPr>
            <w:tcW w:w="1689" w:type="dxa"/>
            <w:hideMark/>
          </w:tcPr>
          <w:p w14:paraId="0AB3DABA" w14:textId="77777777" w:rsidR="00992813" w:rsidRPr="00AB7095" w:rsidRDefault="00992813" w:rsidP="00F319E4">
            <w:pPr>
              <w:pStyle w:val="NoSpacing"/>
              <w:rPr>
                <w:bCs/>
                <w:sz w:val="22"/>
                <w:szCs w:val="22"/>
              </w:rPr>
            </w:pPr>
            <w:r w:rsidRPr="00AB7095">
              <w:rPr>
                <w:bCs/>
                <w:sz w:val="22"/>
                <w:szCs w:val="22"/>
              </w:rPr>
              <w:t>132.14</w:t>
            </w:r>
          </w:p>
        </w:tc>
        <w:tc>
          <w:tcPr>
            <w:tcW w:w="1392" w:type="dxa"/>
            <w:hideMark/>
          </w:tcPr>
          <w:p w14:paraId="30DABF21" w14:textId="77777777" w:rsidR="00992813" w:rsidRPr="00AB7095" w:rsidRDefault="00992813" w:rsidP="00F319E4">
            <w:pPr>
              <w:pStyle w:val="NoSpacing"/>
              <w:rPr>
                <w:bCs/>
                <w:sz w:val="22"/>
                <w:szCs w:val="22"/>
              </w:rPr>
            </w:pPr>
            <w:r w:rsidRPr="00AB7095">
              <w:rPr>
                <w:bCs/>
                <w:sz w:val="22"/>
                <w:szCs w:val="22"/>
              </w:rPr>
              <w:t>142.15</w:t>
            </w:r>
          </w:p>
        </w:tc>
        <w:tc>
          <w:tcPr>
            <w:tcW w:w="1383" w:type="dxa"/>
            <w:hideMark/>
          </w:tcPr>
          <w:p w14:paraId="52E3193F"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6D4C71EE"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8BBB4D1"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4148B6B"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262493CF" w14:textId="77777777" w:rsidTr="00F319E4">
        <w:tc>
          <w:tcPr>
            <w:tcW w:w="1555" w:type="dxa"/>
            <w:hideMark/>
          </w:tcPr>
          <w:p w14:paraId="1365241C" w14:textId="77777777" w:rsidR="00992813" w:rsidRPr="00AB7095" w:rsidRDefault="00992813" w:rsidP="00F319E4">
            <w:pPr>
              <w:pStyle w:val="NoSpacing"/>
              <w:rPr>
                <w:bCs/>
                <w:sz w:val="22"/>
                <w:szCs w:val="22"/>
              </w:rPr>
            </w:pPr>
            <w:r w:rsidRPr="00AB7095">
              <w:rPr>
                <w:bCs/>
                <w:sz w:val="22"/>
                <w:szCs w:val="22"/>
              </w:rPr>
              <w:t>09/03/2026</w:t>
            </w:r>
          </w:p>
        </w:tc>
        <w:tc>
          <w:tcPr>
            <w:tcW w:w="1689" w:type="dxa"/>
            <w:hideMark/>
          </w:tcPr>
          <w:p w14:paraId="2A26FEAB" w14:textId="77777777" w:rsidR="00992813" w:rsidRPr="00AB7095" w:rsidRDefault="00992813" w:rsidP="00F319E4">
            <w:pPr>
              <w:pStyle w:val="NoSpacing"/>
              <w:rPr>
                <w:bCs/>
                <w:sz w:val="22"/>
                <w:szCs w:val="22"/>
              </w:rPr>
            </w:pPr>
            <w:r w:rsidRPr="00AB7095">
              <w:rPr>
                <w:bCs/>
                <w:sz w:val="22"/>
                <w:szCs w:val="22"/>
              </w:rPr>
              <w:t>135.67</w:t>
            </w:r>
          </w:p>
        </w:tc>
        <w:tc>
          <w:tcPr>
            <w:tcW w:w="1392" w:type="dxa"/>
            <w:hideMark/>
          </w:tcPr>
          <w:p w14:paraId="3504BE50" w14:textId="77777777" w:rsidR="00992813" w:rsidRPr="00AB7095" w:rsidRDefault="00992813" w:rsidP="00F319E4">
            <w:pPr>
              <w:pStyle w:val="NoSpacing"/>
              <w:rPr>
                <w:bCs/>
                <w:sz w:val="22"/>
                <w:szCs w:val="22"/>
              </w:rPr>
            </w:pPr>
            <w:r w:rsidRPr="00AB7095">
              <w:rPr>
                <w:bCs/>
                <w:sz w:val="22"/>
                <w:szCs w:val="22"/>
              </w:rPr>
              <w:t>149.01</w:t>
            </w:r>
          </w:p>
        </w:tc>
        <w:tc>
          <w:tcPr>
            <w:tcW w:w="1383" w:type="dxa"/>
            <w:hideMark/>
          </w:tcPr>
          <w:p w14:paraId="1205D4E3"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04C4C96E"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0C7046F3"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A5E7E6A"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D79FD4A" w14:textId="77777777" w:rsidTr="00F319E4">
        <w:tc>
          <w:tcPr>
            <w:tcW w:w="1555" w:type="dxa"/>
            <w:hideMark/>
          </w:tcPr>
          <w:p w14:paraId="644723DE" w14:textId="77777777" w:rsidR="00992813" w:rsidRPr="00AB7095" w:rsidRDefault="00992813" w:rsidP="00F319E4">
            <w:pPr>
              <w:pStyle w:val="NoSpacing"/>
              <w:rPr>
                <w:bCs/>
                <w:sz w:val="22"/>
                <w:szCs w:val="22"/>
              </w:rPr>
            </w:pPr>
            <w:r w:rsidRPr="00AB7095">
              <w:rPr>
                <w:bCs/>
                <w:sz w:val="22"/>
                <w:szCs w:val="22"/>
              </w:rPr>
              <w:t>16/03/2026</w:t>
            </w:r>
          </w:p>
        </w:tc>
        <w:tc>
          <w:tcPr>
            <w:tcW w:w="1689" w:type="dxa"/>
            <w:hideMark/>
          </w:tcPr>
          <w:p w14:paraId="1837FA48" w14:textId="77777777" w:rsidR="00992813" w:rsidRPr="00AB7095" w:rsidRDefault="00992813" w:rsidP="00F319E4">
            <w:pPr>
              <w:pStyle w:val="NoSpacing"/>
              <w:rPr>
                <w:bCs/>
                <w:sz w:val="22"/>
                <w:szCs w:val="22"/>
              </w:rPr>
            </w:pPr>
            <w:r w:rsidRPr="00AB7095">
              <w:rPr>
                <w:bCs/>
                <w:sz w:val="22"/>
                <w:szCs w:val="22"/>
              </w:rPr>
              <w:t>140.28</w:t>
            </w:r>
          </w:p>
        </w:tc>
        <w:tc>
          <w:tcPr>
            <w:tcW w:w="1392" w:type="dxa"/>
            <w:hideMark/>
          </w:tcPr>
          <w:p w14:paraId="36894E95" w14:textId="77777777" w:rsidR="00992813" w:rsidRPr="00AB7095" w:rsidRDefault="00992813" w:rsidP="00F319E4">
            <w:pPr>
              <w:pStyle w:val="NoSpacing"/>
              <w:rPr>
                <w:bCs/>
                <w:sz w:val="22"/>
                <w:szCs w:val="22"/>
              </w:rPr>
            </w:pPr>
            <w:r w:rsidRPr="00AB7095">
              <w:rPr>
                <w:bCs/>
                <w:sz w:val="22"/>
                <w:szCs w:val="22"/>
              </w:rPr>
              <w:t>158.78</w:t>
            </w:r>
          </w:p>
        </w:tc>
        <w:tc>
          <w:tcPr>
            <w:tcW w:w="1383" w:type="dxa"/>
            <w:hideMark/>
          </w:tcPr>
          <w:p w14:paraId="4C988D55"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1372E29A"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396BF6ED"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7DECB8C9"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4AA1CD0D" w14:textId="77777777" w:rsidTr="00F319E4">
        <w:tc>
          <w:tcPr>
            <w:tcW w:w="1555" w:type="dxa"/>
            <w:hideMark/>
          </w:tcPr>
          <w:p w14:paraId="4BF6ECE7" w14:textId="77777777" w:rsidR="00992813" w:rsidRPr="00AB7095" w:rsidRDefault="00992813" w:rsidP="00F319E4">
            <w:pPr>
              <w:pStyle w:val="NoSpacing"/>
              <w:rPr>
                <w:bCs/>
                <w:sz w:val="22"/>
                <w:szCs w:val="22"/>
              </w:rPr>
            </w:pPr>
            <w:r w:rsidRPr="00AB7095">
              <w:rPr>
                <w:bCs/>
                <w:sz w:val="22"/>
                <w:szCs w:val="22"/>
              </w:rPr>
              <w:t>23/03/2026</w:t>
            </w:r>
          </w:p>
        </w:tc>
        <w:tc>
          <w:tcPr>
            <w:tcW w:w="1689" w:type="dxa"/>
            <w:hideMark/>
          </w:tcPr>
          <w:p w14:paraId="5AEB3ED8" w14:textId="77777777" w:rsidR="00992813" w:rsidRPr="00AB7095" w:rsidRDefault="00992813" w:rsidP="00F319E4">
            <w:pPr>
              <w:pStyle w:val="NoSpacing"/>
              <w:rPr>
                <w:bCs/>
                <w:sz w:val="22"/>
                <w:szCs w:val="22"/>
              </w:rPr>
            </w:pPr>
            <w:r w:rsidRPr="00AB7095">
              <w:rPr>
                <w:bCs/>
                <w:sz w:val="22"/>
                <w:szCs w:val="22"/>
              </w:rPr>
              <w:t>144.16</w:t>
            </w:r>
          </w:p>
        </w:tc>
        <w:tc>
          <w:tcPr>
            <w:tcW w:w="1392" w:type="dxa"/>
            <w:hideMark/>
          </w:tcPr>
          <w:p w14:paraId="0DD6D803" w14:textId="77777777" w:rsidR="00992813" w:rsidRPr="00AB7095" w:rsidRDefault="00992813" w:rsidP="00F319E4">
            <w:pPr>
              <w:pStyle w:val="NoSpacing"/>
              <w:rPr>
                <w:bCs/>
                <w:sz w:val="22"/>
                <w:szCs w:val="22"/>
              </w:rPr>
            </w:pPr>
            <w:r w:rsidRPr="00AB7095">
              <w:rPr>
                <w:bCs/>
                <w:sz w:val="22"/>
                <w:szCs w:val="22"/>
              </w:rPr>
              <w:t>166.88</w:t>
            </w:r>
          </w:p>
        </w:tc>
        <w:tc>
          <w:tcPr>
            <w:tcW w:w="1383" w:type="dxa"/>
            <w:hideMark/>
          </w:tcPr>
          <w:p w14:paraId="0629A204"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06392C67"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5A6920B1"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0E1805C3"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1DCADE8" w14:textId="77777777" w:rsidTr="00F319E4">
        <w:tc>
          <w:tcPr>
            <w:tcW w:w="1555" w:type="dxa"/>
            <w:hideMark/>
          </w:tcPr>
          <w:p w14:paraId="3C4442F1" w14:textId="77777777" w:rsidR="00992813" w:rsidRPr="00AB7095" w:rsidRDefault="00992813" w:rsidP="00F319E4">
            <w:pPr>
              <w:pStyle w:val="NoSpacing"/>
              <w:rPr>
                <w:bCs/>
                <w:sz w:val="22"/>
                <w:szCs w:val="22"/>
              </w:rPr>
            </w:pPr>
            <w:r w:rsidRPr="00AB7095">
              <w:rPr>
                <w:bCs/>
                <w:sz w:val="22"/>
                <w:szCs w:val="22"/>
              </w:rPr>
              <w:t>30/03/2026</w:t>
            </w:r>
          </w:p>
        </w:tc>
        <w:tc>
          <w:tcPr>
            <w:tcW w:w="1689" w:type="dxa"/>
            <w:hideMark/>
          </w:tcPr>
          <w:p w14:paraId="21C8DB83" w14:textId="77777777" w:rsidR="00992813" w:rsidRPr="00AB7095" w:rsidRDefault="00992813" w:rsidP="00F319E4">
            <w:pPr>
              <w:pStyle w:val="NoSpacing"/>
              <w:rPr>
                <w:bCs/>
                <w:sz w:val="22"/>
                <w:szCs w:val="22"/>
              </w:rPr>
            </w:pPr>
            <w:r w:rsidRPr="00AB7095">
              <w:rPr>
                <w:bCs/>
                <w:sz w:val="22"/>
                <w:szCs w:val="22"/>
              </w:rPr>
              <w:t>148.78</w:t>
            </w:r>
          </w:p>
        </w:tc>
        <w:tc>
          <w:tcPr>
            <w:tcW w:w="1392" w:type="dxa"/>
            <w:hideMark/>
          </w:tcPr>
          <w:p w14:paraId="319A00C4" w14:textId="77777777" w:rsidR="00992813" w:rsidRPr="00AB7095" w:rsidRDefault="00992813" w:rsidP="00F319E4">
            <w:pPr>
              <w:pStyle w:val="NoSpacing"/>
              <w:rPr>
                <w:bCs/>
                <w:sz w:val="22"/>
                <w:szCs w:val="22"/>
              </w:rPr>
            </w:pPr>
            <w:r w:rsidRPr="00AB7095">
              <w:rPr>
                <w:bCs/>
                <w:sz w:val="22"/>
                <w:szCs w:val="22"/>
              </w:rPr>
              <w:t>176.52</w:t>
            </w:r>
          </w:p>
        </w:tc>
        <w:tc>
          <w:tcPr>
            <w:tcW w:w="1383" w:type="dxa"/>
            <w:hideMark/>
          </w:tcPr>
          <w:p w14:paraId="7C1C2050"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5E109758"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3D8AF598"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16FC8DE8"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1FE610BA" w14:textId="77777777" w:rsidTr="00F319E4">
        <w:tc>
          <w:tcPr>
            <w:tcW w:w="1555" w:type="dxa"/>
            <w:hideMark/>
          </w:tcPr>
          <w:p w14:paraId="3A089910" w14:textId="77777777" w:rsidR="00992813" w:rsidRPr="00AB7095" w:rsidRDefault="00992813" w:rsidP="00F319E4">
            <w:pPr>
              <w:pStyle w:val="NoSpacing"/>
              <w:rPr>
                <w:bCs/>
                <w:sz w:val="22"/>
                <w:szCs w:val="22"/>
              </w:rPr>
            </w:pPr>
            <w:r w:rsidRPr="00AB7095">
              <w:rPr>
                <w:bCs/>
                <w:sz w:val="22"/>
                <w:szCs w:val="22"/>
              </w:rPr>
              <w:t>06/04/2026</w:t>
            </w:r>
          </w:p>
        </w:tc>
        <w:tc>
          <w:tcPr>
            <w:tcW w:w="1689" w:type="dxa"/>
            <w:hideMark/>
          </w:tcPr>
          <w:p w14:paraId="76E4D759" w14:textId="77777777" w:rsidR="00992813" w:rsidRPr="00AB7095" w:rsidRDefault="00992813" w:rsidP="00F319E4">
            <w:pPr>
              <w:pStyle w:val="NoSpacing"/>
              <w:rPr>
                <w:bCs/>
                <w:sz w:val="22"/>
                <w:szCs w:val="22"/>
              </w:rPr>
            </w:pPr>
            <w:r w:rsidRPr="00AB7095">
              <w:rPr>
                <w:bCs/>
                <w:sz w:val="22"/>
                <w:szCs w:val="22"/>
              </w:rPr>
              <w:t>154.65</w:t>
            </w:r>
          </w:p>
        </w:tc>
        <w:tc>
          <w:tcPr>
            <w:tcW w:w="1392" w:type="dxa"/>
            <w:hideMark/>
          </w:tcPr>
          <w:p w14:paraId="442657AF" w14:textId="77777777" w:rsidR="00992813" w:rsidRPr="00AB7095" w:rsidRDefault="00992813" w:rsidP="00F319E4">
            <w:pPr>
              <w:pStyle w:val="NoSpacing"/>
              <w:rPr>
                <w:bCs/>
                <w:sz w:val="22"/>
                <w:szCs w:val="22"/>
              </w:rPr>
            </w:pPr>
            <w:r w:rsidRPr="00AB7095">
              <w:rPr>
                <w:bCs/>
                <w:sz w:val="22"/>
                <w:szCs w:val="22"/>
              </w:rPr>
              <w:t>186.75</w:t>
            </w:r>
          </w:p>
        </w:tc>
        <w:tc>
          <w:tcPr>
            <w:tcW w:w="1383" w:type="dxa"/>
            <w:hideMark/>
          </w:tcPr>
          <w:p w14:paraId="0DFEB336"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7F2DE1E6"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1E40391B"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20DB80BA"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2C017521" w14:textId="77777777" w:rsidTr="00F319E4">
        <w:tc>
          <w:tcPr>
            <w:tcW w:w="1555" w:type="dxa"/>
            <w:hideMark/>
          </w:tcPr>
          <w:p w14:paraId="581C690A" w14:textId="77777777" w:rsidR="00992813" w:rsidRPr="00AB7095" w:rsidRDefault="00992813" w:rsidP="00F319E4">
            <w:pPr>
              <w:pStyle w:val="NoSpacing"/>
              <w:rPr>
                <w:bCs/>
                <w:sz w:val="22"/>
                <w:szCs w:val="22"/>
              </w:rPr>
            </w:pPr>
            <w:r w:rsidRPr="00AB7095">
              <w:rPr>
                <w:bCs/>
                <w:sz w:val="22"/>
                <w:szCs w:val="22"/>
              </w:rPr>
              <w:t>13/04/2026</w:t>
            </w:r>
          </w:p>
        </w:tc>
        <w:tc>
          <w:tcPr>
            <w:tcW w:w="1689" w:type="dxa"/>
            <w:hideMark/>
          </w:tcPr>
          <w:p w14:paraId="54F68AAF" w14:textId="77777777" w:rsidR="00992813" w:rsidRPr="00AB7095" w:rsidRDefault="00992813" w:rsidP="00F319E4">
            <w:pPr>
              <w:pStyle w:val="NoSpacing"/>
              <w:rPr>
                <w:bCs/>
                <w:sz w:val="22"/>
                <w:szCs w:val="22"/>
              </w:rPr>
            </w:pPr>
            <w:r w:rsidRPr="00AB7095">
              <w:rPr>
                <w:bCs/>
                <w:sz w:val="22"/>
                <w:szCs w:val="22"/>
              </w:rPr>
              <w:t>158.17</w:t>
            </w:r>
          </w:p>
        </w:tc>
        <w:tc>
          <w:tcPr>
            <w:tcW w:w="1392" w:type="dxa"/>
            <w:hideMark/>
          </w:tcPr>
          <w:p w14:paraId="1133448D" w14:textId="77777777" w:rsidR="00992813" w:rsidRPr="00AB7095" w:rsidRDefault="00992813" w:rsidP="00F319E4">
            <w:pPr>
              <w:pStyle w:val="NoSpacing"/>
              <w:rPr>
                <w:bCs/>
                <w:sz w:val="22"/>
                <w:szCs w:val="22"/>
              </w:rPr>
            </w:pPr>
            <w:r w:rsidRPr="00AB7095">
              <w:rPr>
                <w:bCs/>
                <w:sz w:val="22"/>
                <w:szCs w:val="22"/>
              </w:rPr>
              <w:t>192.14</w:t>
            </w:r>
          </w:p>
        </w:tc>
        <w:tc>
          <w:tcPr>
            <w:tcW w:w="1383" w:type="dxa"/>
            <w:hideMark/>
          </w:tcPr>
          <w:p w14:paraId="76D99B0E"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151E4D04"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467D5FB4"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52CD60A5"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C516C96" w14:textId="77777777" w:rsidTr="00F319E4">
        <w:tc>
          <w:tcPr>
            <w:tcW w:w="1555" w:type="dxa"/>
            <w:hideMark/>
          </w:tcPr>
          <w:p w14:paraId="4EF74F00" w14:textId="77777777" w:rsidR="00992813" w:rsidRPr="00AB7095" w:rsidRDefault="00992813" w:rsidP="00F319E4">
            <w:pPr>
              <w:pStyle w:val="NoSpacing"/>
              <w:rPr>
                <w:bCs/>
                <w:sz w:val="22"/>
                <w:szCs w:val="22"/>
              </w:rPr>
            </w:pPr>
            <w:r w:rsidRPr="00AB7095">
              <w:rPr>
                <w:bCs/>
                <w:sz w:val="22"/>
                <w:szCs w:val="22"/>
              </w:rPr>
              <w:t>20/04/2026</w:t>
            </w:r>
          </w:p>
        </w:tc>
        <w:tc>
          <w:tcPr>
            <w:tcW w:w="1689" w:type="dxa"/>
            <w:hideMark/>
          </w:tcPr>
          <w:p w14:paraId="009E8EF1" w14:textId="77777777" w:rsidR="00992813" w:rsidRPr="00AB7095" w:rsidRDefault="00992813" w:rsidP="00F319E4">
            <w:pPr>
              <w:pStyle w:val="NoSpacing"/>
              <w:rPr>
                <w:bCs/>
                <w:sz w:val="22"/>
                <w:szCs w:val="22"/>
              </w:rPr>
            </w:pPr>
            <w:r w:rsidRPr="00AB7095">
              <w:rPr>
                <w:bCs/>
                <w:sz w:val="22"/>
                <w:szCs w:val="22"/>
              </w:rPr>
              <w:t>157.62</w:t>
            </w:r>
          </w:p>
        </w:tc>
        <w:tc>
          <w:tcPr>
            <w:tcW w:w="1392" w:type="dxa"/>
            <w:hideMark/>
          </w:tcPr>
          <w:p w14:paraId="5DDE6228" w14:textId="77777777" w:rsidR="00992813" w:rsidRPr="00AB7095" w:rsidRDefault="00992813" w:rsidP="00F319E4">
            <w:pPr>
              <w:pStyle w:val="NoSpacing"/>
              <w:rPr>
                <w:bCs/>
                <w:sz w:val="22"/>
                <w:szCs w:val="22"/>
              </w:rPr>
            </w:pPr>
            <w:r w:rsidRPr="00AB7095">
              <w:rPr>
                <w:bCs/>
                <w:sz w:val="22"/>
                <w:szCs w:val="22"/>
              </w:rPr>
              <w:t>191.24</w:t>
            </w:r>
          </w:p>
        </w:tc>
        <w:tc>
          <w:tcPr>
            <w:tcW w:w="1383" w:type="dxa"/>
            <w:hideMark/>
          </w:tcPr>
          <w:p w14:paraId="3768719F"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3CDBC4F1"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561F25C5"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03F8D6B4"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077827EC" w14:textId="77777777" w:rsidTr="00F319E4">
        <w:tc>
          <w:tcPr>
            <w:tcW w:w="1555" w:type="dxa"/>
            <w:hideMark/>
          </w:tcPr>
          <w:p w14:paraId="5ABFB558" w14:textId="77777777" w:rsidR="00992813" w:rsidRPr="00AB7095" w:rsidRDefault="00992813" w:rsidP="00F319E4">
            <w:pPr>
              <w:pStyle w:val="NoSpacing"/>
              <w:rPr>
                <w:bCs/>
                <w:sz w:val="22"/>
                <w:szCs w:val="22"/>
              </w:rPr>
            </w:pPr>
            <w:r w:rsidRPr="00AB7095">
              <w:rPr>
                <w:bCs/>
                <w:sz w:val="22"/>
                <w:szCs w:val="22"/>
              </w:rPr>
              <w:t>27/04/2026</w:t>
            </w:r>
          </w:p>
        </w:tc>
        <w:tc>
          <w:tcPr>
            <w:tcW w:w="1689" w:type="dxa"/>
            <w:hideMark/>
          </w:tcPr>
          <w:p w14:paraId="079CDEBE" w14:textId="77777777" w:rsidR="00992813" w:rsidRPr="00AB7095" w:rsidRDefault="00992813" w:rsidP="00F319E4">
            <w:pPr>
              <w:pStyle w:val="NoSpacing"/>
              <w:rPr>
                <w:bCs/>
                <w:sz w:val="22"/>
                <w:szCs w:val="22"/>
              </w:rPr>
            </w:pPr>
            <w:r w:rsidRPr="00AB7095">
              <w:rPr>
                <w:bCs/>
                <w:sz w:val="22"/>
                <w:szCs w:val="22"/>
              </w:rPr>
              <w:t>156.99</w:t>
            </w:r>
          </w:p>
        </w:tc>
        <w:tc>
          <w:tcPr>
            <w:tcW w:w="1392" w:type="dxa"/>
            <w:hideMark/>
          </w:tcPr>
          <w:p w14:paraId="2819D679" w14:textId="77777777" w:rsidR="00992813" w:rsidRPr="00AB7095" w:rsidRDefault="00992813" w:rsidP="00F319E4">
            <w:pPr>
              <w:pStyle w:val="NoSpacing"/>
              <w:rPr>
                <w:bCs/>
                <w:sz w:val="22"/>
                <w:szCs w:val="22"/>
              </w:rPr>
            </w:pPr>
            <w:r w:rsidRPr="00AB7095">
              <w:rPr>
                <w:bCs/>
                <w:sz w:val="22"/>
                <w:szCs w:val="22"/>
              </w:rPr>
              <w:t>189.81</w:t>
            </w:r>
          </w:p>
        </w:tc>
        <w:tc>
          <w:tcPr>
            <w:tcW w:w="1383" w:type="dxa"/>
            <w:hideMark/>
          </w:tcPr>
          <w:p w14:paraId="0245A352"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44973F94"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796EF2D9"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306756C2"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DDDFFD5" w14:textId="77777777" w:rsidTr="00F319E4">
        <w:tc>
          <w:tcPr>
            <w:tcW w:w="1555" w:type="dxa"/>
            <w:hideMark/>
          </w:tcPr>
          <w:p w14:paraId="27A03B3D" w14:textId="77777777" w:rsidR="00992813" w:rsidRPr="00AB7095" w:rsidRDefault="00992813" w:rsidP="00F319E4">
            <w:pPr>
              <w:pStyle w:val="NoSpacing"/>
              <w:rPr>
                <w:bCs/>
                <w:sz w:val="22"/>
                <w:szCs w:val="22"/>
              </w:rPr>
            </w:pPr>
            <w:r w:rsidRPr="00AB7095">
              <w:rPr>
                <w:bCs/>
                <w:sz w:val="22"/>
                <w:szCs w:val="22"/>
              </w:rPr>
              <w:t>04/05/2026</w:t>
            </w:r>
          </w:p>
        </w:tc>
        <w:tc>
          <w:tcPr>
            <w:tcW w:w="1689" w:type="dxa"/>
            <w:hideMark/>
          </w:tcPr>
          <w:p w14:paraId="490D56F8" w14:textId="77777777" w:rsidR="00992813" w:rsidRPr="00AB7095" w:rsidRDefault="00992813" w:rsidP="00F319E4">
            <w:pPr>
              <w:pStyle w:val="NoSpacing"/>
              <w:rPr>
                <w:bCs/>
                <w:sz w:val="22"/>
                <w:szCs w:val="22"/>
              </w:rPr>
            </w:pPr>
            <w:r w:rsidRPr="00AB7095">
              <w:rPr>
                <w:bCs/>
                <w:sz w:val="22"/>
                <w:szCs w:val="22"/>
              </w:rPr>
              <w:t>156.82</w:t>
            </w:r>
          </w:p>
        </w:tc>
        <w:tc>
          <w:tcPr>
            <w:tcW w:w="1392" w:type="dxa"/>
            <w:hideMark/>
          </w:tcPr>
          <w:p w14:paraId="1FCE50B2" w14:textId="77777777" w:rsidR="00992813" w:rsidRPr="00AB7095" w:rsidRDefault="00992813" w:rsidP="00F319E4">
            <w:pPr>
              <w:pStyle w:val="NoSpacing"/>
              <w:rPr>
                <w:bCs/>
                <w:sz w:val="22"/>
                <w:szCs w:val="22"/>
              </w:rPr>
            </w:pPr>
            <w:r w:rsidRPr="00AB7095">
              <w:rPr>
                <w:bCs/>
                <w:sz w:val="22"/>
                <w:szCs w:val="22"/>
              </w:rPr>
              <w:t>188.79</w:t>
            </w:r>
          </w:p>
        </w:tc>
        <w:tc>
          <w:tcPr>
            <w:tcW w:w="1383" w:type="dxa"/>
            <w:hideMark/>
          </w:tcPr>
          <w:p w14:paraId="48FA8605"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4DF440FC"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E6DF537"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B650783"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109221B5" w14:textId="77777777" w:rsidTr="00F319E4">
        <w:tc>
          <w:tcPr>
            <w:tcW w:w="1555" w:type="dxa"/>
            <w:hideMark/>
          </w:tcPr>
          <w:p w14:paraId="48AC8703" w14:textId="77777777" w:rsidR="00992813" w:rsidRPr="00AB7095" w:rsidRDefault="00992813" w:rsidP="00F319E4">
            <w:pPr>
              <w:pStyle w:val="NoSpacing"/>
              <w:rPr>
                <w:bCs/>
                <w:sz w:val="22"/>
                <w:szCs w:val="22"/>
              </w:rPr>
            </w:pPr>
            <w:r w:rsidRPr="00AB7095">
              <w:rPr>
                <w:bCs/>
                <w:sz w:val="22"/>
                <w:szCs w:val="22"/>
              </w:rPr>
              <w:t>11/05/2026</w:t>
            </w:r>
          </w:p>
        </w:tc>
        <w:tc>
          <w:tcPr>
            <w:tcW w:w="1689" w:type="dxa"/>
            <w:hideMark/>
          </w:tcPr>
          <w:p w14:paraId="1DC46904" w14:textId="77777777" w:rsidR="00992813" w:rsidRPr="00AB7095" w:rsidRDefault="00992813" w:rsidP="00F319E4">
            <w:pPr>
              <w:pStyle w:val="NoSpacing"/>
              <w:rPr>
                <w:bCs/>
                <w:sz w:val="22"/>
                <w:szCs w:val="22"/>
              </w:rPr>
            </w:pPr>
            <w:r w:rsidRPr="00AB7095">
              <w:rPr>
                <w:bCs/>
                <w:sz w:val="22"/>
                <w:szCs w:val="22"/>
              </w:rPr>
              <w:t>156.81</w:t>
            </w:r>
          </w:p>
        </w:tc>
        <w:tc>
          <w:tcPr>
            <w:tcW w:w="1392" w:type="dxa"/>
            <w:hideMark/>
          </w:tcPr>
          <w:p w14:paraId="12FD79A6" w14:textId="77777777" w:rsidR="00992813" w:rsidRPr="00AB7095" w:rsidRDefault="00992813" w:rsidP="00F319E4">
            <w:pPr>
              <w:pStyle w:val="NoSpacing"/>
              <w:rPr>
                <w:bCs/>
                <w:sz w:val="22"/>
                <w:szCs w:val="22"/>
              </w:rPr>
            </w:pPr>
            <w:r w:rsidRPr="00AB7095">
              <w:rPr>
                <w:bCs/>
                <w:sz w:val="22"/>
                <w:szCs w:val="22"/>
              </w:rPr>
              <w:t>188.14</w:t>
            </w:r>
          </w:p>
        </w:tc>
        <w:tc>
          <w:tcPr>
            <w:tcW w:w="1383" w:type="dxa"/>
            <w:hideMark/>
          </w:tcPr>
          <w:p w14:paraId="21309BD0"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60D6517A"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1900AA23"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98BBB02"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189B6812" w14:textId="77777777" w:rsidTr="00F319E4">
        <w:tc>
          <w:tcPr>
            <w:tcW w:w="1555" w:type="dxa"/>
            <w:hideMark/>
          </w:tcPr>
          <w:p w14:paraId="5123D865" w14:textId="77777777" w:rsidR="00992813" w:rsidRPr="00AB7095" w:rsidRDefault="00992813" w:rsidP="00F319E4">
            <w:pPr>
              <w:pStyle w:val="NoSpacing"/>
              <w:rPr>
                <w:bCs/>
                <w:sz w:val="22"/>
                <w:szCs w:val="22"/>
              </w:rPr>
            </w:pPr>
            <w:r w:rsidRPr="00AB7095">
              <w:rPr>
                <w:bCs/>
                <w:sz w:val="22"/>
                <w:szCs w:val="22"/>
              </w:rPr>
              <w:t>18/05/2026</w:t>
            </w:r>
          </w:p>
        </w:tc>
        <w:tc>
          <w:tcPr>
            <w:tcW w:w="1689" w:type="dxa"/>
            <w:hideMark/>
          </w:tcPr>
          <w:p w14:paraId="67318B02" w14:textId="77777777" w:rsidR="00992813" w:rsidRPr="00AB7095" w:rsidRDefault="00992813" w:rsidP="00F319E4">
            <w:pPr>
              <w:pStyle w:val="NoSpacing"/>
              <w:rPr>
                <w:bCs/>
                <w:sz w:val="22"/>
                <w:szCs w:val="22"/>
              </w:rPr>
            </w:pPr>
            <w:r w:rsidRPr="00AB7095">
              <w:rPr>
                <w:bCs/>
                <w:sz w:val="22"/>
                <w:szCs w:val="22"/>
              </w:rPr>
              <w:t>157.39</w:t>
            </w:r>
          </w:p>
        </w:tc>
        <w:tc>
          <w:tcPr>
            <w:tcW w:w="1392" w:type="dxa"/>
            <w:hideMark/>
          </w:tcPr>
          <w:p w14:paraId="72AEB047" w14:textId="77777777" w:rsidR="00992813" w:rsidRPr="00AB7095" w:rsidRDefault="00992813" w:rsidP="00F319E4">
            <w:pPr>
              <w:pStyle w:val="NoSpacing"/>
              <w:rPr>
                <w:bCs/>
                <w:sz w:val="22"/>
                <w:szCs w:val="22"/>
              </w:rPr>
            </w:pPr>
            <w:r w:rsidRPr="00AB7095">
              <w:rPr>
                <w:bCs/>
                <w:sz w:val="22"/>
                <w:szCs w:val="22"/>
              </w:rPr>
              <w:t>186.56</w:t>
            </w:r>
          </w:p>
        </w:tc>
        <w:tc>
          <w:tcPr>
            <w:tcW w:w="1383" w:type="dxa"/>
            <w:hideMark/>
          </w:tcPr>
          <w:p w14:paraId="32AD8ADB"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46B4BF29"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1F166C4D"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3A4588BC"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5E7EDACF" w14:textId="77777777" w:rsidTr="00F319E4">
        <w:tc>
          <w:tcPr>
            <w:tcW w:w="1555" w:type="dxa"/>
            <w:hideMark/>
          </w:tcPr>
          <w:p w14:paraId="1CF430DD" w14:textId="77777777" w:rsidR="00992813" w:rsidRPr="00AB7095" w:rsidRDefault="00992813" w:rsidP="00F319E4">
            <w:pPr>
              <w:pStyle w:val="NoSpacing"/>
              <w:rPr>
                <w:bCs/>
                <w:sz w:val="22"/>
                <w:szCs w:val="22"/>
              </w:rPr>
            </w:pPr>
            <w:r w:rsidRPr="00AB7095">
              <w:rPr>
                <w:bCs/>
                <w:sz w:val="22"/>
                <w:szCs w:val="22"/>
              </w:rPr>
              <w:t>25/05/2026</w:t>
            </w:r>
          </w:p>
        </w:tc>
        <w:tc>
          <w:tcPr>
            <w:tcW w:w="1689" w:type="dxa"/>
            <w:hideMark/>
          </w:tcPr>
          <w:p w14:paraId="5F035C36" w14:textId="77777777" w:rsidR="00992813" w:rsidRPr="00AB7095" w:rsidRDefault="00992813" w:rsidP="00F319E4">
            <w:pPr>
              <w:pStyle w:val="NoSpacing"/>
              <w:rPr>
                <w:bCs/>
                <w:sz w:val="22"/>
                <w:szCs w:val="22"/>
              </w:rPr>
            </w:pPr>
            <w:r w:rsidRPr="00AB7095">
              <w:rPr>
                <w:bCs/>
                <w:sz w:val="22"/>
                <w:szCs w:val="22"/>
              </w:rPr>
              <w:t>158.78</w:t>
            </w:r>
          </w:p>
        </w:tc>
        <w:tc>
          <w:tcPr>
            <w:tcW w:w="1392" w:type="dxa"/>
            <w:hideMark/>
          </w:tcPr>
          <w:p w14:paraId="1EF559DD" w14:textId="77777777" w:rsidR="00992813" w:rsidRPr="00AB7095" w:rsidRDefault="00992813" w:rsidP="00F319E4">
            <w:pPr>
              <w:pStyle w:val="NoSpacing"/>
              <w:rPr>
                <w:bCs/>
                <w:sz w:val="22"/>
                <w:szCs w:val="22"/>
              </w:rPr>
            </w:pPr>
            <w:r w:rsidRPr="00AB7095">
              <w:rPr>
                <w:bCs/>
                <w:sz w:val="22"/>
                <w:szCs w:val="22"/>
              </w:rPr>
              <w:t>185.07</w:t>
            </w:r>
          </w:p>
        </w:tc>
        <w:tc>
          <w:tcPr>
            <w:tcW w:w="1383" w:type="dxa"/>
            <w:hideMark/>
          </w:tcPr>
          <w:p w14:paraId="45852962"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209173FD"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071B6D28"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2374C81"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432DB40" w14:textId="77777777" w:rsidTr="00F319E4">
        <w:tc>
          <w:tcPr>
            <w:tcW w:w="1555" w:type="dxa"/>
            <w:hideMark/>
          </w:tcPr>
          <w:p w14:paraId="439D3142" w14:textId="77777777" w:rsidR="00992813" w:rsidRPr="00AB7095" w:rsidRDefault="00992813" w:rsidP="00F319E4">
            <w:pPr>
              <w:pStyle w:val="NoSpacing"/>
              <w:rPr>
                <w:bCs/>
                <w:sz w:val="22"/>
                <w:szCs w:val="22"/>
              </w:rPr>
            </w:pPr>
            <w:r w:rsidRPr="00AB7095">
              <w:rPr>
                <w:bCs/>
                <w:sz w:val="22"/>
                <w:szCs w:val="22"/>
              </w:rPr>
              <w:t>01/06/2026</w:t>
            </w:r>
          </w:p>
        </w:tc>
        <w:tc>
          <w:tcPr>
            <w:tcW w:w="1689" w:type="dxa"/>
            <w:hideMark/>
          </w:tcPr>
          <w:p w14:paraId="007786B3" w14:textId="77777777" w:rsidR="00992813" w:rsidRPr="00AB7095" w:rsidRDefault="00992813" w:rsidP="00F319E4">
            <w:pPr>
              <w:pStyle w:val="NoSpacing"/>
              <w:rPr>
                <w:bCs/>
                <w:sz w:val="22"/>
                <w:szCs w:val="22"/>
              </w:rPr>
            </w:pPr>
            <w:r w:rsidRPr="00AB7095">
              <w:rPr>
                <w:bCs/>
                <w:sz w:val="22"/>
                <w:szCs w:val="22"/>
              </w:rPr>
              <w:t>158.74</w:t>
            </w:r>
          </w:p>
        </w:tc>
        <w:tc>
          <w:tcPr>
            <w:tcW w:w="1392" w:type="dxa"/>
            <w:hideMark/>
          </w:tcPr>
          <w:p w14:paraId="04772CB7" w14:textId="77777777" w:rsidR="00992813" w:rsidRPr="00AB7095" w:rsidRDefault="00992813" w:rsidP="00F319E4">
            <w:pPr>
              <w:pStyle w:val="NoSpacing"/>
              <w:rPr>
                <w:bCs/>
                <w:sz w:val="22"/>
                <w:szCs w:val="22"/>
              </w:rPr>
            </w:pPr>
            <w:r w:rsidRPr="00AB7095">
              <w:rPr>
                <w:bCs/>
                <w:sz w:val="22"/>
                <w:szCs w:val="22"/>
              </w:rPr>
              <w:t>184.11</w:t>
            </w:r>
          </w:p>
        </w:tc>
        <w:tc>
          <w:tcPr>
            <w:tcW w:w="1383" w:type="dxa"/>
            <w:hideMark/>
          </w:tcPr>
          <w:p w14:paraId="6AFB17FC"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3DD40A07"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0A91834A"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0B667212"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02974B5B" w14:textId="77777777" w:rsidTr="00F319E4">
        <w:tc>
          <w:tcPr>
            <w:tcW w:w="1555" w:type="dxa"/>
            <w:hideMark/>
          </w:tcPr>
          <w:p w14:paraId="5E1227B9" w14:textId="77777777" w:rsidR="00992813" w:rsidRPr="00AB7095" w:rsidRDefault="00992813" w:rsidP="00F319E4">
            <w:pPr>
              <w:pStyle w:val="NoSpacing"/>
              <w:rPr>
                <w:bCs/>
                <w:sz w:val="22"/>
                <w:szCs w:val="22"/>
              </w:rPr>
            </w:pPr>
            <w:r w:rsidRPr="00AB7095">
              <w:rPr>
                <w:bCs/>
                <w:sz w:val="22"/>
                <w:szCs w:val="22"/>
              </w:rPr>
              <w:t>08/06/2026</w:t>
            </w:r>
          </w:p>
        </w:tc>
        <w:tc>
          <w:tcPr>
            <w:tcW w:w="1689" w:type="dxa"/>
            <w:hideMark/>
          </w:tcPr>
          <w:p w14:paraId="798ADF9C" w14:textId="77777777" w:rsidR="00992813" w:rsidRPr="00AB7095" w:rsidRDefault="00992813" w:rsidP="00F319E4">
            <w:pPr>
              <w:pStyle w:val="NoSpacing"/>
              <w:rPr>
                <w:bCs/>
                <w:sz w:val="22"/>
                <w:szCs w:val="22"/>
              </w:rPr>
            </w:pPr>
            <w:r w:rsidRPr="00AB7095">
              <w:rPr>
                <w:bCs/>
                <w:sz w:val="22"/>
                <w:szCs w:val="22"/>
              </w:rPr>
              <w:t>157.95</w:t>
            </w:r>
          </w:p>
        </w:tc>
        <w:tc>
          <w:tcPr>
            <w:tcW w:w="1392" w:type="dxa"/>
            <w:hideMark/>
          </w:tcPr>
          <w:p w14:paraId="5FB16A17" w14:textId="77777777" w:rsidR="00992813" w:rsidRPr="00AB7095" w:rsidRDefault="00992813" w:rsidP="00F319E4">
            <w:pPr>
              <w:pStyle w:val="NoSpacing"/>
              <w:rPr>
                <w:bCs/>
                <w:sz w:val="22"/>
                <w:szCs w:val="22"/>
              </w:rPr>
            </w:pPr>
            <w:r w:rsidRPr="00AB7095">
              <w:rPr>
                <w:bCs/>
                <w:sz w:val="22"/>
                <w:szCs w:val="22"/>
              </w:rPr>
              <w:t>181.79</w:t>
            </w:r>
          </w:p>
        </w:tc>
        <w:tc>
          <w:tcPr>
            <w:tcW w:w="1383" w:type="dxa"/>
            <w:hideMark/>
          </w:tcPr>
          <w:p w14:paraId="343FEF77"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13D26C6B"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0A960397"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38146C9B"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70B89FCD" w14:textId="77777777" w:rsidTr="00F319E4">
        <w:tc>
          <w:tcPr>
            <w:tcW w:w="1555" w:type="dxa"/>
            <w:hideMark/>
          </w:tcPr>
          <w:p w14:paraId="01329BC2" w14:textId="77777777" w:rsidR="00992813" w:rsidRPr="00AB7095" w:rsidRDefault="00992813" w:rsidP="00F319E4">
            <w:pPr>
              <w:pStyle w:val="NoSpacing"/>
              <w:rPr>
                <w:bCs/>
                <w:sz w:val="22"/>
                <w:szCs w:val="22"/>
              </w:rPr>
            </w:pPr>
            <w:r w:rsidRPr="00AB7095">
              <w:rPr>
                <w:bCs/>
                <w:sz w:val="22"/>
                <w:szCs w:val="22"/>
              </w:rPr>
              <w:t>15/06/2026</w:t>
            </w:r>
          </w:p>
        </w:tc>
        <w:tc>
          <w:tcPr>
            <w:tcW w:w="1689" w:type="dxa"/>
            <w:hideMark/>
          </w:tcPr>
          <w:p w14:paraId="0D8E0FB7" w14:textId="77777777" w:rsidR="00992813" w:rsidRPr="00AB7095" w:rsidRDefault="00992813" w:rsidP="00F319E4">
            <w:pPr>
              <w:pStyle w:val="NoSpacing"/>
              <w:rPr>
                <w:bCs/>
                <w:sz w:val="22"/>
                <w:szCs w:val="22"/>
              </w:rPr>
            </w:pPr>
            <w:r w:rsidRPr="00AB7095">
              <w:rPr>
                <w:bCs/>
                <w:sz w:val="22"/>
                <w:szCs w:val="22"/>
              </w:rPr>
              <w:t>155.54</w:t>
            </w:r>
          </w:p>
        </w:tc>
        <w:tc>
          <w:tcPr>
            <w:tcW w:w="1392" w:type="dxa"/>
            <w:hideMark/>
          </w:tcPr>
          <w:p w14:paraId="1DFD865D" w14:textId="77777777" w:rsidR="00992813" w:rsidRPr="00AB7095" w:rsidRDefault="00992813" w:rsidP="00F319E4">
            <w:pPr>
              <w:pStyle w:val="NoSpacing"/>
              <w:rPr>
                <w:bCs/>
                <w:sz w:val="22"/>
                <w:szCs w:val="22"/>
              </w:rPr>
            </w:pPr>
            <w:r w:rsidRPr="00AB7095">
              <w:rPr>
                <w:bCs/>
                <w:sz w:val="22"/>
                <w:szCs w:val="22"/>
              </w:rPr>
              <w:t>176.71</w:t>
            </w:r>
          </w:p>
        </w:tc>
        <w:tc>
          <w:tcPr>
            <w:tcW w:w="1383" w:type="dxa"/>
            <w:hideMark/>
          </w:tcPr>
          <w:p w14:paraId="22186EEA"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1E63DDDA"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7842BBAC"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3326C0A1"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3A9351BA" w14:textId="77777777" w:rsidTr="00F319E4">
        <w:tc>
          <w:tcPr>
            <w:tcW w:w="1555" w:type="dxa"/>
            <w:hideMark/>
          </w:tcPr>
          <w:p w14:paraId="75D767F7" w14:textId="77777777" w:rsidR="00992813" w:rsidRPr="00AB7095" w:rsidRDefault="00992813" w:rsidP="00F319E4">
            <w:pPr>
              <w:pStyle w:val="NoSpacing"/>
              <w:rPr>
                <w:bCs/>
                <w:sz w:val="22"/>
                <w:szCs w:val="22"/>
              </w:rPr>
            </w:pPr>
            <w:r w:rsidRPr="00AB7095">
              <w:rPr>
                <w:bCs/>
                <w:sz w:val="22"/>
                <w:szCs w:val="22"/>
              </w:rPr>
              <w:t>22/06/2026</w:t>
            </w:r>
          </w:p>
        </w:tc>
        <w:tc>
          <w:tcPr>
            <w:tcW w:w="1689" w:type="dxa"/>
            <w:hideMark/>
          </w:tcPr>
          <w:p w14:paraId="63BC6F88" w14:textId="77777777" w:rsidR="00992813" w:rsidRPr="00AB7095" w:rsidRDefault="00992813" w:rsidP="00F319E4">
            <w:pPr>
              <w:pStyle w:val="NoSpacing"/>
              <w:rPr>
                <w:bCs/>
                <w:sz w:val="22"/>
                <w:szCs w:val="22"/>
              </w:rPr>
            </w:pPr>
            <w:r w:rsidRPr="00AB7095">
              <w:rPr>
                <w:bCs/>
                <w:sz w:val="22"/>
                <w:szCs w:val="22"/>
              </w:rPr>
              <w:t>153.26</w:t>
            </w:r>
          </w:p>
        </w:tc>
        <w:tc>
          <w:tcPr>
            <w:tcW w:w="1392" w:type="dxa"/>
            <w:hideMark/>
          </w:tcPr>
          <w:p w14:paraId="4F0F9789" w14:textId="77777777" w:rsidR="00992813" w:rsidRPr="00AB7095" w:rsidRDefault="00992813" w:rsidP="00F319E4">
            <w:pPr>
              <w:pStyle w:val="NoSpacing"/>
              <w:rPr>
                <w:bCs/>
                <w:sz w:val="22"/>
                <w:szCs w:val="22"/>
              </w:rPr>
            </w:pPr>
            <w:r w:rsidRPr="00AB7095">
              <w:rPr>
                <w:bCs/>
                <w:sz w:val="22"/>
                <w:szCs w:val="22"/>
              </w:rPr>
              <w:t>172.47</w:t>
            </w:r>
          </w:p>
        </w:tc>
        <w:tc>
          <w:tcPr>
            <w:tcW w:w="1383" w:type="dxa"/>
            <w:hideMark/>
          </w:tcPr>
          <w:p w14:paraId="24354886"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2B2C09C8"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538013F9"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738B1AE2"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52947D7C" w14:textId="77777777" w:rsidTr="00F319E4">
        <w:tc>
          <w:tcPr>
            <w:tcW w:w="1555" w:type="dxa"/>
            <w:hideMark/>
          </w:tcPr>
          <w:p w14:paraId="40B32FB3" w14:textId="77777777" w:rsidR="00992813" w:rsidRPr="00AB7095" w:rsidRDefault="00992813" w:rsidP="00F319E4">
            <w:pPr>
              <w:pStyle w:val="NoSpacing"/>
              <w:rPr>
                <w:bCs/>
                <w:sz w:val="22"/>
                <w:szCs w:val="22"/>
              </w:rPr>
            </w:pPr>
            <w:r w:rsidRPr="00AB7095">
              <w:rPr>
                <w:bCs/>
                <w:sz w:val="22"/>
                <w:szCs w:val="22"/>
              </w:rPr>
              <w:t>29/06/2026</w:t>
            </w:r>
          </w:p>
        </w:tc>
        <w:tc>
          <w:tcPr>
            <w:tcW w:w="1689" w:type="dxa"/>
            <w:hideMark/>
          </w:tcPr>
          <w:p w14:paraId="3539CBC8" w14:textId="77777777" w:rsidR="00992813" w:rsidRPr="00AB7095" w:rsidRDefault="00992813" w:rsidP="00F319E4">
            <w:pPr>
              <w:pStyle w:val="NoSpacing"/>
              <w:rPr>
                <w:bCs/>
                <w:sz w:val="22"/>
                <w:szCs w:val="22"/>
              </w:rPr>
            </w:pPr>
            <w:r w:rsidRPr="00AB7095">
              <w:rPr>
                <w:bCs/>
                <w:sz w:val="22"/>
                <w:szCs w:val="22"/>
              </w:rPr>
              <w:t>151.02</w:t>
            </w:r>
          </w:p>
        </w:tc>
        <w:tc>
          <w:tcPr>
            <w:tcW w:w="1392" w:type="dxa"/>
            <w:hideMark/>
          </w:tcPr>
          <w:p w14:paraId="054B84C3" w14:textId="77777777" w:rsidR="00992813" w:rsidRPr="00AB7095" w:rsidRDefault="00992813" w:rsidP="00F319E4">
            <w:pPr>
              <w:pStyle w:val="NoSpacing"/>
              <w:rPr>
                <w:bCs/>
                <w:sz w:val="22"/>
                <w:szCs w:val="22"/>
              </w:rPr>
            </w:pPr>
            <w:r w:rsidRPr="00AB7095">
              <w:rPr>
                <w:bCs/>
                <w:sz w:val="22"/>
                <w:szCs w:val="22"/>
              </w:rPr>
              <w:t>167.12</w:t>
            </w:r>
          </w:p>
        </w:tc>
        <w:tc>
          <w:tcPr>
            <w:tcW w:w="1383" w:type="dxa"/>
            <w:hideMark/>
          </w:tcPr>
          <w:p w14:paraId="3D30DCCB"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16933B2E"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2952089D"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4B212BA7"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17B0D289" w14:textId="77777777" w:rsidTr="00F319E4">
        <w:tc>
          <w:tcPr>
            <w:tcW w:w="1555" w:type="dxa"/>
            <w:hideMark/>
          </w:tcPr>
          <w:p w14:paraId="259ED364" w14:textId="77777777" w:rsidR="00992813" w:rsidRPr="00AB7095" w:rsidRDefault="00992813" w:rsidP="00F319E4">
            <w:pPr>
              <w:pStyle w:val="NoSpacing"/>
              <w:rPr>
                <w:bCs/>
                <w:sz w:val="22"/>
                <w:szCs w:val="22"/>
              </w:rPr>
            </w:pPr>
            <w:r w:rsidRPr="00AB7095">
              <w:rPr>
                <w:bCs/>
                <w:sz w:val="22"/>
                <w:szCs w:val="22"/>
              </w:rPr>
              <w:t>06/07/2026</w:t>
            </w:r>
          </w:p>
        </w:tc>
        <w:tc>
          <w:tcPr>
            <w:tcW w:w="1689" w:type="dxa"/>
            <w:hideMark/>
          </w:tcPr>
          <w:p w14:paraId="592078E5" w14:textId="77777777" w:rsidR="00992813" w:rsidRPr="00AB7095" w:rsidRDefault="00992813" w:rsidP="00F319E4">
            <w:pPr>
              <w:pStyle w:val="NoSpacing"/>
              <w:rPr>
                <w:bCs/>
                <w:sz w:val="22"/>
                <w:szCs w:val="22"/>
              </w:rPr>
            </w:pPr>
            <w:r w:rsidRPr="00AB7095">
              <w:rPr>
                <w:bCs/>
                <w:sz w:val="22"/>
                <w:szCs w:val="22"/>
              </w:rPr>
              <w:t>149.8</w:t>
            </w:r>
          </w:p>
        </w:tc>
        <w:tc>
          <w:tcPr>
            <w:tcW w:w="1392" w:type="dxa"/>
            <w:hideMark/>
          </w:tcPr>
          <w:p w14:paraId="4DCAD3AA" w14:textId="77777777" w:rsidR="00992813" w:rsidRPr="00AB7095" w:rsidRDefault="00992813" w:rsidP="00F319E4">
            <w:pPr>
              <w:pStyle w:val="NoSpacing"/>
              <w:rPr>
                <w:bCs/>
                <w:sz w:val="22"/>
                <w:szCs w:val="22"/>
              </w:rPr>
            </w:pPr>
            <w:r w:rsidRPr="00AB7095">
              <w:rPr>
                <w:bCs/>
                <w:sz w:val="22"/>
                <w:szCs w:val="22"/>
              </w:rPr>
              <w:t>164.77</w:t>
            </w:r>
          </w:p>
        </w:tc>
        <w:tc>
          <w:tcPr>
            <w:tcW w:w="1383" w:type="dxa"/>
            <w:hideMark/>
          </w:tcPr>
          <w:p w14:paraId="7926FEDD"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680C69E1"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3F46D7D9"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1BD36405" w14:textId="77777777" w:rsidR="00992813" w:rsidRPr="00AB7095" w:rsidRDefault="00992813" w:rsidP="00F319E4">
            <w:pPr>
              <w:pStyle w:val="NoSpacing"/>
              <w:rPr>
                <w:bCs/>
                <w:sz w:val="22"/>
                <w:szCs w:val="22"/>
              </w:rPr>
            </w:pPr>
            <w:r w:rsidRPr="00AB7095">
              <w:rPr>
                <w:bCs/>
                <w:sz w:val="22"/>
                <w:szCs w:val="22"/>
              </w:rPr>
              <w:t>20</w:t>
            </w:r>
          </w:p>
        </w:tc>
      </w:tr>
      <w:tr w:rsidR="00992813" w:rsidRPr="00AB7095" w14:paraId="69474B2C" w14:textId="77777777" w:rsidTr="00F319E4">
        <w:tc>
          <w:tcPr>
            <w:tcW w:w="1555" w:type="dxa"/>
            <w:hideMark/>
          </w:tcPr>
          <w:p w14:paraId="75898684" w14:textId="77777777" w:rsidR="00992813" w:rsidRPr="00AB7095" w:rsidRDefault="00992813" w:rsidP="00F319E4">
            <w:pPr>
              <w:pStyle w:val="NoSpacing"/>
              <w:rPr>
                <w:bCs/>
                <w:sz w:val="22"/>
                <w:szCs w:val="22"/>
              </w:rPr>
            </w:pPr>
            <w:r w:rsidRPr="00AB7095">
              <w:rPr>
                <w:bCs/>
                <w:sz w:val="22"/>
                <w:szCs w:val="22"/>
              </w:rPr>
              <w:t>13/07/2026</w:t>
            </w:r>
          </w:p>
        </w:tc>
        <w:tc>
          <w:tcPr>
            <w:tcW w:w="1689" w:type="dxa"/>
            <w:hideMark/>
          </w:tcPr>
          <w:p w14:paraId="37FA715C" w14:textId="77777777" w:rsidR="00992813" w:rsidRPr="00AB7095" w:rsidRDefault="00992813" w:rsidP="00F319E4">
            <w:pPr>
              <w:pStyle w:val="NoSpacing"/>
              <w:rPr>
                <w:bCs/>
                <w:sz w:val="22"/>
                <w:szCs w:val="22"/>
              </w:rPr>
            </w:pPr>
            <w:r w:rsidRPr="00AB7095">
              <w:rPr>
                <w:bCs/>
                <w:sz w:val="22"/>
                <w:szCs w:val="22"/>
              </w:rPr>
              <w:t>150.53</w:t>
            </w:r>
          </w:p>
        </w:tc>
        <w:tc>
          <w:tcPr>
            <w:tcW w:w="1392" w:type="dxa"/>
            <w:hideMark/>
          </w:tcPr>
          <w:p w14:paraId="1DDBB68F" w14:textId="77777777" w:rsidR="00992813" w:rsidRPr="00AB7095" w:rsidRDefault="00992813" w:rsidP="00F319E4">
            <w:pPr>
              <w:pStyle w:val="NoSpacing"/>
              <w:rPr>
                <w:bCs/>
                <w:sz w:val="22"/>
                <w:szCs w:val="22"/>
              </w:rPr>
            </w:pPr>
            <w:r w:rsidRPr="00AB7095">
              <w:rPr>
                <w:bCs/>
                <w:sz w:val="22"/>
                <w:szCs w:val="22"/>
              </w:rPr>
              <w:t>164.52</w:t>
            </w:r>
          </w:p>
        </w:tc>
        <w:tc>
          <w:tcPr>
            <w:tcW w:w="1383" w:type="dxa"/>
            <w:hideMark/>
          </w:tcPr>
          <w:p w14:paraId="10F74127" w14:textId="77777777" w:rsidR="00992813" w:rsidRPr="00AB7095" w:rsidRDefault="00992813" w:rsidP="00F319E4">
            <w:pPr>
              <w:pStyle w:val="NoSpacing"/>
              <w:rPr>
                <w:bCs/>
                <w:sz w:val="22"/>
                <w:szCs w:val="22"/>
              </w:rPr>
            </w:pPr>
            <w:r w:rsidRPr="00AB7095">
              <w:rPr>
                <w:bCs/>
                <w:sz w:val="22"/>
                <w:szCs w:val="22"/>
              </w:rPr>
              <w:t>52.95</w:t>
            </w:r>
          </w:p>
        </w:tc>
        <w:tc>
          <w:tcPr>
            <w:tcW w:w="1383" w:type="dxa"/>
            <w:hideMark/>
          </w:tcPr>
          <w:p w14:paraId="788B274B" w14:textId="77777777" w:rsidR="00992813" w:rsidRPr="00AB7095" w:rsidRDefault="00992813" w:rsidP="00F319E4">
            <w:pPr>
              <w:pStyle w:val="NoSpacing"/>
              <w:rPr>
                <w:bCs/>
                <w:sz w:val="22"/>
                <w:szCs w:val="22"/>
              </w:rPr>
            </w:pPr>
            <w:r w:rsidRPr="00AB7095">
              <w:rPr>
                <w:bCs/>
                <w:sz w:val="22"/>
                <w:szCs w:val="22"/>
              </w:rPr>
              <w:t>52.95</w:t>
            </w:r>
          </w:p>
        </w:tc>
        <w:tc>
          <w:tcPr>
            <w:tcW w:w="1456" w:type="dxa"/>
            <w:hideMark/>
          </w:tcPr>
          <w:p w14:paraId="0D6F55F2" w14:textId="77777777" w:rsidR="00992813" w:rsidRPr="00AB7095" w:rsidRDefault="00992813" w:rsidP="00F319E4">
            <w:pPr>
              <w:pStyle w:val="NoSpacing"/>
              <w:rPr>
                <w:bCs/>
                <w:sz w:val="22"/>
                <w:szCs w:val="22"/>
              </w:rPr>
            </w:pPr>
            <w:r w:rsidRPr="00AB7095">
              <w:rPr>
                <w:bCs/>
                <w:sz w:val="22"/>
                <w:szCs w:val="22"/>
              </w:rPr>
              <w:t>20</w:t>
            </w:r>
          </w:p>
        </w:tc>
        <w:tc>
          <w:tcPr>
            <w:tcW w:w="1202" w:type="dxa"/>
            <w:hideMark/>
          </w:tcPr>
          <w:p w14:paraId="0340D566" w14:textId="77777777" w:rsidR="00992813" w:rsidRPr="00AB7095" w:rsidRDefault="00992813" w:rsidP="00F319E4">
            <w:pPr>
              <w:pStyle w:val="NoSpacing"/>
              <w:rPr>
                <w:bCs/>
                <w:sz w:val="22"/>
                <w:szCs w:val="22"/>
              </w:rPr>
            </w:pPr>
            <w:r w:rsidRPr="00AB7095">
              <w:rPr>
                <w:bCs/>
                <w:sz w:val="22"/>
                <w:szCs w:val="22"/>
              </w:rPr>
              <w:t>20</w:t>
            </w:r>
          </w:p>
        </w:tc>
      </w:tr>
    </w:tbl>
    <w:p w14:paraId="349028F8" w14:textId="66F0A6DC" w:rsidR="007B4A73" w:rsidRDefault="000044E4" w:rsidP="000044E4">
      <w:pPr>
        <w:pStyle w:val="Caption"/>
        <w:rPr>
          <w:bCs/>
          <w:sz w:val="22"/>
          <w:szCs w:val="22"/>
        </w:rPr>
      </w:pPr>
      <w:bookmarkStart w:id="1" w:name="_Toc235293083"/>
      <w:r>
        <w:t xml:space="preserve">Table </w:t>
      </w:r>
      <w:fldSimple w:instr=" SEQ Table \* ARABIC ">
        <w:r w:rsidR="00557AF4">
          <w:rPr>
            <w:noProof/>
          </w:rPr>
          <w:t>1</w:t>
        </w:r>
        <w:bookmarkEnd w:id="1"/>
      </w:fldSimple>
    </w:p>
    <w:p w14:paraId="7E66101E" w14:textId="01E45545" w:rsidR="004B3CC7" w:rsidRPr="00E735B1" w:rsidRDefault="00AC2DEE" w:rsidP="00E348DA">
      <w:pPr>
        <w:spacing w:after="160" w:line="278" w:lineRule="auto"/>
        <w:ind w:left="0" w:right="0" w:firstLine="0"/>
        <w:rPr>
          <w:bCs/>
        </w:rPr>
      </w:pPr>
      <w:sdt>
        <w:sdtPr>
          <w:rPr>
            <w:bCs/>
          </w:rPr>
          <w:id w:val="2030379469"/>
          <w:citation/>
        </w:sdtPr>
        <w:sdtEndPr/>
        <w:sdtContent>
          <w:r w:rsidR="004F206D">
            <w:rPr>
              <w:bCs/>
            </w:rPr>
            <w:fldChar w:fldCharType="begin"/>
          </w:r>
          <w:r w:rsidR="00130E47">
            <w:rPr>
              <w:bCs/>
            </w:rPr>
            <w:instrText xml:space="preserve">CITATION Placeholder1 \l 2057 </w:instrText>
          </w:r>
          <w:r w:rsidR="004F206D">
            <w:rPr>
              <w:bCs/>
            </w:rPr>
            <w:fldChar w:fldCharType="separate"/>
          </w:r>
          <w:r w:rsidR="00130E47" w:rsidRPr="00130E47">
            <w:rPr>
              <w:noProof/>
            </w:rPr>
            <w:t>(Gov.UK, 2026)</w:t>
          </w:r>
          <w:r w:rsidR="004F206D">
            <w:rPr>
              <w:bCs/>
            </w:rPr>
            <w:fldChar w:fldCharType="end"/>
          </w:r>
        </w:sdtContent>
      </w:sdt>
    </w:p>
    <w:p w14:paraId="4179F2F8" w14:textId="77777777" w:rsidR="00E348DA" w:rsidRDefault="00E348DA">
      <w:pPr>
        <w:spacing w:after="160" w:line="278" w:lineRule="auto"/>
        <w:ind w:left="0" w:right="0" w:firstLine="0"/>
        <w:rPr>
          <w:bCs/>
        </w:rPr>
      </w:pPr>
      <w:r>
        <w:rPr>
          <w:bCs/>
        </w:rPr>
        <w:br w:type="page"/>
      </w:r>
    </w:p>
    <w:p w14:paraId="7DD2DA19" w14:textId="47AFE1E5" w:rsidR="00885868" w:rsidRDefault="001E11DE" w:rsidP="00E93286">
      <w:pPr>
        <w:pStyle w:val="NoSpacing"/>
        <w:rPr>
          <w:bCs/>
        </w:rPr>
      </w:pPr>
      <w:r w:rsidRPr="001E11DE">
        <w:rPr>
          <w:bCs/>
        </w:rPr>
        <w:lastRenderedPageBreak/>
        <w:t>This challenge becomes particularly significant during periods of high oil and gas prices when hydrocarbon operations generate exceptional financial returns. Under such conditions, organisational leaders may prioritise fossil fuel expansion to maximise shareholder value.</w:t>
      </w:r>
      <w:r w:rsidR="00213C76">
        <w:rPr>
          <w:bCs/>
        </w:rPr>
        <w:t xml:space="preserve"> </w:t>
      </w:r>
      <w:r w:rsidRPr="001E11DE">
        <w:rPr>
          <w:bCs/>
        </w:rPr>
        <w:t>The literature also suggests that investor reactions toward sustainability strategies vary depending on economic conditions, market expectations, and geopolitical developments. Some investors support aggressive decarbonisation strategies, while others prioritise short-term profitability and dividend stability.</w:t>
      </w:r>
      <w:r w:rsidR="00213C76">
        <w:rPr>
          <w:bCs/>
        </w:rPr>
        <w:t xml:space="preserve"> </w:t>
      </w:r>
      <w:r w:rsidRPr="001E11DE">
        <w:rPr>
          <w:bCs/>
        </w:rPr>
        <w:t>This creates a strategic tension for Shell because the organisation must balance investor expectations with environmental commitments. Rapid reduction in fossil fuel operations may undermine financial performance, while insufficient sustainability progress may damage organisational legitimacy and long-term competitiveness.</w:t>
      </w:r>
      <w:r w:rsidR="00E93286">
        <w:rPr>
          <w:bCs/>
        </w:rPr>
        <w:t xml:space="preserve"> </w:t>
      </w:r>
      <w:r w:rsidRPr="001E11DE">
        <w:rPr>
          <w:bCs/>
        </w:rPr>
        <w:t>The relationship between sustainability and profitability therefore remains highly complex. Existing literature demonstrates both potential benefits and challenges associated with sustainability transformation. However, there remains limited evidence examining whether Shell’s capital allocation decisions genuinely support its stated sustainability objectives.</w:t>
      </w:r>
    </w:p>
    <w:p w14:paraId="5DF3B9ED" w14:textId="77777777" w:rsidR="001E11DE" w:rsidRDefault="001E11DE" w:rsidP="001E11DE">
      <w:pPr>
        <w:pStyle w:val="NoSpacing"/>
        <w:rPr>
          <w:bCs/>
        </w:rPr>
      </w:pPr>
    </w:p>
    <w:p w14:paraId="5EBA024C" w14:textId="198116FE" w:rsidR="00F2596D" w:rsidRPr="00926FEF" w:rsidRDefault="00F2596D" w:rsidP="00F2596D">
      <w:pPr>
        <w:pStyle w:val="Heading1"/>
        <w:rPr>
          <w:b w:val="0"/>
          <w:bCs/>
          <w:sz w:val="28"/>
          <w:szCs w:val="10"/>
        </w:rPr>
      </w:pPr>
      <w:r>
        <w:rPr>
          <w:sz w:val="28"/>
          <w:szCs w:val="10"/>
        </w:rPr>
        <w:t>2</w:t>
      </w:r>
      <w:r w:rsidRPr="00926FEF">
        <w:rPr>
          <w:sz w:val="28"/>
          <w:szCs w:val="10"/>
        </w:rPr>
        <w:t>.</w:t>
      </w:r>
      <w:r w:rsidRPr="00F2596D">
        <w:rPr>
          <w:sz w:val="28"/>
          <w:szCs w:val="10"/>
        </w:rPr>
        <w:t>7 Organisational Change and Leadership Challenges</w:t>
      </w:r>
    </w:p>
    <w:p w14:paraId="648D5257" w14:textId="77777777" w:rsidR="001E11DE" w:rsidRDefault="001E11DE" w:rsidP="001E11DE">
      <w:pPr>
        <w:pStyle w:val="NoSpacing"/>
        <w:rPr>
          <w:bCs/>
        </w:rPr>
      </w:pPr>
    </w:p>
    <w:p w14:paraId="1B9F5F18" w14:textId="193F433A" w:rsidR="00B32A2E" w:rsidRPr="00B32A2E" w:rsidRDefault="00B32A2E" w:rsidP="0031141A">
      <w:pPr>
        <w:pStyle w:val="NoSpacing"/>
        <w:rPr>
          <w:bCs/>
        </w:rPr>
      </w:pPr>
      <w:r w:rsidRPr="00B32A2E">
        <w:rPr>
          <w:bCs/>
        </w:rPr>
        <w:t>Energy transition requires substantial organisational transformation involving leadership, culture change, strategic restructuring, and operational adaptation. Organisational change literature emphasises that large-scale transformation often encounters resistance due to uncertainty, established routines, and conflicting stakeholder interests.</w:t>
      </w:r>
      <w:r w:rsidR="0031141A">
        <w:rPr>
          <w:bCs/>
        </w:rPr>
        <w:t xml:space="preserve"> </w:t>
      </w:r>
      <w:r w:rsidRPr="00B32A2E">
        <w:rPr>
          <w:bCs/>
        </w:rPr>
        <w:t>Within the oil and gas sector, organisational change becomes particularly difficult because companies possess deeply embedded structures and cultures developed around fossil fuel operations. Traditional operational models, performance systems, and leadership practices may conflict with sustainability-oriented transformation.</w:t>
      </w:r>
    </w:p>
    <w:p w14:paraId="4C0FE200" w14:textId="77777777" w:rsidR="00B32A2E" w:rsidRPr="00B32A2E" w:rsidRDefault="00B32A2E" w:rsidP="00B32A2E">
      <w:pPr>
        <w:pStyle w:val="NoSpacing"/>
        <w:rPr>
          <w:bCs/>
        </w:rPr>
      </w:pPr>
    </w:p>
    <w:p w14:paraId="3AFFE13F" w14:textId="3AFA5D7E" w:rsidR="00F2596D" w:rsidRDefault="00B32A2E" w:rsidP="0031141A">
      <w:pPr>
        <w:pStyle w:val="NoSpacing"/>
        <w:ind w:left="0" w:firstLine="0"/>
        <w:rPr>
          <w:bCs/>
        </w:rPr>
      </w:pPr>
      <w:r w:rsidRPr="00B32A2E">
        <w:rPr>
          <w:bCs/>
        </w:rPr>
        <w:t>Leadership plays a critical role in managing strategic change during energy transition. Effective leaders must communicate sustainability objectives clearly, manage stakeholder expectations, and align organisational culture with long-term strategic goals.</w:t>
      </w:r>
      <w:r w:rsidR="0031141A">
        <w:rPr>
          <w:bCs/>
        </w:rPr>
        <w:t xml:space="preserve"> </w:t>
      </w:r>
      <w:r w:rsidRPr="00B32A2E">
        <w:rPr>
          <w:bCs/>
        </w:rPr>
        <w:t>However, transformational leadership within the energy sector involves balancing competing priorities. Leaders must maintain profitability and investor confidence while encouraging innovation and sustainability integration.</w:t>
      </w:r>
      <w:r w:rsidR="0031141A">
        <w:rPr>
          <w:bCs/>
        </w:rPr>
        <w:t xml:space="preserve"> </w:t>
      </w:r>
      <w:r w:rsidRPr="00B32A2E">
        <w:rPr>
          <w:bCs/>
        </w:rPr>
        <w:t>Research suggests that organisational resistance frequently emerges when employees perceive sustainability initiatives as threats to established operational identities or employment security. Fossil fuel divisions may resist resource reallocation toward renewable projects if such changes reduce investment within traditional business operations.</w:t>
      </w:r>
    </w:p>
    <w:p w14:paraId="0E19881D" w14:textId="77777777" w:rsidR="00B32A2E" w:rsidRDefault="00B32A2E" w:rsidP="00B32A2E">
      <w:pPr>
        <w:pStyle w:val="NoSpacing"/>
        <w:rPr>
          <w:bCs/>
        </w:rPr>
      </w:pPr>
    </w:p>
    <w:p w14:paraId="085BCCEB" w14:textId="77777777" w:rsidR="00E07A8D" w:rsidRPr="00926FEF" w:rsidRDefault="00E07A8D" w:rsidP="00E07A8D">
      <w:pPr>
        <w:pStyle w:val="Heading1"/>
        <w:rPr>
          <w:b w:val="0"/>
          <w:bCs/>
          <w:sz w:val="28"/>
          <w:szCs w:val="10"/>
        </w:rPr>
      </w:pPr>
      <w:r>
        <w:rPr>
          <w:sz w:val="28"/>
          <w:szCs w:val="10"/>
        </w:rPr>
        <w:t>2</w:t>
      </w:r>
      <w:r w:rsidRPr="00E07A8D">
        <w:rPr>
          <w:sz w:val="28"/>
          <w:szCs w:val="10"/>
        </w:rPr>
        <w:t>.8 Identified Research Gap</w:t>
      </w:r>
    </w:p>
    <w:p w14:paraId="5B12ED6B" w14:textId="77777777" w:rsidR="00B32A2E" w:rsidRDefault="00B32A2E" w:rsidP="00B32A2E">
      <w:pPr>
        <w:pStyle w:val="NoSpacing"/>
        <w:rPr>
          <w:bCs/>
        </w:rPr>
      </w:pPr>
    </w:p>
    <w:p w14:paraId="5D045DA0" w14:textId="77777777" w:rsidR="00770AA7" w:rsidRPr="00770AA7" w:rsidRDefault="00770AA7" w:rsidP="00770AA7">
      <w:pPr>
        <w:pStyle w:val="NoSpacing"/>
        <w:rPr>
          <w:bCs/>
        </w:rPr>
      </w:pPr>
      <w:r w:rsidRPr="00770AA7">
        <w:rPr>
          <w:bCs/>
        </w:rPr>
        <w:t>The existing literature provides substantial theoretical and practical insight regarding sustainability strategy, stakeholder management, energy transition, and organisational ambidexterity. However, several important research gaps remain.</w:t>
      </w:r>
    </w:p>
    <w:p w14:paraId="0B88A55C" w14:textId="77777777" w:rsidR="00770AA7" w:rsidRPr="00770AA7" w:rsidRDefault="00770AA7" w:rsidP="00770AA7">
      <w:pPr>
        <w:pStyle w:val="NoSpacing"/>
        <w:rPr>
          <w:bCs/>
        </w:rPr>
      </w:pPr>
    </w:p>
    <w:p w14:paraId="0252806C" w14:textId="6656666D" w:rsidR="00770AA7" w:rsidRPr="00770AA7" w:rsidRDefault="00770AA7" w:rsidP="00265D16">
      <w:pPr>
        <w:pStyle w:val="NoSpacing"/>
        <w:ind w:left="0" w:firstLine="0"/>
        <w:rPr>
          <w:bCs/>
        </w:rPr>
      </w:pPr>
      <w:r w:rsidRPr="00770AA7">
        <w:rPr>
          <w:bCs/>
        </w:rPr>
        <w:t>First, much of the current literature examines energy transition at industry level rather than focusing specifically on how individual organisations align sustainability commitments with operational and financial implementation.</w:t>
      </w:r>
      <w:r w:rsidR="00265D16">
        <w:rPr>
          <w:bCs/>
        </w:rPr>
        <w:t xml:space="preserve"> </w:t>
      </w:r>
      <w:r w:rsidRPr="00770AA7">
        <w:rPr>
          <w:bCs/>
        </w:rPr>
        <w:t xml:space="preserve">Second, while </w:t>
      </w:r>
      <w:r w:rsidRPr="00770AA7">
        <w:rPr>
          <w:bCs/>
        </w:rPr>
        <w:lastRenderedPageBreak/>
        <w:t>stakeholder theory and institutional theory are widely discussed independently, limited research integrates these perspectives to examine how external pressures influence internal organisational strategy within multinational energy corporations.</w:t>
      </w:r>
      <w:r w:rsidR="00265D16">
        <w:rPr>
          <w:bCs/>
        </w:rPr>
        <w:t xml:space="preserve"> </w:t>
      </w:r>
      <w:r w:rsidRPr="00770AA7">
        <w:rPr>
          <w:bCs/>
        </w:rPr>
        <w:t>Third, existing studies frequently analyse sustainability communication and climate commitments but provide less detailed evaluation of capital allocation decisions and strategic implementation.</w:t>
      </w:r>
      <w:r w:rsidR="00265D16">
        <w:rPr>
          <w:bCs/>
        </w:rPr>
        <w:t xml:space="preserve"> </w:t>
      </w:r>
      <w:r w:rsidRPr="00770AA7">
        <w:rPr>
          <w:bCs/>
        </w:rPr>
        <w:t>Fourth, although ambidexterity theory explains organisational tensions between exploitation and exploration, there remains limited empirical understanding regarding how Shell specifically manages these competing priorities.</w:t>
      </w:r>
      <w:r w:rsidR="00265D16">
        <w:rPr>
          <w:bCs/>
        </w:rPr>
        <w:t xml:space="preserve"> </w:t>
      </w:r>
      <w:r w:rsidRPr="00770AA7">
        <w:rPr>
          <w:bCs/>
        </w:rPr>
        <w:t>Finally, much of the existing research focuses on environmental outcomes without fully exploring the leadership and management implications associated with balancing sustainability and profitability.</w:t>
      </w:r>
    </w:p>
    <w:p w14:paraId="32156209" w14:textId="77777777" w:rsidR="00770AA7" w:rsidRPr="00770AA7" w:rsidRDefault="00770AA7" w:rsidP="00770AA7">
      <w:pPr>
        <w:pStyle w:val="NoSpacing"/>
        <w:rPr>
          <w:bCs/>
        </w:rPr>
      </w:pPr>
    </w:p>
    <w:p w14:paraId="4C00B290" w14:textId="795ED2F4" w:rsidR="00E07A8D" w:rsidRDefault="00770AA7" w:rsidP="00770AA7">
      <w:pPr>
        <w:pStyle w:val="NoSpacing"/>
        <w:rPr>
          <w:bCs/>
        </w:rPr>
      </w:pPr>
      <w:r w:rsidRPr="00770AA7">
        <w:rPr>
          <w:bCs/>
        </w:rPr>
        <w:t>This dissertation addresses these gaps by conducting a focused qualitative case study of Shell’s energy transition strategy. The research integrates stakeholder theory, institutional theory, and strategic ambidexterity to critically evaluate whether Shell’s strategic implementation aligns with its publicly stated sustainability commitments.</w:t>
      </w:r>
    </w:p>
    <w:p w14:paraId="203D2BFA" w14:textId="77777777" w:rsidR="00770AA7" w:rsidRDefault="00770AA7" w:rsidP="00770AA7">
      <w:pPr>
        <w:pStyle w:val="NoSpacing"/>
        <w:rPr>
          <w:bCs/>
        </w:rPr>
      </w:pPr>
    </w:p>
    <w:p w14:paraId="3981848B" w14:textId="77777777" w:rsidR="000244B6" w:rsidRDefault="000244B6" w:rsidP="00770AA7">
      <w:pPr>
        <w:pStyle w:val="NoSpacing"/>
        <w:rPr>
          <w:bCs/>
        </w:rPr>
      </w:pPr>
    </w:p>
    <w:p w14:paraId="36B355E6" w14:textId="77777777" w:rsidR="000244B6" w:rsidRDefault="000244B6" w:rsidP="00770AA7">
      <w:pPr>
        <w:pStyle w:val="NoSpacing"/>
        <w:rPr>
          <w:bCs/>
        </w:rPr>
      </w:pPr>
    </w:p>
    <w:p w14:paraId="7E0A2203" w14:textId="77777777" w:rsidR="00436F98" w:rsidRPr="00436F98" w:rsidRDefault="00436F98" w:rsidP="00436F98">
      <w:pPr>
        <w:pStyle w:val="NoSpacing"/>
        <w:rPr>
          <w:bCs/>
        </w:rPr>
      </w:pPr>
      <w:r w:rsidRPr="00436F98">
        <w:rPr>
          <w:bCs/>
        </w:rPr>
        <w:t>The conceptual framework for this research is based on the integration of three major theoretical perspectives:</w:t>
      </w:r>
    </w:p>
    <w:p w14:paraId="65C7BB28" w14:textId="77777777" w:rsidR="00436F98" w:rsidRPr="00436F98" w:rsidRDefault="00436F98" w:rsidP="00436F98">
      <w:pPr>
        <w:pStyle w:val="NoSpacing"/>
        <w:rPr>
          <w:bCs/>
        </w:rPr>
      </w:pPr>
    </w:p>
    <w:p w14:paraId="3A63E74A" w14:textId="57BC976F" w:rsidR="00436F98" w:rsidRPr="00436F98" w:rsidRDefault="00436F98" w:rsidP="00436F98">
      <w:pPr>
        <w:pStyle w:val="NoSpacing"/>
        <w:rPr>
          <w:bCs/>
        </w:rPr>
      </w:pPr>
      <w:r>
        <w:rPr>
          <w:bCs/>
        </w:rPr>
        <w:t>1</w:t>
      </w:r>
      <w:r>
        <w:rPr>
          <w:rFonts w:ascii="Aptos" w:hAnsi="Aptos"/>
          <w:bCs/>
        </w:rPr>
        <w:t>▫</w:t>
      </w:r>
      <w:r>
        <w:rPr>
          <w:bCs/>
        </w:rPr>
        <w:t xml:space="preserve"> </w:t>
      </w:r>
      <w:r w:rsidRPr="00436F98">
        <w:rPr>
          <w:bCs/>
        </w:rPr>
        <w:t>Stakeholder Theory</w:t>
      </w:r>
    </w:p>
    <w:p w14:paraId="25ACE218" w14:textId="1E73A446" w:rsidR="00436F98" w:rsidRPr="00436F98" w:rsidRDefault="00436F98" w:rsidP="00436F98">
      <w:pPr>
        <w:pStyle w:val="NoSpacing"/>
        <w:rPr>
          <w:bCs/>
        </w:rPr>
      </w:pPr>
      <w:r>
        <w:rPr>
          <w:bCs/>
        </w:rPr>
        <w:t>2</w:t>
      </w:r>
      <w:r>
        <w:rPr>
          <w:rFonts w:ascii="Aptos" w:hAnsi="Aptos"/>
          <w:bCs/>
        </w:rPr>
        <w:t>▫</w:t>
      </w:r>
      <w:r>
        <w:rPr>
          <w:bCs/>
        </w:rPr>
        <w:t xml:space="preserve"> </w:t>
      </w:r>
      <w:r w:rsidRPr="00436F98">
        <w:rPr>
          <w:bCs/>
        </w:rPr>
        <w:t>Institutional Theory</w:t>
      </w:r>
    </w:p>
    <w:p w14:paraId="746A6EE2" w14:textId="5571DE61" w:rsidR="00436F98" w:rsidRPr="00436F98" w:rsidRDefault="00436F98" w:rsidP="00436F98">
      <w:pPr>
        <w:pStyle w:val="NoSpacing"/>
        <w:rPr>
          <w:bCs/>
        </w:rPr>
      </w:pPr>
      <w:r>
        <w:rPr>
          <w:bCs/>
        </w:rPr>
        <w:t>3</w:t>
      </w:r>
      <w:r>
        <w:rPr>
          <w:rFonts w:ascii="Aptos" w:hAnsi="Aptos"/>
          <w:bCs/>
        </w:rPr>
        <w:t>▫</w:t>
      </w:r>
      <w:r>
        <w:rPr>
          <w:bCs/>
        </w:rPr>
        <w:t xml:space="preserve"> </w:t>
      </w:r>
      <w:r w:rsidRPr="00436F98">
        <w:rPr>
          <w:bCs/>
        </w:rPr>
        <w:t>Strategic Ambidexterity</w:t>
      </w:r>
    </w:p>
    <w:p w14:paraId="322CCED6" w14:textId="77777777" w:rsidR="00436F98" w:rsidRPr="00436F98" w:rsidRDefault="00436F98" w:rsidP="00436F98">
      <w:pPr>
        <w:pStyle w:val="NoSpacing"/>
        <w:rPr>
          <w:bCs/>
        </w:rPr>
      </w:pPr>
    </w:p>
    <w:p w14:paraId="512411DB" w14:textId="230311EE" w:rsidR="00436F98" w:rsidRDefault="00417CDA" w:rsidP="00436F98">
      <w:pPr>
        <w:pStyle w:val="NoSpacing"/>
        <w:rPr>
          <w:bCs/>
        </w:rPr>
      </w:pPr>
      <w:r w:rsidRPr="00417CDA">
        <w:rPr>
          <w:bCs/>
        </w:rPr>
        <w:t xml:space="preserve">The theoretical foundation of this study draws upon stakeholder theory, institutional theory, and strategic ambidexterity to provide a comprehensive framework for analysing Shell's sustainability strategy. Stakeholder theory suggests that organisations must balance the often competing expectations of diverse stakeholder groups, including shareholders, governments, customers, employees, and environmental organisations, when making strategic decisions related to sustainability </w:t>
      </w:r>
      <w:sdt>
        <w:sdtPr>
          <w:rPr>
            <w:bCs/>
          </w:rPr>
          <w:id w:val="-200324326"/>
          <w:citation/>
        </w:sdtPr>
        <w:sdtEndPr/>
        <w:sdtContent>
          <w:r w:rsidR="00286449">
            <w:rPr>
              <w:bCs/>
            </w:rPr>
            <w:fldChar w:fldCharType="begin"/>
          </w:r>
          <w:r w:rsidR="00286449">
            <w:rPr>
              <w:bCs/>
            </w:rPr>
            <w:instrText xml:space="preserve"> CITATION Ada08 \l 2057 </w:instrText>
          </w:r>
          <w:r w:rsidR="00286449">
            <w:rPr>
              <w:bCs/>
            </w:rPr>
            <w:fldChar w:fldCharType="separate"/>
          </w:r>
          <w:r w:rsidR="00286449" w:rsidRPr="00286449">
            <w:rPr>
              <w:noProof/>
            </w:rPr>
            <w:t>(Lindgreen, 2008)</w:t>
          </w:r>
          <w:r w:rsidR="00286449">
            <w:rPr>
              <w:bCs/>
            </w:rPr>
            <w:fldChar w:fldCharType="end"/>
          </w:r>
        </w:sdtContent>
      </w:sdt>
      <w:r w:rsidR="00491E8B">
        <w:rPr>
          <w:bCs/>
        </w:rPr>
        <w:t>.</w:t>
      </w:r>
      <w:r w:rsidR="00286449">
        <w:rPr>
          <w:bCs/>
        </w:rPr>
        <w:t xml:space="preserve"> </w:t>
      </w:r>
      <w:r w:rsidR="00286449" w:rsidRPr="00286449">
        <w:rPr>
          <w:bCs/>
        </w:rPr>
        <w:t>This perspective helps explain how Shell's sustainability initiatives are influenced by pressures to address environmental concerns while continuing to generate shareholder value. Institutional theory further argues that organisational behaviour is shaped by external institutional pressures, including regulations, industry norms, and societal expectations, which encourage firms to adopt sustainability practices to maintain legitimacy rather than solely improve performance</w:t>
      </w:r>
      <w:r w:rsidR="00286449">
        <w:rPr>
          <w:bCs/>
        </w:rPr>
        <w:t xml:space="preserve"> </w:t>
      </w:r>
      <w:sdt>
        <w:sdtPr>
          <w:rPr>
            <w:bCs/>
          </w:rPr>
          <w:id w:val="-1359656271"/>
          <w:citation/>
        </w:sdtPr>
        <w:sdtEndPr/>
        <w:sdtContent>
          <w:r w:rsidR="00286449">
            <w:rPr>
              <w:bCs/>
            </w:rPr>
            <w:fldChar w:fldCharType="begin"/>
          </w:r>
          <w:r w:rsidR="00286449">
            <w:rPr>
              <w:bCs/>
            </w:rPr>
            <w:instrText xml:space="preserve"> CITATION Oli18 \l 2057 </w:instrText>
          </w:r>
          <w:r w:rsidR="00286449">
            <w:rPr>
              <w:bCs/>
            </w:rPr>
            <w:fldChar w:fldCharType="separate"/>
          </w:r>
          <w:r w:rsidR="00286449" w:rsidRPr="00286449">
            <w:rPr>
              <w:noProof/>
            </w:rPr>
            <w:t>(Berthod, 2018)</w:t>
          </w:r>
          <w:r w:rsidR="00286449">
            <w:rPr>
              <w:bCs/>
            </w:rPr>
            <w:fldChar w:fldCharType="end"/>
          </w:r>
        </w:sdtContent>
      </w:sdt>
      <w:r w:rsidR="00286449">
        <w:rPr>
          <w:bCs/>
        </w:rPr>
        <w:t>.</w:t>
      </w:r>
      <w:r w:rsidR="00C04494">
        <w:rPr>
          <w:bCs/>
        </w:rPr>
        <w:t xml:space="preserve"> </w:t>
      </w:r>
      <w:r w:rsidR="00C04494" w:rsidRPr="00C04494">
        <w:rPr>
          <w:bCs/>
        </w:rPr>
        <w:t>In the context of the energy industry, this theory provides insight into why oil and gas companies increasingly communicate ambitious climate commitments and net-zero targets in response to growing political and public scrutiny. Finally, the theory of strategic ambidexterity explains how organisations seek to simultaneously exploit existing capabilities while exploring new opportunitie</w:t>
      </w:r>
      <w:r w:rsidR="003165C8">
        <w:rPr>
          <w:bCs/>
        </w:rPr>
        <w:t xml:space="preserve">s </w:t>
      </w:r>
      <w:sdt>
        <w:sdtPr>
          <w:rPr>
            <w:bCs/>
          </w:rPr>
          <w:id w:val="969860112"/>
          <w:citation/>
        </w:sdtPr>
        <w:sdtEndPr/>
        <w:sdtContent>
          <w:r w:rsidR="00280BA2">
            <w:rPr>
              <w:bCs/>
            </w:rPr>
            <w:fldChar w:fldCharType="begin"/>
          </w:r>
          <w:r w:rsidR="00280BA2">
            <w:rPr>
              <w:bCs/>
            </w:rPr>
            <w:instrText xml:space="preserve"> CITATION Ant141 \l 2057 </w:instrText>
          </w:r>
          <w:r w:rsidR="00280BA2">
            <w:rPr>
              <w:bCs/>
            </w:rPr>
            <w:fldChar w:fldCharType="separate"/>
          </w:r>
          <w:r w:rsidR="00280BA2" w:rsidRPr="00280BA2">
            <w:rPr>
              <w:noProof/>
            </w:rPr>
            <w:t>(Nieto-Rodriguez, 2014)</w:t>
          </w:r>
          <w:r w:rsidR="00280BA2">
            <w:rPr>
              <w:bCs/>
            </w:rPr>
            <w:fldChar w:fldCharType="end"/>
          </w:r>
        </w:sdtContent>
      </w:sdt>
      <w:r w:rsidR="00280BA2" w:rsidRPr="00280BA2">
        <w:t xml:space="preserve"> </w:t>
      </w:r>
      <w:r w:rsidR="00280BA2" w:rsidRPr="00280BA2">
        <w:rPr>
          <w:bCs/>
        </w:rPr>
        <w:t xml:space="preserve">. For Shell, this involves maintaining profitability through its established oil and gas operations while investing in renewable energy technologies, hydrogen, carbon capture, and other low-carbon initiatives. Collectively, these theoretical perspectives provide a </w:t>
      </w:r>
      <w:r w:rsidR="00280BA2">
        <w:rPr>
          <w:bCs/>
        </w:rPr>
        <w:t>diverse</w:t>
      </w:r>
      <w:r w:rsidR="00280BA2" w:rsidRPr="00280BA2">
        <w:rPr>
          <w:bCs/>
        </w:rPr>
        <w:t xml:space="preserve"> analytical framework for evaluating the extent to which Shell's sustainability commitments </w:t>
      </w:r>
      <w:r w:rsidR="00280BA2" w:rsidRPr="00280BA2">
        <w:rPr>
          <w:bCs/>
        </w:rPr>
        <w:lastRenderedPageBreak/>
        <w:t>represent genuine strategic transformation or a balancing act between environmental responsibility and continued commercial performance.</w:t>
      </w:r>
    </w:p>
    <w:p w14:paraId="0162044A" w14:textId="77777777" w:rsidR="000C443B" w:rsidRDefault="000C443B" w:rsidP="00436F98">
      <w:pPr>
        <w:pStyle w:val="NoSpacing"/>
        <w:rPr>
          <w:bCs/>
        </w:rPr>
      </w:pPr>
    </w:p>
    <w:p w14:paraId="66CA01F1" w14:textId="77777777" w:rsidR="000C443B" w:rsidRDefault="000C443B" w:rsidP="00436F98">
      <w:pPr>
        <w:pStyle w:val="NoSpacing"/>
        <w:rPr>
          <w:bCs/>
        </w:rPr>
      </w:pPr>
    </w:p>
    <w:p w14:paraId="5A32FC14" w14:textId="77777777" w:rsidR="000C443B" w:rsidRDefault="000C443B" w:rsidP="00436F98">
      <w:pPr>
        <w:pStyle w:val="NoSpacing"/>
        <w:rPr>
          <w:bCs/>
        </w:rPr>
      </w:pPr>
    </w:p>
    <w:p w14:paraId="474CE9C0" w14:textId="77777777" w:rsidR="000C443B" w:rsidRDefault="000C443B" w:rsidP="00436F98">
      <w:pPr>
        <w:pStyle w:val="NoSpacing"/>
        <w:rPr>
          <w:bCs/>
        </w:rPr>
      </w:pPr>
    </w:p>
    <w:p w14:paraId="1E76B1F5" w14:textId="77777777" w:rsidR="00280BA2" w:rsidRDefault="00280BA2">
      <w:pPr>
        <w:spacing w:after="160" w:line="278" w:lineRule="auto"/>
        <w:ind w:left="0" w:right="0" w:firstLine="0"/>
        <w:rPr>
          <w:b/>
          <w:sz w:val="56"/>
        </w:rPr>
      </w:pPr>
      <w:r>
        <w:br w:type="page"/>
      </w:r>
    </w:p>
    <w:p w14:paraId="42BD7778" w14:textId="47D3ABE8" w:rsidR="000C443B" w:rsidRDefault="000C443B" w:rsidP="000C443B">
      <w:pPr>
        <w:pStyle w:val="Heading1"/>
        <w:jc w:val="center"/>
      </w:pPr>
      <w:r>
        <w:lastRenderedPageBreak/>
        <w:t>CHAPTER 3: Methodology</w:t>
      </w:r>
    </w:p>
    <w:p w14:paraId="440D0674" w14:textId="7F6C621D" w:rsidR="000C443B" w:rsidRDefault="000C443B" w:rsidP="00436F98">
      <w:pPr>
        <w:pStyle w:val="NoSpacing"/>
      </w:pPr>
    </w:p>
    <w:p w14:paraId="32D38494" w14:textId="26A210C9" w:rsidR="00105FC8" w:rsidRDefault="00105FC8" w:rsidP="00105FC8">
      <w:pPr>
        <w:pStyle w:val="Heading1"/>
        <w:rPr>
          <w:sz w:val="28"/>
          <w:szCs w:val="10"/>
        </w:rPr>
      </w:pPr>
      <w:r w:rsidRPr="00105FC8">
        <w:rPr>
          <w:sz w:val="28"/>
          <w:szCs w:val="10"/>
        </w:rPr>
        <w:t>3.1 Systematic Literature Review (SLR)</w:t>
      </w:r>
    </w:p>
    <w:p w14:paraId="652E1A01" w14:textId="77777777" w:rsidR="00105FC8" w:rsidRDefault="00105FC8" w:rsidP="00105FC8"/>
    <w:p w14:paraId="2B66EF3D" w14:textId="4A16BA22" w:rsidR="000F6F6C" w:rsidRDefault="00514EE4" w:rsidP="006D261F">
      <w:r w:rsidRPr="00514EE4">
        <w:t xml:space="preserve">A </w:t>
      </w:r>
      <w:r w:rsidRPr="00514EE4">
        <w:rPr>
          <w:b/>
          <w:bCs/>
        </w:rPr>
        <w:t>Systematic Literature Review (SLR)</w:t>
      </w:r>
      <w:r w:rsidRPr="00514EE4">
        <w:t xml:space="preserve"> methodology has been adopted to investigate how Shell balances short-term profitability with long-term sustainability within its energy transition strategy. An SLR is a rigorous, structured, and transparent research methodology used to identify, critically evaluate, and synthesise existing evidence relevant to a clearly defined research question</w:t>
      </w:r>
      <w:r>
        <w:t xml:space="preserve"> </w:t>
      </w:r>
      <w:sdt>
        <w:sdtPr>
          <w:id w:val="1402634125"/>
          <w:citation/>
        </w:sdtPr>
        <w:sdtEndPr/>
        <w:sdtContent>
          <w:r w:rsidR="00B50EEF">
            <w:fldChar w:fldCharType="begin"/>
          </w:r>
          <w:r w:rsidR="00B50EEF">
            <w:instrText xml:space="preserve"> CITATION Han19 \l 2057 </w:instrText>
          </w:r>
          <w:r w:rsidR="00B50EEF">
            <w:fldChar w:fldCharType="separate"/>
          </w:r>
          <w:r w:rsidR="00B50EEF" w:rsidRPr="00B50EEF">
            <w:rPr>
              <w:noProof/>
            </w:rPr>
            <w:t>(Snyder, 2019)</w:t>
          </w:r>
          <w:r w:rsidR="00B50EEF">
            <w:fldChar w:fldCharType="end"/>
          </w:r>
        </w:sdtContent>
      </w:sdt>
      <w:r w:rsidR="000D73EE">
        <w:t>.</w:t>
      </w:r>
      <w:r w:rsidR="006D261F">
        <w:t xml:space="preserve"> </w:t>
      </w:r>
      <w:r w:rsidR="0093748D" w:rsidRPr="0093748D">
        <w:t>Unlike traditional narrative reviews, an SLR follows a predefined and replicable process that minimises researcher bias and enhances the reliability of findings</w:t>
      </w:r>
      <w:r w:rsidR="00327724">
        <w:t xml:space="preserve"> </w:t>
      </w:r>
      <w:sdt>
        <w:sdtPr>
          <w:id w:val="142247586"/>
          <w:citation/>
        </w:sdtPr>
        <w:sdtEndPr/>
        <w:sdtContent>
          <w:r w:rsidR="00822867">
            <w:fldChar w:fldCharType="begin"/>
          </w:r>
          <w:r w:rsidR="00822867">
            <w:instrText xml:space="preserve"> CITATION Dav03 \l 2057 </w:instrText>
          </w:r>
          <w:r w:rsidR="00822867">
            <w:fldChar w:fldCharType="separate"/>
          </w:r>
          <w:r w:rsidR="00822867" w:rsidRPr="00822867">
            <w:rPr>
              <w:noProof/>
            </w:rPr>
            <w:t>(Tranfield, et al., 2003)</w:t>
          </w:r>
          <w:r w:rsidR="00822867">
            <w:fldChar w:fldCharType="end"/>
          </w:r>
        </w:sdtContent>
      </w:sdt>
      <w:r w:rsidR="0093748D" w:rsidRPr="0093748D">
        <w:t>. The methodology is particularly suitable for this study because it enables the researcher to analyse a wide range of existing academic and industry literature concerning sustainability, energy transition, stakeholder pressures, strategic management, and organisational change within the oil and gas sector.</w:t>
      </w:r>
      <w:r w:rsidR="006D261F">
        <w:t xml:space="preserve"> </w:t>
      </w:r>
      <w:r w:rsidR="0087443D" w:rsidRPr="0087443D">
        <w:t>The systematic review approach allows for the identification of patterns, contradictions, and knowledge gaps within existing literature, providing a robust foundation for understanding Shell's sustainability strategy and its implications for leadership and management practice.</w:t>
      </w:r>
    </w:p>
    <w:p w14:paraId="0B767C89" w14:textId="77777777" w:rsidR="002B4833" w:rsidRDefault="002B4833" w:rsidP="00105FC8"/>
    <w:p w14:paraId="292424FA" w14:textId="77777777" w:rsidR="00FD36AA" w:rsidRDefault="00FD36AA" w:rsidP="00FD36AA"/>
    <w:p w14:paraId="538E2D64" w14:textId="75310F6F" w:rsidR="00FD36AA" w:rsidRDefault="00FD36AA" w:rsidP="00FD36AA">
      <w:pPr>
        <w:pStyle w:val="Heading1"/>
        <w:rPr>
          <w:sz w:val="28"/>
          <w:szCs w:val="10"/>
        </w:rPr>
      </w:pPr>
      <w:r>
        <w:tab/>
      </w:r>
      <w:r w:rsidRPr="00105FC8">
        <w:rPr>
          <w:sz w:val="28"/>
          <w:szCs w:val="10"/>
        </w:rPr>
        <w:t>3</w:t>
      </w:r>
      <w:r w:rsidRPr="00FD36AA">
        <w:rPr>
          <w:sz w:val="28"/>
          <w:szCs w:val="10"/>
        </w:rPr>
        <w:t xml:space="preserve">.2 </w:t>
      </w:r>
      <w:r w:rsidR="00EB2070" w:rsidRPr="00EB2070">
        <w:rPr>
          <w:sz w:val="28"/>
          <w:szCs w:val="10"/>
        </w:rPr>
        <w:t>Search Strategy</w:t>
      </w:r>
    </w:p>
    <w:p w14:paraId="49F71373" w14:textId="107044C0" w:rsidR="00FD36AA" w:rsidRDefault="00FD36AA" w:rsidP="00FD36AA">
      <w:pPr>
        <w:tabs>
          <w:tab w:val="left" w:pos="2865"/>
        </w:tabs>
      </w:pPr>
    </w:p>
    <w:p w14:paraId="0A55DE91" w14:textId="06B33B5A" w:rsidR="006749AC" w:rsidRDefault="006749AC" w:rsidP="00EB2070">
      <w:pPr>
        <w:tabs>
          <w:tab w:val="left" w:pos="2865"/>
        </w:tabs>
        <w:ind w:left="0" w:firstLine="0"/>
      </w:pPr>
      <w:r w:rsidRPr="006749AC">
        <w:t>A systematic search strategy was used to identify relevant, credible, and high-quality academic literature for this study. This structured approach ensured the review remained focused, transparent, and aligned with the research objectives while reducing selection bias. The search concentrated on literature relating to corporate sustainability, energy transition, organisational strategy, and the theoretical perspectives underpinning the study, including stakeholder theory, institutional theory, and strategic ambidexterity.</w:t>
      </w:r>
      <w:r>
        <w:t xml:space="preserve"> </w:t>
      </w:r>
    </w:p>
    <w:p w14:paraId="77DE15C0" w14:textId="77777777" w:rsidR="00BC3BA4" w:rsidRDefault="00BC3BA4" w:rsidP="00EB2070">
      <w:pPr>
        <w:tabs>
          <w:tab w:val="left" w:pos="2865"/>
        </w:tabs>
        <w:ind w:left="0" w:firstLine="0"/>
      </w:pPr>
    </w:p>
    <w:p w14:paraId="6C5E46D4" w14:textId="77777777" w:rsidR="004115DB" w:rsidRDefault="00BC3BA4" w:rsidP="00BC3BA4">
      <w:pPr>
        <w:tabs>
          <w:tab w:val="left" w:pos="2865"/>
        </w:tabs>
        <w:ind w:left="0" w:firstLine="0"/>
      </w:pPr>
      <w:r w:rsidRPr="00BC3BA4">
        <w:t xml:space="preserve">The literature search followed four stages. </w:t>
      </w:r>
    </w:p>
    <w:p w14:paraId="532ECABE" w14:textId="6F3B7ECA" w:rsidR="00BC3BA4" w:rsidRPr="00BC3BA4" w:rsidRDefault="00BC3BA4" w:rsidP="00BC3BA4">
      <w:pPr>
        <w:tabs>
          <w:tab w:val="left" w:pos="2865"/>
        </w:tabs>
        <w:ind w:left="0" w:firstLine="0"/>
      </w:pPr>
      <w:r w:rsidRPr="00BC3BA4">
        <w:t>The first stage, identification, involved searching electronic academic databases and Google Scholar using keywords linked to the research topic. This produced a broad range of journal articles, books, conference papers, and industry reports on sustainability, corporate strategy, and the energy sector.</w:t>
      </w:r>
    </w:p>
    <w:p w14:paraId="4524C280" w14:textId="587C072A" w:rsidR="00BC3BA4" w:rsidRPr="00BC3BA4" w:rsidRDefault="00BC3BA4" w:rsidP="00BC3BA4">
      <w:pPr>
        <w:tabs>
          <w:tab w:val="left" w:pos="2865"/>
        </w:tabs>
        <w:ind w:left="0" w:firstLine="0"/>
      </w:pPr>
      <w:r w:rsidRPr="00BC3BA4">
        <w:t>The second stage, screening, involved reviewing titles and abstracts to assess relevance. Duplicate records were removed, and studies unrelated to Shell, sustainability, energy transition, or the selected theories were excluded.</w:t>
      </w:r>
    </w:p>
    <w:p w14:paraId="2E467C6C" w14:textId="292BB2CC" w:rsidR="00BC3BA4" w:rsidRPr="00BC3BA4" w:rsidRDefault="00BC3BA4" w:rsidP="00BC3BA4">
      <w:pPr>
        <w:tabs>
          <w:tab w:val="left" w:pos="2865"/>
        </w:tabs>
        <w:ind w:left="0" w:firstLine="0"/>
      </w:pPr>
      <w:r w:rsidRPr="00BC3BA4">
        <w:t>The third stage, eligibility assessment, involved reviewing the full text of the remaining studies against set inclusion and exclusion criteria. Each source was assessed for quality, rigour, and relevance to the research questions, with particular attention given to studies on international energy companies and the balance between profitability and environmental sustainability.</w:t>
      </w:r>
    </w:p>
    <w:p w14:paraId="611FFF7E" w14:textId="0C76FC1A" w:rsidR="00BC3BA4" w:rsidRPr="00BC3BA4" w:rsidRDefault="00BC3BA4" w:rsidP="00BC3BA4">
      <w:pPr>
        <w:tabs>
          <w:tab w:val="left" w:pos="2865"/>
        </w:tabs>
        <w:ind w:left="0" w:firstLine="0"/>
      </w:pPr>
      <w:r w:rsidRPr="00BC3BA4">
        <w:t xml:space="preserve">The final stage, selection, retained only studies directly relevant to sustainability strategy, energy transition, stakeholder theory, institutional theory, strategic </w:t>
      </w:r>
      <w:r w:rsidRPr="00BC3BA4">
        <w:lastRenderedPageBreak/>
        <w:t>ambidexterity, and Shell’s response to climate change. Only studies offering strong theoretical or empirical evidence were included,</w:t>
      </w:r>
    </w:p>
    <w:p w14:paraId="3DF1CFF4" w14:textId="77777777" w:rsidR="00BC3BA4" w:rsidRDefault="00BC3BA4" w:rsidP="00EB2070">
      <w:pPr>
        <w:tabs>
          <w:tab w:val="left" w:pos="2865"/>
        </w:tabs>
        <w:ind w:left="0" w:firstLine="0"/>
      </w:pPr>
    </w:p>
    <w:p w14:paraId="4421B4E7" w14:textId="77777777" w:rsidR="00EB2070" w:rsidRDefault="00EB2070" w:rsidP="00BC3BA4">
      <w:pPr>
        <w:tabs>
          <w:tab w:val="left" w:pos="2865"/>
        </w:tabs>
        <w:ind w:left="0" w:firstLine="0"/>
      </w:pPr>
    </w:p>
    <w:p w14:paraId="6B143B6D" w14:textId="57B44D0B" w:rsidR="00EB0D22" w:rsidRDefault="00EB0D22" w:rsidP="00EB0D22">
      <w:pPr>
        <w:pStyle w:val="Heading1"/>
        <w:rPr>
          <w:sz w:val="28"/>
          <w:szCs w:val="10"/>
        </w:rPr>
      </w:pPr>
      <w:r w:rsidRPr="00105FC8">
        <w:rPr>
          <w:sz w:val="28"/>
          <w:szCs w:val="10"/>
        </w:rPr>
        <w:t>3</w:t>
      </w:r>
      <w:r w:rsidRPr="00EB0D22">
        <w:rPr>
          <w:sz w:val="28"/>
          <w:szCs w:val="10"/>
        </w:rPr>
        <w:t>.</w:t>
      </w:r>
      <w:r>
        <w:rPr>
          <w:sz w:val="28"/>
          <w:szCs w:val="10"/>
        </w:rPr>
        <w:t>3</w:t>
      </w:r>
      <w:r w:rsidRPr="00EB0D22">
        <w:rPr>
          <w:sz w:val="28"/>
          <w:szCs w:val="10"/>
        </w:rPr>
        <w:t xml:space="preserve"> Search Terms</w:t>
      </w:r>
    </w:p>
    <w:p w14:paraId="001F77B0" w14:textId="61198CE3" w:rsidR="00957512" w:rsidRDefault="00957512" w:rsidP="005D4567">
      <w:pPr>
        <w:tabs>
          <w:tab w:val="left" w:pos="2865"/>
        </w:tabs>
        <w:ind w:left="0" w:firstLine="0"/>
        <w:rPr>
          <w:color w:val="EE0000"/>
        </w:rPr>
      </w:pPr>
    </w:p>
    <w:p w14:paraId="3FB9A2A7" w14:textId="2DC89B26" w:rsidR="00C3191E" w:rsidRPr="00F70374" w:rsidRDefault="00F70374" w:rsidP="00F70374">
      <w:pPr>
        <w:tabs>
          <w:tab w:val="left" w:pos="2865"/>
        </w:tabs>
        <w:ind w:left="0" w:firstLine="0"/>
        <w:rPr>
          <w:color w:val="auto"/>
        </w:rPr>
      </w:pPr>
      <w:r w:rsidRPr="00F70374">
        <w:rPr>
          <w:color w:val="auto"/>
        </w:rPr>
        <w:t>Search terms are the words or phrases entered into academic databases and search engines to retrieve relevant literature on a specific research topic. Carefully selected search terms improve the accuracy and comprehensiveness of the literature search by ensuring that studies relevant to the research objectives are identified</w:t>
      </w:r>
      <w:r>
        <w:rPr>
          <w:color w:val="auto"/>
        </w:rPr>
        <w:t xml:space="preserve"> </w:t>
      </w:r>
      <w:sdt>
        <w:sdtPr>
          <w:rPr>
            <w:color w:val="auto"/>
          </w:rPr>
          <w:id w:val="30851205"/>
          <w:citation/>
        </w:sdtPr>
        <w:sdtEndPr/>
        <w:sdtContent>
          <w:r>
            <w:rPr>
              <w:color w:val="auto"/>
            </w:rPr>
            <w:fldChar w:fldCharType="begin"/>
          </w:r>
          <w:r>
            <w:rPr>
              <w:color w:val="auto"/>
            </w:rPr>
            <w:instrText xml:space="preserve"> CITATION Der22 \l 2057 </w:instrText>
          </w:r>
          <w:r>
            <w:rPr>
              <w:color w:val="auto"/>
            </w:rPr>
            <w:fldChar w:fldCharType="separate"/>
          </w:r>
          <w:r w:rsidRPr="00F70374">
            <w:rPr>
              <w:noProof/>
              <w:color w:val="auto"/>
            </w:rPr>
            <w:t>(Dermody, et al., 2022)</w:t>
          </w:r>
          <w:r>
            <w:rPr>
              <w:color w:val="auto"/>
            </w:rPr>
            <w:fldChar w:fldCharType="end"/>
          </w:r>
        </w:sdtContent>
      </w:sdt>
      <w:r w:rsidRPr="00F70374">
        <w:rPr>
          <w:color w:val="auto"/>
        </w:rPr>
        <w:t>.</w:t>
      </w:r>
      <w:r>
        <w:rPr>
          <w:color w:val="auto"/>
        </w:rPr>
        <w:t xml:space="preserve"> </w:t>
      </w:r>
      <w:r w:rsidR="00C3191E" w:rsidRPr="00C3191E">
        <w:t xml:space="preserve">A comprehensive range of search terms was developed to ensure that relevant academic literature was identified across multiple databases. The search terms were designed to reflect the key concepts underpinning the research, including sustainability, energy transition, corporate strategy, and organisational theory. Both broad and specific search phrases were employed to maximise the retrieval of relevant studies while maintaining </w:t>
      </w:r>
      <w:r w:rsidR="00413480">
        <w:t xml:space="preserve">relevance </w:t>
      </w:r>
      <w:r w:rsidR="00C3191E" w:rsidRPr="00C3191E">
        <w:t>with the research objectives.</w:t>
      </w:r>
    </w:p>
    <w:p w14:paraId="09CD86CA" w14:textId="77777777" w:rsidR="00C3191E" w:rsidRDefault="00C3191E" w:rsidP="00957512">
      <w:pPr>
        <w:tabs>
          <w:tab w:val="left" w:pos="2865"/>
        </w:tabs>
      </w:pPr>
    </w:p>
    <w:p w14:paraId="63EEFBD0" w14:textId="09A850BB" w:rsidR="00957512" w:rsidRDefault="00C57F29" w:rsidP="00957512">
      <w:pPr>
        <w:tabs>
          <w:tab w:val="left" w:pos="2865"/>
        </w:tabs>
      </w:pPr>
      <w:r w:rsidRPr="00C57F29">
        <w:t xml:space="preserve">Examples of search phrases included </w:t>
      </w:r>
      <w:r w:rsidRPr="00C57F29">
        <w:rPr>
          <w:b/>
          <w:bCs/>
        </w:rPr>
        <w:t>"Shell energy transition," "oil and gas sustainability strategy," "corporate sustainability and profitability," "net zero strategy oil companies," "stakeholder theory and sustainability," "institutional theory energy transition," "strategic ambidexterity oil industry," "renewable energy investment oil majors," "corporate greenwashing fossil fuel industry,"</w:t>
      </w:r>
      <w:r w:rsidRPr="00C57F29">
        <w:t xml:space="preserve"> and </w:t>
      </w:r>
      <w:r w:rsidRPr="00C57F29">
        <w:rPr>
          <w:b/>
          <w:bCs/>
        </w:rPr>
        <w:t>"energy transition organisational change."</w:t>
      </w:r>
      <w:r w:rsidR="0042306B">
        <w:t xml:space="preserve"> </w:t>
      </w:r>
      <w:r w:rsidRPr="00C57F29">
        <w:t>These search terms enabled the identification of literature covering both theoretical perspectives and practical applications within the global energy sector.</w:t>
      </w:r>
    </w:p>
    <w:p w14:paraId="5070BE07" w14:textId="77777777" w:rsidR="00413480" w:rsidRDefault="00413480" w:rsidP="00957512">
      <w:pPr>
        <w:tabs>
          <w:tab w:val="left" w:pos="2865"/>
        </w:tabs>
      </w:pPr>
    </w:p>
    <w:p w14:paraId="79829397" w14:textId="6049F841" w:rsidR="008C03CF" w:rsidRDefault="0024446E" w:rsidP="00880D7E">
      <w:pPr>
        <w:tabs>
          <w:tab w:val="left" w:pos="2865"/>
        </w:tabs>
      </w:pPr>
      <w:r>
        <w:t xml:space="preserve">To assist with collection of relevant </w:t>
      </w:r>
      <w:r w:rsidR="00347495">
        <w:t>papers, journals, articles</w:t>
      </w:r>
      <w:r w:rsidR="00A72739">
        <w:t>,</w:t>
      </w:r>
      <w:r w:rsidR="00347495">
        <w:t xml:space="preserve"> </w:t>
      </w:r>
      <w:r w:rsidR="00A72739">
        <w:t>etc,</w:t>
      </w:r>
      <w:r w:rsidR="00347495">
        <w:t xml:space="preserve"> </w:t>
      </w:r>
      <w:r w:rsidR="00A72739">
        <w:t>B</w:t>
      </w:r>
      <w:r w:rsidR="00A72739" w:rsidRPr="00A72739">
        <w:t>oolean operators were used throughout the search process to improve the precision and relevance of search results</w:t>
      </w:r>
      <w:r w:rsidR="00A72739">
        <w:t xml:space="preserve"> </w:t>
      </w:r>
      <w:sdt>
        <w:sdtPr>
          <w:id w:val="-802534625"/>
          <w:citation/>
        </w:sdtPr>
        <w:sdtEndPr/>
        <w:sdtContent>
          <w:r w:rsidR="00106601">
            <w:fldChar w:fldCharType="begin"/>
          </w:r>
          <w:r w:rsidR="00106601">
            <w:instrText xml:space="preserve"> CITATION Eog22 \l 2057 </w:instrText>
          </w:r>
          <w:r w:rsidR="00106601">
            <w:fldChar w:fldCharType="separate"/>
          </w:r>
          <w:r w:rsidR="00106601" w:rsidRPr="00106601">
            <w:rPr>
              <w:noProof/>
            </w:rPr>
            <w:t>(Ryan, 2022)</w:t>
          </w:r>
          <w:r w:rsidR="00106601">
            <w:fldChar w:fldCharType="end"/>
          </w:r>
        </w:sdtContent>
      </w:sdt>
      <w:r w:rsidR="00A72739" w:rsidRPr="00A72739">
        <w:t>.</w:t>
      </w:r>
      <w:r w:rsidR="00106601">
        <w:t xml:space="preserve"> </w:t>
      </w:r>
      <w:r w:rsidR="00957512">
        <w:t>Boolean operators such as AND, OR, and NOT were used to refine search results and improve relevance.</w:t>
      </w:r>
      <w:r w:rsidR="00880D7E">
        <w:t xml:space="preserve"> </w:t>
      </w:r>
      <w:r w:rsidR="00880D7E" w:rsidRPr="00880D7E">
        <w:t xml:space="preserve">Examples of Boolean search combinations included </w:t>
      </w:r>
      <w:r w:rsidR="00880D7E" w:rsidRPr="00880D7E">
        <w:rPr>
          <w:b/>
          <w:bCs/>
        </w:rPr>
        <w:t>"Shell AND sustainability," "oil companies AND net zero emissions," "energy transition AND profitability,"</w:t>
      </w:r>
      <w:r w:rsidR="00880D7E" w:rsidRPr="00880D7E">
        <w:t xml:space="preserve"> and </w:t>
      </w:r>
      <w:r w:rsidR="00880D7E" w:rsidRPr="00880D7E">
        <w:rPr>
          <w:b/>
          <w:bCs/>
        </w:rPr>
        <w:t>"stakeholder theory AND climate strategy."</w:t>
      </w:r>
    </w:p>
    <w:p w14:paraId="0649722A" w14:textId="77777777" w:rsidR="00EB0D22" w:rsidRDefault="00EB0D22" w:rsidP="00957512">
      <w:pPr>
        <w:tabs>
          <w:tab w:val="left" w:pos="2865"/>
        </w:tabs>
      </w:pPr>
    </w:p>
    <w:p w14:paraId="0F8A3D2A" w14:textId="77777777" w:rsidR="00EB0D22" w:rsidRDefault="00EB0D22" w:rsidP="00EB0D22">
      <w:pPr>
        <w:pStyle w:val="Heading1"/>
        <w:rPr>
          <w:sz w:val="28"/>
          <w:szCs w:val="10"/>
        </w:rPr>
      </w:pPr>
      <w:r w:rsidRPr="00105FC8">
        <w:rPr>
          <w:sz w:val="28"/>
          <w:szCs w:val="10"/>
        </w:rPr>
        <w:t>3</w:t>
      </w:r>
      <w:r w:rsidRPr="00EB0D22">
        <w:rPr>
          <w:sz w:val="28"/>
          <w:szCs w:val="10"/>
        </w:rPr>
        <w:t>.4 Key Words</w:t>
      </w:r>
    </w:p>
    <w:p w14:paraId="04D40038" w14:textId="77777777" w:rsidR="006D3A23" w:rsidRDefault="006D3A23" w:rsidP="006D3A23">
      <w:pPr>
        <w:tabs>
          <w:tab w:val="left" w:pos="2865"/>
        </w:tabs>
        <w:ind w:left="0" w:firstLine="0"/>
      </w:pPr>
    </w:p>
    <w:p w14:paraId="4BECCDB0" w14:textId="059F1903" w:rsidR="00F53B2B" w:rsidRPr="00B21FD3" w:rsidRDefault="00F53B2B" w:rsidP="00F53B2B">
      <w:pPr>
        <w:tabs>
          <w:tab w:val="left" w:pos="2865"/>
        </w:tabs>
      </w:pPr>
      <w:r w:rsidRPr="00F53B2B">
        <w:t xml:space="preserve">A consistent set of keywords was used throughout the literature search to ensure comprehensive coverage of the research topic. The keywords reflected the principal themes investigated within the study and were selected based on the research objectives and theoretical framework. Core keywords included </w:t>
      </w:r>
      <w:r w:rsidRPr="00F53B2B">
        <w:rPr>
          <w:b/>
          <w:bCs/>
        </w:rPr>
        <w:t>sustainability</w:t>
      </w:r>
      <w:r w:rsidRPr="00F53B2B">
        <w:t xml:space="preserve">, </w:t>
      </w:r>
      <w:r w:rsidRPr="00F53B2B">
        <w:rPr>
          <w:b/>
          <w:bCs/>
        </w:rPr>
        <w:t>energy transition</w:t>
      </w:r>
      <w:r w:rsidRPr="00F53B2B">
        <w:t xml:space="preserve">, </w:t>
      </w:r>
      <w:r w:rsidRPr="00F53B2B">
        <w:rPr>
          <w:b/>
          <w:bCs/>
        </w:rPr>
        <w:t>Shell</w:t>
      </w:r>
      <w:r w:rsidRPr="00F53B2B">
        <w:t xml:space="preserve">, </w:t>
      </w:r>
      <w:r w:rsidRPr="00F53B2B">
        <w:rPr>
          <w:b/>
          <w:bCs/>
        </w:rPr>
        <w:t>net-zero emissions</w:t>
      </w:r>
      <w:r w:rsidRPr="00F53B2B">
        <w:t xml:space="preserve">, </w:t>
      </w:r>
      <w:r w:rsidRPr="00F53B2B">
        <w:rPr>
          <w:b/>
          <w:bCs/>
        </w:rPr>
        <w:t>corporate strategy</w:t>
      </w:r>
      <w:r w:rsidRPr="00F53B2B">
        <w:t xml:space="preserve">, </w:t>
      </w:r>
      <w:r w:rsidRPr="00F53B2B">
        <w:rPr>
          <w:b/>
          <w:bCs/>
        </w:rPr>
        <w:t>stakeholder theory</w:t>
      </w:r>
      <w:r w:rsidRPr="00F53B2B">
        <w:t xml:space="preserve">, </w:t>
      </w:r>
      <w:r w:rsidRPr="004242BC">
        <w:rPr>
          <w:b/>
          <w:bCs/>
          <w:color w:val="auto"/>
        </w:rPr>
        <w:t>institutional theory</w:t>
      </w:r>
      <w:r w:rsidRPr="004242BC">
        <w:rPr>
          <w:color w:val="auto"/>
        </w:rPr>
        <w:t xml:space="preserve">, </w:t>
      </w:r>
      <w:r w:rsidRPr="004242BC">
        <w:rPr>
          <w:b/>
          <w:bCs/>
          <w:color w:val="auto"/>
        </w:rPr>
        <w:t>strategic ambidexterity</w:t>
      </w:r>
      <w:r w:rsidRPr="004242BC">
        <w:rPr>
          <w:color w:val="auto"/>
        </w:rPr>
        <w:t xml:space="preserve">, </w:t>
      </w:r>
      <w:r w:rsidRPr="004242BC">
        <w:rPr>
          <w:b/>
          <w:bCs/>
          <w:color w:val="auto"/>
        </w:rPr>
        <w:t>oil and gas industry</w:t>
      </w:r>
      <w:r w:rsidRPr="004242BC">
        <w:rPr>
          <w:color w:val="auto"/>
        </w:rPr>
        <w:t xml:space="preserve">, </w:t>
      </w:r>
      <w:r w:rsidRPr="004242BC">
        <w:rPr>
          <w:b/>
          <w:bCs/>
          <w:color w:val="auto"/>
        </w:rPr>
        <w:t>climate change</w:t>
      </w:r>
      <w:r w:rsidRPr="004242BC">
        <w:rPr>
          <w:color w:val="auto"/>
        </w:rPr>
        <w:t xml:space="preserve">, </w:t>
      </w:r>
      <w:r w:rsidRPr="004242BC">
        <w:rPr>
          <w:b/>
          <w:bCs/>
          <w:color w:val="auto"/>
        </w:rPr>
        <w:t>corporate sustainability</w:t>
      </w:r>
      <w:r w:rsidRPr="004242BC">
        <w:rPr>
          <w:color w:val="auto"/>
        </w:rPr>
        <w:t xml:space="preserve">, </w:t>
      </w:r>
      <w:r w:rsidRPr="004242BC">
        <w:rPr>
          <w:b/>
          <w:bCs/>
          <w:color w:val="auto"/>
        </w:rPr>
        <w:t>decarbonisation</w:t>
      </w:r>
      <w:r w:rsidRPr="004242BC">
        <w:rPr>
          <w:color w:val="auto"/>
        </w:rPr>
        <w:t xml:space="preserve">, </w:t>
      </w:r>
      <w:r w:rsidRPr="004242BC">
        <w:rPr>
          <w:b/>
          <w:bCs/>
          <w:color w:val="auto"/>
        </w:rPr>
        <w:t>renewable energy</w:t>
      </w:r>
      <w:r w:rsidRPr="004242BC">
        <w:rPr>
          <w:color w:val="auto"/>
        </w:rPr>
        <w:t xml:space="preserve">, </w:t>
      </w:r>
      <w:r w:rsidRPr="004242BC">
        <w:rPr>
          <w:b/>
          <w:bCs/>
          <w:color w:val="auto"/>
        </w:rPr>
        <w:t>organisational change</w:t>
      </w:r>
      <w:r w:rsidRPr="004242BC">
        <w:rPr>
          <w:color w:val="auto"/>
        </w:rPr>
        <w:t xml:space="preserve">, and </w:t>
      </w:r>
      <w:r w:rsidRPr="004242BC">
        <w:rPr>
          <w:b/>
          <w:bCs/>
          <w:color w:val="auto"/>
        </w:rPr>
        <w:t>environmental, social, and governance (ESG)</w:t>
      </w:r>
      <w:r w:rsidR="007961C1" w:rsidRPr="004242BC">
        <w:rPr>
          <w:b/>
          <w:bCs/>
          <w:color w:val="auto"/>
        </w:rPr>
        <w:t xml:space="preserve"> </w:t>
      </w:r>
      <w:sdt>
        <w:sdtPr>
          <w:rPr>
            <w:color w:val="auto"/>
          </w:rPr>
          <w:id w:val="1273672940"/>
          <w:citation/>
        </w:sdtPr>
        <w:sdtEndPr/>
        <w:sdtContent>
          <w:r w:rsidR="004242BC" w:rsidRPr="004242BC">
            <w:rPr>
              <w:color w:val="auto"/>
            </w:rPr>
            <w:fldChar w:fldCharType="begin"/>
          </w:r>
          <w:r w:rsidR="004242BC" w:rsidRPr="004242BC">
            <w:rPr>
              <w:color w:val="auto"/>
            </w:rPr>
            <w:instrText xml:space="preserve"> CITATION Kri23 \l 2057 </w:instrText>
          </w:r>
          <w:r w:rsidR="004242BC" w:rsidRPr="004242BC">
            <w:rPr>
              <w:color w:val="auto"/>
            </w:rPr>
            <w:fldChar w:fldCharType="separate"/>
          </w:r>
          <w:r w:rsidR="004242BC" w:rsidRPr="004242BC">
            <w:rPr>
              <w:noProof/>
              <w:color w:val="auto"/>
            </w:rPr>
            <w:t>(Halttunen, et al., 2023)</w:t>
          </w:r>
          <w:r w:rsidR="004242BC" w:rsidRPr="004242BC">
            <w:rPr>
              <w:color w:val="auto"/>
            </w:rPr>
            <w:fldChar w:fldCharType="end"/>
          </w:r>
        </w:sdtContent>
      </w:sdt>
      <w:r w:rsidR="004242BC" w:rsidRPr="004242BC">
        <w:rPr>
          <w:color w:val="auto"/>
        </w:rPr>
        <w:t>,</w:t>
      </w:r>
      <w:sdt>
        <w:sdtPr>
          <w:rPr>
            <w:color w:val="auto"/>
          </w:rPr>
          <w:id w:val="258491273"/>
          <w:citation/>
        </w:sdtPr>
        <w:sdtEndPr/>
        <w:sdtContent>
          <w:r w:rsidR="006559C7">
            <w:rPr>
              <w:color w:val="auto"/>
            </w:rPr>
            <w:fldChar w:fldCharType="begin"/>
          </w:r>
          <w:r w:rsidR="006559C7">
            <w:rPr>
              <w:color w:val="auto"/>
            </w:rPr>
            <w:instrText xml:space="preserve"> CITATION Vit25 \l 2057 </w:instrText>
          </w:r>
          <w:r w:rsidR="006559C7">
            <w:rPr>
              <w:color w:val="auto"/>
            </w:rPr>
            <w:fldChar w:fldCharType="separate"/>
          </w:r>
          <w:r w:rsidR="006559C7">
            <w:rPr>
              <w:noProof/>
              <w:color w:val="auto"/>
            </w:rPr>
            <w:t xml:space="preserve"> </w:t>
          </w:r>
          <w:r w:rsidR="006559C7" w:rsidRPr="006559C7">
            <w:rPr>
              <w:noProof/>
              <w:color w:val="auto"/>
            </w:rPr>
            <w:t>(L'Abate, et al., 2025)</w:t>
          </w:r>
          <w:r w:rsidR="006559C7">
            <w:rPr>
              <w:color w:val="auto"/>
            </w:rPr>
            <w:fldChar w:fldCharType="end"/>
          </w:r>
        </w:sdtContent>
      </w:sdt>
      <w:r w:rsidR="0042306B">
        <w:rPr>
          <w:color w:val="auto"/>
        </w:rPr>
        <w:t>,</w:t>
      </w:r>
      <w:sdt>
        <w:sdtPr>
          <w:rPr>
            <w:color w:val="auto"/>
          </w:rPr>
          <w:id w:val="610942897"/>
          <w:citation/>
        </w:sdtPr>
        <w:sdtEndPr/>
        <w:sdtContent>
          <w:r w:rsidR="0042306B">
            <w:rPr>
              <w:color w:val="auto"/>
            </w:rPr>
            <w:fldChar w:fldCharType="begin"/>
          </w:r>
          <w:r w:rsidR="0042306B">
            <w:rPr>
              <w:color w:val="auto"/>
            </w:rPr>
            <w:instrText xml:space="preserve"> CITATION Dav18 \l 2057 </w:instrText>
          </w:r>
          <w:r w:rsidR="0042306B">
            <w:rPr>
              <w:color w:val="auto"/>
            </w:rPr>
            <w:fldChar w:fldCharType="separate"/>
          </w:r>
          <w:r w:rsidR="0042306B">
            <w:rPr>
              <w:noProof/>
              <w:color w:val="auto"/>
            </w:rPr>
            <w:t xml:space="preserve"> </w:t>
          </w:r>
          <w:r w:rsidR="0042306B" w:rsidRPr="0042306B">
            <w:rPr>
              <w:noProof/>
              <w:color w:val="auto"/>
            </w:rPr>
            <w:t>(Herold, 2018)</w:t>
          </w:r>
          <w:r w:rsidR="0042306B">
            <w:rPr>
              <w:color w:val="auto"/>
            </w:rPr>
            <w:fldChar w:fldCharType="end"/>
          </w:r>
        </w:sdtContent>
      </w:sdt>
      <w:r w:rsidR="00411033">
        <w:rPr>
          <w:color w:val="auto"/>
        </w:rPr>
        <w:t>.</w:t>
      </w:r>
      <w:r w:rsidR="007961C1" w:rsidRPr="004242BC">
        <w:rPr>
          <w:color w:val="auto"/>
        </w:rPr>
        <w:t xml:space="preserve"> </w:t>
      </w:r>
      <w:r w:rsidRPr="004242BC">
        <w:rPr>
          <w:color w:val="auto"/>
        </w:rPr>
        <w:t xml:space="preserve">These keywords were used individually and in combination with Boolean operators to maximise the retrieval of relevant academic literature while ensuring consistency across </w:t>
      </w:r>
      <w:r w:rsidRPr="00F53B2B">
        <w:t>all database searches.</w:t>
      </w:r>
    </w:p>
    <w:p w14:paraId="4AA4091D" w14:textId="77777777" w:rsidR="00EB0D22" w:rsidRDefault="00EB0D22" w:rsidP="00957512">
      <w:pPr>
        <w:tabs>
          <w:tab w:val="left" w:pos="2865"/>
        </w:tabs>
      </w:pPr>
    </w:p>
    <w:p w14:paraId="045B3E29" w14:textId="77777777" w:rsidR="00BF3190" w:rsidRDefault="00BF3190" w:rsidP="00BF3190">
      <w:pPr>
        <w:pStyle w:val="Heading1"/>
        <w:rPr>
          <w:sz w:val="28"/>
          <w:szCs w:val="10"/>
        </w:rPr>
      </w:pPr>
      <w:r w:rsidRPr="00105FC8">
        <w:rPr>
          <w:sz w:val="28"/>
          <w:szCs w:val="10"/>
        </w:rPr>
        <w:t>3</w:t>
      </w:r>
      <w:r w:rsidRPr="00BF3190">
        <w:rPr>
          <w:sz w:val="28"/>
          <w:szCs w:val="10"/>
        </w:rPr>
        <w:t>.5 Databases</w:t>
      </w:r>
    </w:p>
    <w:p w14:paraId="47AEED0C" w14:textId="36537ADF" w:rsidR="00BF3190" w:rsidRDefault="00BF3190" w:rsidP="00957512">
      <w:pPr>
        <w:tabs>
          <w:tab w:val="left" w:pos="2865"/>
        </w:tabs>
      </w:pPr>
    </w:p>
    <w:p w14:paraId="70EA30BC" w14:textId="77777777" w:rsidR="000B3BE2" w:rsidRPr="000B3BE2" w:rsidRDefault="000B3BE2" w:rsidP="000B3BE2">
      <w:pPr>
        <w:tabs>
          <w:tab w:val="left" w:pos="2865"/>
        </w:tabs>
      </w:pPr>
      <w:r w:rsidRPr="000B3BE2">
        <w:t>Academic literature was sourced from several reputable electronic databases to ensure the quality, credibility, and comprehensiveness of the literature review. Using multiple databases increased the likelihood of identifying a diverse range of peer-reviewed research while reducing publication bias. Each database offered unique strengths that supported different aspects of the study.</w:t>
      </w:r>
    </w:p>
    <w:p w14:paraId="635C97B4" w14:textId="69D41C8B" w:rsidR="000B3BE2" w:rsidRPr="000B3BE2" w:rsidRDefault="00193AFE" w:rsidP="000B3BE2">
      <w:pPr>
        <w:tabs>
          <w:tab w:val="left" w:pos="2865"/>
        </w:tabs>
      </w:pPr>
      <w:r>
        <w:rPr>
          <w:rFonts w:ascii="Aptos" w:hAnsi="Aptos"/>
        </w:rPr>
        <w:t>•</w:t>
      </w:r>
      <w:r w:rsidR="000B3BE2" w:rsidRPr="000B3BE2">
        <w:t>Google Scholar served as the primary search platform due to its extensive coverage of peer-reviewed journal articles, books, conference papers, and institutional publications across a wide range of academic disciplines. It provided access to literature relating to sustainability, strategic management, climate change, and the global energy industry.</w:t>
      </w:r>
    </w:p>
    <w:p w14:paraId="7234B485" w14:textId="0C682F82" w:rsidR="000B3BE2" w:rsidRPr="000B3BE2" w:rsidRDefault="00193AFE" w:rsidP="000B3BE2">
      <w:pPr>
        <w:tabs>
          <w:tab w:val="left" w:pos="2865"/>
        </w:tabs>
      </w:pPr>
      <w:r>
        <w:rPr>
          <w:rFonts w:ascii="Aptos" w:hAnsi="Aptos"/>
        </w:rPr>
        <w:t>•</w:t>
      </w:r>
      <w:r w:rsidR="000B3BE2" w:rsidRPr="000B3BE2">
        <w:t>Scopus was utilised to identify high-quality scholarly articles and examine citation networks within sustainability and management research. The database enabled the identification of influential studies and highly cited publications relevant to corporate sustainability and energy transition.</w:t>
      </w:r>
    </w:p>
    <w:p w14:paraId="6AFE543D" w14:textId="3806AD9C" w:rsidR="000B3BE2" w:rsidRPr="000B3BE2" w:rsidRDefault="003D65F5" w:rsidP="000B3BE2">
      <w:pPr>
        <w:tabs>
          <w:tab w:val="left" w:pos="2865"/>
        </w:tabs>
      </w:pPr>
      <w:r>
        <w:rPr>
          <w:rFonts w:ascii="Aptos" w:hAnsi="Aptos"/>
        </w:rPr>
        <w:t>•</w:t>
      </w:r>
      <w:r w:rsidR="000B3BE2" w:rsidRPr="000B3BE2">
        <w:t>ScienceDirect provided access to internationally recognised journals focusing on sustainability, business strategy, environmental management, and energy economics. Many of the empirical studies examining organisational responses to climate change and renewable energy investment were sourced through this database.</w:t>
      </w:r>
    </w:p>
    <w:p w14:paraId="39F2A72A" w14:textId="733F1229" w:rsidR="000B3BE2" w:rsidRPr="000B3BE2" w:rsidRDefault="003D65F5" w:rsidP="000B3BE2">
      <w:pPr>
        <w:tabs>
          <w:tab w:val="left" w:pos="2865"/>
        </w:tabs>
      </w:pPr>
      <w:r>
        <w:rPr>
          <w:rFonts w:ascii="Aptos" w:hAnsi="Aptos"/>
        </w:rPr>
        <w:t>•</w:t>
      </w:r>
      <w:r w:rsidR="000B3BE2" w:rsidRPr="000B3BE2">
        <w:t>Emerald Insight was selected because of its strong collection of journals covering leadership, organisational behaviour, stakeholder management, and corporate governance. It contributed valuable literature examining strategic decision-making and sustainability implementation within organisations.</w:t>
      </w:r>
    </w:p>
    <w:p w14:paraId="2D03CB9A" w14:textId="55A89C97" w:rsidR="000B3BE2" w:rsidRPr="000B3BE2" w:rsidRDefault="003D65F5" w:rsidP="000B3BE2">
      <w:pPr>
        <w:tabs>
          <w:tab w:val="left" w:pos="2865"/>
        </w:tabs>
      </w:pPr>
      <w:r>
        <w:rPr>
          <w:rFonts w:ascii="Aptos" w:hAnsi="Aptos"/>
        </w:rPr>
        <w:t>•</w:t>
      </w:r>
      <w:r w:rsidR="000B3BE2" w:rsidRPr="000B3BE2">
        <w:t>SpringerLink was used to identify additional peer-reviewed publications relating to strategic management, organisational change, environmental policy, and sustainability transitions. Its interdisciplinary coverage complemented the other databases and strengthened the breadth of the literature review.</w:t>
      </w:r>
    </w:p>
    <w:p w14:paraId="5B425182" w14:textId="77777777" w:rsidR="003D65F5" w:rsidRDefault="003D65F5" w:rsidP="000B3BE2">
      <w:pPr>
        <w:tabs>
          <w:tab w:val="left" w:pos="2865"/>
        </w:tabs>
      </w:pPr>
    </w:p>
    <w:p w14:paraId="05A6A884" w14:textId="408C23B3" w:rsidR="000B3BE2" w:rsidRPr="000B3BE2" w:rsidRDefault="000B3BE2" w:rsidP="000B3BE2">
      <w:pPr>
        <w:tabs>
          <w:tab w:val="left" w:pos="2865"/>
        </w:tabs>
      </w:pPr>
      <w:r w:rsidRPr="000B3BE2">
        <w:t>The use of multiple academic databases ensured that the literature review captured a broad range of theoretical and empirical research while enhancing the reliability, validity, and comprehensiveness of the evidence used throughout the study.</w:t>
      </w:r>
    </w:p>
    <w:p w14:paraId="014F16E9" w14:textId="77777777" w:rsidR="002C495C" w:rsidRDefault="002C495C" w:rsidP="00D50ADD">
      <w:pPr>
        <w:tabs>
          <w:tab w:val="left" w:pos="2865"/>
        </w:tabs>
      </w:pPr>
    </w:p>
    <w:p w14:paraId="62A9519A" w14:textId="77777777" w:rsidR="002C495C" w:rsidRDefault="002C495C" w:rsidP="00D50ADD">
      <w:pPr>
        <w:tabs>
          <w:tab w:val="left" w:pos="2865"/>
        </w:tabs>
      </w:pPr>
    </w:p>
    <w:p w14:paraId="7DB04F23" w14:textId="77777777" w:rsidR="00EA26E3" w:rsidRDefault="00EA26E3" w:rsidP="00EA26E3">
      <w:pPr>
        <w:pStyle w:val="Heading1"/>
        <w:rPr>
          <w:sz w:val="28"/>
          <w:szCs w:val="10"/>
        </w:rPr>
      </w:pPr>
      <w:r w:rsidRPr="00105FC8">
        <w:rPr>
          <w:sz w:val="28"/>
          <w:szCs w:val="10"/>
        </w:rPr>
        <w:t>3</w:t>
      </w:r>
      <w:r w:rsidRPr="00EA26E3">
        <w:rPr>
          <w:sz w:val="28"/>
          <w:szCs w:val="10"/>
        </w:rPr>
        <w:t>.</w:t>
      </w:r>
      <w:r>
        <w:rPr>
          <w:sz w:val="28"/>
          <w:szCs w:val="10"/>
        </w:rPr>
        <w:t>6</w:t>
      </w:r>
      <w:r w:rsidRPr="00EA26E3">
        <w:rPr>
          <w:sz w:val="28"/>
          <w:szCs w:val="10"/>
        </w:rPr>
        <w:t>.1 Inclusion Criteria</w:t>
      </w:r>
    </w:p>
    <w:p w14:paraId="438CFD67" w14:textId="06FB9C85" w:rsidR="002C495C" w:rsidRPr="002C495C" w:rsidRDefault="002C495C" w:rsidP="002C495C">
      <w:pPr>
        <w:tabs>
          <w:tab w:val="left" w:pos="2865"/>
        </w:tabs>
        <w:rPr>
          <w:b/>
          <w:bCs/>
        </w:rPr>
      </w:pPr>
    </w:p>
    <w:p w14:paraId="12E22453" w14:textId="77777777" w:rsidR="002C495C" w:rsidRPr="002C495C" w:rsidRDefault="002C495C" w:rsidP="002C495C">
      <w:pPr>
        <w:tabs>
          <w:tab w:val="left" w:pos="2865"/>
        </w:tabs>
      </w:pPr>
      <w:r w:rsidRPr="002C495C">
        <w:t>Studies were included if they:</w:t>
      </w:r>
    </w:p>
    <w:p w14:paraId="089837B5" w14:textId="0FB911B7" w:rsidR="002C495C" w:rsidRPr="00CB76F8" w:rsidRDefault="006E0E54" w:rsidP="00A82941">
      <w:pPr>
        <w:tabs>
          <w:tab w:val="left" w:pos="2865"/>
        </w:tabs>
        <w:rPr>
          <w:color w:val="auto"/>
        </w:rPr>
      </w:pPr>
      <w:r w:rsidRPr="002C495C">
        <w:t xml:space="preserve">Studies </w:t>
      </w:r>
      <w:r>
        <w:t>that w</w:t>
      </w:r>
      <w:r w:rsidR="002C495C" w:rsidRPr="002C495C">
        <w:t xml:space="preserve">ere published between </w:t>
      </w:r>
      <w:r>
        <w:t xml:space="preserve">the years of </w:t>
      </w:r>
      <w:r w:rsidR="002C495C" w:rsidRPr="002C495C">
        <w:t>2019 and 2026</w:t>
      </w:r>
      <w:r w:rsidR="00B65DF1">
        <w:rPr>
          <w:color w:val="EE0000"/>
        </w:rPr>
        <w:t xml:space="preserve"> </w:t>
      </w:r>
      <w:r w:rsidR="00B65DF1" w:rsidRPr="00CB76F8">
        <w:rPr>
          <w:color w:val="auto"/>
        </w:rPr>
        <w:t xml:space="preserve">as these are </w:t>
      </w:r>
      <w:r w:rsidR="00A82941">
        <w:rPr>
          <w:color w:val="auto"/>
        </w:rPr>
        <w:t xml:space="preserve">                       </w:t>
      </w:r>
      <w:r w:rsidR="00B65DF1" w:rsidRPr="00CB76F8">
        <w:rPr>
          <w:color w:val="auto"/>
        </w:rPr>
        <w:t>the most up to date</w:t>
      </w:r>
      <w:r w:rsidR="002C495C" w:rsidRPr="00CB76F8">
        <w:rPr>
          <w:color w:val="auto"/>
        </w:rPr>
        <w:t>.</w:t>
      </w:r>
    </w:p>
    <w:p w14:paraId="529DCD08" w14:textId="7095A2C1" w:rsidR="002C495C" w:rsidRPr="002C495C" w:rsidRDefault="00282D4A" w:rsidP="00A82941">
      <w:pPr>
        <w:tabs>
          <w:tab w:val="left" w:pos="2865"/>
        </w:tabs>
      </w:pPr>
      <w:r w:rsidRPr="002C495C">
        <w:t xml:space="preserve">Studies </w:t>
      </w:r>
      <w:r>
        <w:t>that w</w:t>
      </w:r>
      <w:r w:rsidR="002C495C" w:rsidRPr="002C495C">
        <w:t>ere peer-reviewed academic journal articles.</w:t>
      </w:r>
    </w:p>
    <w:p w14:paraId="0ACF812E" w14:textId="242DD063" w:rsidR="002C495C" w:rsidRPr="002C495C" w:rsidRDefault="00282D4A" w:rsidP="00A82941">
      <w:pPr>
        <w:tabs>
          <w:tab w:val="left" w:pos="2865"/>
        </w:tabs>
      </w:pPr>
      <w:r w:rsidRPr="002C495C">
        <w:t xml:space="preserve">Studies </w:t>
      </w:r>
      <w:r>
        <w:t>that f</w:t>
      </w:r>
      <w:r w:rsidR="002C495C" w:rsidRPr="002C495C">
        <w:t>ocused on sustainability, energy transition, or corporate strategy.</w:t>
      </w:r>
    </w:p>
    <w:p w14:paraId="559B69F2" w14:textId="0C9BD457" w:rsidR="002C495C" w:rsidRPr="002C495C" w:rsidRDefault="00282D4A" w:rsidP="00A82941">
      <w:pPr>
        <w:tabs>
          <w:tab w:val="left" w:pos="2865"/>
        </w:tabs>
      </w:pPr>
      <w:r w:rsidRPr="002C495C">
        <w:t xml:space="preserve">Studies </w:t>
      </w:r>
      <w:r>
        <w:t xml:space="preserve">that </w:t>
      </w:r>
      <w:r w:rsidR="001A797A">
        <w:t>e</w:t>
      </w:r>
      <w:r w:rsidR="002C495C" w:rsidRPr="002C495C">
        <w:t>xamined international oil companies or energy organisations.</w:t>
      </w:r>
    </w:p>
    <w:p w14:paraId="463C5782" w14:textId="7FD34A5D" w:rsidR="002C495C" w:rsidRPr="002C495C" w:rsidRDefault="001A797A" w:rsidP="00A82941">
      <w:pPr>
        <w:tabs>
          <w:tab w:val="left" w:pos="2865"/>
        </w:tabs>
      </w:pPr>
      <w:r w:rsidRPr="002C495C">
        <w:t xml:space="preserve">Studies </w:t>
      </w:r>
      <w:r>
        <w:t>that are r</w:t>
      </w:r>
      <w:r w:rsidR="002C495C" w:rsidRPr="002C495C">
        <w:t>elated to stakeholder theory, institutional theory, or strategic ambidexterity.</w:t>
      </w:r>
    </w:p>
    <w:p w14:paraId="13F5F3F7" w14:textId="312ABCE2" w:rsidR="002C495C" w:rsidRPr="002C495C" w:rsidRDefault="001A797A" w:rsidP="00A82941">
      <w:pPr>
        <w:tabs>
          <w:tab w:val="left" w:pos="2865"/>
        </w:tabs>
      </w:pPr>
      <w:r w:rsidRPr="002C495C">
        <w:t xml:space="preserve">Studies </w:t>
      </w:r>
      <w:r>
        <w:t>that are</w:t>
      </w:r>
      <w:r w:rsidR="002C495C" w:rsidRPr="002C495C">
        <w:t xml:space="preserve"> published in English.</w:t>
      </w:r>
    </w:p>
    <w:p w14:paraId="5D9D071F" w14:textId="07DC0E00" w:rsidR="002C495C" w:rsidRPr="002C495C" w:rsidRDefault="001A797A" w:rsidP="00A82941">
      <w:pPr>
        <w:tabs>
          <w:tab w:val="left" w:pos="2865"/>
        </w:tabs>
      </w:pPr>
      <w:r w:rsidRPr="002C495C">
        <w:lastRenderedPageBreak/>
        <w:t xml:space="preserve">Studies </w:t>
      </w:r>
      <w:r>
        <w:t>that are</w:t>
      </w:r>
      <w:r w:rsidR="002C495C" w:rsidRPr="002C495C">
        <w:t xml:space="preserve"> accessible in full text.</w:t>
      </w:r>
    </w:p>
    <w:p w14:paraId="686E49C5" w14:textId="77777777" w:rsidR="00EA26E3" w:rsidRDefault="00EA26E3" w:rsidP="002C495C">
      <w:pPr>
        <w:tabs>
          <w:tab w:val="left" w:pos="2865"/>
        </w:tabs>
        <w:rPr>
          <w:b/>
          <w:bCs/>
        </w:rPr>
      </w:pPr>
    </w:p>
    <w:p w14:paraId="0501C72C" w14:textId="4AFBB497" w:rsidR="00053C3D" w:rsidRPr="00A63DF1" w:rsidRDefault="00A63DF1" w:rsidP="00A63DF1">
      <w:pPr>
        <w:pStyle w:val="Heading1"/>
        <w:rPr>
          <w:sz w:val="28"/>
          <w:szCs w:val="10"/>
        </w:rPr>
      </w:pPr>
      <w:r w:rsidRPr="00A63DF1">
        <w:rPr>
          <w:sz w:val="28"/>
          <w:szCs w:val="10"/>
        </w:rPr>
        <w:t>3.6.2 Exclusion Criteria</w:t>
      </w:r>
    </w:p>
    <w:p w14:paraId="2035CCBA" w14:textId="77777777" w:rsidR="00A63DF1" w:rsidRDefault="00A63DF1" w:rsidP="002C495C">
      <w:pPr>
        <w:tabs>
          <w:tab w:val="left" w:pos="2865"/>
        </w:tabs>
      </w:pPr>
    </w:p>
    <w:p w14:paraId="330B7E7A" w14:textId="2B7AC71F" w:rsidR="002C495C" w:rsidRPr="002C495C" w:rsidRDefault="002C495C" w:rsidP="002C495C">
      <w:pPr>
        <w:tabs>
          <w:tab w:val="left" w:pos="2865"/>
        </w:tabs>
      </w:pPr>
      <w:r w:rsidRPr="002C495C">
        <w:t>Studies were excluded if they:</w:t>
      </w:r>
    </w:p>
    <w:p w14:paraId="073AB48F" w14:textId="77777777" w:rsidR="00893FB4" w:rsidRDefault="00893FB4" w:rsidP="00893FB4">
      <w:pPr>
        <w:tabs>
          <w:tab w:val="left" w:pos="2865"/>
        </w:tabs>
      </w:pPr>
      <w:r w:rsidRPr="00893FB4">
        <w:t>Studies published before 2019 were excluded unless they were considered seminal works.</w:t>
      </w:r>
    </w:p>
    <w:p w14:paraId="68B35D8D" w14:textId="53E53EE0" w:rsidR="00E0505E" w:rsidRPr="00E0505E" w:rsidRDefault="00E0505E" w:rsidP="00E0505E">
      <w:pPr>
        <w:tabs>
          <w:tab w:val="left" w:pos="2865"/>
        </w:tabs>
        <w:ind w:left="0" w:firstLine="0"/>
      </w:pPr>
      <w:r w:rsidRPr="00E0505E">
        <w:t xml:space="preserve">Non-academic publications without credible evidence were excluded. </w:t>
      </w:r>
    </w:p>
    <w:p w14:paraId="4418C8B5" w14:textId="124585AD" w:rsidR="00E0505E" w:rsidRPr="00E0505E" w:rsidRDefault="00E0505E" w:rsidP="00E0505E">
      <w:pPr>
        <w:tabs>
          <w:tab w:val="left" w:pos="2865"/>
        </w:tabs>
        <w:ind w:left="0" w:firstLine="0"/>
      </w:pPr>
      <w:r w:rsidRPr="00E0505E">
        <w:t xml:space="preserve">Studies focusing on unrelated industries were excluded. </w:t>
      </w:r>
    </w:p>
    <w:p w14:paraId="05D8A378" w14:textId="34A56986" w:rsidR="00E0505E" w:rsidRPr="00E0505E" w:rsidRDefault="00E0505E" w:rsidP="00E0505E">
      <w:pPr>
        <w:tabs>
          <w:tab w:val="left" w:pos="2865"/>
        </w:tabs>
        <w:ind w:left="0" w:firstLine="0"/>
      </w:pPr>
      <w:r w:rsidRPr="00E0505E">
        <w:t xml:space="preserve">Studies that did not address sustainability or energy transition issues were excluded. </w:t>
      </w:r>
    </w:p>
    <w:p w14:paraId="6303F2A8" w14:textId="7420371A" w:rsidR="00E0505E" w:rsidRPr="00E0505E" w:rsidRDefault="00E0505E" w:rsidP="00E0505E">
      <w:pPr>
        <w:tabs>
          <w:tab w:val="left" w:pos="2865"/>
        </w:tabs>
        <w:ind w:left="0" w:firstLine="0"/>
      </w:pPr>
      <w:r w:rsidRPr="00E0505E">
        <w:t xml:space="preserve">Duplicate publications were excluded. </w:t>
      </w:r>
    </w:p>
    <w:p w14:paraId="6166AFC9" w14:textId="57C79A4F" w:rsidR="00540D29" w:rsidRDefault="00E0505E" w:rsidP="00E0505E">
      <w:pPr>
        <w:tabs>
          <w:tab w:val="left" w:pos="2865"/>
        </w:tabs>
        <w:ind w:left="0" w:firstLine="0"/>
      </w:pPr>
      <w:r w:rsidRPr="00E0505E">
        <w:t>Studies that were unavailable in full text were excluded.</w:t>
      </w:r>
    </w:p>
    <w:p w14:paraId="0C19235F" w14:textId="77777777" w:rsidR="00893FB4" w:rsidRDefault="00893FB4" w:rsidP="00893FB4">
      <w:pPr>
        <w:tabs>
          <w:tab w:val="left" w:pos="2865"/>
        </w:tabs>
        <w:ind w:left="0" w:firstLine="0"/>
      </w:pPr>
    </w:p>
    <w:p w14:paraId="79F7D08E" w14:textId="3308BE2A" w:rsidR="00A63DF1" w:rsidRDefault="00A63DF1" w:rsidP="00A63DF1">
      <w:pPr>
        <w:pStyle w:val="Heading1"/>
        <w:rPr>
          <w:sz w:val="28"/>
          <w:szCs w:val="10"/>
        </w:rPr>
      </w:pPr>
      <w:r w:rsidRPr="00A63DF1">
        <w:rPr>
          <w:sz w:val="28"/>
          <w:szCs w:val="10"/>
        </w:rPr>
        <w:t>3.7 Search Results</w:t>
      </w:r>
    </w:p>
    <w:p w14:paraId="13533DBD" w14:textId="77777777" w:rsidR="00A63DF1" w:rsidRDefault="00A63DF1" w:rsidP="00A63DF1"/>
    <w:p w14:paraId="01F29F93" w14:textId="77777777" w:rsidR="00A92E27" w:rsidRDefault="00A92E27" w:rsidP="00A92E27">
      <w:r>
        <w:t>The systematic search process identified a total of 312 articles across Google Scholar, Scopus, ScienceDirect, Emerald Insight, and SpringerLink. Following the initial search, duplicate studies were removed, resulting in 247 unique records. The titles and abstracts of these articles were then screened against the inclusion and exclusion criteria.</w:t>
      </w:r>
    </w:p>
    <w:p w14:paraId="53E08D16" w14:textId="77777777" w:rsidR="00A92E27" w:rsidRDefault="00A92E27" w:rsidP="00A92E27"/>
    <w:p w14:paraId="68917828" w14:textId="77777777" w:rsidR="00A92E27" w:rsidRDefault="00A92E27" w:rsidP="00A92E27">
      <w:r>
        <w:t>Following the screening process, 132 articles were excluded because they focused on industries unrelated to energy transition, sustainability management, or the oil and gas sector. A further 58 studies were excluded because they were non-peer-reviewed publications, conference abstracts, or lacked sufficient relevance to the research objectives.</w:t>
      </w:r>
    </w:p>
    <w:p w14:paraId="2FBB8E58" w14:textId="77777777" w:rsidR="00A92E27" w:rsidRDefault="00A92E27" w:rsidP="00A92E27"/>
    <w:p w14:paraId="49508A74" w14:textId="77777777" w:rsidR="00A92E27" w:rsidRDefault="00A92E27" w:rsidP="00A92E27">
      <w:r>
        <w:t>The remaining 57 articles underwent full-text review. After applying the inclusion and exclusion criteria, 35 articles were selected for the final analysis. These studies provided evidence relating to Shell's sustainability strategy, stakeholder management, institutional pressures, strategic ambidexterity, organisational change, and energy transition practices within the oil and gas industry.</w:t>
      </w:r>
    </w:p>
    <w:p w14:paraId="31DC5EBB" w14:textId="77777777" w:rsidR="00A92E27" w:rsidRDefault="00A92E27" w:rsidP="00A92E27"/>
    <w:p w14:paraId="641D4676" w14:textId="6E2AF68F" w:rsidR="00753105" w:rsidRDefault="00A92E27" w:rsidP="00A92E27">
      <w:r>
        <w:t>The final literature sample consisted primarily of peer-reviewed journal articles published between 2019 and 2026, supplemented by Shell's annual reports, sustainability reports, investor presentations, and industry publications. The selected studies were considered highly relevant to the research aim because they examined the challenges faced by international oil companies in balancing profitability with sustainability objectives.</w:t>
      </w:r>
    </w:p>
    <w:p w14:paraId="5EFC8BD0" w14:textId="77777777" w:rsidR="00A92E27" w:rsidRDefault="00A92E27" w:rsidP="00A92E27"/>
    <w:p w14:paraId="41161A31" w14:textId="1596B813" w:rsidR="00A92E27" w:rsidRDefault="00194D9A" w:rsidP="00A92E27">
      <w:r w:rsidRPr="00194D9A">
        <w:t xml:space="preserve">The search process is summarised in </w:t>
      </w:r>
      <w:r w:rsidR="000F2FCE">
        <w:t>the t</w:t>
      </w:r>
      <w:r w:rsidRPr="00194D9A">
        <w:t>able.</w:t>
      </w:r>
    </w:p>
    <w:p w14:paraId="20BB35D9" w14:textId="77777777" w:rsidR="00194D9A" w:rsidRDefault="00194D9A" w:rsidP="00A92E27"/>
    <w:tbl>
      <w:tblPr>
        <w:tblStyle w:val="PlainTable3"/>
        <w:tblW w:w="0" w:type="auto"/>
        <w:tblLook w:val="04A0" w:firstRow="1" w:lastRow="0" w:firstColumn="1" w:lastColumn="0" w:noHBand="0" w:noVBand="1"/>
      </w:tblPr>
      <w:tblGrid>
        <w:gridCol w:w="5584"/>
        <w:gridCol w:w="2984"/>
      </w:tblGrid>
      <w:tr w:rsidR="005176CF" w:rsidRPr="005176CF" w14:paraId="45062037" w14:textId="77777777" w:rsidTr="00517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DE07946" w14:textId="77777777" w:rsidR="005176CF" w:rsidRPr="005176CF" w:rsidRDefault="005176CF" w:rsidP="005176CF">
            <w:r w:rsidRPr="005176CF">
              <w:t>Stage</w:t>
            </w:r>
          </w:p>
        </w:tc>
        <w:tc>
          <w:tcPr>
            <w:tcW w:w="0" w:type="auto"/>
            <w:hideMark/>
          </w:tcPr>
          <w:p w14:paraId="2799740F" w14:textId="77777777" w:rsidR="005176CF" w:rsidRPr="005176CF" w:rsidRDefault="005176CF" w:rsidP="005176CF">
            <w:pPr>
              <w:cnfStyle w:val="100000000000" w:firstRow="1" w:lastRow="0" w:firstColumn="0" w:lastColumn="0" w:oddVBand="0" w:evenVBand="0" w:oddHBand="0" w:evenHBand="0" w:firstRowFirstColumn="0" w:firstRowLastColumn="0" w:lastRowFirstColumn="0" w:lastRowLastColumn="0"/>
            </w:pPr>
            <w:r w:rsidRPr="005176CF">
              <w:t>Number of Articles</w:t>
            </w:r>
          </w:p>
        </w:tc>
      </w:tr>
      <w:tr w:rsidR="005176CF" w:rsidRPr="005176CF" w14:paraId="0B82AF60" w14:textId="77777777" w:rsidTr="00517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EC3BC" w14:textId="77777777" w:rsidR="005176CF" w:rsidRPr="005176CF" w:rsidRDefault="005176CF" w:rsidP="005176CF">
            <w:r w:rsidRPr="005176CF">
              <w:t>Initial database search</w:t>
            </w:r>
          </w:p>
        </w:tc>
        <w:tc>
          <w:tcPr>
            <w:tcW w:w="0" w:type="auto"/>
            <w:hideMark/>
          </w:tcPr>
          <w:p w14:paraId="2C77D066" w14:textId="77777777" w:rsidR="005176CF" w:rsidRPr="005176CF" w:rsidRDefault="005176CF" w:rsidP="005176CF">
            <w:pPr>
              <w:cnfStyle w:val="000000100000" w:firstRow="0" w:lastRow="0" w:firstColumn="0" w:lastColumn="0" w:oddVBand="0" w:evenVBand="0" w:oddHBand="1" w:evenHBand="0" w:firstRowFirstColumn="0" w:firstRowLastColumn="0" w:lastRowFirstColumn="0" w:lastRowLastColumn="0"/>
            </w:pPr>
            <w:r w:rsidRPr="005176CF">
              <w:t>312</w:t>
            </w:r>
          </w:p>
        </w:tc>
      </w:tr>
      <w:tr w:rsidR="005176CF" w:rsidRPr="005176CF" w14:paraId="3F39E88B" w14:textId="77777777" w:rsidTr="005176CF">
        <w:tc>
          <w:tcPr>
            <w:cnfStyle w:val="001000000000" w:firstRow="0" w:lastRow="0" w:firstColumn="1" w:lastColumn="0" w:oddVBand="0" w:evenVBand="0" w:oddHBand="0" w:evenHBand="0" w:firstRowFirstColumn="0" w:firstRowLastColumn="0" w:lastRowFirstColumn="0" w:lastRowLastColumn="0"/>
            <w:tcW w:w="0" w:type="auto"/>
            <w:hideMark/>
          </w:tcPr>
          <w:p w14:paraId="2F8EB2F1" w14:textId="77777777" w:rsidR="005176CF" w:rsidRPr="005176CF" w:rsidRDefault="005176CF" w:rsidP="005176CF">
            <w:r w:rsidRPr="005176CF">
              <w:t>Duplicates removed</w:t>
            </w:r>
          </w:p>
        </w:tc>
        <w:tc>
          <w:tcPr>
            <w:tcW w:w="0" w:type="auto"/>
            <w:hideMark/>
          </w:tcPr>
          <w:p w14:paraId="1073A2D1" w14:textId="77777777" w:rsidR="005176CF" w:rsidRPr="005176CF" w:rsidRDefault="005176CF" w:rsidP="005176CF">
            <w:pPr>
              <w:cnfStyle w:val="000000000000" w:firstRow="0" w:lastRow="0" w:firstColumn="0" w:lastColumn="0" w:oddVBand="0" w:evenVBand="0" w:oddHBand="0" w:evenHBand="0" w:firstRowFirstColumn="0" w:firstRowLastColumn="0" w:lastRowFirstColumn="0" w:lastRowLastColumn="0"/>
            </w:pPr>
            <w:r w:rsidRPr="005176CF">
              <w:t>65</w:t>
            </w:r>
          </w:p>
        </w:tc>
      </w:tr>
      <w:tr w:rsidR="005176CF" w:rsidRPr="005176CF" w14:paraId="511A4959" w14:textId="77777777" w:rsidTr="00517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AF450" w14:textId="77777777" w:rsidR="005176CF" w:rsidRPr="005176CF" w:rsidRDefault="005176CF" w:rsidP="005176CF">
            <w:r w:rsidRPr="005176CF">
              <w:t>Articles screened</w:t>
            </w:r>
          </w:p>
        </w:tc>
        <w:tc>
          <w:tcPr>
            <w:tcW w:w="0" w:type="auto"/>
            <w:hideMark/>
          </w:tcPr>
          <w:p w14:paraId="729B7667" w14:textId="77777777" w:rsidR="005176CF" w:rsidRPr="005176CF" w:rsidRDefault="005176CF" w:rsidP="005176CF">
            <w:pPr>
              <w:cnfStyle w:val="000000100000" w:firstRow="0" w:lastRow="0" w:firstColumn="0" w:lastColumn="0" w:oddVBand="0" w:evenVBand="0" w:oddHBand="1" w:evenHBand="0" w:firstRowFirstColumn="0" w:firstRowLastColumn="0" w:lastRowFirstColumn="0" w:lastRowLastColumn="0"/>
            </w:pPr>
            <w:r w:rsidRPr="005176CF">
              <w:t>247</w:t>
            </w:r>
          </w:p>
        </w:tc>
      </w:tr>
      <w:tr w:rsidR="005176CF" w:rsidRPr="005176CF" w14:paraId="06F0F015" w14:textId="77777777" w:rsidTr="005176CF">
        <w:tc>
          <w:tcPr>
            <w:cnfStyle w:val="001000000000" w:firstRow="0" w:lastRow="0" w:firstColumn="1" w:lastColumn="0" w:oddVBand="0" w:evenVBand="0" w:oddHBand="0" w:evenHBand="0" w:firstRowFirstColumn="0" w:firstRowLastColumn="0" w:lastRowFirstColumn="0" w:lastRowLastColumn="0"/>
            <w:tcW w:w="0" w:type="auto"/>
            <w:hideMark/>
          </w:tcPr>
          <w:p w14:paraId="787CC5F4" w14:textId="77777777" w:rsidR="005176CF" w:rsidRPr="005176CF" w:rsidRDefault="005176CF" w:rsidP="005176CF">
            <w:r w:rsidRPr="005176CF">
              <w:t>Excluded after title/abstract review</w:t>
            </w:r>
          </w:p>
        </w:tc>
        <w:tc>
          <w:tcPr>
            <w:tcW w:w="0" w:type="auto"/>
            <w:hideMark/>
          </w:tcPr>
          <w:p w14:paraId="65C30DAF" w14:textId="77777777" w:rsidR="005176CF" w:rsidRPr="005176CF" w:rsidRDefault="005176CF" w:rsidP="005176CF">
            <w:pPr>
              <w:cnfStyle w:val="000000000000" w:firstRow="0" w:lastRow="0" w:firstColumn="0" w:lastColumn="0" w:oddVBand="0" w:evenVBand="0" w:oddHBand="0" w:evenHBand="0" w:firstRowFirstColumn="0" w:firstRowLastColumn="0" w:lastRowFirstColumn="0" w:lastRowLastColumn="0"/>
            </w:pPr>
            <w:r w:rsidRPr="005176CF">
              <w:t>190</w:t>
            </w:r>
          </w:p>
        </w:tc>
      </w:tr>
      <w:tr w:rsidR="005176CF" w:rsidRPr="005176CF" w14:paraId="2DD72A30" w14:textId="77777777" w:rsidTr="00517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37129E" w14:textId="77777777" w:rsidR="005176CF" w:rsidRPr="005176CF" w:rsidRDefault="005176CF" w:rsidP="005176CF">
            <w:r w:rsidRPr="005176CF">
              <w:lastRenderedPageBreak/>
              <w:t>Full-text articles assessed</w:t>
            </w:r>
          </w:p>
        </w:tc>
        <w:tc>
          <w:tcPr>
            <w:tcW w:w="0" w:type="auto"/>
            <w:hideMark/>
          </w:tcPr>
          <w:p w14:paraId="2FD2320F" w14:textId="77777777" w:rsidR="005176CF" w:rsidRPr="005176CF" w:rsidRDefault="005176CF" w:rsidP="005176CF">
            <w:pPr>
              <w:cnfStyle w:val="000000100000" w:firstRow="0" w:lastRow="0" w:firstColumn="0" w:lastColumn="0" w:oddVBand="0" w:evenVBand="0" w:oddHBand="1" w:evenHBand="0" w:firstRowFirstColumn="0" w:firstRowLastColumn="0" w:lastRowFirstColumn="0" w:lastRowLastColumn="0"/>
            </w:pPr>
            <w:r w:rsidRPr="005176CF">
              <w:t>57</w:t>
            </w:r>
          </w:p>
        </w:tc>
      </w:tr>
      <w:tr w:rsidR="005176CF" w:rsidRPr="005176CF" w14:paraId="0514681F" w14:textId="77777777" w:rsidTr="005176CF">
        <w:tc>
          <w:tcPr>
            <w:cnfStyle w:val="001000000000" w:firstRow="0" w:lastRow="0" w:firstColumn="1" w:lastColumn="0" w:oddVBand="0" w:evenVBand="0" w:oddHBand="0" w:evenHBand="0" w:firstRowFirstColumn="0" w:firstRowLastColumn="0" w:lastRowFirstColumn="0" w:lastRowLastColumn="0"/>
            <w:tcW w:w="0" w:type="auto"/>
            <w:hideMark/>
          </w:tcPr>
          <w:p w14:paraId="327A4AE1" w14:textId="77777777" w:rsidR="005176CF" w:rsidRPr="005176CF" w:rsidRDefault="005176CF" w:rsidP="005176CF">
            <w:r w:rsidRPr="005176CF">
              <w:t>Excluded after full review</w:t>
            </w:r>
          </w:p>
        </w:tc>
        <w:tc>
          <w:tcPr>
            <w:tcW w:w="0" w:type="auto"/>
            <w:hideMark/>
          </w:tcPr>
          <w:p w14:paraId="1897729B" w14:textId="77777777" w:rsidR="005176CF" w:rsidRPr="005176CF" w:rsidRDefault="005176CF" w:rsidP="005176CF">
            <w:pPr>
              <w:cnfStyle w:val="000000000000" w:firstRow="0" w:lastRow="0" w:firstColumn="0" w:lastColumn="0" w:oddVBand="0" w:evenVBand="0" w:oddHBand="0" w:evenHBand="0" w:firstRowFirstColumn="0" w:firstRowLastColumn="0" w:lastRowFirstColumn="0" w:lastRowLastColumn="0"/>
            </w:pPr>
            <w:r w:rsidRPr="005176CF">
              <w:t>22</w:t>
            </w:r>
          </w:p>
        </w:tc>
      </w:tr>
      <w:tr w:rsidR="005176CF" w:rsidRPr="005176CF" w14:paraId="69CF46CD" w14:textId="77777777" w:rsidTr="00517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B2F7F" w14:textId="77777777" w:rsidR="005176CF" w:rsidRPr="005176CF" w:rsidRDefault="005176CF" w:rsidP="005176CF">
            <w:r w:rsidRPr="005176CF">
              <w:t>Final studies included</w:t>
            </w:r>
          </w:p>
        </w:tc>
        <w:tc>
          <w:tcPr>
            <w:tcW w:w="0" w:type="auto"/>
            <w:hideMark/>
          </w:tcPr>
          <w:p w14:paraId="2B8A0ADB" w14:textId="77777777" w:rsidR="005176CF" w:rsidRPr="005176CF" w:rsidRDefault="005176CF" w:rsidP="005176CF">
            <w:pPr>
              <w:cnfStyle w:val="000000100000" w:firstRow="0" w:lastRow="0" w:firstColumn="0" w:lastColumn="0" w:oddVBand="0" w:evenVBand="0" w:oddHBand="1" w:evenHBand="0" w:firstRowFirstColumn="0" w:firstRowLastColumn="0" w:lastRowFirstColumn="0" w:lastRowLastColumn="0"/>
            </w:pPr>
            <w:r w:rsidRPr="005176CF">
              <w:t>35</w:t>
            </w:r>
          </w:p>
        </w:tc>
      </w:tr>
    </w:tbl>
    <w:p w14:paraId="6805CE7F" w14:textId="1B3D6652" w:rsidR="005176CF" w:rsidRDefault="00557AF4" w:rsidP="00557AF4">
      <w:pPr>
        <w:pStyle w:val="Caption"/>
      </w:pPr>
      <w:bookmarkStart w:id="2" w:name="_Toc235293084"/>
      <w:r>
        <w:t xml:space="preserve">Table </w:t>
      </w:r>
      <w:fldSimple w:instr=" SEQ Table \* ARABIC ">
        <w:r>
          <w:rPr>
            <w:noProof/>
          </w:rPr>
          <w:t>2</w:t>
        </w:r>
        <w:bookmarkEnd w:id="2"/>
      </w:fldSimple>
    </w:p>
    <w:p w14:paraId="06B1B640" w14:textId="77777777" w:rsidR="00C26BD0" w:rsidRPr="00C26BD0" w:rsidRDefault="00C26BD0" w:rsidP="00C26BD0">
      <w:pPr>
        <w:pStyle w:val="Heading1"/>
        <w:rPr>
          <w:sz w:val="28"/>
          <w:szCs w:val="28"/>
        </w:rPr>
      </w:pPr>
      <w:r w:rsidRPr="00C26BD0">
        <w:rPr>
          <w:sz w:val="28"/>
          <w:szCs w:val="28"/>
        </w:rPr>
        <w:t>3.8 Ethical Considerations</w:t>
      </w:r>
    </w:p>
    <w:p w14:paraId="6AA95C5C" w14:textId="77777777" w:rsidR="00C26BD0" w:rsidRDefault="00C26BD0" w:rsidP="00C26BD0"/>
    <w:p w14:paraId="334254AF" w14:textId="66D3377C" w:rsidR="004F0B38" w:rsidRDefault="00C26BD0" w:rsidP="004F0B38">
      <w:r>
        <w:t>Ethical considerations are an important component of any research study. Although this research relies entirely on secondary data and publicly available information, ethical principles were still applied throughout the research process.</w:t>
      </w:r>
      <w:r w:rsidR="004F0B38">
        <w:t xml:space="preserve"> </w:t>
      </w:r>
      <w:r>
        <w:t>The study utilised data obtained from academic journals, books, industry reports, Shell's annual reports, sustainability disclosures, and publicly available organisational documents. Since no primary data were collected and no human participants were involved, issues relating to informed consent, anonymity, confidentiality, and participant welfare were not applicable.</w:t>
      </w:r>
      <w:r w:rsidR="00BD6E44">
        <w:t xml:space="preserve"> </w:t>
      </w:r>
      <w:r>
        <w:t>To maintain academic integrity, all sources were accurately referenced using the University of Wales Trinity Saint David Harvard Referencing Style. Appropriate citation practices were followed to avoid plagiarism and ensure that original authors received proper acknowledgement for their contributions.</w:t>
      </w:r>
      <w:r w:rsidR="00BD6E44">
        <w:t xml:space="preserve"> </w:t>
      </w:r>
      <w:r>
        <w:t>Objectivity was also considered throughout the research process. The researcher sought to minimise personal bias by following a systematic literature review methodology and applying consistent inclusion and exclusion criteria. Furthermore, both positive and negative perspectives regarding Shell's sustainability performance were considered to ensure balanced analysis and critical evaluation.</w:t>
      </w:r>
    </w:p>
    <w:p w14:paraId="26C5BFDD" w14:textId="77777777" w:rsidR="004F0B38" w:rsidRDefault="004F0B38" w:rsidP="00BD6E44"/>
    <w:p w14:paraId="217BA237" w14:textId="12B78DC0" w:rsidR="00AE0CC3" w:rsidRDefault="00C26BD0" w:rsidP="00BD6E44">
      <w:r>
        <w:t>The research complies with the ethical guidelines established by UWTSD and adheres to the principles of honesty, transparency, reliability, and academic responsibility.</w:t>
      </w:r>
    </w:p>
    <w:p w14:paraId="4FEE84F7" w14:textId="77777777" w:rsidR="003D65F5" w:rsidRDefault="003D65F5" w:rsidP="00BD6E44"/>
    <w:p w14:paraId="7EA18A34" w14:textId="77777777" w:rsidR="00B27248" w:rsidRPr="003D65F5" w:rsidRDefault="00B27248" w:rsidP="003D65F5">
      <w:pPr>
        <w:pStyle w:val="Heading1"/>
        <w:rPr>
          <w:sz w:val="28"/>
          <w:szCs w:val="28"/>
        </w:rPr>
      </w:pPr>
      <w:r w:rsidRPr="003D65F5">
        <w:rPr>
          <w:sz w:val="28"/>
          <w:szCs w:val="28"/>
        </w:rPr>
        <w:t>3.9 Chapter Summary</w:t>
      </w:r>
    </w:p>
    <w:p w14:paraId="163FFA6F" w14:textId="77777777" w:rsidR="00B27248" w:rsidRDefault="00B27248" w:rsidP="00B27248"/>
    <w:p w14:paraId="2F772C72" w14:textId="77777777" w:rsidR="00B27248" w:rsidRDefault="00B27248" w:rsidP="00B27248">
      <w:r>
        <w:t>This chapter outlined the research methodology adopted for the study. The research employed a qualitative approach based on a Systematic Literature Review (SLR) to investigate how Shell balances profitability and sustainability within its energy transition strategy.</w:t>
      </w:r>
    </w:p>
    <w:p w14:paraId="09F0ED21" w14:textId="77777777" w:rsidR="00B27248" w:rsidRDefault="00B27248" w:rsidP="00B27248"/>
    <w:p w14:paraId="29E7E196" w14:textId="77777777" w:rsidR="003A7244" w:rsidRDefault="00B27248" w:rsidP="00697F11">
      <w:r>
        <w:t>The chapter discussed qualitative case study design. It also explained the search strategy, search terms, databases, inclusion and exclusion criteria, and thematic analysis process used to identify and evaluate relevant literature.</w:t>
      </w:r>
      <w:r w:rsidR="00BD6E44">
        <w:t xml:space="preserve"> </w:t>
      </w:r>
      <w:r>
        <w:t>The search process resulted in the selection of 35 high-quality sources that directly addressed the research objectives. Ethical considerations relating to academic integrity, transparency, and responsible use of secondary data were also discussed.</w:t>
      </w:r>
      <w:r w:rsidR="00BD6E44">
        <w:t xml:space="preserve"> </w:t>
      </w:r>
      <w:r>
        <w:t>The methodology provides a structured and reliable framework for analysing Shell's sustainability strategy and evaluating the extent to which the organisation aligns its environmental commitments with strategic and financial decision-making. The next chapter presents the findings and discussion derived from the analysis of the selected literature and secondary data sources.</w:t>
      </w:r>
    </w:p>
    <w:p w14:paraId="29DEFAB8" w14:textId="77777777" w:rsidR="003A7244" w:rsidRDefault="003A7244">
      <w:pPr>
        <w:spacing w:after="160" w:line="278" w:lineRule="auto"/>
        <w:ind w:left="0" w:right="0" w:firstLine="0"/>
      </w:pPr>
      <w:r>
        <w:br w:type="page"/>
      </w:r>
    </w:p>
    <w:p w14:paraId="75F56DE4" w14:textId="3FC5FF46" w:rsidR="00AE0CC3" w:rsidRDefault="00756A59" w:rsidP="003A7244">
      <w:pPr>
        <w:pStyle w:val="Heading1"/>
        <w:jc w:val="center"/>
      </w:pPr>
      <w:r>
        <w:lastRenderedPageBreak/>
        <w:t>CHAPTER 4: Findings and Discussions</w:t>
      </w:r>
    </w:p>
    <w:p w14:paraId="21A15607" w14:textId="77777777" w:rsidR="00756A59" w:rsidRDefault="00756A59" w:rsidP="00756A59"/>
    <w:p w14:paraId="4D213441" w14:textId="043598AB" w:rsidR="006F5318" w:rsidRDefault="00FD0297" w:rsidP="00FD0297">
      <w:pPr>
        <w:pStyle w:val="Heading1"/>
        <w:rPr>
          <w:sz w:val="28"/>
          <w:szCs w:val="10"/>
        </w:rPr>
      </w:pPr>
      <w:r w:rsidRPr="00FD0297">
        <w:rPr>
          <w:sz w:val="28"/>
          <w:szCs w:val="10"/>
        </w:rPr>
        <w:t>4.1 Introduction</w:t>
      </w:r>
    </w:p>
    <w:p w14:paraId="0205D77D" w14:textId="6EC020D4" w:rsidR="00946052" w:rsidRDefault="00946052" w:rsidP="00946052"/>
    <w:p w14:paraId="7F0D4E0B" w14:textId="1526197B" w:rsidR="009D5C98" w:rsidRDefault="009D5C98" w:rsidP="00946052">
      <w:r w:rsidRPr="009D5C98">
        <w:t>This chapter presents and critically discusses the findings of the systematic literature review conducted to examine how Shell plc balances short-term profitability with long-term sustainability within its energy transition strategy. Drawing upon secondary data from peer-reviewed academic literature, Shell’s annual reports and sustainability disclosures, industry publications, and regulatory reports, the chapter evaluates the extent to which the company’s strategic actions align with its publicly stated climate commitments. Rather than simply describing the evidence, the chapter critically analyses the findings in relation to the research objectives and research questions established in Chapter One. This approach is consistent with prior research on corporate sustainability transitions, which emphasises the need to assess not only what firms claim, but also how those claims are reflected in strategic decisions and resource allocation</w:t>
      </w:r>
      <w:r w:rsidR="00A22510">
        <w:t xml:space="preserve"> </w:t>
      </w:r>
      <w:sdt>
        <w:sdtPr>
          <w:id w:val="-1579360814"/>
          <w:citation/>
        </w:sdtPr>
        <w:sdtEndPr/>
        <w:sdtContent>
          <w:r w:rsidR="00846D47">
            <w:fldChar w:fldCharType="begin"/>
          </w:r>
          <w:r w:rsidR="00846D47">
            <w:instrText xml:space="preserve"> CITATION Rob14 \l 2057 </w:instrText>
          </w:r>
          <w:r w:rsidR="00846D47">
            <w:fldChar w:fldCharType="separate"/>
          </w:r>
          <w:r w:rsidR="00846D47" w:rsidRPr="00846D47">
            <w:rPr>
              <w:noProof/>
            </w:rPr>
            <w:t>(Eccles, et al., 2014)</w:t>
          </w:r>
          <w:r w:rsidR="00846D47">
            <w:fldChar w:fldCharType="end"/>
          </w:r>
        </w:sdtContent>
      </w:sdt>
      <w:sdt>
        <w:sdtPr>
          <w:id w:val="489841324"/>
          <w:citation/>
        </w:sdtPr>
        <w:sdtEndPr/>
        <w:sdtContent>
          <w:r w:rsidR="004553A6">
            <w:fldChar w:fldCharType="begin"/>
          </w:r>
          <w:r w:rsidR="004553A6">
            <w:instrText xml:space="preserve"> CITATION Pra14 \l 2057 </w:instrText>
          </w:r>
          <w:r w:rsidR="004553A6">
            <w:fldChar w:fldCharType="separate"/>
          </w:r>
          <w:r w:rsidR="004553A6">
            <w:rPr>
              <w:noProof/>
            </w:rPr>
            <w:t xml:space="preserve"> </w:t>
          </w:r>
          <w:r w:rsidR="004553A6" w:rsidRPr="004553A6">
            <w:rPr>
              <w:noProof/>
            </w:rPr>
            <w:t>(Bansal &amp; DesJardine, 2014)</w:t>
          </w:r>
          <w:r w:rsidR="004553A6">
            <w:fldChar w:fldCharType="end"/>
          </w:r>
        </w:sdtContent>
      </w:sdt>
    </w:p>
    <w:p w14:paraId="2DC7D3D7" w14:textId="77777777" w:rsidR="006111E2" w:rsidRDefault="006111E2" w:rsidP="00946052"/>
    <w:p w14:paraId="00D99F94" w14:textId="1CEC04E7" w:rsidR="0091715F" w:rsidRDefault="003B52DF" w:rsidP="00946052">
      <w:r w:rsidRPr="003B52DF">
        <w:t>The discussion is organised into five key themes that emerged from the literature review. These themes examine Shell’s energy transition strategy, the alignment between capital allocation and sustainability commitments, the influence of stakeholder pressures on strategic decision-making, the organisational challenges associated with implementing energy transition initiatives, and the implications of balancing profitability and sustainability for the company’s long-term competitiveness. Each theme is interpreted through the theoretical perspectives of Stakeholder Theory, Institutional Theory, and Strategic Ambidexterity, providing a framework for understanding the complex strategic decisions facing Shell during the transition towards a lower-carbon energy business</w:t>
      </w:r>
    </w:p>
    <w:p w14:paraId="5E7B4E95" w14:textId="77777777" w:rsidR="00B6466E" w:rsidRDefault="00B6466E" w:rsidP="00946052"/>
    <w:p w14:paraId="1D6EA055" w14:textId="791E3BE6" w:rsidR="00B6466E" w:rsidRDefault="00F91429" w:rsidP="00A10350">
      <w:pPr>
        <w:pStyle w:val="Heading1"/>
        <w:rPr>
          <w:sz w:val="28"/>
          <w:szCs w:val="28"/>
        </w:rPr>
      </w:pPr>
      <w:r w:rsidRPr="00581FB4">
        <w:rPr>
          <w:sz w:val="28"/>
          <w:szCs w:val="28"/>
        </w:rPr>
        <w:t>4.2 Theme 1: Shell's Energy Transition Strategy</w:t>
      </w:r>
    </w:p>
    <w:p w14:paraId="365AC73B" w14:textId="5378D1BC" w:rsidR="00581FB4" w:rsidRDefault="00581FB4" w:rsidP="00581FB4"/>
    <w:p w14:paraId="39CD057C" w14:textId="36030E09" w:rsidR="00581FB4" w:rsidRDefault="002E325C" w:rsidP="00581FB4">
      <w:r w:rsidRPr="002E325C">
        <w:t>The first objective of this research was to analyse Shell's publicly stated energy transition and climate strategy to determine the extent to which the organisation is pursuing a genuine transition towards a lower-carbon energy business. The findings indicate that Shell has adopted one of the most comprehensive sustainability strategies among international oil companies (IOCs), publicly committing to becoming a net-zero emissions energy business by 2050. The company has introduced a range of initiatives aimed at reducing greenhouse gas emissions, increasing investment in renewable energy technologies and supporting the global transition towards cleaner energy sources. However, the findings also demonstrate that these sustainability commitments continue to exist alongside substantial investment in oil and gas production, creating an ongoing strategic tension between environmental responsibility and financial performance</w:t>
      </w:r>
      <w:r>
        <w:t>.</w:t>
      </w:r>
    </w:p>
    <w:p w14:paraId="225FF8B2" w14:textId="77777777" w:rsidR="002E325C" w:rsidRDefault="002E325C" w:rsidP="00581FB4"/>
    <w:p w14:paraId="45C2A77B" w14:textId="4A1C25B0" w:rsidR="00971898" w:rsidRPr="00971898" w:rsidRDefault="00971898" w:rsidP="00971898">
      <w:r w:rsidRPr="00971898">
        <w:lastRenderedPageBreak/>
        <w:t>A key component of Shell's strategy is its ambition to achieve net-zero emissions by 2050, with interim targets designed to reduce the carbon intensity of the energy products it sells while expanding low-carbon energy solutions. To support this ambition, Shell has invested in renewable electricity generation, offshore wind projects, solar energy, hydrogen production, electric vehicle (EV) charging infrastructure and carbon capture and storage (CCS) technologies</w:t>
      </w:r>
      <w:r w:rsidR="0059633E">
        <w:t xml:space="preserve"> </w:t>
      </w:r>
      <w:sdt>
        <w:sdtPr>
          <w:id w:val="636842826"/>
          <w:citation/>
        </w:sdtPr>
        <w:sdtEndPr/>
        <w:sdtContent>
          <w:r w:rsidR="00E81AC2">
            <w:fldChar w:fldCharType="begin"/>
          </w:r>
          <w:r w:rsidR="00E81AC2">
            <w:instrText xml:space="preserve"> CITATION She264 \l 2057 </w:instrText>
          </w:r>
          <w:r w:rsidR="00E81AC2">
            <w:fldChar w:fldCharType="separate"/>
          </w:r>
          <w:r w:rsidR="00E81AC2" w:rsidRPr="00E81AC2">
            <w:rPr>
              <w:noProof/>
            </w:rPr>
            <w:t>(Shell, 2026)</w:t>
          </w:r>
          <w:r w:rsidR="00E81AC2">
            <w:fldChar w:fldCharType="end"/>
          </w:r>
        </w:sdtContent>
      </w:sdt>
      <w:r w:rsidR="00BE1123">
        <w:t xml:space="preserve">, </w:t>
      </w:r>
      <w:sdt>
        <w:sdtPr>
          <w:id w:val="-112144373"/>
          <w:citation/>
        </w:sdtPr>
        <w:sdtEndPr/>
        <w:sdtContent>
          <w:r w:rsidR="00BE1123">
            <w:fldChar w:fldCharType="begin"/>
          </w:r>
          <w:r w:rsidR="00226C57">
            <w:instrText xml:space="preserve">CITATION She265 \l 2057 </w:instrText>
          </w:r>
          <w:r w:rsidR="00BE1123">
            <w:fldChar w:fldCharType="separate"/>
          </w:r>
          <w:r w:rsidR="00226C57" w:rsidRPr="00226C57">
            <w:rPr>
              <w:noProof/>
            </w:rPr>
            <w:t>(Shell USA, 2026)</w:t>
          </w:r>
          <w:r w:rsidR="00BE1123">
            <w:fldChar w:fldCharType="end"/>
          </w:r>
        </w:sdtContent>
      </w:sdt>
      <w:r w:rsidR="001C7451">
        <w:t xml:space="preserve">, </w:t>
      </w:r>
      <w:sdt>
        <w:sdtPr>
          <w:id w:val="357321206"/>
          <w:citation/>
        </w:sdtPr>
        <w:sdtEndPr/>
        <w:sdtContent>
          <w:r w:rsidR="001C7451">
            <w:fldChar w:fldCharType="begin"/>
          </w:r>
          <w:r w:rsidR="00226C57">
            <w:instrText xml:space="preserve">CITATION She266 \l 2057 </w:instrText>
          </w:r>
          <w:r w:rsidR="001C7451">
            <w:fldChar w:fldCharType="separate"/>
          </w:r>
          <w:r w:rsidR="00226C57" w:rsidRPr="00226C57">
            <w:rPr>
              <w:noProof/>
            </w:rPr>
            <w:t>(Shell Global, 2026)</w:t>
          </w:r>
          <w:r w:rsidR="001C7451">
            <w:fldChar w:fldCharType="end"/>
          </w:r>
        </w:sdtContent>
      </w:sdt>
      <w:r w:rsidR="00D54BEC">
        <w:t xml:space="preserve">, </w:t>
      </w:r>
      <w:sdt>
        <w:sdtPr>
          <w:id w:val="-320045973"/>
          <w:citation/>
        </w:sdtPr>
        <w:sdtEndPr/>
        <w:sdtContent>
          <w:r w:rsidR="00D54BEC">
            <w:fldChar w:fldCharType="begin"/>
          </w:r>
          <w:r w:rsidR="00E91738">
            <w:instrText xml:space="preserve">CITATION She267 \l 2057 </w:instrText>
          </w:r>
          <w:r w:rsidR="00D54BEC">
            <w:fldChar w:fldCharType="separate"/>
          </w:r>
          <w:r w:rsidR="00E91738" w:rsidRPr="00E91738">
            <w:rPr>
              <w:noProof/>
            </w:rPr>
            <w:t>(Shell Global, 2026)</w:t>
          </w:r>
          <w:r w:rsidR="00D54BEC">
            <w:fldChar w:fldCharType="end"/>
          </w:r>
        </w:sdtContent>
      </w:sdt>
      <w:r w:rsidRPr="00971898">
        <w:t xml:space="preserve">. These initiatives indicate that the company recognises the long-term commercial opportunities associated with the global energy transition and is seeking to diversify its energy portfolio beyond traditional fossil fuels. Such investments are consistent with broader industry trends identified by </w:t>
      </w:r>
      <w:proofErr w:type="spellStart"/>
      <w:r w:rsidRPr="00971898">
        <w:t>Sovacool</w:t>
      </w:r>
      <w:proofErr w:type="spellEnd"/>
      <w:r w:rsidRPr="00971898">
        <w:t xml:space="preserve"> (2016), who argues that energy transitions involve gradual structural changes requiring technological innovation, institutional adaptation and long-term strategic planning rather than immediate replacement of fossil fuels.</w:t>
      </w:r>
    </w:p>
    <w:p w14:paraId="564A7CCF" w14:textId="77777777" w:rsidR="000B25FA" w:rsidRDefault="000B25FA" w:rsidP="00581FB4"/>
    <w:p w14:paraId="44A2AA3D" w14:textId="1AC4B125" w:rsidR="001B51B4" w:rsidRDefault="0099295C" w:rsidP="00581FB4">
      <w:r w:rsidRPr="0099295C">
        <w:t xml:space="preserve">The findings also show that Shell has significantly expanded its position within the electric mobility market through the acquisition of EV charging businesses and the development of one of the world's largest public charging networks. Similarly, investment in hydrogen production and carbon capture projects demonstrates an effort to develop technologies capable of supporting industrial decarbonisation while maintaining the company's expertise within large-scale energy infrastructure. These developments suggest that Shell is attempting to position itself as an integrated energy company rather than solely an oil and gas producer. Dongo and </w:t>
      </w:r>
      <w:proofErr w:type="spellStart"/>
      <w:r w:rsidRPr="0099295C">
        <w:t>Relvas</w:t>
      </w:r>
      <w:proofErr w:type="spellEnd"/>
      <w:r w:rsidRPr="0099295C">
        <w:t xml:space="preserve"> (2025) argue that such diversification has become increasingly necessary as governments strengthen climate regulation, investors incorporate environmental, social and governance (ESG) considerations into decision-making, and consumers demand cleaner energy alternatives.</w:t>
      </w:r>
    </w:p>
    <w:p w14:paraId="43B72340" w14:textId="77777777" w:rsidR="00723EB1" w:rsidRDefault="00723EB1" w:rsidP="00581FB4"/>
    <w:p w14:paraId="420F3E01" w14:textId="2A5A12B2" w:rsidR="00723EB1" w:rsidRDefault="00723EB1" w:rsidP="00713646">
      <w:r w:rsidRPr="00723EB1">
        <w:t xml:space="preserve">Despite these developments, the findings consistently indicate that Shell continues to allocate considerable financial resources towards oil and gas production, particularly through continued investment in liquefied natural gas (LNG) expansion and upstream exploration activities. LNG remains a central component of Shell's long-term business strategy, with the company arguing that natural gas represents a transitional fuel capable of supporting global energy security while reducing emissions compared with coal. However, this continued emphasis on fossil fuel production raises questions regarding the extent to which Shell's sustainability commitments are reflected in its strategic priorities. Rather than demonstrating a complete transition away from </w:t>
      </w:r>
      <w:r w:rsidR="00CF5FDD">
        <w:t>fossil fuels</w:t>
      </w:r>
      <w:r w:rsidRPr="00723EB1">
        <w:t xml:space="preserve">, the evidence suggests that Shell is </w:t>
      </w:r>
      <w:r w:rsidR="00B51C3A">
        <w:t>middle term goal before full decarbonisation is</w:t>
      </w:r>
      <w:r w:rsidRPr="00723EB1">
        <w:t xml:space="preserve"> a dual strategy that attempts to balance renewable investment with continued profitability from existing fossil fuel assets</w:t>
      </w:r>
      <w:r w:rsidR="00713646">
        <w:t>.</w:t>
      </w:r>
    </w:p>
    <w:p w14:paraId="03DDBC7D" w14:textId="77777777" w:rsidR="00713646" w:rsidRDefault="00713646" w:rsidP="00713646"/>
    <w:p w14:paraId="27417974" w14:textId="07948CB6" w:rsidR="00BD370B" w:rsidRPr="00BD370B" w:rsidRDefault="00BD370B" w:rsidP="00BD370B">
      <w:r w:rsidRPr="00BD370B">
        <w:t xml:space="preserve">These findings closely reflect the arguments presented by </w:t>
      </w:r>
      <w:r w:rsidR="004966C2" w:rsidRPr="00762B3A">
        <w:rPr>
          <w:noProof/>
        </w:rPr>
        <w:t xml:space="preserve">IEA </w:t>
      </w:r>
      <w:r w:rsidR="004966C2">
        <w:rPr>
          <w:noProof/>
        </w:rPr>
        <w:t>(</w:t>
      </w:r>
      <w:r w:rsidR="004966C2" w:rsidRPr="00762B3A">
        <w:rPr>
          <w:noProof/>
        </w:rPr>
        <w:t>2023)</w:t>
      </w:r>
      <w:r w:rsidRPr="00BD370B">
        <w:t xml:space="preserve">, who suggests that many international oil companies have adopted portfolio diversification strategies instead of fundamentally transforming their business models. According to Pickl, firms such as Shell increasingly invest in renewable technologies while maintaining profitable hydrocarbon operations to reduce financial risk and protect shareholder returns. Similarly, Halttunen et al. (2023) argue that major oil companies remain structurally dependent on fossil fuel revenues because their existing assets, </w:t>
      </w:r>
      <w:r w:rsidRPr="00BD370B">
        <w:lastRenderedPageBreak/>
        <w:t>infrastructure and organisational capabilities have been developed around hydrocarbon production over several decades. Consequently, while renewable investment is increasing, complete business model transformation remains difficult to achieve within the short term.</w:t>
      </w:r>
    </w:p>
    <w:p w14:paraId="15DD2991" w14:textId="53BF5314" w:rsidR="00BD370B" w:rsidRPr="0069538B" w:rsidRDefault="00BD370B" w:rsidP="00BD370B">
      <w:pPr>
        <w:rPr>
          <w:color w:val="EE0000"/>
        </w:rPr>
      </w:pPr>
    </w:p>
    <w:p w14:paraId="60904BA8" w14:textId="77777777" w:rsidR="00BD370B" w:rsidRPr="00BD370B" w:rsidRDefault="00BD370B" w:rsidP="00BD370B">
      <w:r w:rsidRPr="00BD370B">
        <w:t xml:space="preserve">The findings also support the wider perspective offered by </w:t>
      </w:r>
      <w:proofErr w:type="spellStart"/>
      <w:r w:rsidRPr="00BD370B">
        <w:t>Sovacool</w:t>
      </w:r>
      <w:proofErr w:type="spellEnd"/>
      <w:r w:rsidRPr="00BD370B">
        <w:t xml:space="preserve"> (2016), who argues that energy transitions are inherently gradual processes influenced by technological, political, economic and social factors. From this perspective, Shell's continued investment in fossil fuels should not necessarily be interpreted as evidence of failure to transition, but rather as a reflection of the complexity involved in balancing energy security, shareholder expectations and sustainability commitments.</w:t>
      </w:r>
    </w:p>
    <w:p w14:paraId="206AECCB" w14:textId="77777777" w:rsidR="00713646" w:rsidRDefault="00713646" w:rsidP="00713646"/>
    <w:p w14:paraId="63224395" w14:textId="5B4E5F07" w:rsidR="00B909A6" w:rsidRDefault="00B909A6" w:rsidP="00713646">
      <w:r w:rsidRPr="00B909A6">
        <w:t>Nevertheless, the findings reveal an important contradiction between Shell's public sustainability narrative and its operational priorities. While the company continues to communicate ambitious climate targets and expand investment in renewable technologies, fossil fuel production remains the primary source of revenue and profitability. This suggests that the organisation has not fundamentally shifted away from its traditional business model but instead continues to rely heavily on hydrocarbons to finance its transition strategy. Such an approach reflects the concept of strategic ambidexterity discussed in Chapter Two, whereby organisations simultaneously exploit existing capabilities while exploring future opportunities.</w:t>
      </w:r>
    </w:p>
    <w:p w14:paraId="203F60EF" w14:textId="77777777" w:rsidR="00302952" w:rsidRDefault="00302952" w:rsidP="00713646"/>
    <w:p w14:paraId="104A3D52" w14:textId="77777777" w:rsidR="007B0ED0" w:rsidRDefault="007B0ED0" w:rsidP="00713646"/>
    <w:p w14:paraId="42CB29B6" w14:textId="3A290A31" w:rsidR="0006667C" w:rsidRDefault="00577248" w:rsidP="0006667C">
      <w:pPr>
        <w:pStyle w:val="Heading1"/>
        <w:rPr>
          <w:sz w:val="28"/>
          <w:szCs w:val="28"/>
        </w:rPr>
      </w:pPr>
      <w:r w:rsidRPr="00577248">
        <w:rPr>
          <w:sz w:val="28"/>
          <w:szCs w:val="28"/>
        </w:rPr>
        <w:t xml:space="preserve">4.3 </w:t>
      </w:r>
      <w:r w:rsidR="005C56F4" w:rsidRPr="00581FB4">
        <w:rPr>
          <w:sz w:val="28"/>
          <w:szCs w:val="28"/>
        </w:rPr>
        <w:t xml:space="preserve">Theme </w:t>
      </w:r>
      <w:r w:rsidR="00954691">
        <w:rPr>
          <w:sz w:val="28"/>
          <w:szCs w:val="28"/>
        </w:rPr>
        <w:t>2</w:t>
      </w:r>
      <w:r w:rsidR="005C56F4" w:rsidRPr="00581FB4">
        <w:rPr>
          <w:sz w:val="28"/>
          <w:szCs w:val="28"/>
        </w:rPr>
        <w:t xml:space="preserve">: </w:t>
      </w:r>
      <w:r w:rsidRPr="00577248">
        <w:rPr>
          <w:sz w:val="28"/>
          <w:szCs w:val="28"/>
        </w:rPr>
        <w:t>Capital Allocation</w:t>
      </w:r>
    </w:p>
    <w:p w14:paraId="6E2922E2" w14:textId="77777777" w:rsidR="00577248" w:rsidRDefault="00577248" w:rsidP="00577248"/>
    <w:p w14:paraId="088F1A4F" w14:textId="77777777" w:rsidR="001210D7" w:rsidRPr="001210D7" w:rsidRDefault="001210D7" w:rsidP="001210D7">
      <w:r w:rsidRPr="001210D7">
        <w:t>The second objective of this research was to evaluate the extent to which Shell's capital allocation aligns with its long-term decarbonisation commitments. Capital allocation represents one of the clearest indicators of an organisation's strategic priorities because investment decisions determine where financial resources are directed and, ultimately, which business activities are expected to generate future growth. While sustainability reports and public commitments provide insight into corporate intentions, actual investment patterns provide stronger evidence of whether an organisation is implementing meaningful strategic change. The findings of this systematic literature review indicate that although Shell has increased investment in renewable and low-carbon energy technologies, the majority of its capital expenditure continues to support oil and gas operations, particularly liquefied natural gas (LNG). This suggests that Shell is pursuing a balanced investment strategy that seeks to protect current profitability while gradually preparing for a lower-carbon future.</w:t>
      </w:r>
    </w:p>
    <w:p w14:paraId="3F356AE2" w14:textId="77777777" w:rsidR="000B6D26" w:rsidRDefault="000B6D26" w:rsidP="001210D7"/>
    <w:p w14:paraId="74F10311" w14:textId="2A036693" w:rsidR="001210D7" w:rsidRPr="001210D7" w:rsidRDefault="001210D7" w:rsidP="001210D7">
      <w:r w:rsidRPr="001210D7">
        <w:t xml:space="preserve">Analysis of Shell's recent annual reports and Energy Transition Strategy documents </w:t>
      </w:r>
      <w:sdt>
        <w:sdtPr>
          <w:id w:val="177006516"/>
          <w:citation/>
        </w:sdtPr>
        <w:sdtEndPr/>
        <w:sdtContent>
          <w:r w:rsidR="0053601A">
            <w:fldChar w:fldCharType="begin"/>
          </w:r>
          <w:r w:rsidR="0053601A">
            <w:instrText xml:space="preserve"> CITATION She25 \l 2057 </w:instrText>
          </w:r>
          <w:r w:rsidR="0053601A">
            <w:fldChar w:fldCharType="separate"/>
          </w:r>
          <w:r w:rsidR="0053601A" w:rsidRPr="0053601A">
            <w:rPr>
              <w:noProof/>
            </w:rPr>
            <w:t>(Shell plc, 2025)</w:t>
          </w:r>
          <w:r w:rsidR="0053601A">
            <w:fldChar w:fldCharType="end"/>
          </w:r>
        </w:sdtContent>
      </w:sdt>
      <w:r w:rsidR="00670306">
        <w:t xml:space="preserve"> </w:t>
      </w:r>
      <w:r w:rsidRPr="001210D7">
        <w:t xml:space="preserve">demonstrates that the organisation continues to invest across a diversified portfolio of energy businesses. Significant financial resources have been directed towards renewable electricity generation, electric vehicle charging infrastructure, hydrogen production, biofuels, and carbon capture and storage (CCS). These investments are intended to support Shell's ambition of becoming a net-zero emissions energy business by 2050 while responding to increasing demand </w:t>
      </w:r>
      <w:r w:rsidRPr="001210D7">
        <w:lastRenderedPageBreak/>
        <w:t>for cleaner energy solutions. The company has also invested heavily in digital technologies and energy trading capabilities designed to support the integration of renewable energy into future electricity systems. Collectively, these investments demonstrate that sustainability has become an important component of Shell's long-term strategic planning.</w:t>
      </w:r>
    </w:p>
    <w:p w14:paraId="5BA9FFC7" w14:textId="77777777" w:rsidR="00954691" w:rsidRDefault="00954691" w:rsidP="001210D7"/>
    <w:p w14:paraId="5D0F901F" w14:textId="5378C853" w:rsidR="001210D7" w:rsidRPr="001210D7" w:rsidRDefault="001210D7" w:rsidP="001210D7">
      <w:r w:rsidRPr="001210D7">
        <w:t>However, the findings also reveal that low-carbon investments remain substantially smaller than expenditure on traditional oil and gas businesses. Shell continues to allocate considerable financial resources towards upstream exploration, hydrocarbon production, refining activities and, most notably, the expansion of LNG infrastructure. The company argues that natural gas will play an essential role in supporting global energy security during the transition away from coal while renewable technologies continue to mature. From Shell's perspective, LNG represents a transition fuel capable of generating strong financial returns while contributing to lower carbon emissions compared with more carbon-intensive energy sources. Consequently, the company maintains that continued investment in LNG is compatible with its broader sustainability objectives.</w:t>
      </w:r>
    </w:p>
    <w:p w14:paraId="0B0A2F30" w14:textId="77777777" w:rsidR="00954691" w:rsidRDefault="00954691" w:rsidP="001210D7"/>
    <w:p w14:paraId="3918D34C" w14:textId="1061DED5" w:rsidR="001210D7" w:rsidRPr="001210D7" w:rsidRDefault="001210D7" w:rsidP="001210D7">
      <w:r w:rsidRPr="001210D7">
        <w:t xml:space="preserve">Although this argument provides a justification for continued fossil fuel investment, the findings indicate that the scale of expenditure directed towards hydrocarbons has generated considerable criticism from academics, environmental organisations and institutional investors. Many stakeholders question whether Shell's financial priorities genuinely reflect </w:t>
      </w:r>
      <w:r w:rsidRPr="00F55684">
        <w:rPr>
          <w:color w:val="auto"/>
        </w:rPr>
        <w:t xml:space="preserve">its public commitment to achieving net-zero emissions. Several studies </w:t>
      </w:r>
      <w:r w:rsidR="003431CB">
        <w:rPr>
          <w:color w:val="auto"/>
        </w:rPr>
        <w:t xml:space="preserve">such as the </w:t>
      </w:r>
      <w:r w:rsidR="00C7213C">
        <w:rPr>
          <w:color w:val="auto"/>
        </w:rPr>
        <w:t xml:space="preserve">selected </w:t>
      </w:r>
      <w:r w:rsidRPr="00F55684">
        <w:rPr>
          <w:color w:val="auto"/>
        </w:rPr>
        <w:t>included within the literature review suggest that organisational commitment to sustainability should be evaluated through investment behaviour rather than corporate communication alone</w:t>
      </w:r>
      <w:r w:rsidR="00C7213C">
        <w:rPr>
          <w:color w:val="auto"/>
        </w:rPr>
        <w:t xml:space="preserve"> </w:t>
      </w:r>
      <w:sdt>
        <w:sdtPr>
          <w:rPr>
            <w:color w:val="auto"/>
          </w:rPr>
          <w:id w:val="26693533"/>
          <w:citation/>
        </w:sdtPr>
        <w:sdtEndPr/>
        <w:sdtContent>
          <w:r w:rsidR="00327647">
            <w:rPr>
              <w:color w:val="auto"/>
            </w:rPr>
            <w:fldChar w:fldCharType="begin"/>
          </w:r>
          <w:r w:rsidR="00327647">
            <w:rPr>
              <w:color w:val="auto"/>
            </w:rPr>
            <w:instrText xml:space="preserve"> CITATION Mag11 \l 2057 </w:instrText>
          </w:r>
          <w:r w:rsidR="00327647">
            <w:rPr>
              <w:color w:val="auto"/>
            </w:rPr>
            <w:fldChar w:fldCharType="separate"/>
          </w:r>
          <w:r w:rsidR="00327647" w:rsidRPr="00327647">
            <w:rPr>
              <w:noProof/>
              <w:color w:val="auto"/>
            </w:rPr>
            <w:t>(Delma &amp; Burbano, 2011)</w:t>
          </w:r>
          <w:r w:rsidR="00327647">
            <w:rPr>
              <w:color w:val="auto"/>
            </w:rPr>
            <w:fldChar w:fldCharType="end"/>
          </w:r>
        </w:sdtContent>
      </w:sdt>
      <w:r w:rsidRPr="00F55684">
        <w:rPr>
          <w:color w:val="auto"/>
        </w:rPr>
        <w:t xml:space="preserve">. As a result, capital allocation has become one of the most significant measures used </w:t>
      </w:r>
      <w:r w:rsidRPr="001210D7">
        <w:t>to assess whether multinational energy companies are undertaking genuine strategic transformation.</w:t>
      </w:r>
    </w:p>
    <w:p w14:paraId="3FB4CF0A" w14:textId="77777777" w:rsidR="000F2FCE" w:rsidRDefault="000F2FCE" w:rsidP="001210D7"/>
    <w:p w14:paraId="086EE2E1" w14:textId="4A1DD4B3" w:rsidR="001210D7" w:rsidRDefault="001210D7" w:rsidP="001210D7">
      <w:r w:rsidRPr="001210D7">
        <w:t xml:space="preserve">The findings strongly support the arguments presented by Pickl (2019), who concludes that international oil companies have generally adopted portfolio diversification rather than complete business model transformation. Rather than abandoning profitable fossil fuel operations, organisations such as Shell have invested selectively in renewable technologies while continuing to maximise returns from existing hydrocarbon assets. According to Pickl (2019), this strategy reduces financial uncertainty because revenues generated from oil and gas operations provide the capital necessary to finance renewable investment. The findings of this research closely reflect this perspective, suggesting that Shell's renewable investments </w:t>
      </w:r>
      <w:r w:rsidR="00D469CD">
        <w:t xml:space="preserve">comply and </w:t>
      </w:r>
      <w:r w:rsidR="00012E5F" w:rsidRPr="00012E5F">
        <w:t xml:space="preserve">complement </w:t>
      </w:r>
      <w:r w:rsidRPr="001210D7">
        <w:t>rather than replace its traditional energy business.</w:t>
      </w:r>
    </w:p>
    <w:p w14:paraId="5B9C312E" w14:textId="77777777" w:rsidR="00D469CD" w:rsidRPr="001210D7" w:rsidRDefault="00D469CD" w:rsidP="001210D7"/>
    <w:p w14:paraId="2102842B" w14:textId="77777777" w:rsidR="001210D7" w:rsidRDefault="001210D7" w:rsidP="001210D7">
      <w:r w:rsidRPr="001210D7">
        <w:t xml:space="preserve">Similarly, Halttunen, Slade and </w:t>
      </w:r>
      <w:proofErr w:type="spellStart"/>
      <w:r w:rsidRPr="001210D7">
        <w:t>Staffell</w:t>
      </w:r>
      <w:proofErr w:type="spellEnd"/>
      <w:r w:rsidRPr="001210D7">
        <w:t xml:space="preserve"> (2023) argue that the transition strategies adopted by major oil companies are constrained by historical investment decisions, existing infrastructure and organisational capabilities. Decades of investment in exploration, refining and fossil fuel production have created significant structural dependence on hydrocarbons. Consequently, redirecting large-scale capital expenditure towards renewable technologies represents a complex and costly </w:t>
      </w:r>
      <w:r w:rsidRPr="001210D7">
        <w:lastRenderedPageBreak/>
        <w:t>organisational challenge. The findings support this argument, as Shell appears to be pursuing gradual reallocation of investment rather than rapid divestment from fossil fuels. Such an approach enables the company to maintain financial stability while responding to growing environmental expectations.</w:t>
      </w:r>
    </w:p>
    <w:p w14:paraId="305A4F69" w14:textId="77777777" w:rsidR="002B7E6B" w:rsidRPr="001210D7" w:rsidRDefault="002B7E6B" w:rsidP="001210D7"/>
    <w:p w14:paraId="78952276" w14:textId="77777777" w:rsidR="001210D7" w:rsidRPr="001210D7" w:rsidRDefault="001210D7" w:rsidP="001210D7">
      <w:r w:rsidRPr="001210D7">
        <w:t xml:space="preserve">The evidence also supports </w:t>
      </w:r>
      <w:proofErr w:type="spellStart"/>
      <w:r w:rsidRPr="001210D7">
        <w:t>Sovacool's</w:t>
      </w:r>
      <w:proofErr w:type="spellEnd"/>
      <w:r w:rsidRPr="001210D7">
        <w:t xml:space="preserve"> (2016) argument that energy transitions are long-term socio-technical processes rather than immediate organisational transformations. Energy companies must balance competing objectives, including energy security, shareholder returns, technological development and regulatory compliance. From this perspective, Shell's continued investment in fossil fuels may reflect the practical realities of maintaining global energy supply rather than a rejection of sustainability objectives. However, the findings also demonstrate that maintaining high levels of hydrocarbon investment inevitably slows the pace at which renewable businesses become the dominant source of corporate revenue.</w:t>
      </w:r>
    </w:p>
    <w:p w14:paraId="62DC22B9" w14:textId="77777777" w:rsidR="00E46A97" w:rsidRDefault="00E46A97" w:rsidP="001210D7"/>
    <w:p w14:paraId="0C57F597" w14:textId="7E642493" w:rsidR="001210D7" w:rsidRDefault="001210D7" w:rsidP="001210D7">
      <w:r w:rsidRPr="001210D7">
        <w:t xml:space="preserve">Dongo and </w:t>
      </w:r>
      <w:proofErr w:type="spellStart"/>
      <w:r w:rsidRPr="001210D7">
        <w:t>Relvas</w:t>
      </w:r>
      <w:proofErr w:type="spellEnd"/>
      <w:r w:rsidRPr="001210D7">
        <w:t xml:space="preserve"> (2025) similarly argue that international oil companies operate within an increasingly uncertain strategic environment characterised by evolving climate policies, geopolitical instability and rapidly changing energy markets. The findings indicate that Shell's investment strategy reflects an attempt to manage these uncertainties by maintaining a diversified portfolio of energy assets. Investment in renewables positions the company to benefit from future growth in low-carbon energy markets, while continued investment in oil and LNG protects short-term profitability and supports shareholder expectations. This balancing approach reflects a risk management strategy designed to reduce exposure to uncertainty across both traditional and emerging energy sectors.</w:t>
      </w:r>
    </w:p>
    <w:p w14:paraId="3E27919C" w14:textId="77777777" w:rsidR="002B7E6B" w:rsidRPr="001210D7" w:rsidRDefault="002B7E6B" w:rsidP="001210D7"/>
    <w:p w14:paraId="25756AEA" w14:textId="77777777" w:rsidR="001210D7" w:rsidRPr="001210D7" w:rsidRDefault="001210D7" w:rsidP="001210D7">
      <w:r w:rsidRPr="001210D7">
        <w:t>The findings also provide important insight when interpreted through Institutional Theory. DiMaggio and Powell (1983) argue that organisations adapt their strategies in response to coercive, normative and mimetic pressures arising from governments, society and industry competitors. Shell's increased investment in renewable technologies appears to demonstrate responsiveness to these institutional pressures, particularly growing regulatory requirements and investor expectations regarding environmental, social and governance (ESG) performance. However, the evidence also suggests that these institutional pressures have not fundamentally displaced the financial importance of hydrocarbon operations. Instead, Shell has incorporated sustainability investments alongside existing business activities, allowing the organisation to maintain legitimacy while preserving profitability.</w:t>
      </w:r>
    </w:p>
    <w:p w14:paraId="0D7331B5" w14:textId="77777777" w:rsidR="00875CA1" w:rsidRDefault="00875CA1" w:rsidP="001210D7"/>
    <w:p w14:paraId="24934A4F" w14:textId="4DFD675D" w:rsidR="001210D7" w:rsidRDefault="001210D7" w:rsidP="001210D7">
      <w:r w:rsidRPr="001210D7">
        <w:t xml:space="preserve">Furthermore, the findings highlight the relevance of Strategic Ambidexterity in explaining Shell's investment behaviour. Tushman and O'Reilly (2013) argue that successful organisations must simultaneously exploit existing capabilities while exploring future opportunities. Shell's capital allocation demonstrates this dual strategy by continuing to exploit profitable oil and gas assets while investing in renewable technologies expected to support future competitiveness. Although this approach enables the company to finance innovation without sacrificing financial performance, it also creates ongoing tension regarding the speed and credibility of the energy transition. Critics argue that allocating the majority of investment towards fossil fuels undermines public sustainability commitments, whereas supporters </w:t>
      </w:r>
      <w:r w:rsidRPr="001210D7">
        <w:lastRenderedPageBreak/>
        <w:t>contend that maintaining profitability is necessary to finance long-term decarbonisation.</w:t>
      </w:r>
    </w:p>
    <w:p w14:paraId="08964EB1" w14:textId="77777777" w:rsidR="002B7E6B" w:rsidRPr="001210D7" w:rsidRDefault="002B7E6B" w:rsidP="001210D7"/>
    <w:p w14:paraId="41966E20" w14:textId="77777777" w:rsidR="001210D7" w:rsidRPr="001210D7" w:rsidRDefault="001210D7" w:rsidP="001210D7">
      <w:r w:rsidRPr="001210D7">
        <w:t>Overall, the findings suggest that Shell's capital allocation only partially aligns with its sustainability commitments. The company has clearly increased investment in renewable energy, hydrogen, EV charging and carbon capture technologies, demonstrating recognition of the strategic importance of decarbonisation. Nevertheless, the continued dominance of oil and LNG investment indicates that profitability remains the organisation's primary financial priority. Rather than representing a complete shift towards a low-carbon business model, Shell's investment strategy reflects a gradual transition in which renewable businesses are developed alongside traditional hydrocarbon operations. These findings reinforce the conclusion that Shell is pursuing strategic adaptation through diversification rather than fundamental transformation, illustrating the complex challenge of balancing long-term sustainability ambitions with the short-term financial demands of one of the world's largest energy companies.</w:t>
      </w:r>
    </w:p>
    <w:p w14:paraId="289E8F80" w14:textId="77777777" w:rsidR="00577248" w:rsidRDefault="00577248" w:rsidP="003B4B52">
      <w:pPr>
        <w:ind w:left="0" w:firstLine="0"/>
      </w:pPr>
    </w:p>
    <w:p w14:paraId="353E54BB" w14:textId="77777777" w:rsidR="00E91A91" w:rsidRPr="006C5080" w:rsidRDefault="00E91A91" w:rsidP="006C5080">
      <w:pPr>
        <w:pStyle w:val="Heading1"/>
        <w:rPr>
          <w:sz w:val="28"/>
          <w:szCs w:val="28"/>
        </w:rPr>
      </w:pPr>
      <w:r w:rsidRPr="006C5080">
        <w:rPr>
          <w:sz w:val="28"/>
          <w:szCs w:val="28"/>
        </w:rPr>
        <w:t>4.4 Theme 3: Stakeholder Pressures Influencing Shell's Strategic Decision-Making</w:t>
      </w:r>
    </w:p>
    <w:p w14:paraId="222B5C13" w14:textId="77777777" w:rsidR="00A21311" w:rsidRPr="00E91A91" w:rsidRDefault="00A21311" w:rsidP="00E91A91">
      <w:pPr>
        <w:ind w:left="0" w:firstLine="0"/>
        <w:rPr>
          <w:b/>
          <w:bCs/>
        </w:rPr>
      </w:pPr>
    </w:p>
    <w:p w14:paraId="334568A5" w14:textId="150E6618" w:rsidR="00E91A91" w:rsidRDefault="00E91A91" w:rsidP="00E91A91">
      <w:pPr>
        <w:ind w:left="0" w:firstLine="0"/>
      </w:pPr>
      <w:r w:rsidRPr="00E91A91">
        <w:t xml:space="preserve">The third objective of this research was to explore the stakeholder pressures influencing strategic decision-making at Shell. The findings demonstrate that Shell operates within a highly complex stakeholder environment in which multiple groups possess differing, and often conflicting, expectations regarding the company's future direction. Investors expect strong financial </w:t>
      </w:r>
      <w:r w:rsidR="00A21311" w:rsidRPr="00E91A91">
        <w:t>performance,</w:t>
      </w:r>
      <w:r w:rsidRPr="00E91A91">
        <w:t xml:space="preserve"> and consistent shareholder returns, while governments, environmental organisations, customers and wider society increasingly demand accelerated decarbonisation and greater investment in renewable energy. These competing pressures create a significant strategic challenge, requiring Shell to balance economic performance with environmental and social responsibilities. The findings indicate that stakeholder influence has become one of the principal drivers shaping Shell's energy transition strategy, although the degree of influence varies considerably between stakeholder groups.</w:t>
      </w:r>
    </w:p>
    <w:p w14:paraId="7F904EFF" w14:textId="77777777" w:rsidR="004A507A" w:rsidRPr="00E91A91" w:rsidRDefault="004A507A" w:rsidP="00E91A91">
      <w:pPr>
        <w:ind w:left="0" w:firstLine="0"/>
      </w:pPr>
    </w:p>
    <w:p w14:paraId="08CC4C33" w14:textId="77777777" w:rsidR="00E91A91" w:rsidRDefault="00E91A91" w:rsidP="00E91A91">
      <w:pPr>
        <w:ind w:left="0" w:firstLine="0"/>
      </w:pPr>
      <w:r w:rsidRPr="00E91A91">
        <w:t>The literature consistently identifies investors as the most influential stakeholders affecting Shell's strategic decisions. As one of the world's largest publicly traded energy companies, Shell depends heavily on investor confidence to maintain access to capital and support long-term growth. The findings indicate that shareholders continue to prioritise profitability, strong cash flows and regular dividend payments, particularly during periods of volatility in global energy markets. This expectation has encouraged Shell to maintain significant investment in profitable oil and gas operations despite its commitment to achieving net-zero emissions. The evidence suggests that continued hydrocarbon production provides the financial resources necessary to support shareholder returns while simultaneously funding investment in lower-carbon technologies. Consequently, investor expectations remain closely aligned with the company's decision to pursue a gradual rather than immediate transition away from fossil fuels.</w:t>
      </w:r>
    </w:p>
    <w:p w14:paraId="5DAC6D6E" w14:textId="77777777" w:rsidR="004A507A" w:rsidRPr="00E91A91" w:rsidRDefault="004A507A" w:rsidP="00E91A91">
      <w:pPr>
        <w:ind w:left="0" w:firstLine="0"/>
      </w:pPr>
    </w:p>
    <w:p w14:paraId="2093F43B" w14:textId="77777777" w:rsidR="00E91A91" w:rsidRDefault="00E91A91" w:rsidP="00E91A91">
      <w:pPr>
        <w:ind w:left="0" w:firstLine="0"/>
      </w:pPr>
      <w:r w:rsidRPr="00E91A91">
        <w:lastRenderedPageBreak/>
        <w:t>At the same time, investor expectations have evolved significantly in recent years. Institutional investors increasingly incorporate environmental, social and governance (ESG) criteria into investment decisions, placing additional pressure on companies to demonstrate credible sustainability strategies. The findings show that Shell has responded by publishing detailed sustainability reports, strengthening climate disclosures and introducing measurable emissions reduction targets. Berger-Schmitz et al. (2023) argue that organisations increasingly adopt sustainability initiatives to maintain investor confidence as well as financial legitimacy. The evidence reviewed in this study supports this argument, suggesting that Shell's sustainability commitments are influenced not only by environmental concerns but also by the need to satisfy changing investor expectations regarding responsible corporate governance.</w:t>
      </w:r>
    </w:p>
    <w:p w14:paraId="6084AD36" w14:textId="77777777" w:rsidR="004A507A" w:rsidRPr="00E91A91" w:rsidRDefault="004A507A" w:rsidP="00E91A91">
      <w:pPr>
        <w:ind w:left="0" w:firstLine="0"/>
      </w:pPr>
    </w:p>
    <w:p w14:paraId="670D3BA5" w14:textId="77777777" w:rsidR="00E91A91" w:rsidRDefault="00E91A91" w:rsidP="00E91A91">
      <w:pPr>
        <w:ind w:left="0" w:firstLine="0"/>
      </w:pPr>
      <w:r w:rsidRPr="00E91A91">
        <w:t>Governments and regulatory bodies represent another highly influential stakeholder group. International agreements such as the Paris Agreement, together with increasingly stringent national climate policies, have intensified pressure on energy companies to reduce greenhouse gas emissions and accelerate investment in cleaner technologies. The findings indicate that Shell has adjusted its strategic priorities partly in response to evolving regulatory requirements, expanding investment in renewable electricity, hydrogen production and carbon capture technologies while setting long-term emissions reduction targets. These actions suggest that regulatory pressure has played an important role in encouraging organisational change. However, the evidence also indicates that Shell continues to advocate for a balanced energy transition that maintains energy security alongside decarbonisation, reflecting the practical challenges associated with meeting both policy objectives and global energy demand.</w:t>
      </w:r>
    </w:p>
    <w:p w14:paraId="2E6635E4" w14:textId="77777777" w:rsidR="004A507A" w:rsidRPr="00E91A91" w:rsidRDefault="004A507A" w:rsidP="00E91A91">
      <w:pPr>
        <w:ind w:left="0" w:firstLine="0"/>
      </w:pPr>
    </w:p>
    <w:p w14:paraId="01B61C56" w14:textId="77777777" w:rsidR="00E91A91" w:rsidRDefault="00E91A91" w:rsidP="00E91A91">
      <w:pPr>
        <w:ind w:left="0" w:firstLine="0"/>
      </w:pPr>
      <w:r w:rsidRPr="00E91A91">
        <w:t>Environmental organisations and climate activists exert considerable reputational pressure on Shell through public campaigns, legal action and media scrutiny. The findings reveal that these stakeholders have consistently questioned whether Shell's continued investment in oil and liquefied natural gas is compatible with its publicly stated climate ambitions. Critics argue that expanding hydrocarbon production undermines the credibility of the company's sustainability commitments and contributes to accusations of greenwashing. Si et al. (2023) suggest that many fossil fuel companies emphasise future renewable investments while continuing to rely on traditional fossil fuel operations, creating a disconnect between corporate communication and operational practice. The findings partially support this interpretation, as Shell continues to present ambitious sustainability targets while maintaining substantial investment in fossil fuel production.</w:t>
      </w:r>
    </w:p>
    <w:p w14:paraId="3F02DF11" w14:textId="77777777" w:rsidR="004A507A" w:rsidRPr="00E91A91" w:rsidRDefault="004A507A" w:rsidP="00E91A91">
      <w:pPr>
        <w:ind w:left="0" w:firstLine="0"/>
      </w:pPr>
    </w:p>
    <w:p w14:paraId="4269B83A" w14:textId="77777777" w:rsidR="00E91A91" w:rsidRPr="00E91A91" w:rsidRDefault="00E91A91" w:rsidP="00E91A91">
      <w:pPr>
        <w:ind w:left="0" w:firstLine="0"/>
      </w:pPr>
      <w:r w:rsidRPr="00E91A91">
        <w:t xml:space="preserve">Consumers also influence Shell's strategic direction, although their impact appears less direct than that of investors or regulators. Growing public awareness of climate change has increased demand for cleaner energy solutions, including renewable electricity, electric vehicle charging infrastructure and lower-carbon fuels. The findings indicate that Shell has responded by expanding its portfolio of low-carbon products and services, reflecting changing customer preferences and the long-term commercial opportunities associated with the energy transition. Nevertheless, global demand for oil and natural gas remains significant, particularly within developing </w:t>
      </w:r>
      <w:r w:rsidRPr="00E91A91">
        <w:lastRenderedPageBreak/>
        <w:t>economies. Consequently, Shell continues to supply conventional energy products while simultaneously investing in alternative energy markets, illustrating the challenge of balancing present market demand with future sustainability objectives.</w:t>
      </w:r>
    </w:p>
    <w:p w14:paraId="7AB748EE" w14:textId="77777777" w:rsidR="00FC0C2B" w:rsidRDefault="00FC0C2B" w:rsidP="00E91A91">
      <w:pPr>
        <w:ind w:left="0" w:firstLine="0"/>
      </w:pPr>
    </w:p>
    <w:p w14:paraId="6CCD709F" w14:textId="71FC64E3" w:rsidR="00E91A91" w:rsidRDefault="00E91A91" w:rsidP="00E91A91">
      <w:pPr>
        <w:ind w:left="0" w:firstLine="0"/>
      </w:pPr>
      <w:r w:rsidRPr="00E91A91">
        <w:t>Employees and organisational leadership also represent important internal stakeholders shaping Shell's transition strategy. The findings suggest that implementing sustainability initiatives requires substantial organisational change, including the development of new technical capabilities, revised investment priorities and changes to corporate culture. Transitioning from a traditional oil and gas company towards an integrated energy business requires employees to adopt new skills and ways of working while maintaining operational performance within existing business divisions. This process creates internal challenges as management attempts to balance innovation with operational efficiency. The findings therefore reinforce the importance of leadership in managing organisational change throughout the energy transition.</w:t>
      </w:r>
    </w:p>
    <w:p w14:paraId="4D5D50E2" w14:textId="77777777" w:rsidR="004A507A" w:rsidRPr="00E91A91" w:rsidRDefault="004A507A" w:rsidP="00E91A91">
      <w:pPr>
        <w:ind w:left="0" w:firstLine="0"/>
      </w:pPr>
    </w:p>
    <w:p w14:paraId="206675A8" w14:textId="77777777" w:rsidR="00E91A91" w:rsidRPr="00E91A91" w:rsidRDefault="00E91A91" w:rsidP="00E91A91">
      <w:pPr>
        <w:ind w:left="0" w:firstLine="0"/>
      </w:pPr>
      <w:r w:rsidRPr="00E91A91">
        <w:t>The findings strongly support Freeman et al.'s (1984) Stakeholder Theory, which argues that organisations must balance the interests of multiple stakeholder groups rather than focusing exclusively on shareholder value. However, the evidence also demonstrates that stakeholder influence is unequal. Investors and governments appear to exert the greatest influence because of their ability to affect Shell's financial performance and regulatory environment. Environmental organisations and consumers have contributed to increased sustainability commitments and improved transparency, but their influence appears to operate primarily through reputational pressure rather than direct control over strategic investment decisions.</w:t>
      </w:r>
    </w:p>
    <w:p w14:paraId="15BC651B" w14:textId="77777777" w:rsidR="00E91A91" w:rsidRPr="00E91A91" w:rsidRDefault="00E91A91" w:rsidP="00E91A91">
      <w:pPr>
        <w:ind w:left="0" w:firstLine="0"/>
      </w:pPr>
      <w:r w:rsidRPr="00E91A91">
        <w:t>Overall, the findings suggest that Shell's energy transition strategy has been significantly shaped by competing stakeholder pressures. Rather than responding to a single stakeholder group, the company attempts to balance shareholder expectations for profitability with increasing demands from governments, regulators, customers and environmental organisations for more sustainable business practices. This balancing process explains why Shell continues to invest in both renewable energy technologies and profitable hydrocarbon operations. The evidence therefore suggests that stakeholder pressure has encouraged meaningful strategic adaptation, but not sufficient transformation to fundamentally replace the company's traditional fossil fuel business model. This conclusion supports the broader argument developed throughout this dissertation that Shell's strategy reflects an ongoing effort to reconcile profitability with sustainability rather than prioritising one objective at the expense of the other.</w:t>
      </w:r>
    </w:p>
    <w:p w14:paraId="2F352EE1" w14:textId="77777777" w:rsidR="00E91A91" w:rsidRDefault="00E91A91" w:rsidP="003B4B52">
      <w:pPr>
        <w:ind w:left="0" w:firstLine="0"/>
      </w:pPr>
    </w:p>
    <w:p w14:paraId="072F4366" w14:textId="5BEF8D98" w:rsidR="005148DF" w:rsidRPr="005148DF" w:rsidRDefault="005148DF" w:rsidP="005148DF">
      <w:pPr>
        <w:pStyle w:val="Heading1"/>
        <w:rPr>
          <w:sz w:val="28"/>
          <w:szCs w:val="28"/>
        </w:rPr>
      </w:pPr>
      <w:r w:rsidRPr="005148DF">
        <w:rPr>
          <w:sz w:val="28"/>
          <w:szCs w:val="28"/>
        </w:rPr>
        <w:t>4.5 Theme 4: Organisational Challenges in Implementing Shell's Energy Transition Strategy</w:t>
      </w:r>
    </w:p>
    <w:p w14:paraId="3B3959C0" w14:textId="77777777" w:rsidR="005148DF" w:rsidRDefault="005148DF" w:rsidP="005148DF">
      <w:pPr>
        <w:ind w:left="0" w:firstLine="0"/>
      </w:pPr>
    </w:p>
    <w:p w14:paraId="2234EF59" w14:textId="77777777" w:rsidR="005148DF" w:rsidRDefault="005148DF" w:rsidP="005148DF">
      <w:pPr>
        <w:ind w:left="0" w:firstLine="0"/>
      </w:pPr>
      <w:r>
        <w:t xml:space="preserve">The fourth objective of this research was to assess the organisational challenges that Shell encounters in implementing its energy transition strategy. The findings indicate that while Shell has made significant progress in developing renewable energy technologies and publicly committing to long-term decarbonisation targets, the implementation of these initiatives remains constrained by several organisational, financial and operational barriers. The transition from a traditional oil and gas </w:t>
      </w:r>
      <w:r>
        <w:lastRenderedPageBreak/>
        <w:t>company to an integrated energy business requires substantial changes to organisational structures, investment priorities, leadership approaches and corporate culture. The findings suggest that these challenges have slowed the pace of transformation, reinforcing the view that Shell is pursuing gradual strategic adaptation rather than rapid organisational change.</w:t>
      </w:r>
    </w:p>
    <w:p w14:paraId="63CEDF94" w14:textId="77777777" w:rsidR="005148DF" w:rsidRDefault="005148DF" w:rsidP="005148DF">
      <w:pPr>
        <w:ind w:left="0" w:firstLine="0"/>
      </w:pPr>
    </w:p>
    <w:p w14:paraId="12641E17" w14:textId="77777777" w:rsidR="005148DF" w:rsidRDefault="005148DF" w:rsidP="005148DF">
      <w:pPr>
        <w:ind w:left="0" w:firstLine="0"/>
      </w:pPr>
      <w:r>
        <w:t>One of the most significant organisational challenges identified in the literature is Shell's continued dependence on revenue generated from oil and gas operations. For decades, the company's business model has been built around hydrocarbon exploration, production, refining and marketing, which continue to provide the majority of its income and shareholder returns. The findings demonstrate that these revenues finance many of Shell's investments in renewable energy technologies, including hydrogen production, electric vehicle charging infrastructure and carbon capture projects. While this approach enables the company to fund innovation without significantly reducing profitability, it also creates dependence on the very activities that sustainability strategies seek to reduce. As a result, Shell faces the difficult task of balancing long-term environmental objectives with the financial realities of maintaining a profitable global energy business.</w:t>
      </w:r>
    </w:p>
    <w:p w14:paraId="25E30C5C" w14:textId="77777777" w:rsidR="005148DF" w:rsidRDefault="005148DF" w:rsidP="005148DF">
      <w:pPr>
        <w:ind w:left="0" w:firstLine="0"/>
      </w:pPr>
    </w:p>
    <w:p w14:paraId="125DDB26" w14:textId="77777777" w:rsidR="005148DF" w:rsidRDefault="005148DF" w:rsidP="005148DF">
      <w:pPr>
        <w:ind w:left="0" w:firstLine="0"/>
      </w:pPr>
      <w:r>
        <w:t xml:space="preserve">The findings closely reflect the work of Halttunen, Slade and </w:t>
      </w:r>
      <w:proofErr w:type="spellStart"/>
      <w:r>
        <w:t>Staffell</w:t>
      </w:r>
      <w:proofErr w:type="spellEnd"/>
      <w:r>
        <w:t xml:space="preserve"> (2023), who argue that international oil companies remain structurally dependent on fossil fuel operations because of decades of investment in infrastructure, production facilities and organisational capabilities. Existing assets represent significant financial commitments that cannot easily be replaced without considerable economic consequences. Consequently, organisations such as Shell cannot rapidly redirect all investment towards renewable energy without exposing themselves to financial risk and potentially undermining shareholder confidence. The evidence reviewed in this study supports this argument, demonstrating that organisational transformation within the energy sector is constrained by historical investment decisions and long-established operational systems.</w:t>
      </w:r>
    </w:p>
    <w:p w14:paraId="35ACFD59" w14:textId="77777777" w:rsidR="005148DF" w:rsidRDefault="005148DF" w:rsidP="005148DF">
      <w:pPr>
        <w:ind w:left="0" w:firstLine="0"/>
      </w:pPr>
    </w:p>
    <w:p w14:paraId="4880102E" w14:textId="77777777" w:rsidR="005148DF" w:rsidRDefault="005148DF" w:rsidP="005148DF">
      <w:pPr>
        <w:ind w:left="0" w:firstLine="0"/>
      </w:pPr>
      <w:r>
        <w:t xml:space="preserve">Another major challenge concerns the substantial financial commitment required to develop renewable energy technologies. The findings indicate that projects involving offshore wind, hydrogen production, biofuels and carbon capture require significant capital expenditure while often generating uncertain or delayed financial returns. Unlike traditional oil and gas projects, many renewable technologies remain dependent on technological development, supportive government policy and evolving consumer demand before they can consistently deliver comparable levels of profitability. This creates strategic uncertainty regarding future investment decisions. Dongo and </w:t>
      </w:r>
      <w:proofErr w:type="spellStart"/>
      <w:r>
        <w:t>Relvas</w:t>
      </w:r>
      <w:proofErr w:type="spellEnd"/>
      <w:r>
        <w:t xml:space="preserve"> (2025) argue that the energy transition requires organisations to make long-term investments despite uncertain regulatory environments, changing market conditions and rapidly evolving technologies. The findings strongly support this perspective, suggesting that uncertainty surrounding future returns represents a major barrier to accelerating the transition.</w:t>
      </w:r>
    </w:p>
    <w:p w14:paraId="73F98E2C" w14:textId="77777777" w:rsidR="005148DF" w:rsidRDefault="005148DF" w:rsidP="005148DF">
      <w:pPr>
        <w:ind w:left="0" w:firstLine="0"/>
      </w:pPr>
    </w:p>
    <w:p w14:paraId="47D0298A" w14:textId="77777777" w:rsidR="005148DF" w:rsidRDefault="005148DF" w:rsidP="005148DF">
      <w:pPr>
        <w:ind w:left="0" w:firstLine="0"/>
      </w:pPr>
      <w:r>
        <w:t xml:space="preserve">The implementation of organisational change also presents considerable internal challenges. Transitioning towards a lower-carbon business model requires changes in organisational structures, management processes and employee capabilities. The </w:t>
      </w:r>
      <w:r>
        <w:lastRenderedPageBreak/>
        <w:t>findings suggest that Shell must develop new technical expertise in renewable energy while continuing to operate highly complex oil and gas businesses. This creates challenges relating to workforce development, recruitment and knowledge transfer, as employees must adapt to new technologies and evolving business priorities. Furthermore, established organisational routines and performance management systems have historically focused on hydrocarbon production and financial efficiency. Modifying these systems to encourage innovation and sustainability requires substantial leadership commitment and organisational learning.</w:t>
      </w:r>
    </w:p>
    <w:p w14:paraId="17D68135" w14:textId="77777777" w:rsidR="005148DF" w:rsidRDefault="005148DF" w:rsidP="005148DF">
      <w:pPr>
        <w:ind w:left="0" w:firstLine="0"/>
      </w:pPr>
    </w:p>
    <w:p w14:paraId="1B277B37" w14:textId="77777777" w:rsidR="005148DF" w:rsidRDefault="005148DF" w:rsidP="005148DF">
      <w:pPr>
        <w:ind w:left="0" w:firstLine="0"/>
      </w:pPr>
      <w:r>
        <w:t>These findings are consistent with the theory of Strategic Ambidexterity developed by Tushman and O'Reilly (2013), which argues that organisations must simultaneously exploit existing capabilities while exploring new opportunities. The evidence indicates that Shell is attempting to achieve this balance by maintaining profitable fossil fuel operations while investing in renewable technologies. However, successfully managing both activities simultaneously is organisationally demanding because each requires different capabilities, management approaches and performance measures. Existing business divisions often prioritise operational efficiency and short-term profitability, whereas renewable energy businesses require experimentation, innovation and long-term investment. Consequently, tensions emerge regarding how resources, leadership attention and organisational priorities should be allocated.</w:t>
      </w:r>
    </w:p>
    <w:p w14:paraId="54AE9FDB" w14:textId="77777777" w:rsidR="005148DF" w:rsidRDefault="005148DF" w:rsidP="005148DF">
      <w:pPr>
        <w:ind w:left="0" w:firstLine="0"/>
      </w:pPr>
    </w:p>
    <w:p w14:paraId="4A377B36" w14:textId="77777777" w:rsidR="005148DF" w:rsidRDefault="005148DF" w:rsidP="005148DF">
      <w:pPr>
        <w:ind w:left="0" w:firstLine="0"/>
      </w:pPr>
      <w:r>
        <w:t>The findings also highlight the influence of institutional pressures on organisational decision-making. According to DiMaggio and Powell (1983), organisations respond to coercive, mimetic and normative pressures by adapting their structures and practices to maintain legitimacy. Shell's sustainability initiatives demonstrate responsiveness to increasing regulatory expectations, investor demands and societal concern regarding climate change. Nevertheless, the findings indicate that institutional pressures alone have not eliminated organisational dependence on fossil fuel production. Instead, Shell appears to be integrating sustainability initiatives into its existing business model while preserving its traditional revenue-generating activities. This suggests that organisational change has been evolutionary rather than revolutionary.</w:t>
      </w:r>
    </w:p>
    <w:p w14:paraId="4D7E9A9C" w14:textId="77777777" w:rsidR="005148DF" w:rsidRDefault="005148DF" w:rsidP="005148DF">
      <w:pPr>
        <w:ind w:left="0" w:firstLine="0"/>
      </w:pPr>
    </w:p>
    <w:p w14:paraId="0CFE4444" w14:textId="77777777" w:rsidR="005148DF" w:rsidRDefault="005148DF" w:rsidP="005148DF">
      <w:pPr>
        <w:ind w:left="0" w:firstLine="0"/>
      </w:pPr>
      <w:r>
        <w:t xml:space="preserve">Another important challenge identified within the literature concerns maintaining global energy security during the transition. The findings indicate that Shell argues continued investment in oil and liquefied natural gas remains necessary to satisfy growing global energy demand while renewable infrastructure continues to develop. Abrupt reductions in fossil fuel production could contribute to energy shortages, increased prices and wider economic instability. Consequently, organisational leaders face the challenge of balancing climate objectives with broader economic and social responsibilities. </w:t>
      </w:r>
      <w:proofErr w:type="spellStart"/>
      <w:r>
        <w:t>Sovacool</w:t>
      </w:r>
      <w:proofErr w:type="spellEnd"/>
      <w:r>
        <w:t xml:space="preserve"> (2016) argues that energy transitions are complex socio-technical processes involving technological innovation, political decision-making and changing consumer behaviour rather than simple substitution of one energy source for another. The findings reinforce this argument by demonstrating that organisational decisions are shaped by wider external factors beyond environmental objectives alone.</w:t>
      </w:r>
    </w:p>
    <w:p w14:paraId="118DA645" w14:textId="77777777" w:rsidR="005148DF" w:rsidRDefault="005148DF" w:rsidP="005148DF">
      <w:pPr>
        <w:ind w:left="0" w:firstLine="0"/>
      </w:pPr>
    </w:p>
    <w:p w14:paraId="02305613" w14:textId="77777777" w:rsidR="005148DF" w:rsidRDefault="005148DF" w:rsidP="005148DF">
      <w:pPr>
        <w:ind w:left="0" w:firstLine="0"/>
      </w:pPr>
      <w:r>
        <w:t>The literature also identifies organisational reputation as an increasingly significant challenge. As public scrutiny of climate commitments intensifies, Shell faces growing pressure to demonstrate that its sustainability strategy reflects genuine organisational change rather than symbolic communication. Continued investment in fossil fuel projects has resulted in accusations of greenwashing from environmental organisations and sections of the academic community. These criticisms increase reputational risk and place additional pressure on leadership to demonstrate measurable progress towards stated climate targets. Consequently, organisational decision-makers must balance maintaining investor confidence with preserving legitimacy among governments, customers and wider society.</w:t>
      </w:r>
    </w:p>
    <w:p w14:paraId="1362C270" w14:textId="77777777" w:rsidR="005148DF" w:rsidRDefault="005148DF" w:rsidP="005148DF">
      <w:pPr>
        <w:ind w:left="0" w:firstLine="0"/>
      </w:pPr>
    </w:p>
    <w:p w14:paraId="4F7619A7" w14:textId="07B593B0" w:rsidR="00FF0170" w:rsidRDefault="005148DF" w:rsidP="005148DF">
      <w:pPr>
        <w:ind w:left="0" w:firstLine="0"/>
      </w:pPr>
      <w:r>
        <w:t>Overall, the findings indicate that Shell's implementation of its energy transition strategy is constrained by multiple interconnected organisational challenges. Dependence on fossil fuel revenues, high investment costs, technological uncertainty, organisational restructuring, cultural change and increasing stakeholder expectations collectively limit the speed at which transformation can occur. Rather than suggesting a lack of commitment to sustainability, these findings demonstrate the complexity of implementing strategic change within one of the world's largest energy companies. The evidence therefore supports the argument that Shell's transition is characterised by gradual organisational evolution rather than immediate transformation, reflecting the practical realities of balancing profitability, innovation and sustainability within an increasingly uncertain global energy environment.</w:t>
      </w:r>
    </w:p>
    <w:p w14:paraId="653F6922" w14:textId="77777777" w:rsidR="00A122A8" w:rsidRDefault="00A122A8" w:rsidP="005148DF">
      <w:pPr>
        <w:ind w:left="0" w:firstLine="0"/>
      </w:pPr>
    </w:p>
    <w:p w14:paraId="0D7F36D5" w14:textId="6211323C" w:rsidR="00D1508E" w:rsidRPr="00D1508E" w:rsidRDefault="00D1508E" w:rsidP="00D1508E">
      <w:pPr>
        <w:pStyle w:val="Heading1"/>
        <w:rPr>
          <w:sz w:val="28"/>
          <w:szCs w:val="10"/>
        </w:rPr>
      </w:pPr>
      <w:r w:rsidRPr="00D1508E">
        <w:rPr>
          <w:sz w:val="28"/>
          <w:szCs w:val="10"/>
        </w:rPr>
        <w:t>4.6 Theme 5: Balancing Profitability and Sustainability for Long-Term Competitiveness</w:t>
      </w:r>
    </w:p>
    <w:p w14:paraId="64674A6A" w14:textId="77777777" w:rsidR="00D1508E" w:rsidRDefault="00D1508E" w:rsidP="00D1508E">
      <w:pPr>
        <w:ind w:left="0" w:firstLine="0"/>
      </w:pPr>
    </w:p>
    <w:p w14:paraId="699EB7D2" w14:textId="4DDB971B" w:rsidR="00D1508E" w:rsidRDefault="00D1508E" w:rsidP="00D1508E">
      <w:pPr>
        <w:ind w:left="0" w:firstLine="0"/>
      </w:pPr>
      <w:r>
        <w:t xml:space="preserve">The final objective of this research was to evaluate whether Shell's strategy of balancing profitability and sustainability </w:t>
      </w:r>
      <w:r w:rsidR="009D0EC3">
        <w:t>d</w:t>
      </w:r>
      <w:r w:rsidR="00656396">
        <w:t>o</w:t>
      </w:r>
      <w:r w:rsidR="009D0EC3">
        <w:t>es</w:t>
      </w:r>
      <w:r w:rsidR="00656396">
        <w:t xml:space="preserve"> indeed </w:t>
      </w:r>
      <w:r>
        <w:t>enhance its long-term competitiveness. The findings indicate that Shell has adopted a strategic approach that seeks to maintain strong financial performance while gradually expanding its portfolio of low-carbon energy businesses. Rather than treating profitability and sustainability as mutually exclusive objectives, the company attempts to integrate both within its long-term corporate strategy. However, the findings also reveal that achieving this balance presents significant strategic challenges, as decisions that maximise short-term financial returns may conflict with the company's long-term sustainability ambitions. Consequently, Shell's future competitiveness depends largely on its ability to successfully manage these competing priorities while adapting to the rapidly changing global energy landscape.</w:t>
      </w:r>
    </w:p>
    <w:p w14:paraId="08FEE209" w14:textId="77777777" w:rsidR="00D1508E" w:rsidRDefault="00D1508E" w:rsidP="00D1508E">
      <w:pPr>
        <w:ind w:left="0" w:firstLine="0"/>
      </w:pPr>
    </w:p>
    <w:p w14:paraId="35323894" w14:textId="77777777" w:rsidR="00D1508E" w:rsidRDefault="00D1508E" w:rsidP="00D1508E">
      <w:pPr>
        <w:ind w:left="0" w:firstLine="0"/>
      </w:pPr>
      <w:r>
        <w:t xml:space="preserve">The evidence demonstrates that profitability continues to play a central role in Shell's strategic decision-making. Revenue generated from oil, natural gas and liquefied natural gas (LNG) operations remains the company's primary source of income and provides the financial resources required to invest in renewable energy technologies. The findings suggest that maintaining strong cash flows allows Shell to finance large-scale investments in offshore wind, hydrogen production, electric vehicle charging infrastructure, biofuels and carbon capture and storage (CCS) without significantly reducing shareholder returns. From this perspective, profitability is not presented as </w:t>
      </w:r>
      <w:r>
        <w:lastRenderedPageBreak/>
        <w:t>an obstacle to sustainability but as a necessary condition for funding the transition towards a lower-carbon business model. This supports Shell's argument that financial resilience enables long-term investment in innovation while maintaining operational stability during a period of considerable market uncertainty.</w:t>
      </w:r>
    </w:p>
    <w:p w14:paraId="62B16047" w14:textId="77777777" w:rsidR="00D1508E" w:rsidRDefault="00D1508E" w:rsidP="00D1508E">
      <w:pPr>
        <w:ind w:left="0" w:firstLine="0"/>
      </w:pPr>
    </w:p>
    <w:p w14:paraId="49C76DD1" w14:textId="77777777" w:rsidR="00D1508E" w:rsidRDefault="00D1508E" w:rsidP="00D1508E">
      <w:pPr>
        <w:ind w:left="0" w:firstLine="0"/>
      </w:pPr>
      <w:r>
        <w:t>At the same time, the findings indicate that continued dependence on fossil fuel revenues creates a significant strategic dilemma. While hydrocarbons remain highly profitable, increasing global commitments to climate change mitigation and decarbonisation raise questions regarding the long-term viability of traditional oil and gas business models. Governments are introducing stricter environmental regulations, investors are placing greater emphasis on environmental, social and governance (ESG) performance, and consumer demand for cleaner energy solutions continues to increase. As these trends accelerate, organisations that remain overly dependent on fossil fuel production may experience declining competitiveness, increasing regulatory costs and greater reputational risks. The findings therefore suggest that long-term competitiveness will increasingly depend upon the successful diversification of energy portfolios rather than continued reliance on conventional hydrocarbon operations.</w:t>
      </w:r>
    </w:p>
    <w:p w14:paraId="02CCC598" w14:textId="77777777" w:rsidR="00D1508E" w:rsidRDefault="00D1508E" w:rsidP="00D1508E">
      <w:pPr>
        <w:ind w:left="0" w:firstLine="0"/>
      </w:pPr>
    </w:p>
    <w:p w14:paraId="04C50375" w14:textId="77777777" w:rsidR="00D1508E" w:rsidRDefault="00D1508E" w:rsidP="00D1508E">
      <w:pPr>
        <w:ind w:left="0" w:firstLine="0"/>
      </w:pPr>
      <w:r>
        <w:t>The literature reviewed within this study provides differing perspectives regarding whether Shell's current strategy represents an effective balance between profitability and sustainability. Pickl (2019) argues that many international oil companies have adopted diversification strategies that enable them to expand renewable energy investments while preserving profitable fossil fuel businesses. According to Pickl, this approach reduces financial risk by allowing companies to use existing revenues to support investment in emerging technologies. The findings strongly support this perspective, as Shell continues to generate substantial profits from oil and gas while gradually increasing investment across a range of low-carbon energy sectors. Rather than pursuing rapid organisational transformation, the company appears to prioritise financial stability alongside incremental strategic change.</w:t>
      </w:r>
    </w:p>
    <w:p w14:paraId="15224B91" w14:textId="77777777" w:rsidR="00D1508E" w:rsidRDefault="00D1508E" w:rsidP="00D1508E">
      <w:pPr>
        <w:ind w:left="0" w:firstLine="0"/>
      </w:pPr>
    </w:p>
    <w:p w14:paraId="5FB9BCA7" w14:textId="77777777" w:rsidR="00D1508E" w:rsidRDefault="00D1508E" w:rsidP="00D1508E">
      <w:pPr>
        <w:ind w:left="0" w:firstLine="0"/>
      </w:pPr>
      <w:r>
        <w:t>However, the findings also support arguments that this balanced approach may slow the pace of the energy transition. Halttunen et al. (2023) suggest that continued investment in fossil fuel production reflects structural dependence on hydrocarbon assets rather than genuine commitment to decarbonisation. Existing infrastructure, production facilities and organisational capabilities create incentives for companies to maximise returns from traditional energy businesses before fully committing to renewable alternatives. The findings indicate that this dependence remains evident within Shell's investment strategy, where renewable projects continue to complement rather than replace oil and gas operations. Consequently, critics argue that the company risks delaying the transformation required to meet international climate objectives.</w:t>
      </w:r>
    </w:p>
    <w:p w14:paraId="73872C18" w14:textId="77777777" w:rsidR="00D1508E" w:rsidRDefault="00D1508E" w:rsidP="00D1508E">
      <w:pPr>
        <w:ind w:left="0" w:firstLine="0"/>
      </w:pPr>
    </w:p>
    <w:p w14:paraId="23B37993" w14:textId="7C377ABB" w:rsidR="00D1508E" w:rsidRDefault="00D1508E" w:rsidP="00D1508E">
      <w:pPr>
        <w:ind w:left="0" w:firstLine="0"/>
      </w:pPr>
      <w:proofErr w:type="spellStart"/>
      <w:r>
        <w:t>Sovacool</w:t>
      </w:r>
      <w:proofErr w:type="spellEnd"/>
      <w:r>
        <w:t xml:space="preserve"> (2016), however</w:t>
      </w:r>
      <w:r w:rsidR="009C586E">
        <w:t>,</w:t>
      </w:r>
      <w:r>
        <w:t xml:space="preserve"> presents a more balanced interpretation by arguing that energy transitions are complex, long-term socio-technical processes rather than immediate organisational changes. The findings reinforce this argument by demonstrating that Shell operates within an environment characterised by competing stakeholder expectations, technological uncertainty and fluctuating global energy </w:t>
      </w:r>
      <w:r>
        <w:lastRenderedPageBreak/>
        <w:t>demand. From this perspective, maintaining profitability while investing in renewable energy may represent a pragmatic strategy that enables the company to remain competitive during a prolonged period of transition. Immediate divestment from fossil fuels could threaten financial performance, reduce investment capacity and undermine global energy security, whereas gradual diversification allows Shell to adapt without compromising organisational stability.</w:t>
      </w:r>
    </w:p>
    <w:p w14:paraId="374BC2C3" w14:textId="77777777" w:rsidR="00D1508E" w:rsidRDefault="00D1508E" w:rsidP="00D1508E">
      <w:pPr>
        <w:ind w:left="0" w:firstLine="0"/>
      </w:pPr>
    </w:p>
    <w:p w14:paraId="707B7BD1" w14:textId="77777777" w:rsidR="00D1508E" w:rsidRDefault="00D1508E" w:rsidP="00D1508E">
      <w:pPr>
        <w:ind w:left="0" w:firstLine="0"/>
      </w:pPr>
      <w:r>
        <w:t xml:space="preserve">The findings also demonstrate that long-term competitiveness depends increasingly upon organisational adaptability and innovation. Investments in renewable electricity generation, hydrogen technologies, carbon capture, digital energy management and EV charging infrastructure position Shell to compete within emerging low-carbon energy markets. Dongo and </w:t>
      </w:r>
      <w:proofErr w:type="spellStart"/>
      <w:r>
        <w:t>Relvas</w:t>
      </w:r>
      <w:proofErr w:type="spellEnd"/>
      <w:r>
        <w:t xml:space="preserve"> (2025) argue that international energy companies capable of successfully combining innovation with operational resilience are more likely to achieve sustainable competitive advantage during the global energy transition. The evidence reviewed supports this conclusion, suggesting that Shell's expanding renewable portfolio strengthens its ability to respond to changing market conditions while reducing future dependence on hydrocarbon revenues.</w:t>
      </w:r>
    </w:p>
    <w:p w14:paraId="4C49FDFB" w14:textId="77777777" w:rsidR="00D1508E" w:rsidRDefault="00D1508E" w:rsidP="00D1508E">
      <w:pPr>
        <w:ind w:left="0" w:firstLine="0"/>
      </w:pPr>
    </w:p>
    <w:p w14:paraId="4DA1662B" w14:textId="77777777" w:rsidR="00D1508E" w:rsidRDefault="00D1508E" w:rsidP="00D1508E">
      <w:pPr>
        <w:ind w:left="0" w:firstLine="0"/>
      </w:pPr>
      <w:r>
        <w:t>Strategic Ambidexterity provides a valuable theoretical framework for interpreting these findings. Tushman and O'Reilly (2013) argue that long-term organisational success depends upon balancing exploitation of existing capabilities with exploration of future opportunities. The findings suggest that Shell's strategy reflects this principle by continuing to exploit profitable oil and gas assets while investing in technologies expected to drive future growth. Exploitation provides the financial resources necessary to sustain current operations, whereas exploration enables the organisation to develop new capabilities required within an increasingly decarbonised energy market. Nevertheless, maintaining this balance remains challenging because excessive emphasis on existing businesses may delay innovation, while excessive investment in emerging technologies could weaken short-term financial performance.</w:t>
      </w:r>
    </w:p>
    <w:p w14:paraId="43D94D3F" w14:textId="77777777" w:rsidR="00D1508E" w:rsidRDefault="00D1508E" w:rsidP="00D1508E">
      <w:pPr>
        <w:ind w:left="0" w:firstLine="0"/>
      </w:pPr>
    </w:p>
    <w:p w14:paraId="02754AA0" w14:textId="77777777" w:rsidR="00D1508E" w:rsidRDefault="00D1508E" w:rsidP="00D1508E">
      <w:pPr>
        <w:ind w:left="0" w:firstLine="0"/>
      </w:pPr>
      <w:r>
        <w:t>Stakeholder Theory also provides important insight into Shell's strategic position. Freeman et al. (1984) argue that organisations must create value for multiple stakeholder groups rather than focusing solely on shareholders. The findings indicate that Shell's competitiveness increasingly depends upon satisfying a broad range of stakeholders, including investors seeking profitability, governments demanding emissions reductions, customers expecting cleaner energy solutions and society calling for greater corporate responsibility. Successfully balancing these competing expectations is essential for maintaining legitimacy, attracting investment and preserving long-term market position. Failure to respond effectively to any one of these stakeholder groups may weaken the company's competitive advantage and damage organisational reputation.</w:t>
      </w:r>
    </w:p>
    <w:p w14:paraId="68BC7C58" w14:textId="77777777" w:rsidR="00D1508E" w:rsidRDefault="00D1508E" w:rsidP="00D1508E">
      <w:pPr>
        <w:ind w:left="0" w:firstLine="0"/>
      </w:pPr>
    </w:p>
    <w:p w14:paraId="4628E70B" w14:textId="25DFF240" w:rsidR="00A122A8" w:rsidRDefault="00D1508E" w:rsidP="00D1508E">
      <w:pPr>
        <w:ind w:left="0" w:firstLine="0"/>
      </w:pPr>
      <w:r>
        <w:t xml:space="preserve">Overall, the findings suggest that Shell's approach represents a strategic balancing act rather than a complete shift from profitability towards sustainability. Continued investment in renewable energy demonstrates recognition of changing market conditions and the long-term importance of decarbonisation, while ongoing reliance on oil and gas reflects the financial realities of operating within the global energy </w:t>
      </w:r>
      <w:r>
        <w:lastRenderedPageBreak/>
        <w:t xml:space="preserve">sector. The evidence indicates that profitability remains the foundation upon which Shell finances its sustainability strategy, suggesting that the two objectives are increasingly interdependent rather than contradictory. Nevertheless, the company's long-term competitiveness will ultimately depend upon whether it can progressively increase the contribution of low-carbon businesses while reducing dependence on fossil fuel revenues. Therefore, the findings support the overall conclusion of this dissertation that Shell is pursuing a gradual transition designed to balance financial performance with sustainability rather than prioritising </w:t>
      </w:r>
      <w:r w:rsidR="00BC360C">
        <w:t>objectives</w:t>
      </w:r>
      <w:r>
        <w:t xml:space="preserve"> in isolation.</w:t>
      </w:r>
    </w:p>
    <w:p w14:paraId="126149C2" w14:textId="77777777" w:rsidR="009C586E" w:rsidRDefault="009C586E" w:rsidP="00D1508E">
      <w:pPr>
        <w:ind w:left="0" w:firstLine="0"/>
      </w:pPr>
    </w:p>
    <w:p w14:paraId="664D7404" w14:textId="62957370" w:rsidR="009C586E" w:rsidRDefault="00660394" w:rsidP="00660394">
      <w:pPr>
        <w:pStyle w:val="Heading1"/>
        <w:rPr>
          <w:sz w:val="28"/>
          <w:szCs w:val="10"/>
        </w:rPr>
      </w:pPr>
      <w:r w:rsidRPr="00660394">
        <w:rPr>
          <w:sz w:val="28"/>
          <w:szCs w:val="10"/>
        </w:rPr>
        <w:t>4.7 Overall Discussion</w:t>
      </w:r>
    </w:p>
    <w:p w14:paraId="61CE6B59" w14:textId="77777777" w:rsidR="00660394" w:rsidRDefault="00660394" w:rsidP="00660394"/>
    <w:p w14:paraId="078D9ABF" w14:textId="71C0196D" w:rsidR="007C2204" w:rsidRDefault="00B90DFE" w:rsidP="007C2204">
      <w:r>
        <w:t xml:space="preserve">The </w:t>
      </w:r>
      <w:r w:rsidR="004A13D6">
        <w:t>objective of</w:t>
      </w:r>
      <w:r w:rsidR="0071514F">
        <w:t xml:space="preserve"> </w:t>
      </w:r>
      <w:r w:rsidR="004A13D6">
        <w:t>thi</w:t>
      </w:r>
      <w:r w:rsidR="0071514F">
        <w:t xml:space="preserve">s paper has been to </w:t>
      </w:r>
      <w:r w:rsidR="007C2204">
        <w:t>critically examine how Shell balances short-term profitability with long-term sustainability within its energy transition strategy. The findings indicate that Shell has made measurable progress towards sustainability through investments in renewable energy, carbon capture technologies, hydrogen, electric vehicle charging infrastructure, and its continued commitment to achieving net-zero emissions by 2050. However, the evidence also demonstrates that profitability remains the company's dominant strategic priority. Shell continues to allocate substantial investment towards oil and gas production, particularly liquefied natural gas (LNG), because these operations continue to generate the majority of its revenue, shareholder returns, and financial stability. Consequently, the findings suggest that Shell is pursuing a gradual energy transition rather than a rapid transformation of its business model.</w:t>
      </w:r>
    </w:p>
    <w:p w14:paraId="5E7655F2" w14:textId="77777777" w:rsidR="007C2204" w:rsidRDefault="007C2204" w:rsidP="007C2204"/>
    <w:p w14:paraId="7CCC0678" w14:textId="77777777" w:rsidR="007C2204" w:rsidRDefault="007C2204" w:rsidP="007C2204">
      <w:r>
        <w:t>The findings largely support Stakeholder Theory. Shell's strategic decisions are strongly influenced by competing stakeholder expectations. Governments and regulators continue to increase pressure through climate legislation and emissions targets, while investors expect consistent financial returns and dividend growth. At the same time, environmental organisations and wider society demand faster decarbonisation and greater investment in renewable energy. Rather than prioritising one stakeholder group exclusively, Shell attempts to balance these competing interests by maintaining profitable fossil fuel operations while simultaneously expanding lower-carbon energy investments. However, the findings suggest that investors continue to exert the greatest influence over strategic decision-making because the company remains financially dependent on hydrocarbon revenues.</w:t>
      </w:r>
    </w:p>
    <w:p w14:paraId="411F3E47" w14:textId="77777777" w:rsidR="005725C2" w:rsidRDefault="005725C2" w:rsidP="005725C2">
      <w:pPr>
        <w:ind w:left="0" w:firstLine="0"/>
      </w:pPr>
    </w:p>
    <w:p w14:paraId="2B82FFA3" w14:textId="6C137292" w:rsidR="005725C2" w:rsidRDefault="007C2204" w:rsidP="005725C2">
      <w:pPr>
        <w:ind w:left="0" w:firstLine="0"/>
      </w:pPr>
      <w:r>
        <w:t>The findings also support Institutional Theory. Shell's sustainability strategy has clearly been shaped by coercive pressures from regulation, normative pressures arising from increasing societal expectations surrounding environmental responsibility, and mimetic pressures as major competitors adopt similar net-zero commitments. Nevertheless, the evidence indicates that questions remain regarding organisational legitimacy. While Shell has introduced credible sustainability initiatives and improved climate reporting, its continued expansion of oil and gas activities creates an inconsistency between its sustainability commitments and operational priorities. This supports the literature suggesting that organisational change is driven partly by legitimacy concerns and regulatory expectations, although the findings also indicate that genuine transformation is constrained by technological, financial and market realities rather than representing purely symbolic greenwashing.</w:t>
      </w:r>
    </w:p>
    <w:p w14:paraId="1D9D96A9" w14:textId="77777777" w:rsidR="005725C2" w:rsidRDefault="005725C2" w:rsidP="005725C2"/>
    <w:p w14:paraId="7FFC0228" w14:textId="5B95D1C7" w:rsidR="007C2204" w:rsidRDefault="007C2204" w:rsidP="005725C2">
      <w:r>
        <w:t>The findings provide mixed support for Strategic Ambidexterity. Shell demonstrates characteristics of an ambidextrous organisation by simultaneously exploiting existing oil and gas assets while exploring renewable energy opportunities. This dual strategy allows the company to maintain financial performance while investing in future energy markets. However, the findings also reveal the limitations of this approach. The scale of investment in traditional energy remains significantly greater than investment in renewable technologies, suggesting that exploitation continues to dominate exploration. As a result, Shell has not yet achieved a fully balanced strategy but instead continues to prioritise short-term profitability while gradually expanding sustainable operations.</w:t>
      </w:r>
    </w:p>
    <w:p w14:paraId="34C279D2" w14:textId="77777777" w:rsidR="005725C2" w:rsidRDefault="005725C2" w:rsidP="005725C2">
      <w:pPr>
        <w:ind w:left="0" w:firstLine="0"/>
      </w:pPr>
    </w:p>
    <w:p w14:paraId="4CFDC051" w14:textId="625A141D" w:rsidR="007C2204" w:rsidRDefault="007C2204" w:rsidP="005725C2">
      <w:pPr>
        <w:ind w:left="0" w:firstLine="0"/>
      </w:pPr>
      <w:r>
        <w:t>Overall, the findings both support and extend the existing literature. Previous research argues that international oil companies struggle to reconcile financial performance with sustainability objectives due to structural dependence on fossil fuels. The findings from this study confirm this argument in the case of Shell. Although sustainability has become increasingly embedded within corporate strategy, operational decision-making and capital allocation continue to reflect the commercial importance of oil and gas. This demonstrates that the relationship between profitability and sustainability is not characterised by a simple trade-off but by an ongoing strategic tension that requires continual adjustment as regulatory, technological and market conditions evolve.</w:t>
      </w:r>
    </w:p>
    <w:p w14:paraId="40AC9AF6" w14:textId="77777777" w:rsidR="005725C2" w:rsidRDefault="005725C2" w:rsidP="005725C2">
      <w:pPr>
        <w:ind w:left="0" w:firstLine="0"/>
      </w:pPr>
    </w:p>
    <w:p w14:paraId="15C91D84" w14:textId="2C43D0C3" w:rsidR="007C2204" w:rsidRDefault="007C2204" w:rsidP="005725C2">
      <w:pPr>
        <w:ind w:left="0" w:firstLine="0"/>
      </w:pPr>
      <w:r>
        <w:t>In conclusion, the overall research aim has been achieved. The evidence suggests that Shell is balancing profitability and sustainability, but not equally. Instead, the company adopts a pragmatic strategy in which profitability remains the immediate priority while sustainability is pursued as a long-term strategic objective. Shell's transition therefore represents an incremental evolution rather than a fundamental transformation of its business model. While this approach enables the company to maintain competitiveness and satisfy shareholder expectations, it also raises continuing questions regarding the pace of decarbonisation and whether its sustainability ambitions can ultimately be achieved without a more significant reallocation of investment away from fossil fuel activities.</w:t>
      </w:r>
    </w:p>
    <w:p w14:paraId="3027DA82" w14:textId="77777777" w:rsidR="00635750" w:rsidRDefault="00635750" w:rsidP="007C2204"/>
    <w:p w14:paraId="0C53C4E9" w14:textId="77777777" w:rsidR="008F3141" w:rsidRDefault="008F3141">
      <w:pPr>
        <w:spacing w:after="160" w:line="278" w:lineRule="auto"/>
        <w:ind w:left="0" w:right="0" w:firstLine="0"/>
        <w:rPr>
          <w:b/>
          <w:sz w:val="56"/>
        </w:rPr>
      </w:pPr>
      <w:r>
        <w:br w:type="page"/>
      </w:r>
    </w:p>
    <w:p w14:paraId="08C18BB4" w14:textId="780C5632" w:rsidR="00E96994" w:rsidRDefault="00C24949" w:rsidP="008F3141">
      <w:pPr>
        <w:pStyle w:val="Heading1"/>
      </w:pPr>
      <w:r w:rsidRPr="00C24949">
        <w:lastRenderedPageBreak/>
        <w:t>Chapter</w:t>
      </w:r>
      <w:r w:rsidR="004369A0">
        <w:t xml:space="preserve"> </w:t>
      </w:r>
      <w:r w:rsidR="00381F39" w:rsidRPr="00381F39">
        <w:t>5: Recommendations, Conclusion and limitations of the research</w:t>
      </w:r>
    </w:p>
    <w:p w14:paraId="2A80903E" w14:textId="77777777" w:rsidR="003A48BC" w:rsidRDefault="003A48BC" w:rsidP="003A48BC">
      <w:pPr>
        <w:ind w:left="0" w:firstLine="0"/>
      </w:pPr>
    </w:p>
    <w:p w14:paraId="212A69F3" w14:textId="2357331A" w:rsidR="003A48BC" w:rsidRPr="003A48BC" w:rsidRDefault="003A48BC" w:rsidP="008C358D">
      <w:pPr>
        <w:pStyle w:val="Heading1"/>
      </w:pPr>
      <w:r w:rsidRPr="003A48BC">
        <w:rPr>
          <w:rStyle w:val="Heading1Char"/>
          <w:sz w:val="28"/>
          <w:szCs w:val="28"/>
        </w:rPr>
        <w:t>5.1 Recommendations</w:t>
      </w:r>
    </w:p>
    <w:p w14:paraId="732F576E" w14:textId="77777777" w:rsidR="003A48BC" w:rsidRDefault="003A48BC" w:rsidP="003A48BC"/>
    <w:p w14:paraId="7A3A1417" w14:textId="49F26D23" w:rsidR="003A48BC" w:rsidRDefault="003A48BC" w:rsidP="003A48BC">
      <w:pPr>
        <w:ind w:left="0" w:firstLine="0"/>
      </w:pPr>
      <w:r>
        <w:t xml:space="preserve">The findings of this study indicate that although Shell has made measurable progress towards integrating sustainability into its corporate strategy, significant challenges remain in balancing long-term environmental objectives with short-term profitability. Based on these findings, </w:t>
      </w:r>
      <w:r w:rsidR="00273786">
        <w:t xml:space="preserve">there are </w:t>
      </w:r>
      <w:r>
        <w:t xml:space="preserve">several recommendations </w:t>
      </w:r>
      <w:r w:rsidR="005C35B6">
        <w:t>that can be</w:t>
      </w:r>
      <w:r>
        <w:t xml:space="preserve"> proposed.</w:t>
      </w:r>
    </w:p>
    <w:p w14:paraId="508E2BC4" w14:textId="77777777" w:rsidR="00D4108A" w:rsidRDefault="00D4108A" w:rsidP="00D4108A">
      <w:pPr>
        <w:ind w:left="0" w:firstLine="0"/>
      </w:pPr>
    </w:p>
    <w:p w14:paraId="219F8927" w14:textId="0902EEC2" w:rsidR="003A48BC" w:rsidRDefault="003A48BC" w:rsidP="00D4108A">
      <w:pPr>
        <w:ind w:left="0" w:firstLine="0"/>
      </w:pPr>
      <w:r>
        <w:t xml:space="preserve">First, Shell should increase the proportion of </w:t>
      </w:r>
      <w:r w:rsidR="00D4108A">
        <w:t xml:space="preserve">its </w:t>
      </w:r>
      <w:r>
        <w:t>capital expenditure allocated to</w:t>
      </w:r>
      <w:r w:rsidR="00D4108A">
        <w:t>wards</w:t>
      </w:r>
      <w:r>
        <w:t xml:space="preserve"> renewable energy and low-carbon technologies. The findings demonstrate that while Shell continues to invest in renewable electricity, hydrogen, carbon capture and electric vehicle charging infrastructure, investment in oil and gas remains substantially higher. A more balanced allocation of capital would strengthen the credibility of the company's net-zero strategy and reduce long-term dependence on fossil fuel revenues. Although hydrocarbon operations will remain commercially important in the near future, gradually increasing investment in renewable energy would improve resilience as global energy markets continue to transition towards lower-carbon sources.</w:t>
      </w:r>
    </w:p>
    <w:p w14:paraId="114977B4" w14:textId="77777777" w:rsidR="00D4108A" w:rsidRDefault="00D4108A" w:rsidP="00D4108A">
      <w:pPr>
        <w:ind w:left="0" w:firstLine="0"/>
      </w:pPr>
    </w:p>
    <w:p w14:paraId="186FAA28" w14:textId="3BAA59F2" w:rsidR="003A48BC" w:rsidRDefault="003A48BC" w:rsidP="00D4108A">
      <w:pPr>
        <w:ind w:left="0" w:firstLine="0"/>
      </w:pPr>
      <w:r>
        <w:t>Second, Shell should improve transparency regarding the relationship between its sustainability commitments and capital allocation decisions. Throughout the findings, a recurring issue was the perceived inconsistency between Shell's public climate ambitions and its continued expansion of oil and gas activities. Providing clearer reporting on how investment decisions contribute to achieving net-zero targets would strengthen stakeholder confidence and reduce accusations of greenwashing. More detailed disclosure of renewable investment outcomes, carbon reduction performance and transition milestones would improve accountability and organisational legitimacy.</w:t>
      </w:r>
    </w:p>
    <w:p w14:paraId="57094D19" w14:textId="77777777" w:rsidR="00D4108A" w:rsidRDefault="00D4108A" w:rsidP="00D4108A">
      <w:pPr>
        <w:ind w:left="0" w:firstLine="0"/>
      </w:pPr>
    </w:p>
    <w:p w14:paraId="303E1091" w14:textId="37C3365D" w:rsidR="003A48BC" w:rsidRDefault="003A48BC" w:rsidP="00D4108A">
      <w:pPr>
        <w:ind w:left="0" w:firstLine="0"/>
      </w:pPr>
      <w:r>
        <w:t>Third, the company should further integrate sustainability objectives into executive decision-making and performance management systems. The findings suggest that financial performance continues to dominate strategic priorities because profitability remains essential to shareholder value. Introducing stronger sustainability performance indicators alongside traditional financial measures could encourage managers to consider both long-term environmental performance and short-term commercial success when making investment decisions. This would reinforce sustainability as a core strategic objective rather than a secondary consideration.</w:t>
      </w:r>
    </w:p>
    <w:p w14:paraId="6D06D669" w14:textId="77777777" w:rsidR="00D4108A" w:rsidRDefault="00D4108A" w:rsidP="00D4108A">
      <w:pPr>
        <w:ind w:left="0" w:firstLine="0"/>
      </w:pPr>
    </w:p>
    <w:p w14:paraId="3749E2AF" w14:textId="74F819E8" w:rsidR="003A48BC" w:rsidRDefault="003A48BC" w:rsidP="00D4108A">
      <w:pPr>
        <w:ind w:left="0" w:firstLine="0"/>
      </w:pPr>
      <w:r>
        <w:t xml:space="preserve">Fourth, Shell should continue strengthening engagement with key stakeholder groups. Governments, investors, employees, customers and environmental </w:t>
      </w:r>
      <w:r>
        <w:lastRenderedPageBreak/>
        <w:t>organisations all influence the company's strategic direction. Developing more collaborative relationships with these stakeholders would improve trust and provide valuable insight into changing expectations regarding climate transition. Greater stakeholder engagement may also help Shell anticipate future regulatory developments and reduce reputational risks associated with its energy transition strategy.</w:t>
      </w:r>
    </w:p>
    <w:p w14:paraId="37F27732" w14:textId="77777777" w:rsidR="00D4108A" w:rsidRDefault="00D4108A" w:rsidP="00D4108A">
      <w:pPr>
        <w:ind w:left="0" w:firstLine="0"/>
      </w:pPr>
    </w:p>
    <w:p w14:paraId="54C9D209" w14:textId="1982548D" w:rsidR="003A48BC" w:rsidRDefault="003A48BC" w:rsidP="00D4108A">
      <w:pPr>
        <w:ind w:left="0" w:firstLine="0"/>
      </w:pPr>
      <w:r>
        <w:t>Finally, Shell should continue developing an ambidextrous organisational strategy by maintaining financial performance from existing operations while accelerating innovation in renewable technologies. Successfully balancing exploitation and exploration will require continued investment in research and development, organisational learning and technological innovation. Over time, this approach could enable the company to reduce its reliance on fossil fuel revenues without compromising long-term competitiveness.</w:t>
      </w:r>
    </w:p>
    <w:p w14:paraId="7F81E359" w14:textId="77777777" w:rsidR="00D4108A" w:rsidRDefault="00D4108A" w:rsidP="00D4108A">
      <w:pPr>
        <w:ind w:left="0" w:firstLine="0"/>
      </w:pPr>
    </w:p>
    <w:p w14:paraId="4EC3A4E2" w14:textId="3AC3AAF2" w:rsidR="003A48BC" w:rsidRPr="00D4108A" w:rsidRDefault="003A48BC" w:rsidP="00974A32">
      <w:pPr>
        <w:pStyle w:val="Heading1"/>
        <w:rPr>
          <w:sz w:val="28"/>
          <w:szCs w:val="10"/>
        </w:rPr>
      </w:pPr>
      <w:r w:rsidRPr="00D4108A">
        <w:rPr>
          <w:sz w:val="28"/>
          <w:szCs w:val="10"/>
        </w:rPr>
        <w:t>5.2 Conclusion</w:t>
      </w:r>
    </w:p>
    <w:p w14:paraId="5F5F9511" w14:textId="77777777" w:rsidR="00D4108A" w:rsidRDefault="00D4108A" w:rsidP="00974A32"/>
    <w:p w14:paraId="0CD55BCE" w14:textId="19835BA5" w:rsidR="003A48BC" w:rsidRDefault="003A48BC" w:rsidP="00974A32">
      <w:r>
        <w:t>This research set out to critically examine how Shell balances short-term profitability with long-term sustainability within its energy transition strategy. Using a systematic literature review and qualitative analysis of secondary data, the study explored Shell's strategic decisions through the theoretical perspectives of Stakeholder Theory, Institutional Theory and Strategic Ambidexterity.</w:t>
      </w:r>
    </w:p>
    <w:p w14:paraId="702FAB93" w14:textId="77777777" w:rsidR="003A48BC" w:rsidRDefault="003A48BC" w:rsidP="00974A32"/>
    <w:p w14:paraId="6FD61A04" w14:textId="77777777" w:rsidR="003A48BC" w:rsidRDefault="003A48BC" w:rsidP="00974A32">
      <w:r>
        <w:t>The findings demonstrate that Shell has made significant progress towards integrating sustainability into its corporate strategy. The company has committed to achieving net-zero emissions by 2050 while expanding investments in renewable electricity, hydrogen technologies, carbon capture and electric vehicle charging infrastructure. These initiatives indicate that sustainability has become an important element of Shell's long-term strategic planning.</w:t>
      </w:r>
    </w:p>
    <w:p w14:paraId="03B0EFC9" w14:textId="77777777" w:rsidR="003A48BC" w:rsidRDefault="003A48BC" w:rsidP="00974A32"/>
    <w:p w14:paraId="35EBADE3" w14:textId="77777777" w:rsidR="003A48BC" w:rsidRDefault="003A48BC" w:rsidP="00974A32">
      <w:r>
        <w:t>However, the findings also reveal that profitability continues to dominate strategic decision-making. Oil and gas operations remain the company's principal source of revenue, cash flow and shareholder returns, resulting in continued investment in hydrocarbon production, particularly liquefied natural gas. Consequently, Shell's energy transition can best be described as gradual rather than transformational. Rather than replacing its traditional business model, the company is attempting to diversify while maintaining the profitability of its existing operations.</w:t>
      </w:r>
    </w:p>
    <w:p w14:paraId="2D7ABC53" w14:textId="77777777" w:rsidR="003A48BC" w:rsidRDefault="003A48BC" w:rsidP="00974A32"/>
    <w:p w14:paraId="58979457" w14:textId="77777777" w:rsidR="003A48BC" w:rsidRDefault="003A48BC" w:rsidP="00974A32">
      <w:r>
        <w:t>The findings largely support Stakeholder Theory by demonstrating that Shell's strategic decisions are influenced by competing stakeholder expectations. Investors continue to prioritise financial performance, while governments, regulators, environmental organisations and wider society increasingly demand accelerated decarbonisation. Shell attempts to balance these competing pressures, although financial stakeholders continue to exert the greatest influence over strategic decision-making.</w:t>
      </w:r>
    </w:p>
    <w:p w14:paraId="4A22C5CA" w14:textId="77777777" w:rsidR="003A48BC" w:rsidRDefault="003A48BC" w:rsidP="00974A32"/>
    <w:p w14:paraId="330ABDB6" w14:textId="77777777" w:rsidR="003A48BC" w:rsidRDefault="003A48BC" w:rsidP="00974A32">
      <w:r>
        <w:t xml:space="preserve">Similarly, the findings support Institutional Theory by demonstrating that regulatory requirements, social expectations and industry norms have encouraged Shell to </w:t>
      </w:r>
      <w:r>
        <w:lastRenderedPageBreak/>
        <w:t>adopt sustainability commitments and climate-related reporting. However, the evidence also suggests that the company continues to face questions regarding organisational legitimacy because its continued investment in fossil fuel production appears inconsistent with its publicly stated climate ambitions. While some criticism characterises this as greenwashing, the findings indicate that Shell's transition is constrained by technological, financial and operational realities rather than being purely symbolic.</w:t>
      </w:r>
    </w:p>
    <w:p w14:paraId="3E1CB51A" w14:textId="77777777" w:rsidR="003A48BC" w:rsidRDefault="003A48BC" w:rsidP="00974A32"/>
    <w:p w14:paraId="6E5C72F2" w14:textId="77777777" w:rsidR="003A48BC" w:rsidRDefault="003A48BC" w:rsidP="00974A32">
      <w:r>
        <w:t>The study also provides partial support for Strategic Ambidexterity. Shell simultaneously exploits profitable fossil fuel operations while exploring renewable energy opportunities, reflecting the core principles of organisational ambidexterity. Nevertheless, exploitation currently receives greater organisational emphasis than exploration, demonstrating the practical difficulties associated with balancing two competing strategic priorities within a capital-intensive industry.</w:t>
      </w:r>
    </w:p>
    <w:p w14:paraId="31ED2BFF" w14:textId="77777777" w:rsidR="00974A32" w:rsidRDefault="00974A32" w:rsidP="00974A32">
      <w:pPr>
        <w:ind w:left="0" w:firstLine="0"/>
      </w:pPr>
    </w:p>
    <w:p w14:paraId="3DAC8AA7" w14:textId="750DEA94" w:rsidR="003A48BC" w:rsidRDefault="003A48BC" w:rsidP="00974A32">
      <w:pPr>
        <w:ind w:left="0" w:firstLine="0"/>
      </w:pPr>
      <w:r>
        <w:t>Overall, this research concludes that Shell does balance profitability and sustainability, but not equally. Profitability remains the company's immediate strategic priority because it provides the financial resources necessary to support future sustainability investments. Sustainability therefore functions primarily as a long-term strategic objective rather than an equal operational priority. The evidence suggests that Shell's strategy represents a pragmatic attempt to manage the complex transition from a fossil fuel business towards a broader energy company while maintaining financial competitiveness and responding to increasing stakeholder expectations.</w:t>
      </w:r>
    </w:p>
    <w:p w14:paraId="1F500103" w14:textId="77777777" w:rsidR="003A48BC" w:rsidRDefault="003A48BC" w:rsidP="00974A32"/>
    <w:p w14:paraId="5B43897C" w14:textId="77777777" w:rsidR="003A48BC" w:rsidRDefault="003A48BC" w:rsidP="00974A32">
      <w:r>
        <w:t>This study contributes to leadership and management literature by integrating Stakeholder Theory, Institutional Theory and Strategic Ambidexterity to explain how multinational energy companies manage competing strategic objectives during periods of industry transformation. It also provides insight into the wider challenges facing international oil companies as they attempt to reconcile environmental responsibility with commercial performance within an increasingly regulated and competitive global energy market.</w:t>
      </w:r>
    </w:p>
    <w:p w14:paraId="48FE3921" w14:textId="77777777" w:rsidR="003A48BC" w:rsidRDefault="003A48BC" w:rsidP="00974A32"/>
    <w:p w14:paraId="29DA61A3" w14:textId="3195C7AC" w:rsidR="00EF1A82" w:rsidRPr="008C358D" w:rsidRDefault="008C358D" w:rsidP="008C358D">
      <w:pPr>
        <w:pStyle w:val="Heading1"/>
        <w:rPr>
          <w:sz w:val="28"/>
          <w:szCs w:val="28"/>
        </w:rPr>
      </w:pPr>
      <w:r w:rsidRPr="008C358D">
        <w:rPr>
          <w:sz w:val="28"/>
          <w:szCs w:val="28"/>
        </w:rPr>
        <w:t>5.3 Limitations of the Research</w:t>
      </w:r>
    </w:p>
    <w:p w14:paraId="737952CD" w14:textId="77777777" w:rsidR="00EF1A82" w:rsidRDefault="00EF1A82" w:rsidP="00EF1A82"/>
    <w:p w14:paraId="520CFD9B" w14:textId="39E07871" w:rsidR="003A48BC" w:rsidRDefault="003A48BC" w:rsidP="00EF1A82">
      <w:r>
        <w:t>Several limitations should be acknowledged when interpreting the findings of this research.</w:t>
      </w:r>
      <w:r w:rsidR="00EF1A82">
        <w:t xml:space="preserve"> </w:t>
      </w:r>
      <w:r>
        <w:t>First, the study adopted a systematic literature review using only secondary data. Although secondary sources provide extensive information regarding Shell's strategy, annual reports, sustainability disclosures and academic research, they do not provide direct insight into internal managerial decision-making processes. Interviews with senior executives, employees or external stakeholders could have generated richer evidence regarding organisational priorities and strategic implementation.</w:t>
      </w:r>
    </w:p>
    <w:p w14:paraId="576A1439" w14:textId="77777777" w:rsidR="003A48BC" w:rsidRDefault="003A48BC" w:rsidP="00974A32"/>
    <w:p w14:paraId="1B96C4A6" w14:textId="77777777" w:rsidR="003A48BC" w:rsidRDefault="003A48BC" w:rsidP="00974A32">
      <w:pPr>
        <w:ind w:left="0" w:firstLine="0"/>
      </w:pPr>
      <w:r>
        <w:t xml:space="preserve">Second, the research focused exclusively on Shell as a single case study. While this provides detailed understanding of one multinational energy company, the findings cannot automatically be generalised to the wider oil and gas industry. Other international energy companies operate under different regulatory environments, </w:t>
      </w:r>
      <w:r>
        <w:lastRenderedPageBreak/>
        <w:t>organisational structures and strategic priorities, which may influence how they balance profitability and sustainability.</w:t>
      </w:r>
    </w:p>
    <w:p w14:paraId="0202C40A" w14:textId="77777777" w:rsidR="003A48BC" w:rsidRDefault="003A48BC" w:rsidP="00974A32"/>
    <w:p w14:paraId="3F275BCB" w14:textId="77777777" w:rsidR="003A48BC" w:rsidRDefault="003A48BC" w:rsidP="00974A32">
      <w:pPr>
        <w:ind w:left="0" w:firstLine="0"/>
      </w:pPr>
      <w:r>
        <w:t>Third, much of the available evidence originated from publicly available corporate reports and sustainability disclosures. Although these documents are valuable sources of information, they are produced by the organisation itself and may present its sustainability performance in a favourable manner. To reduce this limitation, the research incorporated academic literature, industry reports and independent publications; however, some degree of reporting bias may remain.</w:t>
      </w:r>
    </w:p>
    <w:p w14:paraId="63F9625F" w14:textId="77777777" w:rsidR="003A48BC" w:rsidRDefault="003A48BC" w:rsidP="00974A32"/>
    <w:p w14:paraId="632721B5" w14:textId="63234655" w:rsidR="008F3141" w:rsidRDefault="003A48BC" w:rsidP="00974A32">
      <w:pPr>
        <w:ind w:left="0" w:firstLine="0"/>
      </w:pPr>
      <w:r>
        <w:t>Finally, the energy industry is characterised by rapid technological, political and economic change. Government policies, climate regulations, energy prices and geopolitical events continue to evolve, meaning that Shell's strategy may change significantly over time. Consequently, the findings represent an assessment of Shell's energy transition strategy during the period examined rather than a definitive evaluation of its long-term success. Future research could address these limitations by undertaking comparative case studies involving multiple international oil companies, incorporating primary qualitative interviews with industry stakeholders, or conducting longitudinal research to evaluate how strategic priorities evolve throughout the global energy transition.</w:t>
      </w:r>
    </w:p>
    <w:p w14:paraId="647FF65D" w14:textId="77777777" w:rsidR="00514A36" w:rsidRDefault="00514A36" w:rsidP="00974A32">
      <w:pPr>
        <w:ind w:left="0" w:firstLine="0"/>
      </w:pPr>
    </w:p>
    <w:p w14:paraId="05CE237D" w14:textId="77777777" w:rsidR="00D3114D" w:rsidRDefault="00D3114D">
      <w:pPr>
        <w:spacing w:after="160" w:line="278" w:lineRule="auto"/>
        <w:ind w:left="0" w:right="0" w:firstLine="0"/>
        <w:rPr>
          <w:b/>
          <w:sz w:val="56"/>
        </w:rPr>
      </w:pPr>
      <w:r>
        <w:br w:type="page"/>
      </w:r>
    </w:p>
    <w:sdt>
      <w:sdtPr>
        <w:id w:val="1411889081"/>
        <w:docPartObj>
          <w:docPartGallery w:val="Bibliographies"/>
          <w:docPartUnique/>
        </w:docPartObj>
      </w:sdtPr>
      <w:sdtEndPr>
        <w:rPr>
          <w:b w:val="0"/>
          <w:sz w:val="24"/>
        </w:rPr>
      </w:sdtEndPr>
      <w:sdtContent>
        <w:p w14:paraId="633AD7E1" w14:textId="2B26AD2B" w:rsidR="005F4CF1" w:rsidRDefault="005F4CF1">
          <w:pPr>
            <w:pStyle w:val="Heading1"/>
          </w:pPr>
          <w:r>
            <w:t>References</w:t>
          </w:r>
        </w:p>
        <w:sdt>
          <w:sdtPr>
            <w:id w:val="-573587230"/>
            <w:bibliography/>
          </w:sdtPr>
          <w:sdtContent>
            <w:p w14:paraId="761E962E" w14:textId="77777777" w:rsidR="005F4CF1" w:rsidRDefault="005F4CF1" w:rsidP="005F4CF1">
              <w:pPr>
                <w:pStyle w:val="Bibliography"/>
                <w:rPr>
                  <w:noProof/>
                  <w:kern w:val="0"/>
                  <w14:ligatures w14:val="none"/>
                </w:rPr>
              </w:pPr>
              <w:r>
                <w:fldChar w:fldCharType="begin"/>
              </w:r>
              <w:r>
                <w:instrText>BIBLIOGRAPHY</w:instrText>
              </w:r>
              <w:r>
                <w:fldChar w:fldCharType="separate"/>
              </w:r>
              <w:r>
                <w:rPr>
                  <w:noProof/>
                </w:rPr>
                <w:t xml:space="preserve">Adebayo, Y., Esiri, A., Ikevuje, A. H. &amp; Kwakye, J. M., 2024. Energy transition in the oil and gas sector: Business models for a sustainable future. </w:t>
              </w:r>
              <w:r>
                <w:rPr>
                  <w:i/>
                  <w:iCs/>
                  <w:noProof/>
                </w:rPr>
                <w:t xml:space="preserve">International Journal of Management &amp; Entrepreneurship Research, </w:t>
              </w:r>
              <w:r>
                <w:rPr>
                  <w:noProof/>
                </w:rPr>
                <w:t>6(10), p. 1.</w:t>
              </w:r>
            </w:p>
            <w:p w14:paraId="0E744E16" w14:textId="77777777" w:rsidR="005F4CF1" w:rsidRDefault="005F4CF1" w:rsidP="005F4CF1">
              <w:pPr>
                <w:pStyle w:val="Bibliography"/>
                <w:rPr>
                  <w:noProof/>
                </w:rPr>
              </w:pPr>
              <w:r>
                <w:rPr>
                  <w:noProof/>
                </w:rPr>
                <w:t xml:space="preserve">Bansal, P. &amp; DesJardine, M. R., 2014. Business sustainability: It is about time. </w:t>
              </w:r>
              <w:r>
                <w:rPr>
                  <w:i/>
                  <w:iCs/>
                  <w:noProof/>
                </w:rPr>
                <w:t xml:space="preserve">Strategic Organization, </w:t>
              </w:r>
              <w:r>
                <w:rPr>
                  <w:noProof/>
                </w:rPr>
                <w:t>12(1), pp. 70-78.</w:t>
              </w:r>
            </w:p>
            <w:p w14:paraId="1EE460B6" w14:textId="77777777" w:rsidR="005F4CF1" w:rsidRDefault="005F4CF1" w:rsidP="005F4CF1">
              <w:pPr>
                <w:pStyle w:val="Bibliography"/>
                <w:rPr>
                  <w:noProof/>
                </w:rPr>
              </w:pPr>
              <w:r>
                <w:rPr>
                  <w:noProof/>
                </w:rPr>
                <w:t xml:space="preserve">Berger-Schmitz, et al., 2023. What explains firms’ net zero adoption, strategy and response?. </w:t>
              </w:r>
              <w:r>
                <w:rPr>
                  <w:i/>
                  <w:iCs/>
                  <w:noProof/>
                </w:rPr>
                <w:t xml:space="preserve">Business Strategy and the Environment, </w:t>
              </w:r>
              <w:r>
                <w:rPr>
                  <w:noProof/>
                </w:rPr>
                <w:t>pp. 1-15.</w:t>
              </w:r>
            </w:p>
            <w:p w14:paraId="3A5EDADE" w14:textId="77777777" w:rsidR="005F4CF1" w:rsidRDefault="005F4CF1" w:rsidP="005F4CF1">
              <w:pPr>
                <w:pStyle w:val="Bibliography"/>
                <w:rPr>
                  <w:noProof/>
                </w:rPr>
              </w:pPr>
              <w:r>
                <w:rPr>
                  <w:noProof/>
                </w:rPr>
                <w:t xml:space="preserve">Berthod, O., 2018. Institutional Theory of Organizations. </w:t>
              </w:r>
              <w:r>
                <w:rPr>
                  <w:i/>
                  <w:iCs/>
                  <w:noProof/>
                </w:rPr>
                <w:t xml:space="preserve">Global Encyclopedia of Public Administration, Public Policy, and Governance, </w:t>
              </w:r>
              <w:r>
                <w:rPr>
                  <w:noProof/>
                </w:rPr>
                <w:t>p. 3306–3310.</w:t>
              </w:r>
            </w:p>
            <w:p w14:paraId="63FF4BB1" w14:textId="77777777" w:rsidR="005F4CF1" w:rsidRDefault="005F4CF1" w:rsidP="005F4CF1">
              <w:pPr>
                <w:pStyle w:val="Bibliography"/>
                <w:rPr>
                  <w:noProof/>
                </w:rPr>
              </w:pPr>
              <w:r>
                <w:rPr>
                  <w:noProof/>
                </w:rPr>
                <w:t xml:space="preserve">Brundtland, G. H., 1987. </w:t>
              </w:r>
              <w:r>
                <w:rPr>
                  <w:i/>
                  <w:iCs/>
                  <w:noProof/>
                </w:rPr>
                <w:t xml:space="preserve">Our Common Future, </w:t>
              </w:r>
              <w:r>
                <w:rPr>
                  <w:noProof/>
                </w:rPr>
                <w:t>s.l.: Oxford University Press.</w:t>
              </w:r>
            </w:p>
            <w:p w14:paraId="5407A55C" w14:textId="77777777" w:rsidR="005F4CF1" w:rsidRDefault="005F4CF1" w:rsidP="005F4CF1">
              <w:pPr>
                <w:pStyle w:val="Bibliography"/>
                <w:rPr>
                  <w:noProof/>
                </w:rPr>
              </w:pPr>
              <w:r>
                <w:rPr>
                  <w:noProof/>
                </w:rPr>
                <w:t xml:space="preserve">Delma, M. A. &amp; Burbano, V. C., 2011. The Drivers of Greenwashing. </w:t>
              </w:r>
              <w:r>
                <w:rPr>
                  <w:i/>
                  <w:iCs/>
                  <w:noProof/>
                </w:rPr>
                <w:t xml:space="preserve">California management review, </w:t>
              </w:r>
              <w:r>
                <w:rPr>
                  <w:noProof/>
                </w:rPr>
                <w:t>54(1), pp. 64-87.</w:t>
              </w:r>
            </w:p>
            <w:p w14:paraId="445F8F04" w14:textId="77777777" w:rsidR="005F4CF1" w:rsidRDefault="005F4CF1" w:rsidP="005F4CF1">
              <w:pPr>
                <w:pStyle w:val="Bibliography"/>
                <w:rPr>
                  <w:noProof/>
                </w:rPr>
              </w:pPr>
              <w:r>
                <w:rPr>
                  <w:noProof/>
                </w:rPr>
                <w:t xml:space="preserve">Dermody, K. et al., 2022. </w:t>
              </w:r>
              <w:r>
                <w:rPr>
                  <w:i/>
                  <w:iCs/>
                  <w:noProof/>
                </w:rPr>
                <w:t xml:space="preserve">Advanced Research Skills: Conducting Literature and Systematic Reviews. </w:t>
              </w:r>
              <w:r>
                <w:rPr>
                  <w:noProof/>
                </w:rPr>
                <w:t>1st ed. Toronto: Toronto Metropolitan University Library.</w:t>
              </w:r>
            </w:p>
            <w:p w14:paraId="20FE6911" w14:textId="77777777" w:rsidR="005F4CF1" w:rsidRDefault="005F4CF1" w:rsidP="005F4CF1">
              <w:pPr>
                <w:pStyle w:val="Bibliography"/>
                <w:rPr>
                  <w:noProof/>
                </w:rPr>
              </w:pPr>
              <w:r>
                <w:rPr>
                  <w:noProof/>
                </w:rPr>
                <w:t xml:space="preserve">DiMaggio, P. J. &amp; Powell, W. W., 1983. The Iron Cage Revisited: Institutional Isomorphism and Collective Rationality in Organizational Fields. </w:t>
              </w:r>
              <w:r>
                <w:rPr>
                  <w:i/>
                  <w:iCs/>
                  <w:noProof/>
                </w:rPr>
                <w:t xml:space="preserve">American Sociological Review, </w:t>
              </w:r>
              <w:r>
                <w:rPr>
                  <w:noProof/>
                </w:rPr>
                <w:t>48(2).</w:t>
              </w:r>
            </w:p>
            <w:p w14:paraId="5B117822" w14:textId="77777777" w:rsidR="005F4CF1" w:rsidRDefault="005F4CF1" w:rsidP="005F4CF1">
              <w:pPr>
                <w:pStyle w:val="Bibliography"/>
                <w:rPr>
                  <w:noProof/>
                </w:rPr>
              </w:pPr>
              <w:r>
                <w:rPr>
                  <w:noProof/>
                </w:rPr>
                <w:t xml:space="preserve">Dimitriou, D., Sartzetaki, M., Karagkouni, A. &amp; Efstratiou, V., 2025. Corporate Strategy for Sustainable Development in the Oil and Gas Industry: Drivers, Agility Mechanisms, and SDG Alignment. </w:t>
              </w:r>
              <w:r>
                <w:rPr>
                  <w:i/>
                  <w:iCs/>
                  <w:noProof/>
                </w:rPr>
                <w:t xml:space="preserve">J Sustain Res, </w:t>
              </w:r>
              <w:r>
                <w:rPr>
                  <w:noProof/>
                </w:rPr>
                <w:t>7(3).</w:t>
              </w:r>
            </w:p>
            <w:p w14:paraId="483A8AB7" w14:textId="77777777" w:rsidR="005F4CF1" w:rsidRDefault="005F4CF1" w:rsidP="005F4CF1">
              <w:pPr>
                <w:pStyle w:val="Bibliography"/>
                <w:rPr>
                  <w:noProof/>
                </w:rPr>
              </w:pPr>
              <w:r>
                <w:rPr>
                  <w:noProof/>
                </w:rPr>
                <w:t xml:space="preserve">Dongo, D. F. &amp; Relvas, S., 2025. Evaluating the role of the oil and gas industry in energy transition in oil-producing countries: A systematic literature review. </w:t>
              </w:r>
              <w:r>
                <w:rPr>
                  <w:i/>
                  <w:iCs/>
                  <w:noProof/>
                </w:rPr>
                <w:t xml:space="preserve">Energy Research &amp; Social Science, </w:t>
              </w:r>
              <w:r>
                <w:rPr>
                  <w:noProof/>
                </w:rPr>
                <w:t>Volume 120, p. 1.</w:t>
              </w:r>
            </w:p>
            <w:p w14:paraId="08E86A92" w14:textId="77777777" w:rsidR="005F4CF1" w:rsidRDefault="005F4CF1" w:rsidP="005F4CF1">
              <w:pPr>
                <w:pStyle w:val="Bibliography"/>
                <w:rPr>
                  <w:noProof/>
                </w:rPr>
              </w:pPr>
              <w:r>
                <w:rPr>
                  <w:noProof/>
                </w:rPr>
                <w:t xml:space="preserve">Eccles, R. G., Ioannou, I. &amp; Serafeim, G., 2014. The Impact of Corporate Sustainability on Organizational Processes and Performance. </w:t>
              </w:r>
              <w:r>
                <w:rPr>
                  <w:i/>
                  <w:iCs/>
                  <w:noProof/>
                </w:rPr>
                <w:t xml:space="preserve">Management Science, </w:t>
              </w:r>
              <w:r>
                <w:rPr>
                  <w:noProof/>
                </w:rPr>
                <w:t>60(11), pp. 2835-2857.</w:t>
              </w:r>
            </w:p>
            <w:p w14:paraId="574D1F94" w14:textId="77777777" w:rsidR="005F4CF1" w:rsidRDefault="005F4CF1" w:rsidP="005F4CF1">
              <w:pPr>
                <w:pStyle w:val="Bibliography"/>
                <w:rPr>
                  <w:noProof/>
                </w:rPr>
              </w:pPr>
              <w:r>
                <w:rPr>
                  <w:noProof/>
                </w:rPr>
                <w:t xml:space="preserve">Freeman, d. et al., 1984. </w:t>
              </w:r>
              <w:r>
                <w:rPr>
                  <w:i/>
                  <w:iCs/>
                  <w:noProof/>
                </w:rPr>
                <w:t xml:space="preserve">Stakeholder Theory: The State of the Art. </w:t>
              </w:r>
              <w:r>
                <w:rPr>
                  <w:noProof/>
                </w:rPr>
                <w:t>Cambridge: Cambridge University Press.</w:t>
              </w:r>
            </w:p>
            <w:p w14:paraId="44C167FA" w14:textId="77777777" w:rsidR="005F4CF1" w:rsidRDefault="005F4CF1" w:rsidP="005F4CF1">
              <w:pPr>
                <w:pStyle w:val="Bibliography"/>
                <w:rPr>
                  <w:noProof/>
                </w:rPr>
              </w:pPr>
              <w:r>
                <w:rPr>
                  <w:noProof/>
                </w:rPr>
                <w:t xml:space="preserve">Furness, V., 2025. </w:t>
              </w:r>
              <w:r>
                <w:rPr>
                  <w:i/>
                  <w:iCs/>
                  <w:noProof/>
                </w:rPr>
                <w:t xml:space="preserve">Shareholders' climate resolution challenges 'disconnect' in Shell's LNG strategy. </w:t>
              </w:r>
              <w:r>
                <w:rPr>
                  <w:noProof/>
                </w:rPr>
                <w:t xml:space="preserve">[Online] </w:t>
              </w:r>
              <w:r>
                <w:rPr>
                  <w:noProof/>
                </w:rPr>
                <w:br/>
                <w:t xml:space="preserve">Available at: </w:t>
              </w:r>
              <w:r>
                <w:rPr>
                  <w:noProof/>
                  <w:u w:val="single"/>
                </w:rPr>
                <w:t>https://www.reuters.com/sustainability/climate-energy/shareholders-climate-resolution-challenges-disconnect-shells-lng-strategy-2025-01-07/</w:t>
              </w:r>
              <w:r>
                <w:rPr>
                  <w:noProof/>
                </w:rPr>
                <w:br/>
                <w:t>[Accessed 26 February 2026].</w:t>
              </w:r>
            </w:p>
            <w:p w14:paraId="4ABEBB49" w14:textId="77777777" w:rsidR="005F4CF1" w:rsidRDefault="005F4CF1" w:rsidP="005F4CF1">
              <w:pPr>
                <w:pStyle w:val="Bibliography"/>
                <w:rPr>
                  <w:noProof/>
                </w:rPr>
              </w:pPr>
              <w:r>
                <w:rPr>
                  <w:noProof/>
                </w:rPr>
                <w:t xml:space="preserve">Geels, F. W., 2014. Regime Resistance against Low-Carbon Transitions: Introducing Politics and Power into the Multi-Level Perspective. </w:t>
              </w:r>
              <w:r>
                <w:rPr>
                  <w:i/>
                  <w:iCs/>
                  <w:noProof/>
                </w:rPr>
                <w:t xml:space="preserve">Theory, Culture &amp; Society, </w:t>
              </w:r>
              <w:r>
                <w:rPr>
                  <w:noProof/>
                </w:rPr>
                <w:t>31(5), p. 21–40.</w:t>
              </w:r>
            </w:p>
            <w:p w14:paraId="1223B4B7" w14:textId="77777777" w:rsidR="005F4CF1" w:rsidRDefault="005F4CF1" w:rsidP="005F4CF1">
              <w:pPr>
                <w:pStyle w:val="Bibliography"/>
                <w:rPr>
                  <w:noProof/>
                </w:rPr>
              </w:pPr>
              <w:r>
                <w:rPr>
                  <w:noProof/>
                </w:rPr>
                <w:t xml:space="preserve">Gov.UK, 2026. </w:t>
              </w:r>
              <w:r>
                <w:rPr>
                  <w:i/>
                  <w:iCs/>
                  <w:noProof/>
                </w:rPr>
                <w:t xml:space="preserve">Weekly road fuel prices (CSV) 2018 to 2026. </w:t>
              </w:r>
              <w:r>
                <w:rPr>
                  <w:noProof/>
                </w:rPr>
                <w:t xml:space="preserve">[Online] </w:t>
              </w:r>
              <w:r>
                <w:rPr>
                  <w:noProof/>
                </w:rPr>
                <w:br/>
                <w:t xml:space="preserve">Available at: </w:t>
              </w:r>
              <w:r>
                <w:rPr>
                  <w:noProof/>
                  <w:u w:val="single"/>
                </w:rPr>
                <w:t>https://www.gov.uk/csv-preview/6a54d4ec2467584757371e0a/weekly_road_fuel_prices_130726.csv</w:t>
              </w:r>
              <w:r>
                <w:rPr>
                  <w:noProof/>
                </w:rPr>
                <w:br/>
                <w:t>[Accessed 18 June 2026].</w:t>
              </w:r>
            </w:p>
            <w:p w14:paraId="7ED8981C" w14:textId="77777777" w:rsidR="005F4CF1" w:rsidRDefault="005F4CF1" w:rsidP="005F4CF1">
              <w:pPr>
                <w:pStyle w:val="Bibliography"/>
                <w:rPr>
                  <w:noProof/>
                </w:rPr>
              </w:pPr>
              <w:r>
                <w:rPr>
                  <w:noProof/>
                </w:rPr>
                <w:t xml:space="preserve">Halttunen, K., Slade, R. &amp; Staffell, I., 2023. Diversify or die: Strategy options for oil majors in the sustainable energy transition. </w:t>
              </w:r>
              <w:r>
                <w:rPr>
                  <w:i/>
                  <w:iCs/>
                  <w:noProof/>
                </w:rPr>
                <w:t xml:space="preserve">Energy Research &amp; Social Science, </w:t>
              </w:r>
              <w:r>
                <w:rPr>
                  <w:noProof/>
                </w:rPr>
                <w:t>Volume 104, p. 1.</w:t>
              </w:r>
            </w:p>
            <w:p w14:paraId="56505CE3" w14:textId="77777777" w:rsidR="005F4CF1" w:rsidRDefault="005F4CF1" w:rsidP="005F4CF1">
              <w:pPr>
                <w:pStyle w:val="Bibliography"/>
                <w:rPr>
                  <w:noProof/>
                </w:rPr>
              </w:pPr>
              <w:r>
                <w:rPr>
                  <w:noProof/>
                </w:rPr>
                <w:t xml:space="preserve">Herold, D. M., 2018. Demystifying the link between institutional theory and stakeholder theory in sustainability reporting. </w:t>
              </w:r>
              <w:r>
                <w:rPr>
                  <w:i/>
                  <w:iCs/>
                  <w:noProof/>
                </w:rPr>
                <w:t xml:space="preserve">Economics, Management and Sustainability, </w:t>
              </w:r>
              <w:r>
                <w:rPr>
                  <w:noProof/>
                </w:rPr>
                <w:t>3(2), p. 6–19.</w:t>
              </w:r>
            </w:p>
            <w:p w14:paraId="64084DE6" w14:textId="77777777" w:rsidR="005F4CF1" w:rsidRDefault="005F4CF1" w:rsidP="005F4CF1">
              <w:pPr>
                <w:pStyle w:val="Bibliography"/>
                <w:rPr>
                  <w:noProof/>
                </w:rPr>
              </w:pPr>
              <w:r>
                <w:rPr>
                  <w:noProof/>
                </w:rPr>
                <w:lastRenderedPageBreak/>
                <w:t xml:space="preserve">IEA , 2023. </w:t>
              </w:r>
              <w:r>
                <w:rPr>
                  <w:i/>
                  <w:iCs/>
                  <w:noProof/>
                </w:rPr>
                <w:t xml:space="preserve">The Oil and Gas Industry in Net Zero Transitions, </w:t>
              </w:r>
              <w:r>
                <w:rPr>
                  <w:noProof/>
                </w:rPr>
                <w:t>Paris : IEA.</w:t>
              </w:r>
            </w:p>
            <w:p w14:paraId="2DA15DCD" w14:textId="77777777" w:rsidR="005F4CF1" w:rsidRDefault="005F4CF1" w:rsidP="005F4CF1">
              <w:pPr>
                <w:pStyle w:val="Bibliography"/>
                <w:rPr>
                  <w:noProof/>
                </w:rPr>
              </w:pPr>
              <w:r>
                <w:rPr>
                  <w:noProof/>
                </w:rPr>
                <w:t xml:space="preserve">Intergovernmental Panel on Climate Change, 2023. </w:t>
              </w:r>
              <w:r>
                <w:rPr>
                  <w:i/>
                  <w:iCs/>
                  <w:noProof/>
                </w:rPr>
                <w:t xml:space="preserve">AR6 Synthesis Report: Climate Change 2023, </w:t>
              </w:r>
              <w:r>
                <w:rPr>
                  <w:noProof/>
                </w:rPr>
                <w:t>Switzerland: Intergovernmental Panel on Climate Change.</w:t>
              </w:r>
            </w:p>
            <w:p w14:paraId="229854DF" w14:textId="77777777" w:rsidR="005F4CF1" w:rsidRDefault="005F4CF1" w:rsidP="005F4CF1">
              <w:pPr>
                <w:pStyle w:val="Bibliography"/>
                <w:rPr>
                  <w:noProof/>
                </w:rPr>
              </w:pPr>
              <w:r>
                <w:rPr>
                  <w:noProof/>
                </w:rPr>
                <w:t xml:space="preserve">International Energy Agency, 2023. </w:t>
              </w:r>
              <w:r>
                <w:rPr>
                  <w:i/>
                  <w:iCs/>
                  <w:noProof/>
                </w:rPr>
                <w:t xml:space="preserve">Net Zero Roadmap: A Global Pathway to Keep the 1.5 °C Goal in Reach, </w:t>
              </w:r>
              <w:r>
                <w:rPr>
                  <w:noProof/>
                </w:rPr>
                <w:t>Paris: IEA.</w:t>
              </w:r>
            </w:p>
            <w:p w14:paraId="48FCA8DB" w14:textId="77777777" w:rsidR="005F4CF1" w:rsidRDefault="005F4CF1" w:rsidP="005F4CF1">
              <w:pPr>
                <w:pStyle w:val="Bibliography"/>
                <w:rPr>
                  <w:noProof/>
                </w:rPr>
              </w:pPr>
              <w:r>
                <w:rPr>
                  <w:noProof/>
                </w:rPr>
                <w:t xml:space="preserve">Kassotaki, O., 2019. Ambidextrous leadership in high technology organizations. </w:t>
              </w:r>
              <w:r>
                <w:rPr>
                  <w:i/>
                  <w:iCs/>
                  <w:noProof/>
                </w:rPr>
                <w:t xml:space="preserve">Organizational Dynamics, </w:t>
              </w:r>
              <w:r>
                <w:rPr>
                  <w:noProof/>
                </w:rPr>
                <w:t>pp. 37-43.</w:t>
              </w:r>
            </w:p>
            <w:p w14:paraId="1FE6BC17" w14:textId="77777777" w:rsidR="005F4CF1" w:rsidRDefault="005F4CF1" w:rsidP="005F4CF1">
              <w:pPr>
                <w:pStyle w:val="Bibliography"/>
                <w:rPr>
                  <w:noProof/>
                </w:rPr>
              </w:pPr>
              <w:r>
                <w:rPr>
                  <w:noProof/>
                </w:rPr>
                <w:t xml:space="preserve">L'Abate, V., Esposito, B., Sica, D. &amp; Supino, S., 2025. Fueling the circular transition: an empirical exploration of sustainable development goal performance in the oil and gas industry. </w:t>
              </w:r>
              <w:r>
                <w:rPr>
                  <w:i/>
                  <w:iCs/>
                  <w:noProof/>
                </w:rPr>
                <w:t xml:space="preserve">Measuring Business Excellence, </w:t>
              </w:r>
              <w:r>
                <w:rPr>
                  <w:noProof/>
                </w:rPr>
                <w:t>29(2), pp. 285-305.</w:t>
              </w:r>
            </w:p>
            <w:p w14:paraId="71CA92B9" w14:textId="77777777" w:rsidR="005F4CF1" w:rsidRDefault="005F4CF1" w:rsidP="005F4CF1">
              <w:pPr>
                <w:pStyle w:val="Bibliography"/>
                <w:rPr>
                  <w:noProof/>
                </w:rPr>
              </w:pPr>
              <w:r>
                <w:rPr>
                  <w:noProof/>
                </w:rPr>
                <w:t xml:space="preserve">Lindgreen, A., 2008. </w:t>
              </w:r>
              <w:r>
                <w:rPr>
                  <w:i/>
                  <w:iCs/>
                  <w:noProof/>
                </w:rPr>
                <w:t xml:space="preserve">A Change Model Grounded in Theory and Practice, </w:t>
              </w:r>
              <w:r>
                <w:rPr>
                  <w:noProof/>
                </w:rPr>
                <w:t>s.l.: IAG-Louvain School of Management.</w:t>
              </w:r>
            </w:p>
            <w:p w14:paraId="036BB148" w14:textId="77777777" w:rsidR="005F4CF1" w:rsidRDefault="005F4CF1" w:rsidP="005F4CF1">
              <w:pPr>
                <w:pStyle w:val="Bibliography"/>
                <w:rPr>
                  <w:noProof/>
                </w:rPr>
              </w:pPr>
              <w:r>
                <w:rPr>
                  <w:noProof/>
                </w:rPr>
                <w:t xml:space="preserve">Nieto-Rodriguez, A., 2014. </w:t>
              </w:r>
              <w:r>
                <w:rPr>
                  <w:i/>
                  <w:iCs/>
                  <w:noProof/>
                </w:rPr>
                <w:t xml:space="preserve">Organisational ambidexterity. </w:t>
              </w:r>
              <w:r>
                <w:rPr>
                  <w:noProof/>
                </w:rPr>
                <w:t xml:space="preserve">[Online] </w:t>
              </w:r>
              <w:r>
                <w:rPr>
                  <w:noProof/>
                </w:rPr>
                <w:br/>
                <w:t xml:space="preserve">Available at: </w:t>
              </w:r>
              <w:r>
                <w:rPr>
                  <w:noProof/>
                  <w:u w:val="single"/>
                </w:rPr>
                <w:t>https://www.london.edu/think/organisational-ambidexterity</w:t>
              </w:r>
              <w:r>
                <w:rPr>
                  <w:noProof/>
                </w:rPr>
                <w:br/>
                <w:t>[Accessed 05 July 2026].</w:t>
              </w:r>
            </w:p>
            <w:p w14:paraId="557CC430" w14:textId="77777777" w:rsidR="005F4CF1" w:rsidRDefault="005F4CF1" w:rsidP="005F4CF1">
              <w:pPr>
                <w:pStyle w:val="Bibliography"/>
                <w:rPr>
                  <w:noProof/>
                </w:rPr>
              </w:pPr>
              <w:r>
                <w:rPr>
                  <w:noProof/>
                </w:rPr>
                <w:t xml:space="preserve">Pickl, M. J., 2019. The renewable energy strategies of oil majors – From oil to energy?. </w:t>
              </w:r>
              <w:r>
                <w:rPr>
                  <w:i/>
                  <w:iCs/>
                  <w:noProof/>
                </w:rPr>
                <w:t xml:space="preserve">Energy Strategy Reviews, </w:t>
              </w:r>
              <w:r>
                <w:rPr>
                  <w:noProof/>
                </w:rPr>
                <w:t>Volume 26.</w:t>
              </w:r>
            </w:p>
            <w:p w14:paraId="2E7F45A6" w14:textId="77777777" w:rsidR="005F4CF1" w:rsidRDefault="005F4CF1" w:rsidP="005F4CF1">
              <w:pPr>
                <w:pStyle w:val="Bibliography"/>
                <w:rPr>
                  <w:noProof/>
                </w:rPr>
              </w:pPr>
              <w:r>
                <w:rPr>
                  <w:noProof/>
                </w:rPr>
                <w:t xml:space="preserve">Raisch, S., Birkinshaw, J., Probst, G. &amp; Tushman, M. L., 2009. Organizational Ambidexterity: Balancing Exploitation and Exploration for Sustained Performance. </w:t>
              </w:r>
              <w:r>
                <w:rPr>
                  <w:i/>
                  <w:iCs/>
                  <w:noProof/>
                </w:rPr>
                <w:t xml:space="preserve">Organization Science, </w:t>
              </w:r>
              <w:r>
                <w:rPr>
                  <w:noProof/>
                </w:rPr>
                <w:t>pp. 685-695.</w:t>
              </w:r>
            </w:p>
            <w:p w14:paraId="639FAD78" w14:textId="77777777" w:rsidR="005F4CF1" w:rsidRDefault="005F4CF1" w:rsidP="005F4CF1">
              <w:pPr>
                <w:pStyle w:val="Bibliography"/>
                <w:rPr>
                  <w:noProof/>
                </w:rPr>
              </w:pPr>
              <w:r>
                <w:rPr>
                  <w:noProof/>
                </w:rPr>
                <w:t xml:space="preserve">Ryan, E., 2022. </w:t>
              </w:r>
              <w:r>
                <w:rPr>
                  <w:i/>
                  <w:iCs/>
                  <w:noProof/>
                </w:rPr>
                <w:t xml:space="preserve">Boolean Operators | Quick Guide, Examples &amp; Tips. </w:t>
              </w:r>
              <w:r>
                <w:rPr>
                  <w:noProof/>
                </w:rPr>
                <w:t xml:space="preserve">[Online] </w:t>
              </w:r>
              <w:r>
                <w:rPr>
                  <w:noProof/>
                </w:rPr>
                <w:br/>
                <w:t xml:space="preserve">Available at: </w:t>
              </w:r>
              <w:r>
                <w:rPr>
                  <w:noProof/>
                  <w:u w:val="single"/>
                </w:rPr>
                <w:t>https://www.scribbr.co.uk/working-sources/boolean-operator/</w:t>
              </w:r>
              <w:r>
                <w:rPr>
                  <w:noProof/>
                </w:rPr>
                <w:br/>
                <w:t>[Accessed 05 July 2026].</w:t>
              </w:r>
            </w:p>
            <w:p w14:paraId="7FCECF53" w14:textId="77777777" w:rsidR="005F4CF1" w:rsidRDefault="005F4CF1" w:rsidP="005F4CF1">
              <w:pPr>
                <w:pStyle w:val="Bibliography"/>
                <w:rPr>
                  <w:noProof/>
                </w:rPr>
              </w:pPr>
              <w:r>
                <w:rPr>
                  <w:noProof/>
                </w:rPr>
                <w:t xml:space="preserve">Setzer, J. &amp; Higham, C., 2025. </w:t>
              </w:r>
              <w:r>
                <w:rPr>
                  <w:i/>
                  <w:iCs/>
                  <w:noProof/>
                </w:rPr>
                <w:t xml:space="preserve">Global trends in climate change litigation: 2025 snapshot, </w:t>
              </w:r>
              <w:r>
                <w:rPr>
                  <w:noProof/>
                </w:rPr>
                <w:t>London: London School of Economics and Political Science.</w:t>
              </w:r>
            </w:p>
            <w:p w14:paraId="3BF49139" w14:textId="77777777" w:rsidR="005F4CF1" w:rsidRDefault="005F4CF1" w:rsidP="005F4CF1">
              <w:pPr>
                <w:pStyle w:val="Bibliography"/>
                <w:rPr>
                  <w:noProof/>
                </w:rPr>
              </w:pPr>
              <w:r>
                <w:rPr>
                  <w:noProof/>
                </w:rPr>
                <w:t xml:space="preserve">Shell Global, 2026. </w:t>
              </w:r>
              <w:r>
                <w:rPr>
                  <w:i/>
                  <w:iCs/>
                  <w:noProof/>
                </w:rPr>
                <w:t xml:space="preserve">Carbon capture and storage (CCS). </w:t>
              </w:r>
              <w:r>
                <w:rPr>
                  <w:noProof/>
                </w:rPr>
                <w:t xml:space="preserve">[Online] </w:t>
              </w:r>
              <w:r>
                <w:rPr>
                  <w:noProof/>
                </w:rPr>
                <w:br/>
                <w:t xml:space="preserve">Available at: </w:t>
              </w:r>
              <w:r>
                <w:rPr>
                  <w:noProof/>
                  <w:u w:val="single"/>
                </w:rPr>
                <w:t>https://www.shell.com/what-we-do/carbon-capture-and-storage.html</w:t>
              </w:r>
              <w:r>
                <w:rPr>
                  <w:noProof/>
                </w:rPr>
                <w:br/>
                <w:t>[Accessed 03 June 2026].</w:t>
              </w:r>
            </w:p>
            <w:p w14:paraId="30740B1A" w14:textId="77777777" w:rsidR="005F4CF1" w:rsidRDefault="005F4CF1" w:rsidP="005F4CF1">
              <w:pPr>
                <w:pStyle w:val="Bibliography"/>
                <w:rPr>
                  <w:noProof/>
                </w:rPr>
              </w:pPr>
              <w:r>
                <w:rPr>
                  <w:noProof/>
                </w:rPr>
                <w:t xml:space="preserve">Shell Global, 2026. </w:t>
              </w:r>
              <w:r>
                <w:rPr>
                  <w:i/>
                  <w:iCs/>
                  <w:noProof/>
                </w:rPr>
                <w:t xml:space="preserve">hydrogen. </w:t>
              </w:r>
              <w:r>
                <w:rPr>
                  <w:noProof/>
                </w:rPr>
                <w:t xml:space="preserve">[Online] </w:t>
              </w:r>
              <w:r>
                <w:rPr>
                  <w:noProof/>
                </w:rPr>
                <w:br/>
                <w:t xml:space="preserve">Available at: </w:t>
              </w:r>
              <w:r>
                <w:rPr>
                  <w:noProof/>
                  <w:u w:val="single"/>
                </w:rPr>
                <w:t>https://www.shell.com/what-we-do/hydrogen.html</w:t>
              </w:r>
              <w:r>
                <w:rPr>
                  <w:noProof/>
                </w:rPr>
                <w:br/>
                <w:t>[Accessed 03 June 2026].</w:t>
              </w:r>
            </w:p>
            <w:p w14:paraId="6EDAC4A7" w14:textId="77777777" w:rsidR="005F4CF1" w:rsidRDefault="005F4CF1" w:rsidP="005F4CF1">
              <w:pPr>
                <w:pStyle w:val="Bibliography"/>
                <w:rPr>
                  <w:noProof/>
                </w:rPr>
              </w:pPr>
              <w:r>
                <w:rPr>
                  <w:noProof/>
                </w:rPr>
                <w:t xml:space="preserve">Shell plc, 2025. </w:t>
              </w:r>
              <w:r>
                <w:rPr>
                  <w:i/>
                  <w:iCs/>
                  <w:noProof/>
                </w:rPr>
                <w:t xml:space="preserve">Annual Report and Accounts, </w:t>
              </w:r>
              <w:r>
                <w:rPr>
                  <w:noProof/>
                </w:rPr>
                <w:t>London: Shell.</w:t>
              </w:r>
            </w:p>
            <w:p w14:paraId="59B71D33" w14:textId="77777777" w:rsidR="005F4CF1" w:rsidRDefault="005F4CF1" w:rsidP="005F4CF1">
              <w:pPr>
                <w:pStyle w:val="Bibliography"/>
                <w:rPr>
                  <w:noProof/>
                </w:rPr>
              </w:pPr>
              <w:r>
                <w:rPr>
                  <w:noProof/>
                </w:rPr>
                <w:t xml:space="preserve">Shell USA, 2026. </w:t>
              </w:r>
              <w:r>
                <w:rPr>
                  <w:i/>
                  <w:iCs/>
                  <w:noProof/>
                </w:rPr>
                <w:t xml:space="preserve">EV Charging Solutions. </w:t>
              </w:r>
              <w:r>
                <w:rPr>
                  <w:noProof/>
                </w:rPr>
                <w:t xml:space="preserve">[Online] </w:t>
              </w:r>
              <w:r>
                <w:rPr>
                  <w:noProof/>
                </w:rPr>
                <w:br/>
                <w:t xml:space="preserve">Available at: </w:t>
              </w:r>
              <w:r>
                <w:rPr>
                  <w:noProof/>
                  <w:u w:val="single"/>
                </w:rPr>
                <w:t>https://www.shell.us/electric-vehicle-charging.html</w:t>
              </w:r>
              <w:r>
                <w:rPr>
                  <w:noProof/>
                </w:rPr>
                <w:br/>
                <w:t>[Accessed 03 June 2026].</w:t>
              </w:r>
            </w:p>
            <w:p w14:paraId="60E801F8" w14:textId="77777777" w:rsidR="005F4CF1" w:rsidRDefault="005F4CF1" w:rsidP="005F4CF1">
              <w:pPr>
                <w:pStyle w:val="Bibliography"/>
                <w:rPr>
                  <w:noProof/>
                </w:rPr>
              </w:pPr>
              <w:r>
                <w:rPr>
                  <w:noProof/>
                </w:rPr>
                <w:t xml:space="preserve">Shell, 2026. </w:t>
              </w:r>
              <w:r>
                <w:rPr>
                  <w:i/>
                  <w:iCs/>
                  <w:noProof/>
                </w:rPr>
                <w:t xml:space="preserve">Climate. </w:t>
              </w:r>
              <w:r>
                <w:rPr>
                  <w:noProof/>
                </w:rPr>
                <w:t xml:space="preserve">[Online] </w:t>
              </w:r>
              <w:r>
                <w:rPr>
                  <w:noProof/>
                </w:rPr>
                <w:br/>
                <w:t xml:space="preserve">Available at: </w:t>
              </w:r>
              <w:r>
                <w:rPr>
                  <w:noProof/>
                  <w:u w:val="single"/>
                </w:rPr>
                <w:t>https://www.shell.com/sustainability/climate.html</w:t>
              </w:r>
              <w:r>
                <w:rPr>
                  <w:noProof/>
                </w:rPr>
                <w:br/>
                <w:t>[Accessed 19 May 2026].</w:t>
              </w:r>
            </w:p>
            <w:p w14:paraId="3FA07C22" w14:textId="77777777" w:rsidR="005F4CF1" w:rsidRDefault="005F4CF1" w:rsidP="005F4CF1">
              <w:pPr>
                <w:pStyle w:val="Bibliography"/>
                <w:rPr>
                  <w:noProof/>
                </w:rPr>
              </w:pPr>
              <w:r>
                <w:rPr>
                  <w:noProof/>
                </w:rPr>
                <w:t xml:space="preserve">Shell, 2026. </w:t>
              </w:r>
              <w:r>
                <w:rPr>
                  <w:i/>
                  <w:iCs/>
                  <w:noProof/>
                </w:rPr>
                <w:t xml:space="preserve">Renewable power. </w:t>
              </w:r>
              <w:r>
                <w:rPr>
                  <w:noProof/>
                </w:rPr>
                <w:t xml:space="preserve">[Online] </w:t>
              </w:r>
              <w:r>
                <w:rPr>
                  <w:noProof/>
                </w:rPr>
                <w:br/>
                <w:t xml:space="preserve">Available at: </w:t>
              </w:r>
              <w:r>
                <w:rPr>
                  <w:noProof/>
                  <w:u w:val="single"/>
                </w:rPr>
                <w:t>https://www.shell.com/what-we-do/renewable-power.html</w:t>
              </w:r>
              <w:r>
                <w:rPr>
                  <w:noProof/>
                </w:rPr>
                <w:br/>
                <w:t>[Accessed 03 June 2026].</w:t>
              </w:r>
            </w:p>
            <w:p w14:paraId="0AC6F38E" w14:textId="77777777" w:rsidR="005F4CF1" w:rsidRDefault="005F4CF1" w:rsidP="005F4CF1">
              <w:pPr>
                <w:pStyle w:val="Bibliography"/>
                <w:rPr>
                  <w:noProof/>
                </w:rPr>
              </w:pPr>
              <w:r>
                <w:rPr>
                  <w:noProof/>
                </w:rPr>
                <w:t xml:space="preserve">Si, Y. et al., 2023. Fossil fuel companies' climate communication strategies: Industry messaging on renewables and natural gas. </w:t>
              </w:r>
              <w:r>
                <w:rPr>
                  <w:i/>
                  <w:iCs/>
                  <w:noProof/>
                </w:rPr>
                <w:t xml:space="preserve">Energy Research &amp; Social Science, </w:t>
              </w:r>
              <w:r>
                <w:rPr>
                  <w:noProof/>
                </w:rPr>
                <w:t>Volume 98.</w:t>
              </w:r>
            </w:p>
            <w:p w14:paraId="0D7A41D7" w14:textId="77777777" w:rsidR="005F4CF1" w:rsidRDefault="005F4CF1" w:rsidP="005F4CF1">
              <w:pPr>
                <w:pStyle w:val="Bibliography"/>
                <w:rPr>
                  <w:noProof/>
                </w:rPr>
              </w:pPr>
              <w:r>
                <w:rPr>
                  <w:noProof/>
                </w:rPr>
                <w:t xml:space="preserve">Snyder, H., 2019. Literature review as a research methodology: An overview and guidelines. </w:t>
              </w:r>
              <w:r>
                <w:rPr>
                  <w:i/>
                  <w:iCs/>
                  <w:noProof/>
                </w:rPr>
                <w:t xml:space="preserve">Journal of Business Research, </w:t>
              </w:r>
              <w:r>
                <w:rPr>
                  <w:noProof/>
                </w:rPr>
                <w:t>Volume 104, pp. 333-339.</w:t>
              </w:r>
            </w:p>
            <w:p w14:paraId="263C91E0" w14:textId="77777777" w:rsidR="005F4CF1" w:rsidRDefault="005F4CF1" w:rsidP="005F4CF1">
              <w:pPr>
                <w:pStyle w:val="Bibliography"/>
                <w:rPr>
                  <w:noProof/>
                </w:rPr>
              </w:pPr>
              <w:r>
                <w:rPr>
                  <w:noProof/>
                </w:rPr>
                <w:lastRenderedPageBreak/>
                <w:t xml:space="preserve">Sovacool, B. K., 2016. How Long Will It Take? Conceptualizing the Temporal Dynamics of Energy Transitions. </w:t>
              </w:r>
              <w:r>
                <w:rPr>
                  <w:i/>
                  <w:iCs/>
                  <w:noProof/>
                </w:rPr>
                <w:t xml:space="preserve">Energy Research &amp; Social Science, </w:t>
              </w:r>
              <w:r>
                <w:rPr>
                  <w:noProof/>
                </w:rPr>
                <w:t>Volume 13, pp. 202-215.</w:t>
              </w:r>
            </w:p>
            <w:p w14:paraId="7CB4FDC3" w14:textId="77777777" w:rsidR="005F4CF1" w:rsidRDefault="005F4CF1" w:rsidP="005F4CF1">
              <w:pPr>
                <w:pStyle w:val="Bibliography"/>
                <w:rPr>
                  <w:noProof/>
                </w:rPr>
              </w:pPr>
              <w:r>
                <w:rPr>
                  <w:noProof/>
                </w:rPr>
                <w:t xml:space="preserve">Tateishi, E., 2018. Craving gains and claiming “green” by cutting greens? An exploratory analysis of greenfield housing developments in Iskandar Malaysia. </w:t>
              </w:r>
              <w:r>
                <w:rPr>
                  <w:i/>
                  <w:iCs/>
                  <w:noProof/>
                </w:rPr>
                <w:t xml:space="preserve">Journal of Urban Affairs, </w:t>
              </w:r>
              <w:r>
                <w:rPr>
                  <w:noProof/>
                </w:rPr>
                <w:t>40(3), pp. 370-393.</w:t>
              </w:r>
            </w:p>
            <w:p w14:paraId="4678154E" w14:textId="77777777" w:rsidR="005F4CF1" w:rsidRDefault="005F4CF1" w:rsidP="005F4CF1">
              <w:pPr>
                <w:pStyle w:val="Bibliography"/>
                <w:rPr>
                  <w:noProof/>
                </w:rPr>
              </w:pPr>
              <w:r>
                <w:rPr>
                  <w:noProof/>
                </w:rPr>
                <w:t xml:space="preserve">Tranfield, D., Denye, D. &amp; Smart, P., 2003. Towards a Methodology for Developing Evidence-Informed Management Knowledge by Means of Systematic Review. </w:t>
              </w:r>
              <w:r>
                <w:rPr>
                  <w:i/>
                  <w:iCs/>
                  <w:noProof/>
                </w:rPr>
                <w:t xml:space="preserve">British Journal of Management, </w:t>
              </w:r>
              <w:r>
                <w:rPr>
                  <w:noProof/>
                </w:rPr>
                <w:t>Volume 14, pp. 207-222.</w:t>
              </w:r>
            </w:p>
            <w:p w14:paraId="07D627BB" w14:textId="77777777" w:rsidR="005F4CF1" w:rsidRDefault="005F4CF1" w:rsidP="005F4CF1">
              <w:pPr>
                <w:pStyle w:val="Bibliography"/>
                <w:rPr>
                  <w:noProof/>
                </w:rPr>
              </w:pPr>
              <w:r>
                <w:rPr>
                  <w:noProof/>
                </w:rPr>
                <w:t xml:space="preserve">Tushman, M. L. &amp; III, C. A. O., 2013. Organizational Ambidexterity: Past, Present and Future. </w:t>
              </w:r>
              <w:r>
                <w:rPr>
                  <w:i/>
                  <w:iCs/>
                  <w:noProof/>
                </w:rPr>
                <w:t xml:space="preserve">Academy of Management Perspectives, </w:t>
              </w:r>
              <w:r>
                <w:rPr>
                  <w:noProof/>
                </w:rPr>
                <w:t>27(4), pp. 1-30.</w:t>
              </w:r>
            </w:p>
            <w:p w14:paraId="3DBEF4F8" w14:textId="77777777" w:rsidR="005F4CF1" w:rsidRDefault="005F4CF1" w:rsidP="005F4CF1">
              <w:pPr>
                <w:pStyle w:val="Bibliography"/>
                <w:rPr>
                  <w:noProof/>
                </w:rPr>
              </w:pPr>
              <w:r>
                <w:rPr>
                  <w:noProof/>
                </w:rPr>
                <w:t xml:space="preserve">United Nations, 2026. </w:t>
              </w:r>
              <w:r>
                <w:rPr>
                  <w:i/>
                  <w:iCs/>
                  <w:noProof/>
                </w:rPr>
                <w:t xml:space="preserve">The Paris Agreement. </w:t>
              </w:r>
              <w:r>
                <w:rPr>
                  <w:noProof/>
                </w:rPr>
                <w:t xml:space="preserve">[Online] </w:t>
              </w:r>
              <w:r>
                <w:rPr>
                  <w:noProof/>
                </w:rPr>
                <w:br/>
                <w:t xml:space="preserve">Available at: </w:t>
              </w:r>
              <w:r>
                <w:rPr>
                  <w:noProof/>
                  <w:u w:val="single"/>
                </w:rPr>
                <w:t>https://www.un.org/pl/node/84376</w:t>
              </w:r>
              <w:r>
                <w:rPr>
                  <w:noProof/>
                </w:rPr>
                <w:br/>
                <w:t>[Accessed 19 May 2026].</w:t>
              </w:r>
            </w:p>
            <w:p w14:paraId="61C8A53C" w14:textId="77777777" w:rsidR="005F4CF1" w:rsidRDefault="005F4CF1" w:rsidP="005F4CF1">
              <w:pPr>
                <w:pStyle w:val="Bibliography"/>
                <w:rPr>
                  <w:noProof/>
                </w:rPr>
              </w:pPr>
              <w:r>
                <w:rPr>
                  <w:noProof/>
                </w:rPr>
                <w:t xml:space="preserve">Vieira, L. C., Longo, M. &amp; Mura, M., 2023. From carbon dependence to renewables: The European oil majors' strategies to face climate change. </w:t>
              </w:r>
              <w:r>
                <w:rPr>
                  <w:i/>
                  <w:iCs/>
                  <w:noProof/>
                </w:rPr>
                <w:t xml:space="preserve">Business Strategy and the Environment, </w:t>
              </w:r>
              <w:r>
                <w:rPr>
                  <w:noProof/>
                </w:rPr>
                <w:t>32(4), pp. 1248-1259.</w:t>
              </w:r>
            </w:p>
            <w:p w14:paraId="6378C2FB" w14:textId="298CF3F8" w:rsidR="005F4CF1" w:rsidRDefault="005F4CF1" w:rsidP="005F4CF1">
              <w:r>
                <w:rPr>
                  <w:b/>
                  <w:bCs/>
                </w:rPr>
                <w:fldChar w:fldCharType="end"/>
              </w:r>
            </w:p>
          </w:sdtContent>
        </w:sdt>
      </w:sdtContent>
    </w:sdt>
    <w:p w14:paraId="5AC3002A" w14:textId="77777777" w:rsidR="00514A36" w:rsidRPr="008F3141" w:rsidRDefault="00514A36" w:rsidP="00974A32">
      <w:pPr>
        <w:ind w:left="0" w:firstLine="0"/>
      </w:pPr>
    </w:p>
    <w:sectPr w:rsidR="00514A36" w:rsidRPr="008F3141">
      <w:footerReference w:type="even" r:id="rId13"/>
      <w:footerReference w:type="default" r:id="rId14"/>
      <w:footerReference w:type="first" r:id="rId15"/>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A51AA" w14:textId="77777777" w:rsidR="00AC2DEE" w:rsidRDefault="00AC2DEE">
      <w:pPr>
        <w:spacing w:after="0" w:line="240" w:lineRule="auto"/>
      </w:pPr>
      <w:r>
        <w:separator/>
      </w:r>
    </w:p>
  </w:endnote>
  <w:endnote w:type="continuationSeparator" w:id="0">
    <w:p w14:paraId="62215F2E" w14:textId="77777777" w:rsidR="00AC2DEE" w:rsidRDefault="00AC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Vijaya">
    <w:charset w:val="00"/>
    <w:family w:val="roman"/>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CB494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CB4940">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CB494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CB4940">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CB494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CB4940">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6031F" w14:textId="77777777" w:rsidR="00AC2DEE" w:rsidRDefault="00AC2DEE">
      <w:pPr>
        <w:spacing w:after="0" w:line="240" w:lineRule="auto"/>
      </w:pPr>
      <w:r>
        <w:separator/>
      </w:r>
    </w:p>
  </w:footnote>
  <w:footnote w:type="continuationSeparator" w:id="0">
    <w:p w14:paraId="5058D1AE" w14:textId="77777777" w:rsidR="00AC2DEE" w:rsidRDefault="00AC2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A5CA7"/>
    <w:multiLevelType w:val="multilevel"/>
    <w:tmpl w:val="98F8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E0C12"/>
    <w:multiLevelType w:val="multilevel"/>
    <w:tmpl w:val="8F10F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403CB4"/>
    <w:multiLevelType w:val="multilevel"/>
    <w:tmpl w:val="2652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354E0"/>
    <w:multiLevelType w:val="multilevel"/>
    <w:tmpl w:val="9D36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57D03"/>
    <w:multiLevelType w:val="multilevel"/>
    <w:tmpl w:val="55647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955EA0"/>
    <w:multiLevelType w:val="multilevel"/>
    <w:tmpl w:val="EF38E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8A53514"/>
    <w:multiLevelType w:val="multilevel"/>
    <w:tmpl w:val="0396F11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2D24D0"/>
    <w:multiLevelType w:val="multilevel"/>
    <w:tmpl w:val="F1E0D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D8E1D64"/>
    <w:multiLevelType w:val="multilevel"/>
    <w:tmpl w:val="52E0D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14"/>
  </w:num>
  <w:num w:numId="2" w16cid:durableId="304050066">
    <w:abstractNumId w:val="15"/>
  </w:num>
  <w:num w:numId="3" w16cid:durableId="2094355535">
    <w:abstractNumId w:val="13"/>
  </w:num>
  <w:num w:numId="4" w16cid:durableId="433476020">
    <w:abstractNumId w:val="6"/>
  </w:num>
  <w:num w:numId="5" w16cid:durableId="2073573294">
    <w:abstractNumId w:val="17"/>
  </w:num>
  <w:num w:numId="6" w16cid:durableId="1468469732">
    <w:abstractNumId w:val="10"/>
  </w:num>
  <w:num w:numId="7" w16cid:durableId="854805727">
    <w:abstractNumId w:val="7"/>
  </w:num>
  <w:num w:numId="8" w16cid:durableId="1672565372">
    <w:abstractNumId w:val="12"/>
  </w:num>
  <w:num w:numId="9" w16cid:durableId="1003388738">
    <w:abstractNumId w:val="8"/>
  </w:num>
  <w:num w:numId="10" w16cid:durableId="1253125327">
    <w:abstractNumId w:val="9"/>
  </w:num>
  <w:num w:numId="11" w16cid:durableId="858007084">
    <w:abstractNumId w:val="11"/>
  </w:num>
  <w:num w:numId="12" w16cid:durableId="1340235759">
    <w:abstractNumId w:val="4"/>
  </w:num>
  <w:num w:numId="13" w16cid:durableId="630939638">
    <w:abstractNumId w:val="16"/>
  </w:num>
  <w:num w:numId="14" w16cid:durableId="1162505369">
    <w:abstractNumId w:val="1"/>
  </w:num>
  <w:num w:numId="15" w16cid:durableId="109781163">
    <w:abstractNumId w:val="5"/>
  </w:num>
  <w:num w:numId="16" w16cid:durableId="1007437636">
    <w:abstractNumId w:val="2"/>
  </w:num>
  <w:num w:numId="17" w16cid:durableId="1501502972">
    <w:abstractNumId w:val="3"/>
  </w:num>
  <w:num w:numId="18" w16cid:durableId="19281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0394"/>
    <w:rsid w:val="000003BF"/>
    <w:rsid w:val="00001A3A"/>
    <w:rsid w:val="00002BB1"/>
    <w:rsid w:val="00004231"/>
    <w:rsid w:val="000044E4"/>
    <w:rsid w:val="00006CF8"/>
    <w:rsid w:val="000101E6"/>
    <w:rsid w:val="00010276"/>
    <w:rsid w:val="00010EC6"/>
    <w:rsid w:val="0001160A"/>
    <w:rsid w:val="000125DD"/>
    <w:rsid w:val="00012E5F"/>
    <w:rsid w:val="000140FC"/>
    <w:rsid w:val="000244B6"/>
    <w:rsid w:val="000254FE"/>
    <w:rsid w:val="00031BE5"/>
    <w:rsid w:val="00031DCE"/>
    <w:rsid w:val="000409AB"/>
    <w:rsid w:val="00046296"/>
    <w:rsid w:val="000524DE"/>
    <w:rsid w:val="00053727"/>
    <w:rsid w:val="00053C3D"/>
    <w:rsid w:val="0006179E"/>
    <w:rsid w:val="0006667C"/>
    <w:rsid w:val="0006790E"/>
    <w:rsid w:val="00067AA9"/>
    <w:rsid w:val="0007131E"/>
    <w:rsid w:val="0007140A"/>
    <w:rsid w:val="00072DDA"/>
    <w:rsid w:val="00077DC7"/>
    <w:rsid w:val="00081E57"/>
    <w:rsid w:val="0008484B"/>
    <w:rsid w:val="00094427"/>
    <w:rsid w:val="00096FD8"/>
    <w:rsid w:val="000A72EE"/>
    <w:rsid w:val="000B1BDA"/>
    <w:rsid w:val="000B25FA"/>
    <w:rsid w:val="000B3BE2"/>
    <w:rsid w:val="000B5694"/>
    <w:rsid w:val="000B6D26"/>
    <w:rsid w:val="000B6FEC"/>
    <w:rsid w:val="000C018E"/>
    <w:rsid w:val="000C07B7"/>
    <w:rsid w:val="000C443B"/>
    <w:rsid w:val="000D0F07"/>
    <w:rsid w:val="000D266C"/>
    <w:rsid w:val="000D557C"/>
    <w:rsid w:val="000D5B08"/>
    <w:rsid w:val="000D73EE"/>
    <w:rsid w:val="000D773B"/>
    <w:rsid w:val="000E77A8"/>
    <w:rsid w:val="000F1A2A"/>
    <w:rsid w:val="000F2FCE"/>
    <w:rsid w:val="000F5784"/>
    <w:rsid w:val="000F678F"/>
    <w:rsid w:val="000F6F6C"/>
    <w:rsid w:val="00105FC8"/>
    <w:rsid w:val="00106601"/>
    <w:rsid w:val="001071C7"/>
    <w:rsid w:val="00107366"/>
    <w:rsid w:val="00112F31"/>
    <w:rsid w:val="0011445D"/>
    <w:rsid w:val="00120095"/>
    <w:rsid w:val="001210D7"/>
    <w:rsid w:val="001237C4"/>
    <w:rsid w:val="00124181"/>
    <w:rsid w:val="00127FEF"/>
    <w:rsid w:val="001309CC"/>
    <w:rsid w:val="00130E47"/>
    <w:rsid w:val="001321FB"/>
    <w:rsid w:val="00134031"/>
    <w:rsid w:val="00134824"/>
    <w:rsid w:val="00136805"/>
    <w:rsid w:val="00141493"/>
    <w:rsid w:val="001675DB"/>
    <w:rsid w:val="0017103A"/>
    <w:rsid w:val="001749FA"/>
    <w:rsid w:val="00175D90"/>
    <w:rsid w:val="001911B8"/>
    <w:rsid w:val="00191608"/>
    <w:rsid w:val="00193AFE"/>
    <w:rsid w:val="00194D9A"/>
    <w:rsid w:val="0019660A"/>
    <w:rsid w:val="001A0818"/>
    <w:rsid w:val="001A52BD"/>
    <w:rsid w:val="001A797A"/>
    <w:rsid w:val="001A7984"/>
    <w:rsid w:val="001B2D73"/>
    <w:rsid w:val="001B3E2E"/>
    <w:rsid w:val="001B51B4"/>
    <w:rsid w:val="001C2D09"/>
    <w:rsid w:val="001C7451"/>
    <w:rsid w:val="001C7D8A"/>
    <w:rsid w:val="001D3048"/>
    <w:rsid w:val="001D60D8"/>
    <w:rsid w:val="001E11DE"/>
    <w:rsid w:val="001E3ECD"/>
    <w:rsid w:val="001E4AB0"/>
    <w:rsid w:val="001E73BE"/>
    <w:rsid w:val="001F1601"/>
    <w:rsid w:val="001F2BA5"/>
    <w:rsid w:val="00200D8C"/>
    <w:rsid w:val="00202274"/>
    <w:rsid w:val="00204369"/>
    <w:rsid w:val="002063C7"/>
    <w:rsid w:val="00210D3C"/>
    <w:rsid w:val="0021143B"/>
    <w:rsid w:val="00213C76"/>
    <w:rsid w:val="00215ABD"/>
    <w:rsid w:val="00226C57"/>
    <w:rsid w:val="00230AD0"/>
    <w:rsid w:val="0023113D"/>
    <w:rsid w:val="002322D2"/>
    <w:rsid w:val="00235C38"/>
    <w:rsid w:val="0024446E"/>
    <w:rsid w:val="00251E6F"/>
    <w:rsid w:val="002533E3"/>
    <w:rsid w:val="0025404F"/>
    <w:rsid w:val="002579B5"/>
    <w:rsid w:val="00265D16"/>
    <w:rsid w:val="00267939"/>
    <w:rsid w:val="00267D61"/>
    <w:rsid w:val="0027054D"/>
    <w:rsid w:val="00273786"/>
    <w:rsid w:val="00273DF5"/>
    <w:rsid w:val="00275F5B"/>
    <w:rsid w:val="00277DCD"/>
    <w:rsid w:val="00280BA2"/>
    <w:rsid w:val="00282B88"/>
    <w:rsid w:val="00282D4A"/>
    <w:rsid w:val="00282E38"/>
    <w:rsid w:val="00286449"/>
    <w:rsid w:val="00296DEB"/>
    <w:rsid w:val="002A1663"/>
    <w:rsid w:val="002A2020"/>
    <w:rsid w:val="002B2E61"/>
    <w:rsid w:val="002B4833"/>
    <w:rsid w:val="002B7E6B"/>
    <w:rsid w:val="002C0320"/>
    <w:rsid w:val="002C495C"/>
    <w:rsid w:val="002C708A"/>
    <w:rsid w:val="002D0598"/>
    <w:rsid w:val="002D3875"/>
    <w:rsid w:val="002D45F6"/>
    <w:rsid w:val="002D7B0A"/>
    <w:rsid w:val="002E325C"/>
    <w:rsid w:val="002E6DE6"/>
    <w:rsid w:val="002E6E8F"/>
    <w:rsid w:val="002F038F"/>
    <w:rsid w:val="002F071F"/>
    <w:rsid w:val="00301456"/>
    <w:rsid w:val="003028BA"/>
    <w:rsid w:val="00302952"/>
    <w:rsid w:val="003070A5"/>
    <w:rsid w:val="00310F99"/>
    <w:rsid w:val="0031141A"/>
    <w:rsid w:val="00315634"/>
    <w:rsid w:val="003165C8"/>
    <w:rsid w:val="00326943"/>
    <w:rsid w:val="00327647"/>
    <w:rsid w:val="00327724"/>
    <w:rsid w:val="003300F7"/>
    <w:rsid w:val="00332C47"/>
    <w:rsid w:val="00332D99"/>
    <w:rsid w:val="003431CB"/>
    <w:rsid w:val="00343620"/>
    <w:rsid w:val="00347495"/>
    <w:rsid w:val="0035160D"/>
    <w:rsid w:val="00352C7A"/>
    <w:rsid w:val="003568ED"/>
    <w:rsid w:val="00356DEC"/>
    <w:rsid w:val="00360480"/>
    <w:rsid w:val="00361FCD"/>
    <w:rsid w:val="00364DB4"/>
    <w:rsid w:val="00371225"/>
    <w:rsid w:val="00377CD6"/>
    <w:rsid w:val="00380309"/>
    <w:rsid w:val="00381F39"/>
    <w:rsid w:val="00395914"/>
    <w:rsid w:val="00397DE9"/>
    <w:rsid w:val="003A48BC"/>
    <w:rsid w:val="003A54D7"/>
    <w:rsid w:val="003A575A"/>
    <w:rsid w:val="003A576E"/>
    <w:rsid w:val="003A7244"/>
    <w:rsid w:val="003A7B42"/>
    <w:rsid w:val="003B4B52"/>
    <w:rsid w:val="003B52DF"/>
    <w:rsid w:val="003C0650"/>
    <w:rsid w:val="003C121C"/>
    <w:rsid w:val="003C4ADA"/>
    <w:rsid w:val="003D4427"/>
    <w:rsid w:val="003D65F5"/>
    <w:rsid w:val="003D6669"/>
    <w:rsid w:val="003E51B2"/>
    <w:rsid w:val="003F0D9F"/>
    <w:rsid w:val="003F18B2"/>
    <w:rsid w:val="003F60A7"/>
    <w:rsid w:val="00400514"/>
    <w:rsid w:val="00404024"/>
    <w:rsid w:val="00411033"/>
    <w:rsid w:val="004115DB"/>
    <w:rsid w:val="00413480"/>
    <w:rsid w:val="00413CFE"/>
    <w:rsid w:val="00417CDA"/>
    <w:rsid w:val="00422221"/>
    <w:rsid w:val="0042306B"/>
    <w:rsid w:val="004242BC"/>
    <w:rsid w:val="00434692"/>
    <w:rsid w:val="00435EE4"/>
    <w:rsid w:val="004369A0"/>
    <w:rsid w:val="00436F98"/>
    <w:rsid w:val="00443D1B"/>
    <w:rsid w:val="004544C6"/>
    <w:rsid w:val="004553A6"/>
    <w:rsid w:val="00460081"/>
    <w:rsid w:val="00463975"/>
    <w:rsid w:val="004639E7"/>
    <w:rsid w:val="00465F59"/>
    <w:rsid w:val="00466F93"/>
    <w:rsid w:val="00472060"/>
    <w:rsid w:val="004760FD"/>
    <w:rsid w:val="004761D2"/>
    <w:rsid w:val="004839AF"/>
    <w:rsid w:val="00484A5E"/>
    <w:rsid w:val="00485E2E"/>
    <w:rsid w:val="00491E8B"/>
    <w:rsid w:val="00496624"/>
    <w:rsid w:val="004966C2"/>
    <w:rsid w:val="0049756A"/>
    <w:rsid w:val="004A13D6"/>
    <w:rsid w:val="004A170A"/>
    <w:rsid w:val="004A33CB"/>
    <w:rsid w:val="004A4CCA"/>
    <w:rsid w:val="004A507A"/>
    <w:rsid w:val="004A651E"/>
    <w:rsid w:val="004B0376"/>
    <w:rsid w:val="004B044F"/>
    <w:rsid w:val="004B16A6"/>
    <w:rsid w:val="004B3CC7"/>
    <w:rsid w:val="004C6538"/>
    <w:rsid w:val="004C736A"/>
    <w:rsid w:val="004D17D0"/>
    <w:rsid w:val="004D1F80"/>
    <w:rsid w:val="004D726C"/>
    <w:rsid w:val="004D7DC3"/>
    <w:rsid w:val="004E385E"/>
    <w:rsid w:val="004F0ACD"/>
    <w:rsid w:val="004F0B38"/>
    <w:rsid w:val="004F1143"/>
    <w:rsid w:val="004F15D8"/>
    <w:rsid w:val="004F206D"/>
    <w:rsid w:val="004F4BB3"/>
    <w:rsid w:val="004F732A"/>
    <w:rsid w:val="005010E3"/>
    <w:rsid w:val="00503B0B"/>
    <w:rsid w:val="0051402D"/>
    <w:rsid w:val="005148DF"/>
    <w:rsid w:val="00514A36"/>
    <w:rsid w:val="00514EE4"/>
    <w:rsid w:val="005176CF"/>
    <w:rsid w:val="00517725"/>
    <w:rsid w:val="00517DFD"/>
    <w:rsid w:val="00517E47"/>
    <w:rsid w:val="00521A0D"/>
    <w:rsid w:val="00521ADD"/>
    <w:rsid w:val="005222A2"/>
    <w:rsid w:val="0053386D"/>
    <w:rsid w:val="00533B6E"/>
    <w:rsid w:val="0053528F"/>
    <w:rsid w:val="0053601A"/>
    <w:rsid w:val="00540D29"/>
    <w:rsid w:val="00554261"/>
    <w:rsid w:val="00557AF4"/>
    <w:rsid w:val="00561BDB"/>
    <w:rsid w:val="00570834"/>
    <w:rsid w:val="005725C2"/>
    <w:rsid w:val="005737F5"/>
    <w:rsid w:val="00574D5B"/>
    <w:rsid w:val="00577248"/>
    <w:rsid w:val="005773B6"/>
    <w:rsid w:val="00581FB4"/>
    <w:rsid w:val="0058711F"/>
    <w:rsid w:val="00587817"/>
    <w:rsid w:val="00592D0D"/>
    <w:rsid w:val="00593EA6"/>
    <w:rsid w:val="0059633E"/>
    <w:rsid w:val="00596818"/>
    <w:rsid w:val="00597F54"/>
    <w:rsid w:val="005A430F"/>
    <w:rsid w:val="005B104D"/>
    <w:rsid w:val="005B4BED"/>
    <w:rsid w:val="005C35B6"/>
    <w:rsid w:val="005C4781"/>
    <w:rsid w:val="005C50B6"/>
    <w:rsid w:val="005C559A"/>
    <w:rsid w:val="005C56F4"/>
    <w:rsid w:val="005C7E1E"/>
    <w:rsid w:val="005D2A04"/>
    <w:rsid w:val="005D4567"/>
    <w:rsid w:val="005E0152"/>
    <w:rsid w:val="005E3962"/>
    <w:rsid w:val="005E3A19"/>
    <w:rsid w:val="005E4EC2"/>
    <w:rsid w:val="005E5DEF"/>
    <w:rsid w:val="005E7F53"/>
    <w:rsid w:val="005F167D"/>
    <w:rsid w:val="005F38E0"/>
    <w:rsid w:val="005F4CF1"/>
    <w:rsid w:val="00604414"/>
    <w:rsid w:val="006055F2"/>
    <w:rsid w:val="00606ABF"/>
    <w:rsid w:val="006111E2"/>
    <w:rsid w:val="006131FF"/>
    <w:rsid w:val="00624CA0"/>
    <w:rsid w:val="00625D12"/>
    <w:rsid w:val="0063383F"/>
    <w:rsid w:val="00633873"/>
    <w:rsid w:val="00635750"/>
    <w:rsid w:val="00637910"/>
    <w:rsid w:val="00640EB5"/>
    <w:rsid w:val="00641061"/>
    <w:rsid w:val="00647962"/>
    <w:rsid w:val="0065491F"/>
    <w:rsid w:val="00655816"/>
    <w:rsid w:val="006559C7"/>
    <w:rsid w:val="00656396"/>
    <w:rsid w:val="00660394"/>
    <w:rsid w:val="00663FE0"/>
    <w:rsid w:val="00664B03"/>
    <w:rsid w:val="00665769"/>
    <w:rsid w:val="00670306"/>
    <w:rsid w:val="0067054C"/>
    <w:rsid w:val="0067071D"/>
    <w:rsid w:val="00670AAD"/>
    <w:rsid w:val="006723D5"/>
    <w:rsid w:val="00672FDE"/>
    <w:rsid w:val="006749AC"/>
    <w:rsid w:val="006765B8"/>
    <w:rsid w:val="00677AEA"/>
    <w:rsid w:val="00681AD7"/>
    <w:rsid w:val="0068418F"/>
    <w:rsid w:val="0068527E"/>
    <w:rsid w:val="00685EF3"/>
    <w:rsid w:val="00686D53"/>
    <w:rsid w:val="006909F9"/>
    <w:rsid w:val="00692003"/>
    <w:rsid w:val="0069538B"/>
    <w:rsid w:val="00697F11"/>
    <w:rsid w:val="006A4EFD"/>
    <w:rsid w:val="006A6067"/>
    <w:rsid w:val="006B4838"/>
    <w:rsid w:val="006B5EB8"/>
    <w:rsid w:val="006C0D47"/>
    <w:rsid w:val="006C3AE7"/>
    <w:rsid w:val="006C4236"/>
    <w:rsid w:val="006C5080"/>
    <w:rsid w:val="006D2265"/>
    <w:rsid w:val="006D261F"/>
    <w:rsid w:val="006D3A23"/>
    <w:rsid w:val="006D7516"/>
    <w:rsid w:val="006E0E54"/>
    <w:rsid w:val="006E5C4E"/>
    <w:rsid w:val="006F1984"/>
    <w:rsid w:val="006F3F40"/>
    <w:rsid w:val="006F5318"/>
    <w:rsid w:val="006F7D7C"/>
    <w:rsid w:val="00705EF2"/>
    <w:rsid w:val="00713646"/>
    <w:rsid w:val="0071514F"/>
    <w:rsid w:val="007171FD"/>
    <w:rsid w:val="00723EB1"/>
    <w:rsid w:val="00724E31"/>
    <w:rsid w:val="0072577B"/>
    <w:rsid w:val="00732D5E"/>
    <w:rsid w:val="00737C61"/>
    <w:rsid w:val="0074476D"/>
    <w:rsid w:val="00752963"/>
    <w:rsid w:val="00753105"/>
    <w:rsid w:val="007533D8"/>
    <w:rsid w:val="00753961"/>
    <w:rsid w:val="007544D1"/>
    <w:rsid w:val="00756A59"/>
    <w:rsid w:val="007622B4"/>
    <w:rsid w:val="00762B3A"/>
    <w:rsid w:val="00763D88"/>
    <w:rsid w:val="00770AA7"/>
    <w:rsid w:val="00774E2B"/>
    <w:rsid w:val="00776864"/>
    <w:rsid w:val="007771C5"/>
    <w:rsid w:val="007778CE"/>
    <w:rsid w:val="00780A08"/>
    <w:rsid w:val="00781594"/>
    <w:rsid w:val="007827AA"/>
    <w:rsid w:val="00783A92"/>
    <w:rsid w:val="0079234F"/>
    <w:rsid w:val="00794E34"/>
    <w:rsid w:val="0079541E"/>
    <w:rsid w:val="007961C1"/>
    <w:rsid w:val="007A5C7B"/>
    <w:rsid w:val="007B0ED0"/>
    <w:rsid w:val="007B4A73"/>
    <w:rsid w:val="007B6C20"/>
    <w:rsid w:val="007B70DE"/>
    <w:rsid w:val="007C177F"/>
    <w:rsid w:val="007C2204"/>
    <w:rsid w:val="007C53BB"/>
    <w:rsid w:val="007D423B"/>
    <w:rsid w:val="007D5A41"/>
    <w:rsid w:val="007F471C"/>
    <w:rsid w:val="0080332E"/>
    <w:rsid w:val="008068C8"/>
    <w:rsid w:val="00806F4F"/>
    <w:rsid w:val="00810855"/>
    <w:rsid w:val="008126BD"/>
    <w:rsid w:val="00821861"/>
    <w:rsid w:val="00822867"/>
    <w:rsid w:val="008231C4"/>
    <w:rsid w:val="008277D9"/>
    <w:rsid w:val="00832B8E"/>
    <w:rsid w:val="0083674A"/>
    <w:rsid w:val="00836A8D"/>
    <w:rsid w:val="008372C7"/>
    <w:rsid w:val="008442E1"/>
    <w:rsid w:val="008460EB"/>
    <w:rsid w:val="00846D47"/>
    <w:rsid w:val="00854222"/>
    <w:rsid w:val="008554EF"/>
    <w:rsid w:val="008574AF"/>
    <w:rsid w:val="00861056"/>
    <w:rsid w:val="0086391D"/>
    <w:rsid w:val="00871299"/>
    <w:rsid w:val="0087443D"/>
    <w:rsid w:val="00875CA1"/>
    <w:rsid w:val="00877134"/>
    <w:rsid w:val="00880D7E"/>
    <w:rsid w:val="008820DB"/>
    <w:rsid w:val="00882E23"/>
    <w:rsid w:val="00885868"/>
    <w:rsid w:val="0089034E"/>
    <w:rsid w:val="008923CB"/>
    <w:rsid w:val="00892E52"/>
    <w:rsid w:val="00893FB4"/>
    <w:rsid w:val="008A0017"/>
    <w:rsid w:val="008A11C6"/>
    <w:rsid w:val="008A6AA0"/>
    <w:rsid w:val="008A7A6F"/>
    <w:rsid w:val="008C03CF"/>
    <w:rsid w:val="008C14DA"/>
    <w:rsid w:val="008C358D"/>
    <w:rsid w:val="008D78AA"/>
    <w:rsid w:val="008D7AEB"/>
    <w:rsid w:val="008E4CF4"/>
    <w:rsid w:val="008E4DFF"/>
    <w:rsid w:val="008F1280"/>
    <w:rsid w:val="008F3141"/>
    <w:rsid w:val="008F655C"/>
    <w:rsid w:val="008F70E2"/>
    <w:rsid w:val="008F7C17"/>
    <w:rsid w:val="00900589"/>
    <w:rsid w:val="00904244"/>
    <w:rsid w:val="00904FDF"/>
    <w:rsid w:val="00911C8D"/>
    <w:rsid w:val="00916B9A"/>
    <w:rsid w:val="0091715F"/>
    <w:rsid w:val="00925DCB"/>
    <w:rsid w:val="00926FEF"/>
    <w:rsid w:val="0093748D"/>
    <w:rsid w:val="00944AEA"/>
    <w:rsid w:val="00945606"/>
    <w:rsid w:val="00945EE5"/>
    <w:rsid w:val="00946052"/>
    <w:rsid w:val="009465B8"/>
    <w:rsid w:val="00951C14"/>
    <w:rsid w:val="0095443E"/>
    <w:rsid w:val="00954691"/>
    <w:rsid w:val="0095494D"/>
    <w:rsid w:val="00957512"/>
    <w:rsid w:val="00962E04"/>
    <w:rsid w:val="00963F9F"/>
    <w:rsid w:val="0096562A"/>
    <w:rsid w:val="0096588C"/>
    <w:rsid w:val="00966C68"/>
    <w:rsid w:val="0096781A"/>
    <w:rsid w:val="00971898"/>
    <w:rsid w:val="00974A32"/>
    <w:rsid w:val="009751FE"/>
    <w:rsid w:val="00975E38"/>
    <w:rsid w:val="00983039"/>
    <w:rsid w:val="0098305F"/>
    <w:rsid w:val="00985184"/>
    <w:rsid w:val="00992813"/>
    <w:rsid w:val="0099295C"/>
    <w:rsid w:val="0099696B"/>
    <w:rsid w:val="009A134D"/>
    <w:rsid w:val="009A4927"/>
    <w:rsid w:val="009A7362"/>
    <w:rsid w:val="009B0A03"/>
    <w:rsid w:val="009B7714"/>
    <w:rsid w:val="009C33DB"/>
    <w:rsid w:val="009C586E"/>
    <w:rsid w:val="009C6786"/>
    <w:rsid w:val="009D0723"/>
    <w:rsid w:val="009D0EC3"/>
    <w:rsid w:val="009D38BF"/>
    <w:rsid w:val="009D4221"/>
    <w:rsid w:val="009D51F5"/>
    <w:rsid w:val="009D5C98"/>
    <w:rsid w:val="009E0902"/>
    <w:rsid w:val="009E1211"/>
    <w:rsid w:val="009E3043"/>
    <w:rsid w:val="009E6094"/>
    <w:rsid w:val="009E7445"/>
    <w:rsid w:val="009F0347"/>
    <w:rsid w:val="009F55DE"/>
    <w:rsid w:val="009F6993"/>
    <w:rsid w:val="009F6BF5"/>
    <w:rsid w:val="00A10350"/>
    <w:rsid w:val="00A122A8"/>
    <w:rsid w:val="00A17092"/>
    <w:rsid w:val="00A172AB"/>
    <w:rsid w:val="00A21311"/>
    <w:rsid w:val="00A22510"/>
    <w:rsid w:val="00A23AFA"/>
    <w:rsid w:val="00A266AE"/>
    <w:rsid w:val="00A3151F"/>
    <w:rsid w:val="00A40984"/>
    <w:rsid w:val="00A45D71"/>
    <w:rsid w:val="00A46E8A"/>
    <w:rsid w:val="00A470B4"/>
    <w:rsid w:val="00A5251E"/>
    <w:rsid w:val="00A56C1E"/>
    <w:rsid w:val="00A610E1"/>
    <w:rsid w:val="00A63DF1"/>
    <w:rsid w:val="00A6410A"/>
    <w:rsid w:val="00A65A6B"/>
    <w:rsid w:val="00A7260C"/>
    <w:rsid w:val="00A72739"/>
    <w:rsid w:val="00A72875"/>
    <w:rsid w:val="00A74C53"/>
    <w:rsid w:val="00A82941"/>
    <w:rsid w:val="00A85D00"/>
    <w:rsid w:val="00A91684"/>
    <w:rsid w:val="00A92E27"/>
    <w:rsid w:val="00AA5A56"/>
    <w:rsid w:val="00AB2222"/>
    <w:rsid w:val="00AB5A2D"/>
    <w:rsid w:val="00AB6A20"/>
    <w:rsid w:val="00AB7095"/>
    <w:rsid w:val="00AC2DEE"/>
    <w:rsid w:val="00AC626D"/>
    <w:rsid w:val="00AD781E"/>
    <w:rsid w:val="00AE0CC3"/>
    <w:rsid w:val="00AE1651"/>
    <w:rsid w:val="00AE32D2"/>
    <w:rsid w:val="00AE54F9"/>
    <w:rsid w:val="00AE5830"/>
    <w:rsid w:val="00AE7299"/>
    <w:rsid w:val="00AF2100"/>
    <w:rsid w:val="00B01D1F"/>
    <w:rsid w:val="00B06813"/>
    <w:rsid w:val="00B12BB0"/>
    <w:rsid w:val="00B13450"/>
    <w:rsid w:val="00B21FD3"/>
    <w:rsid w:val="00B25122"/>
    <w:rsid w:val="00B25E55"/>
    <w:rsid w:val="00B27248"/>
    <w:rsid w:val="00B272CD"/>
    <w:rsid w:val="00B275FA"/>
    <w:rsid w:val="00B32A2E"/>
    <w:rsid w:val="00B411FE"/>
    <w:rsid w:val="00B50D64"/>
    <w:rsid w:val="00B50EEF"/>
    <w:rsid w:val="00B51C3A"/>
    <w:rsid w:val="00B542A8"/>
    <w:rsid w:val="00B5544C"/>
    <w:rsid w:val="00B57513"/>
    <w:rsid w:val="00B57E2C"/>
    <w:rsid w:val="00B6466E"/>
    <w:rsid w:val="00B65DF1"/>
    <w:rsid w:val="00B67DFE"/>
    <w:rsid w:val="00B709C7"/>
    <w:rsid w:val="00B74556"/>
    <w:rsid w:val="00B75625"/>
    <w:rsid w:val="00B77982"/>
    <w:rsid w:val="00B846F6"/>
    <w:rsid w:val="00B909A6"/>
    <w:rsid w:val="00B90DFE"/>
    <w:rsid w:val="00B96A47"/>
    <w:rsid w:val="00BA40CA"/>
    <w:rsid w:val="00BA4F0F"/>
    <w:rsid w:val="00BA58C0"/>
    <w:rsid w:val="00BA7A92"/>
    <w:rsid w:val="00BB38A9"/>
    <w:rsid w:val="00BB5590"/>
    <w:rsid w:val="00BB65F1"/>
    <w:rsid w:val="00BB68BF"/>
    <w:rsid w:val="00BB7356"/>
    <w:rsid w:val="00BC360C"/>
    <w:rsid w:val="00BC3BA4"/>
    <w:rsid w:val="00BC5B90"/>
    <w:rsid w:val="00BD23AB"/>
    <w:rsid w:val="00BD370B"/>
    <w:rsid w:val="00BD43FB"/>
    <w:rsid w:val="00BD4BE4"/>
    <w:rsid w:val="00BD645D"/>
    <w:rsid w:val="00BD6E44"/>
    <w:rsid w:val="00BE1123"/>
    <w:rsid w:val="00BE4DED"/>
    <w:rsid w:val="00BE597F"/>
    <w:rsid w:val="00BE6C0F"/>
    <w:rsid w:val="00BF3190"/>
    <w:rsid w:val="00C04494"/>
    <w:rsid w:val="00C044D6"/>
    <w:rsid w:val="00C07289"/>
    <w:rsid w:val="00C104BF"/>
    <w:rsid w:val="00C11A3D"/>
    <w:rsid w:val="00C14D6E"/>
    <w:rsid w:val="00C17C36"/>
    <w:rsid w:val="00C24949"/>
    <w:rsid w:val="00C26BD0"/>
    <w:rsid w:val="00C3191E"/>
    <w:rsid w:val="00C31BD1"/>
    <w:rsid w:val="00C33748"/>
    <w:rsid w:val="00C34C40"/>
    <w:rsid w:val="00C35A6B"/>
    <w:rsid w:val="00C376C9"/>
    <w:rsid w:val="00C4502F"/>
    <w:rsid w:val="00C459A6"/>
    <w:rsid w:val="00C46EDA"/>
    <w:rsid w:val="00C50286"/>
    <w:rsid w:val="00C57F29"/>
    <w:rsid w:val="00C63194"/>
    <w:rsid w:val="00C7213C"/>
    <w:rsid w:val="00C749A7"/>
    <w:rsid w:val="00C802C6"/>
    <w:rsid w:val="00C83118"/>
    <w:rsid w:val="00C837DD"/>
    <w:rsid w:val="00C83DCD"/>
    <w:rsid w:val="00C869F3"/>
    <w:rsid w:val="00C9251B"/>
    <w:rsid w:val="00CA0FBC"/>
    <w:rsid w:val="00CA1467"/>
    <w:rsid w:val="00CA2096"/>
    <w:rsid w:val="00CA4C03"/>
    <w:rsid w:val="00CB351B"/>
    <w:rsid w:val="00CB3D6D"/>
    <w:rsid w:val="00CB4940"/>
    <w:rsid w:val="00CB68B1"/>
    <w:rsid w:val="00CB6B17"/>
    <w:rsid w:val="00CB6FCF"/>
    <w:rsid w:val="00CB76F8"/>
    <w:rsid w:val="00CD0D12"/>
    <w:rsid w:val="00CD31CC"/>
    <w:rsid w:val="00CD4549"/>
    <w:rsid w:val="00CD78A8"/>
    <w:rsid w:val="00CE027C"/>
    <w:rsid w:val="00CE1675"/>
    <w:rsid w:val="00CE407F"/>
    <w:rsid w:val="00CE6701"/>
    <w:rsid w:val="00CF2EEF"/>
    <w:rsid w:val="00CF54D1"/>
    <w:rsid w:val="00CF5695"/>
    <w:rsid w:val="00CF5FDD"/>
    <w:rsid w:val="00D02867"/>
    <w:rsid w:val="00D05AE1"/>
    <w:rsid w:val="00D13754"/>
    <w:rsid w:val="00D13EED"/>
    <w:rsid w:val="00D1508E"/>
    <w:rsid w:val="00D3114D"/>
    <w:rsid w:val="00D4108A"/>
    <w:rsid w:val="00D44309"/>
    <w:rsid w:val="00D46877"/>
    <w:rsid w:val="00D469CD"/>
    <w:rsid w:val="00D50ADD"/>
    <w:rsid w:val="00D548B9"/>
    <w:rsid w:val="00D54BEC"/>
    <w:rsid w:val="00D64B48"/>
    <w:rsid w:val="00D71A0E"/>
    <w:rsid w:val="00D7317F"/>
    <w:rsid w:val="00D73CA1"/>
    <w:rsid w:val="00D754C8"/>
    <w:rsid w:val="00D76924"/>
    <w:rsid w:val="00D77491"/>
    <w:rsid w:val="00D77764"/>
    <w:rsid w:val="00D91E82"/>
    <w:rsid w:val="00D96EC5"/>
    <w:rsid w:val="00DA3047"/>
    <w:rsid w:val="00DA3409"/>
    <w:rsid w:val="00DB14E8"/>
    <w:rsid w:val="00DB6E14"/>
    <w:rsid w:val="00DC16FD"/>
    <w:rsid w:val="00DC4C12"/>
    <w:rsid w:val="00DC50B3"/>
    <w:rsid w:val="00DD0217"/>
    <w:rsid w:val="00DE48B4"/>
    <w:rsid w:val="00DE560D"/>
    <w:rsid w:val="00DE5BB1"/>
    <w:rsid w:val="00DF49AE"/>
    <w:rsid w:val="00DF50D4"/>
    <w:rsid w:val="00DF7C14"/>
    <w:rsid w:val="00E006EB"/>
    <w:rsid w:val="00E02D87"/>
    <w:rsid w:val="00E03CA7"/>
    <w:rsid w:val="00E0505E"/>
    <w:rsid w:val="00E07A8D"/>
    <w:rsid w:val="00E1297B"/>
    <w:rsid w:val="00E227D3"/>
    <w:rsid w:val="00E22EFD"/>
    <w:rsid w:val="00E23452"/>
    <w:rsid w:val="00E26810"/>
    <w:rsid w:val="00E27440"/>
    <w:rsid w:val="00E275C7"/>
    <w:rsid w:val="00E33B46"/>
    <w:rsid w:val="00E348DA"/>
    <w:rsid w:val="00E40059"/>
    <w:rsid w:val="00E46A97"/>
    <w:rsid w:val="00E51886"/>
    <w:rsid w:val="00E51FE4"/>
    <w:rsid w:val="00E53ECA"/>
    <w:rsid w:val="00E6225F"/>
    <w:rsid w:val="00E640B1"/>
    <w:rsid w:val="00E64424"/>
    <w:rsid w:val="00E71131"/>
    <w:rsid w:val="00E735B1"/>
    <w:rsid w:val="00E75CBF"/>
    <w:rsid w:val="00E76F35"/>
    <w:rsid w:val="00E80A1E"/>
    <w:rsid w:val="00E80ABF"/>
    <w:rsid w:val="00E81AC2"/>
    <w:rsid w:val="00E84DFE"/>
    <w:rsid w:val="00E8728B"/>
    <w:rsid w:val="00E87CB9"/>
    <w:rsid w:val="00E87E98"/>
    <w:rsid w:val="00E901FC"/>
    <w:rsid w:val="00E91738"/>
    <w:rsid w:val="00E91A91"/>
    <w:rsid w:val="00E93286"/>
    <w:rsid w:val="00E95128"/>
    <w:rsid w:val="00E96483"/>
    <w:rsid w:val="00E96994"/>
    <w:rsid w:val="00E97154"/>
    <w:rsid w:val="00EA09BD"/>
    <w:rsid w:val="00EA20D3"/>
    <w:rsid w:val="00EA26E3"/>
    <w:rsid w:val="00EA50E9"/>
    <w:rsid w:val="00EA5D71"/>
    <w:rsid w:val="00EA5FEE"/>
    <w:rsid w:val="00EA6B57"/>
    <w:rsid w:val="00EB0D22"/>
    <w:rsid w:val="00EB0FD2"/>
    <w:rsid w:val="00EB1394"/>
    <w:rsid w:val="00EB2070"/>
    <w:rsid w:val="00EC44CA"/>
    <w:rsid w:val="00EC6D20"/>
    <w:rsid w:val="00ED06BB"/>
    <w:rsid w:val="00ED138F"/>
    <w:rsid w:val="00ED4704"/>
    <w:rsid w:val="00ED7F9F"/>
    <w:rsid w:val="00EE011D"/>
    <w:rsid w:val="00EE1097"/>
    <w:rsid w:val="00EE7AB5"/>
    <w:rsid w:val="00EF1A82"/>
    <w:rsid w:val="00EF2CF7"/>
    <w:rsid w:val="00EF3CA8"/>
    <w:rsid w:val="00EF3F34"/>
    <w:rsid w:val="00EF4E58"/>
    <w:rsid w:val="00F01F9F"/>
    <w:rsid w:val="00F02E37"/>
    <w:rsid w:val="00F04C6C"/>
    <w:rsid w:val="00F0619F"/>
    <w:rsid w:val="00F0651C"/>
    <w:rsid w:val="00F12A10"/>
    <w:rsid w:val="00F12B8D"/>
    <w:rsid w:val="00F16A9B"/>
    <w:rsid w:val="00F1727B"/>
    <w:rsid w:val="00F256F8"/>
    <w:rsid w:val="00F2596D"/>
    <w:rsid w:val="00F26027"/>
    <w:rsid w:val="00F26EF2"/>
    <w:rsid w:val="00F31573"/>
    <w:rsid w:val="00F319E4"/>
    <w:rsid w:val="00F33DD1"/>
    <w:rsid w:val="00F3583A"/>
    <w:rsid w:val="00F36696"/>
    <w:rsid w:val="00F3736E"/>
    <w:rsid w:val="00F42170"/>
    <w:rsid w:val="00F53B2B"/>
    <w:rsid w:val="00F55684"/>
    <w:rsid w:val="00F606B6"/>
    <w:rsid w:val="00F61359"/>
    <w:rsid w:val="00F642B6"/>
    <w:rsid w:val="00F65D71"/>
    <w:rsid w:val="00F70374"/>
    <w:rsid w:val="00F72B63"/>
    <w:rsid w:val="00F73F3F"/>
    <w:rsid w:val="00F77DB8"/>
    <w:rsid w:val="00F878F7"/>
    <w:rsid w:val="00F91429"/>
    <w:rsid w:val="00F9300C"/>
    <w:rsid w:val="00F942EE"/>
    <w:rsid w:val="00FB472B"/>
    <w:rsid w:val="00FC0C2B"/>
    <w:rsid w:val="00FC17B7"/>
    <w:rsid w:val="00FC2215"/>
    <w:rsid w:val="00FC4DB8"/>
    <w:rsid w:val="00FD0297"/>
    <w:rsid w:val="00FD36AA"/>
    <w:rsid w:val="00FD4BD7"/>
    <w:rsid w:val="00FD74E0"/>
    <w:rsid w:val="00FE123C"/>
    <w:rsid w:val="00FE1C96"/>
    <w:rsid w:val="00FE41D7"/>
    <w:rsid w:val="00FF0170"/>
    <w:rsid w:val="00FF2F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894AE16D-949C-4AEE-A955-257175E7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eastAsia="Arial" w:hAnsi="Arial" w:cs="Arial"/>
      <w:b/>
      <w:color w:val="000000"/>
      <w:sz w:val="28"/>
    </w:rPr>
  </w:style>
  <w:style w:type="paragraph" w:styleId="Heading3">
    <w:name w:val="heading 3"/>
    <w:basedOn w:val="Normal"/>
    <w:next w:val="Normal"/>
    <w:link w:val="Heading3Char"/>
    <w:uiPriority w:val="9"/>
    <w:semiHidden/>
    <w:unhideWhenUsed/>
    <w:qFormat/>
    <w:rsid w:val="00AA5A56"/>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Arial" w:hAnsi="Arial" w:cs="Arial"/>
      <w:b/>
      <w:color w:val="000000"/>
      <w:sz w:val="56"/>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65491F"/>
    <w:pPr>
      <w:spacing w:after="0" w:line="240" w:lineRule="auto"/>
      <w:ind w:left="10" w:right="56" w:hanging="10"/>
    </w:pPr>
    <w:rPr>
      <w:rFonts w:ascii="Arial" w:eastAsia="Arial" w:hAnsi="Arial" w:cs="Arial"/>
      <w:color w:val="000000"/>
    </w:rPr>
  </w:style>
  <w:style w:type="paragraph" w:styleId="TOCHeading">
    <w:name w:val="TOC Heading"/>
    <w:basedOn w:val="Heading1"/>
    <w:next w:val="Normal"/>
    <w:uiPriority w:val="39"/>
    <w:unhideWhenUsed/>
    <w:qFormat/>
    <w:rsid w:val="0065491F"/>
    <w:pPr>
      <w:spacing w:before="240"/>
      <w:ind w:left="0" w:right="0" w:firstLine="0"/>
      <w:outlineLvl w:val="9"/>
    </w:pPr>
    <w:rPr>
      <w:rFonts w:asciiTheme="majorHAnsi" w:eastAsiaTheme="majorEastAsia" w:hAnsiTheme="majorHAnsi" w:cstheme="majorBid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65491F"/>
    <w:pPr>
      <w:spacing w:after="100"/>
      <w:ind w:left="0"/>
    </w:pPr>
  </w:style>
  <w:style w:type="paragraph" w:styleId="TOC2">
    <w:name w:val="toc 2"/>
    <w:basedOn w:val="Normal"/>
    <w:next w:val="Normal"/>
    <w:autoRedefine/>
    <w:uiPriority w:val="39"/>
    <w:unhideWhenUsed/>
    <w:rsid w:val="0065491F"/>
    <w:pPr>
      <w:spacing w:after="100"/>
      <w:ind w:left="240"/>
    </w:pPr>
  </w:style>
  <w:style w:type="character" w:styleId="Hyperlink">
    <w:name w:val="Hyperlink"/>
    <w:basedOn w:val="DefaultParagraphFont"/>
    <w:uiPriority w:val="99"/>
    <w:unhideWhenUsed/>
    <w:rsid w:val="0065491F"/>
    <w:rPr>
      <w:color w:val="467886" w:themeColor="hyperlink"/>
      <w:u w:val="single"/>
    </w:rPr>
  </w:style>
  <w:style w:type="paragraph" w:styleId="ListParagraph">
    <w:name w:val="List Paragraph"/>
    <w:basedOn w:val="Normal"/>
    <w:uiPriority w:val="34"/>
    <w:qFormat/>
    <w:rsid w:val="003568ED"/>
    <w:pPr>
      <w:ind w:left="720"/>
      <w:contextualSpacing/>
    </w:pPr>
  </w:style>
  <w:style w:type="character" w:styleId="UnresolvedMention">
    <w:name w:val="Unresolved Mention"/>
    <w:basedOn w:val="DefaultParagraphFont"/>
    <w:uiPriority w:val="99"/>
    <w:semiHidden/>
    <w:unhideWhenUsed/>
    <w:rsid w:val="00D64B48"/>
    <w:rPr>
      <w:color w:val="605E5C"/>
      <w:shd w:val="clear" w:color="auto" w:fill="E1DFDD"/>
    </w:rPr>
  </w:style>
  <w:style w:type="paragraph" w:styleId="Bibliography">
    <w:name w:val="Bibliography"/>
    <w:basedOn w:val="Normal"/>
    <w:next w:val="Normal"/>
    <w:uiPriority w:val="37"/>
    <w:unhideWhenUsed/>
    <w:rsid w:val="00A3151F"/>
  </w:style>
  <w:style w:type="paragraph" w:styleId="NormalWeb">
    <w:name w:val="Normal (Web)"/>
    <w:basedOn w:val="Normal"/>
    <w:uiPriority w:val="99"/>
    <w:semiHidden/>
    <w:unhideWhenUsed/>
    <w:rsid w:val="005C50B6"/>
    <w:rPr>
      <w:rFonts w:ascii="Times New Roman" w:hAnsi="Times New Roman" w:cs="Times New Roman"/>
    </w:rPr>
  </w:style>
  <w:style w:type="character" w:customStyle="1" w:styleId="Heading3Char">
    <w:name w:val="Heading 3 Char"/>
    <w:basedOn w:val="DefaultParagraphFont"/>
    <w:link w:val="Heading3"/>
    <w:uiPriority w:val="9"/>
    <w:semiHidden/>
    <w:rsid w:val="00AA5A56"/>
    <w:rPr>
      <w:rFonts w:asciiTheme="majorHAnsi" w:eastAsiaTheme="majorEastAsia" w:hAnsiTheme="majorHAnsi" w:cstheme="majorBidi"/>
      <w:color w:val="0A2F40" w:themeColor="accent1" w:themeShade="7F"/>
    </w:rPr>
  </w:style>
  <w:style w:type="table" w:styleId="PlainTable3">
    <w:name w:val="Plain Table 3"/>
    <w:basedOn w:val="TableNormal"/>
    <w:uiPriority w:val="43"/>
    <w:rsid w:val="005176C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semiHidden/>
    <w:unhideWhenUsed/>
    <w:rsid w:val="00CD31C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D31CC"/>
    <w:rPr>
      <w:rFonts w:ascii="Arial" w:eastAsia="Arial" w:hAnsi="Arial" w:cs="Arial"/>
      <w:color w:val="000000"/>
    </w:rPr>
  </w:style>
  <w:style w:type="paragraph" w:styleId="Footer">
    <w:name w:val="footer"/>
    <w:basedOn w:val="Normal"/>
    <w:link w:val="FooterChar"/>
    <w:uiPriority w:val="99"/>
    <w:semiHidden/>
    <w:unhideWhenUsed/>
    <w:rsid w:val="00CD31C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D31CC"/>
    <w:rPr>
      <w:rFonts w:ascii="Arial" w:eastAsia="Arial" w:hAnsi="Arial" w:cs="Arial"/>
      <w:color w:val="000000"/>
    </w:rPr>
  </w:style>
  <w:style w:type="table" w:styleId="TableGrid0">
    <w:name w:val="Table Grid"/>
    <w:basedOn w:val="TableNormal"/>
    <w:uiPriority w:val="39"/>
    <w:rsid w:val="00966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044E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442E1"/>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444">
      <w:bodyDiv w:val="1"/>
      <w:marLeft w:val="0"/>
      <w:marRight w:val="0"/>
      <w:marTop w:val="0"/>
      <w:marBottom w:val="0"/>
      <w:divBdr>
        <w:top w:val="none" w:sz="0" w:space="0" w:color="auto"/>
        <w:left w:val="none" w:sz="0" w:space="0" w:color="auto"/>
        <w:bottom w:val="none" w:sz="0" w:space="0" w:color="auto"/>
        <w:right w:val="none" w:sz="0" w:space="0" w:color="auto"/>
      </w:divBdr>
    </w:div>
    <w:div w:id="9336969">
      <w:bodyDiv w:val="1"/>
      <w:marLeft w:val="0"/>
      <w:marRight w:val="0"/>
      <w:marTop w:val="0"/>
      <w:marBottom w:val="0"/>
      <w:divBdr>
        <w:top w:val="none" w:sz="0" w:space="0" w:color="auto"/>
        <w:left w:val="none" w:sz="0" w:space="0" w:color="auto"/>
        <w:bottom w:val="none" w:sz="0" w:space="0" w:color="auto"/>
        <w:right w:val="none" w:sz="0" w:space="0" w:color="auto"/>
      </w:divBdr>
    </w:div>
    <w:div w:id="79445513">
      <w:bodyDiv w:val="1"/>
      <w:marLeft w:val="0"/>
      <w:marRight w:val="0"/>
      <w:marTop w:val="0"/>
      <w:marBottom w:val="0"/>
      <w:divBdr>
        <w:top w:val="none" w:sz="0" w:space="0" w:color="auto"/>
        <w:left w:val="none" w:sz="0" w:space="0" w:color="auto"/>
        <w:bottom w:val="none" w:sz="0" w:space="0" w:color="auto"/>
        <w:right w:val="none" w:sz="0" w:space="0" w:color="auto"/>
      </w:divBdr>
    </w:div>
    <w:div w:id="90275260">
      <w:bodyDiv w:val="1"/>
      <w:marLeft w:val="0"/>
      <w:marRight w:val="0"/>
      <w:marTop w:val="0"/>
      <w:marBottom w:val="0"/>
      <w:divBdr>
        <w:top w:val="none" w:sz="0" w:space="0" w:color="auto"/>
        <w:left w:val="none" w:sz="0" w:space="0" w:color="auto"/>
        <w:bottom w:val="none" w:sz="0" w:space="0" w:color="auto"/>
        <w:right w:val="none" w:sz="0" w:space="0" w:color="auto"/>
      </w:divBdr>
    </w:div>
    <w:div w:id="99878880">
      <w:bodyDiv w:val="1"/>
      <w:marLeft w:val="0"/>
      <w:marRight w:val="0"/>
      <w:marTop w:val="0"/>
      <w:marBottom w:val="0"/>
      <w:divBdr>
        <w:top w:val="none" w:sz="0" w:space="0" w:color="auto"/>
        <w:left w:val="none" w:sz="0" w:space="0" w:color="auto"/>
        <w:bottom w:val="none" w:sz="0" w:space="0" w:color="auto"/>
        <w:right w:val="none" w:sz="0" w:space="0" w:color="auto"/>
      </w:divBdr>
    </w:div>
    <w:div w:id="143552191">
      <w:bodyDiv w:val="1"/>
      <w:marLeft w:val="0"/>
      <w:marRight w:val="0"/>
      <w:marTop w:val="0"/>
      <w:marBottom w:val="0"/>
      <w:divBdr>
        <w:top w:val="none" w:sz="0" w:space="0" w:color="auto"/>
        <w:left w:val="none" w:sz="0" w:space="0" w:color="auto"/>
        <w:bottom w:val="none" w:sz="0" w:space="0" w:color="auto"/>
        <w:right w:val="none" w:sz="0" w:space="0" w:color="auto"/>
      </w:divBdr>
    </w:div>
    <w:div w:id="180512023">
      <w:bodyDiv w:val="1"/>
      <w:marLeft w:val="0"/>
      <w:marRight w:val="0"/>
      <w:marTop w:val="0"/>
      <w:marBottom w:val="0"/>
      <w:divBdr>
        <w:top w:val="none" w:sz="0" w:space="0" w:color="auto"/>
        <w:left w:val="none" w:sz="0" w:space="0" w:color="auto"/>
        <w:bottom w:val="none" w:sz="0" w:space="0" w:color="auto"/>
        <w:right w:val="none" w:sz="0" w:space="0" w:color="auto"/>
      </w:divBdr>
    </w:div>
    <w:div w:id="181096167">
      <w:bodyDiv w:val="1"/>
      <w:marLeft w:val="0"/>
      <w:marRight w:val="0"/>
      <w:marTop w:val="0"/>
      <w:marBottom w:val="0"/>
      <w:divBdr>
        <w:top w:val="none" w:sz="0" w:space="0" w:color="auto"/>
        <w:left w:val="none" w:sz="0" w:space="0" w:color="auto"/>
        <w:bottom w:val="none" w:sz="0" w:space="0" w:color="auto"/>
        <w:right w:val="none" w:sz="0" w:space="0" w:color="auto"/>
      </w:divBdr>
    </w:div>
    <w:div w:id="188028717">
      <w:bodyDiv w:val="1"/>
      <w:marLeft w:val="0"/>
      <w:marRight w:val="0"/>
      <w:marTop w:val="0"/>
      <w:marBottom w:val="0"/>
      <w:divBdr>
        <w:top w:val="none" w:sz="0" w:space="0" w:color="auto"/>
        <w:left w:val="none" w:sz="0" w:space="0" w:color="auto"/>
        <w:bottom w:val="none" w:sz="0" w:space="0" w:color="auto"/>
        <w:right w:val="none" w:sz="0" w:space="0" w:color="auto"/>
      </w:divBdr>
    </w:div>
    <w:div w:id="192690124">
      <w:bodyDiv w:val="1"/>
      <w:marLeft w:val="0"/>
      <w:marRight w:val="0"/>
      <w:marTop w:val="0"/>
      <w:marBottom w:val="0"/>
      <w:divBdr>
        <w:top w:val="none" w:sz="0" w:space="0" w:color="auto"/>
        <w:left w:val="none" w:sz="0" w:space="0" w:color="auto"/>
        <w:bottom w:val="none" w:sz="0" w:space="0" w:color="auto"/>
        <w:right w:val="none" w:sz="0" w:space="0" w:color="auto"/>
      </w:divBdr>
    </w:div>
    <w:div w:id="202713448">
      <w:bodyDiv w:val="1"/>
      <w:marLeft w:val="0"/>
      <w:marRight w:val="0"/>
      <w:marTop w:val="0"/>
      <w:marBottom w:val="0"/>
      <w:divBdr>
        <w:top w:val="none" w:sz="0" w:space="0" w:color="auto"/>
        <w:left w:val="none" w:sz="0" w:space="0" w:color="auto"/>
        <w:bottom w:val="none" w:sz="0" w:space="0" w:color="auto"/>
        <w:right w:val="none" w:sz="0" w:space="0" w:color="auto"/>
      </w:divBdr>
    </w:div>
    <w:div w:id="280963515">
      <w:bodyDiv w:val="1"/>
      <w:marLeft w:val="0"/>
      <w:marRight w:val="0"/>
      <w:marTop w:val="0"/>
      <w:marBottom w:val="0"/>
      <w:divBdr>
        <w:top w:val="none" w:sz="0" w:space="0" w:color="auto"/>
        <w:left w:val="none" w:sz="0" w:space="0" w:color="auto"/>
        <w:bottom w:val="none" w:sz="0" w:space="0" w:color="auto"/>
        <w:right w:val="none" w:sz="0" w:space="0" w:color="auto"/>
      </w:divBdr>
    </w:div>
    <w:div w:id="331034938">
      <w:bodyDiv w:val="1"/>
      <w:marLeft w:val="0"/>
      <w:marRight w:val="0"/>
      <w:marTop w:val="0"/>
      <w:marBottom w:val="0"/>
      <w:divBdr>
        <w:top w:val="none" w:sz="0" w:space="0" w:color="auto"/>
        <w:left w:val="none" w:sz="0" w:space="0" w:color="auto"/>
        <w:bottom w:val="none" w:sz="0" w:space="0" w:color="auto"/>
        <w:right w:val="none" w:sz="0" w:space="0" w:color="auto"/>
      </w:divBdr>
    </w:div>
    <w:div w:id="381252761">
      <w:bodyDiv w:val="1"/>
      <w:marLeft w:val="0"/>
      <w:marRight w:val="0"/>
      <w:marTop w:val="0"/>
      <w:marBottom w:val="0"/>
      <w:divBdr>
        <w:top w:val="none" w:sz="0" w:space="0" w:color="auto"/>
        <w:left w:val="none" w:sz="0" w:space="0" w:color="auto"/>
        <w:bottom w:val="none" w:sz="0" w:space="0" w:color="auto"/>
        <w:right w:val="none" w:sz="0" w:space="0" w:color="auto"/>
      </w:divBdr>
    </w:div>
    <w:div w:id="472910596">
      <w:bodyDiv w:val="1"/>
      <w:marLeft w:val="0"/>
      <w:marRight w:val="0"/>
      <w:marTop w:val="0"/>
      <w:marBottom w:val="0"/>
      <w:divBdr>
        <w:top w:val="none" w:sz="0" w:space="0" w:color="auto"/>
        <w:left w:val="none" w:sz="0" w:space="0" w:color="auto"/>
        <w:bottom w:val="none" w:sz="0" w:space="0" w:color="auto"/>
        <w:right w:val="none" w:sz="0" w:space="0" w:color="auto"/>
      </w:divBdr>
    </w:div>
    <w:div w:id="497623249">
      <w:bodyDiv w:val="1"/>
      <w:marLeft w:val="0"/>
      <w:marRight w:val="0"/>
      <w:marTop w:val="0"/>
      <w:marBottom w:val="0"/>
      <w:divBdr>
        <w:top w:val="none" w:sz="0" w:space="0" w:color="auto"/>
        <w:left w:val="none" w:sz="0" w:space="0" w:color="auto"/>
        <w:bottom w:val="none" w:sz="0" w:space="0" w:color="auto"/>
        <w:right w:val="none" w:sz="0" w:space="0" w:color="auto"/>
      </w:divBdr>
    </w:div>
    <w:div w:id="538396133">
      <w:bodyDiv w:val="1"/>
      <w:marLeft w:val="0"/>
      <w:marRight w:val="0"/>
      <w:marTop w:val="0"/>
      <w:marBottom w:val="0"/>
      <w:divBdr>
        <w:top w:val="none" w:sz="0" w:space="0" w:color="auto"/>
        <w:left w:val="none" w:sz="0" w:space="0" w:color="auto"/>
        <w:bottom w:val="none" w:sz="0" w:space="0" w:color="auto"/>
        <w:right w:val="none" w:sz="0" w:space="0" w:color="auto"/>
      </w:divBdr>
    </w:div>
    <w:div w:id="603998883">
      <w:bodyDiv w:val="1"/>
      <w:marLeft w:val="0"/>
      <w:marRight w:val="0"/>
      <w:marTop w:val="0"/>
      <w:marBottom w:val="0"/>
      <w:divBdr>
        <w:top w:val="none" w:sz="0" w:space="0" w:color="auto"/>
        <w:left w:val="none" w:sz="0" w:space="0" w:color="auto"/>
        <w:bottom w:val="none" w:sz="0" w:space="0" w:color="auto"/>
        <w:right w:val="none" w:sz="0" w:space="0" w:color="auto"/>
      </w:divBdr>
    </w:div>
    <w:div w:id="625820939">
      <w:bodyDiv w:val="1"/>
      <w:marLeft w:val="0"/>
      <w:marRight w:val="0"/>
      <w:marTop w:val="0"/>
      <w:marBottom w:val="0"/>
      <w:divBdr>
        <w:top w:val="none" w:sz="0" w:space="0" w:color="auto"/>
        <w:left w:val="none" w:sz="0" w:space="0" w:color="auto"/>
        <w:bottom w:val="none" w:sz="0" w:space="0" w:color="auto"/>
        <w:right w:val="none" w:sz="0" w:space="0" w:color="auto"/>
      </w:divBdr>
    </w:div>
    <w:div w:id="639773657">
      <w:bodyDiv w:val="1"/>
      <w:marLeft w:val="0"/>
      <w:marRight w:val="0"/>
      <w:marTop w:val="0"/>
      <w:marBottom w:val="0"/>
      <w:divBdr>
        <w:top w:val="none" w:sz="0" w:space="0" w:color="auto"/>
        <w:left w:val="none" w:sz="0" w:space="0" w:color="auto"/>
        <w:bottom w:val="none" w:sz="0" w:space="0" w:color="auto"/>
        <w:right w:val="none" w:sz="0" w:space="0" w:color="auto"/>
      </w:divBdr>
    </w:div>
    <w:div w:id="640040978">
      <w:bodyDiv w:val="1"/>
      <w:marLeft w:val="0"/>
      <w:marRight w:val="0"/>
      <w:marTop w:val="0"/>
      <w:marBottom w:val="0"/>
      <w:divBdr>
        <w:top w:val="none" w:sz="0" w:space="0" w:color="auto"/>
        <w:left w:val="none" w:sz="0" w:space="0" w:color="auto"/>
        <w:bottom w:val="none" w:sz="0" w:space="0" w:color="auto"/>
        <w:right w:val="none" w:sz="0" w:space="0" w:color="auto"/>
      </w:divBdr>
    </w:div>
    <w:div w:id="650334777">
      <w:bodyDiv w:val="1"/>
      <w:marLeft w:val="0"/>
      <w:marRight w:val="0"/>
      <w:marTop w:val="0"/>
      <w:marBottom w:val="0"/>
      <w:divBdr>
        <w:top w:val="none" w:sz="0" w:space="0" w:color="auto"/>
        <w:left w:val="none" w:sz="0" w:space="0" w:color="auto"/>
        <w:bottom w:val="none" w:sz="0" w:space="0" w:color="auto"/>
        <w:right w:val="none" w:sz="0" w:space="0" w:color="auto"/>
      </w:divBdr>
    </w:div>
    <w:div w:id="665596586">
      <w:bodyDiv w:val="1"/>
      <w:marLeft w:val="0"/>
      <w:marRight w:val="0"/>
      <w:marTop w:val="0"/>
      <w:marBottom w:val="0"/>
      <w:divBdr>
        <w:top w:val="none" w:sz="0" w:space="0" w:color="auto"/>
        <w:left w:val="none" w:sz="0" w:space="0" w:color="auto"/>
        <w:bottom w:val="none" w:sz="0" w:space="0" w:color="auto"/>
        <w:right w:val="none" w:sz="0" w:space="0" w:color="auto"/>
      </w:divBdr>
    </w:div>
    <w:div w:id="705446223">
      <w:bodyDiv w:val="1"/>
      <w:marLeft w:val="0"/>
      <w:marRight w:val="0"/>
      <w:marTop w:val="0"/>
      <w:marBottom w:val="0"/>
      <w:divBdr>
        <w:top w:val="none" w:sz="0" w:space="0" w:color="auto"/>
        <w:left w:val="none" w:sz="0" w:space="0" w:color="auto"/>
        <w:bottom w:val="none" w:sz="0" w:space="0" w:color="auto"/>
        <w:right w:val="none" w:sz="0" w:space="0" w:color="auto"/>
      </w:divBdr>
    </w:div>
    <w:div w:id="754395560">
      <w:bodyDiv w:val="1"/>
      <w:marLeft w:val="0"/>
      <w:marRight w:val="0"/>
      <w:marTop w:val="0"/>
      <w:marBottom w:val="0"/>
      <w:divBdr>
        <w:top w:val="none" w:sz="0" w:space="0" w:color="auto"/>
        <w:left w:val="none" w:sz="0" w:space="0" w:color="auto"/>
        <w:bottom w:val="none" w:sz="0" w:space="0" w:color="auto"/>
        <w:right w:val="none" w:sz="0" w:space="0" w:color="auto"/>
      </w:divBdr>
    </w:div>
    <w:div w:id="776026487">
      <w:bodyDiv w:val="1"/>
      <w:marLeft w:val="0"/>
      <w:marRight w:val="0"/>
      <w:marTop w:val="0"/>
      <w:marBottom w:val="0"/>
      <w:divBdr>
        <w:top w:val="none" w:sz="0" w:space="0" w:color="auto"/>
        <w:left w:val="none" w:sz="0" w:space="0" w:color="auto"/>
        <w:bottom w:val="none" w:sz="0" w:space="0" w:color="auto"/>
        <w:right w:val="none" w:sz="0" w:space="0" w:color="auto"/>
      </w:divBdr>
    </w:div>
    <w:div w:id="842203737">
      <w:bodyDiv w:val="1"/>
      <w:marLeft w:val="0"/>
      <w:marRight w:val="0"/>
      <w:marTop w:val="0"/>
      <w:marBottom w:val="0"/>
      <w:divBdr>
        <w:top w:val="none" w:sz="0" w:space="0" w:color="auto"/>
        <w:left w:val="none" w:sz="0" w:space="0" w:color="auto"/>
        <w:bottom w:val="none" w:sz="0" w:space="0" w:color="auto"/>
        <w:right w:val="none" w:sz="0" w:space="0" w:color="auto"/>
      </w:divBdr>
    </w:div>
    <w:div w:id="865483035">
      <w:bodyDiv w:val="1"/>
      <w:marLeft w:val="0"/>
      <w:marRight w:val="0"/>
      <w:marTop w:val="0"/>
      <w:marBottom w:val="0"/>
      <w:divBdr>
        <w:top w:val="none" w:sz="0" w:space="0" w:color="auto"/>
        <w:left w:val="none" w:sz="0" w:space="0" w:color="auto"/>
        <w:bottom w:val="none" w:sz="0" w:space="0" w:color="auto"/>
        <w:right w:val="none" w:sz="0" w:space="0" w:color="auto"/>
      </w:divBdr>
    </w:div>
    <w:div w:id="892698331">
      <w:bodyDiv w:val="1"/>
      <w:marLeft w:val="0"/>
      <w:marRight w:val="0"/>
      <w:marTop w:val="0"/>
      <w:marBottom w:val="0"/>
      <w:divBdr>
        <w:top w:val="none" w:sz="0" w:space="0" w:color="auto"/>
        <w:left w:val="none" w:sz="0" w:space="0" w:color="auto"/>
        <w:bottom w:val="none" w:sz="0" w:space="0" w:color="auto"/>
        <w:right w:val="none" w:sz="0" w:space="0" w:color="auto"/>
      </w:divBdr>
    </w:div>
    <w:div w:id="896401686">
      <w:bodyDiv w:val="1"/>
      <w:marLeft w:val="0"/>
      <w:marRight w:val="0"/>
      <w:marTop w:val="0"/>
      <w:marBottom w:val="0"/>
      <w:divBdr>
        <w:top w:val="none" w:sz="0" w:space="0" w:color="auto"/>
        <w:left w:val="none" w:sz="0" w:space="0" w:color="auto"/>
        <w:bottom w:val="none" w:sz="0" w:space="0" w:color="auto"/>
        <w:right w:val="none" w:sz="0" w:space="0" w:color="auto"/>
      </w:divBdr>
    </w:div>
    <w:div w:id="900596315">
      <w:bodyDiv w:val="1"/>
      <w:marLeft w:val="0"/>
      <w:marRight w:val="0"/>
      <w:marTop w:val="0"/>
      <w:marBottom w:val="0"/>
      <w:divBdr>
        <w:top w:val="none" w:sz="0" w:space="0" w:color="auto"/>
        <w:left w:val="none" w:sz="0" w:space="0" w:color="auto"/>
        <w:bottom w:val="none" w:sz="0" w:space="0" w:color="auto"/>
        <w:right w:val="none" w:sz="0" w:space="0" w:color="auto"/>
      </w:divBdr>
    </w:div>
    <w:div w:id="927347602">
      <w:bodyDiv w:val="1"/>
      <w:marLeft w:val="0"/>
      <w:marRight w:val="0"/>
      <w:marTop w:val="0"/>
      <w:marBottom w:val="0"/>
      <w:divBdr>
        <w:top w:val="none" w:sz="0" w:space="0" w:color="auto"/>
        <w:left w:val="none" w:sz="0" w:space="0" w:color="auto"/>
        <w:bottom w:val="none" w:sz="0" w:space="0" w:color="auto"/>
        <w:right w:val="none" w:sz="0" w:space="0" w:color="auto"/>
      </w:divBdr>
    </w:div>
    <w:div w:id="942150365">
      <w:bodyDiv w:val="1"/>
      <w:marLeft w:val="0"/>
      <w:marRight w:val="0"/>
      <w:marTop w:val="0"/>
      <w:marBottom w:val="0"/>
      <w:divBdr>
        <w:top w:val="none" w:sz="0" w:space="0" w:color="auto"/>
        <w:left w:val="none" w:sz="0" w:space="0" w:color="auto"/>
        <w:bottom w:val="none" w:sz="0" w:space="0" w:color="auto"/>
        <w:right w:val="none" w:sz="0" w:space="0" w:color="auto"/>
      </w:divBdr>
    </w:div>
    <w:div w:id="958412763">
      <w:bodyDiv w:val="1"/>
      <w:marLeft w:val="0"/>
      <w:marRight w:val="0"/>
      <w:marTop w:val="0"/>
      <w:marBottom w:val="0"/>
      <w:divBdr>
        <w:top w:val="none" w:sz="0" w:space="0" w:color="auto"/>
        <w:left w:val="none" w:sz="0" w:space="0" w:color="auto"/>
        <w:bottom w:val="none" w:sz="0" w:space="0" w:color="auto"/>
        <w:right w:val="none" w:sz="0" w:space="0" w:color="auto"/>
      </w:divBdr>
    </w:div>
    <w:div w:id="1009255678">
      <w:bodyDiv w:val="1"/>
      <w:marLeft w:val="0"/>
      <w:marRight w:val="0"/>
      <w:marTop w:val="0"/>
      <w:marBottom w:val="0"/>
      <w:divBdr>
        <w:top w:val="none" w:sz="0" w:space="0" w:color="auto"/>
        <w:left w:val="none" w:sz="0" w:space="0" w:color="auto"/>
        <w:bottom w:val="none" w:sz="0" w:space="0" w:color="auto"/>
        <w:right w:val="none" w:sz="0" w:space="0" w:color="auto"/>
      </w:divBdr>
    </w:div>
    <w:div w:id="1051032521">
      <w:bodyDiv w:val="1"/>
      <w:marLeft w:val="0"/>
      <w:marRight w:val="0"/>
      <w:marTop w:val="0"/>
      <w:marBottom w:val="0"/>
      <w:divBdr>
        <w:top w:val="none" w:sz="0" w:space="0" w:color="auto"/>
        <w:left w:val="none" w:sz="0" w:space="0" w:color="auto"/>
        <w:bottom w:val="none" w:sz="0" w:space="0" w:color="auto"/>
        <w:right w:val="none" w:sz="0" w:space="0" w:color="auto"/>
      </w:divBdr>
    </w:div>
    <w:div w:id="1171330594">
      <w:bodyDiv w:val="1"/>
      <w:marLeft w:val="0"/>
      <w:marRight w:val="0"/>
      <w:marTop w:val="0"/>
      <w:marBottom w:val="0"/>
      <w:divBdr>
        <w:top w:val="none" w:sz="0" w:space="0" w:color="auto"/>
        <w:left w:val="none" w:sz="0" w:space="0" w:color="auto"/>
        <w:bottom w:val="none" w:sz="0" w:space="0" w:color="auto"/>
        <w:right w:val="none" w:sz="0" w:space="0" w:color="auto"/>
      </w:divBdr>
    </w:div>
    <w:div w:id="1182163306">
      <w:bodyDiv w:val="1"/>
      <w:marLeft w:val="0"/>
      <w:marRight w:val="0"/>
      <w:marTop w:val="0"/>
      <w:marBottom w:val="0"/>
      <w:divBdr>
        <w:top w:val="none" w:sz="0" w:space="0" w:color="auto"/>
        <w:left w:val="none" w:sz="0" w:space="0" w:color="auto"/>
        <w:bottom w:val="none" w:sz="0" w:space="0" w:color="auto"/>
        <w:right w:val="none" w:sz="0" w:space="0" w:color="auto"/>
      </w:divBdr>
    </w:div>
    <w:div w:id="1234895040">
      <w:bodyDiv w:val="1"/>
      <w:marLeft w:val="0"/>
      <w:marRight w:val="0"/>
      <w:marTop w:val="0"/>
      <w:marBottom w:val="0"/>
      <w:divBdr>
        <w:top w:val="none" w:sz="0" w:space="0" w:color="auto"/>
        <w:left w:val="none" w:sz="0" w:space="0" w:color="auto"/>
        <w:bottom w:val="none" w:sz="0" w:space="0" w:color="auto"/>
        <w:right w:val="none" w:sz="0" w:space="0" w:color="auto"/>
      </w:divBdr>
    </w:div>
    <w:div w:id="1240939592">
      <w:bodyDiv w:val="1"/>
      <w:marLeft w:val="0"/>
      <w:marRight w:val="0"/>
      <w:marTop w:val="0"/>
      <w:marBottom w:val="0"/>
      <w:divBdr>
        <w:top w:val="none" w:sz="0" w:space="0" w:color="auto"/>
        <w:left w:val="none" w:sz="0" w:space="0" w:color="auto"/>
        <w:bottom w:val="none" w:sz="0" w:space="0" w:color="auto"/>
        <w:right w:val="none" w:sz="0" w:space="0" w:color="auto"/>
      </w:divBdr>
    </w:div>
    <w:div w:id="1247885247">
      <w:bodyDiv w:val="1"/>
      <w:marLeft w:val="0"/>
      <w:marRight w:val="0"/>
      <w:marTop w:val="0"/>
      <w:marBottom w:val="0"/>
      <w:divBdr>
        <w:top w:val="none" w:sz="0" w:space="0" w:color="auto"/>
        <w:left w:val="none" w:sz="0" w:space="0" w:color="auto"/>
        <w:bottom w:val="none" w:sz="0" w:space="0" w:color="auto"/>
        <w:right w:val="none" w:sz="0" w:space="0" w:color="auto"/>
      </w:divBdr>
    </w:div>
    <w:div w:id="1263495978">
      <w:bodyDiv w:val="1"/>
      <w:marLeft w:val="0"/>
      <w:marRight w:val="0"/>
      <w:marTop w:val="0"/>
      <w:marBottom w:val="0"/>
      <w:divBdr>
        <w:top w:val="none" w:sz="0" w:space="0" w:color="auto"/>
        <w:left w:val="none" w:sz="0" w:space="0" w:color="auto"/>
        <w:bottom w:val="none" w:sz="0" w:space="0" w:color="auto"/>
        <w:right w:val="none" w:sz="0" w:space="0" w:color="auto"/>
      </w:divBdr>
    </w:div>
    <w:div w:id="1279484690">
      <w:bodyDiv w:val="1"/>
      <w:marLeft w:val="0"/>
      <w:marRight w:val="0"/>
      <w:marTop w:val="0"/>
      <w:marBottom w:val="0"/>
      <w:divBdr>
        <w:top w:val="none" w:sz="0" w:space="0" w:color="auto"/>
        <w:left w:val="none" w:sz="0" w:space="0" w:color="auto"/>
        <w:bottom w:val="none" w:sz="0" w:space="0" w:color="auto"/>
        <w:right w:val="none" w:sz="0" w:space="0" w:color="auto"/>
      </w:divBdr>
    </w:div>
    <w:div w:id="1315448939">
      <w:bodyDiv w:val="1"/>
      <w:marLeft w:val="0"/>
      <w:marRight w:val="0"/>
      <w:marTop w:val="0"/>
      <w:marBottom w:val="0"/>
      <w:divBdr>
        <w:top w:val="none" w:sz="0" w:space="0" w:color="auto"/>
        <w:left w:val="none" w:sz="0" w:space="0" w:color="auto"/>
        <w:bottom w:val="none" w:sz="0" w:space="0" w:color="auto"/>
        <w:right w:val="none" w:sz="0" w:space="0" w:color="auto"/>
      </w:divBdr>
    </w:div>
    <w:div w:id="1462454731">
      <w:bodyDiv w:val="1"/>
      <w:marLeft w:val="0"/>
      <w:marRight w:val="0"/>
      <w:marTop w:val="0"/>
      <w:marBottom w:val="0"/>
      <w:divBdr>
        <w:top w:val="none" w:sz="0" w:space="0" w:color="auto"/>
        <w:left w:val="none" w:sz="0" w:space="0" w:color="auto"/>
        <w:bottom w:val="none" w:sz="0" w:space="0" w:color="auto"/>
        <w:right w:val="none" w:sz="0" w:space="0" w:color="auto"/>
      </w:divBdr>
    </w:div>
    <w:div w:id="1473061039">
      <w:bodyDiv w:val="1"/>
      <w:marLeft w:val="0"/>
      <w:marRight w:val="0"/>
      <w:marTop w:val="0"/>
      <w:marBottom w:val="0"/>
      <w:divBdr>
        <w:top w:val="none" w:sz="0" w:space="0" w:color="auto"/>
        <w:left w:val="none" w:sz="0" w:space="0" w:color="auto"/>
        <w:bottom w:val="none" w:sz="0" w:space="0" w:color="auto"/>
        <w:right w:val="none" w:sz="0" w:space="0" w:color="auto"/>
      </w:divBdr>
    </w:div>
    <w:div w:id="1490632674">
      <w:bodyDiv w:val="1"/>
      <w:marLeft w:val="0"/>
      <w:marRight w:val="0"/>
      <w:marTop w:val="0"/>
      <w:marBottom w:val="0"/>
      <w:divBdr>
        <w:top w:val="none" w:sz="0" w:space="0" w:color="auto"/>
        <w:left w:val="none" w:sz="0" w:space="0" w:color="auto"/>
        <w:bottom w:val="none" w:sz="0" w:space="0" w:color="auto"/>
        <w:right w:val="none" w:sz="0" w:space="0" w:color="auto"/>
      </w:divBdr>
    </w:div>
    <w:div w:id="1503205656">
      <w:bodyDiv w:val="1"/>
      <w:marLeft w:val="0"/>
      <w:marRight w:val="0"/>
      <w:marTop w:val="0"/>
      <w:marBottom w:val="0"/>
      <w:divBdr>
        <w:top w:val="none" w:sz="0" w:space="0" w:color="auto"/>
        <w:left w:val="none" w:sz="0" w:space="0" w:color="auto"/>
        <w:bottom w:val="none" w:sz="0" w:space="0" w:color="auto"/>
        <w:right w:val="none" w:sz="0" w:space="0" w:color="auto"/>
      </w:divBdr>
    </w:div>
    <w:div w:id="1558278553">
      <w:bodyDiv w:val="1"/>
      <w:marLeft w:val="0"/>
      <w:marRight w:val="0"/>
      <w:marTop w:val="0"/>
      <w:marBottom w:val="0"/>
      <w:divBdr>
        <w:top w:val="none" w:sz="0" w:space="0" w:color="auto"/>
        <w:left w:val="none" w:sz="0" w:space="0" w:color="auto"/>
        <w:bottom w:val="none" w:sz="0" w:space="0" w:color="auto"/>
        <w:right w:val="none" w:sz="0" w:space="0" w:color="auto"/>
      </w:divBdr>
    </w:div>
    <w:div w:id="1595818028">
      <w:bodyDiv w:val="1"/>
      <w:marLeft w:val="0"/>
      <w:marRight w:val="0"/>
      <w:marTop w:val="0"/>
      <w:marBottom w:val="0"/>
      <w:divBdr>
        <w:top w:val="none" w:sz="0" w:space="0" w:color="auto"/>
        <w:left w:val="none" w:sz="0" w:space="0" w:color="auto"/>
        <w:bottom w:val="none" w:sz="0" w:space="0" w:color="auto"/>
        <w:right w:val="none" w:sz="0" w:space="0" w:color="auto"/>
      </w:divBdr>
    </w:div>
    <w:div w:id="1762263917">
      <w:bodyDiv w:val="1"/>
      <w:marLeft w:val="0"/>
      <w:marRight w:val="0"/>
      <w:marTop w:val="0"/>
      <w:marBottom w:val="0"/>
      <w:divBdr>
        <w:top w:val="none" w:sz="0" w:space="0" w:color="auto"/>
        <w:left w:val="none" w:sz="0" w:space="0" w:color="auto"/>
        <w:bottom w:val="none" w:sz="0" w:space="0" w:color="auto"/>
        <w:right w:val="none" w:sz="0" w:space="0" w:color="auto"/>
      </w:divBdr>
    </w:div>
    <w:div w:id="1765766773">
      <w:bodyDiv w:val="1"/>
      <w:marLeft w:val="0"/>
      <w:marRight w:val="0"/>
      <w:marTop w:val="0"/>
      <w:marBottom w:val="0"/>
      <w:divBdr>
        <w:top w:val="none" w:sz="0" w:space="0" w:color="auto"/>
        <w:left w:val="none" w:sz="0" w:space="0" w:color="auto"/>
        <w:bottom w:val="none" w:sz="0" w:space="0" w:color="auto"/>
        <w:right w:val="none" w:sz="0" w:space="0" w:color="auto"/>
      </w:divBdr>
    </w:div>
    <w:div w:id="1781145493">
      <w:bodyDiv w:val="1"/>
      <w:marLeft w:val="0"/>
      <w:marRight w:val="0"/>
      <w:marTop w:val="0"/>
      <w:marBottom w:val="0"/>
      <w:divBdr>
        <w:top w:val="none" w:sz="0" w:space="0" w:color="auto"/>
        <w:left w:val="none" w:sz="0" w:space="0" w:color="auto"/>
        <w:bottom w:val="none" w:sz="0" w:space="0" w:color="auto"/>
        <w:right w:val="none" w:sz="0" w:space="0" w:color="auto"/>
      </w:divBdr>
    </w:div>
    <w:div w:id="1785610049">
      <w:bodyDiv w:val="1"/>
      <w:marLeft w:val="0"/>
      <w:marRight w:val="0"/>
      <w:marTop w:val="0"/>
      <w:marBottom w:val="0"/>
      <w:divBdr>
        <w:top w:val="none" w:sz="0" w:space="0" w:color="auto"/>
        <w:left w:val="none" w:sz="0" w:space="0" w:color="auto"/>
        <w:bottom w:val="none" w:sz="0" w:space="0" w:color="auto"/>
        <w:right w:val="none" w:sz="0" w:space="0" w:color="auto"/>
      </w:divBdr>
    </w:div>
    <w:div w:id="1815566412">
      <w:bodyDiv w:val="1"/>
      <w:marLeft w:val="0"/>
      <w:marRight w:val="0"/>
      <w:marTop w:val="0"/>
      <w:marBottom w:val="0"/>
      <w:divBdr>
        <w:top w:val="none" w:sz="0" w:space="0" w:color="auto"/>
        <w:left w:val="none" w:sz="0" w:space="0" w:color="auto"/>
        <w:bottom w:val="none" w:sz="0" w:space="0" w:color="auto"/>
        <w:right w:val="none" w:sz="0" w:space="0" w:color="auto"/>
      </w:divBdr>
    </w:div>
    <w:div w:id="1872841987">
      <w:bodyDiv w:val="1"/>
      <w:marLeft w:val="0"/>
      <w:marRight w:val="0"/>
      <w:marTop w:val="0"/>
      <w:marBottom w:val="0"/>
      <w:divBdr>
        <w:top w:val="none" w:sz="0" w:space="0" w:color="auto"/>
        <w:left w:val="none" w:sz="0" w:space="0" w:color="auto"/>
        <w:bottom w:val="none" w:sz="0" w:space="0" w:color="auto"/>
        <w:right w:val="none" w:sz="0" w:space="0" w:color="auto"/>
      </w:divBdr>
    </w:div>
    <w:div w:id="1883902463">
      <w:bodyDiv w:val="1"/>
      <w:marLeft w:val="0"/>
      <w:marRight w:val="0"/>
      <w:marTop w:val="0"/>
      <w:marBottom w:val="0"/>
      <w:divBdr>
        <w:top w:val="none" w:sz="0" w:space="0" w:color="auto"/>
        <w:left w:val="none" w:sz="0" w:space="0" w:color="auto"/>
        <w:bottom w:val="none" w:sz="0" w:space="0" w:color="auto"/>
        <w:right w:val="none" w:sz="0" w:space="0" w:color="auto"/>
      </w:divBdr>
    </w:div>
    <w:div w:id="1898514559">
      <w:bodyDiv w:val="1"/>
      <w:marLeft w:val="0"/>
      <w:marRight w:val="0"/>
      <w:marTop w:val="0"/>
      <w:marBottom w:val="0"/>
      <w:divBdr>
        <w:top w:val="none" w:sz="0" w:space="0" w:color="auto"/>
        <w:left w:val="none" w:sz="0" w:space="0" w:color="auto"/>
        <w:bottom w:val="none" w:sz="0" w:space="0" w:color="auto"/>
        <w:right w:val="none" w:sz="0" w:space="0" w:color="auto"/>
      </w:divBdr>
    </w:div>
    <w:div w:id="1917199742">
      <w:bodyDiv w:val="1"/>
      <w:marLeft w:val="0"/>
      <w:marRight w:val="0"/>
      <w:marTop w:val="0"/>
      <w:marBottom w:val="0"/>
      <w:divBdr>
        <w:top w:val="none" w:sz="0" w:space="0" w:color="auto"/>
        <w:left w:val="none" w:sz="0" w:space="0" w:color="auto"/>
        <w:bottom w:val="none" w:sz="0" w:space="0" w:color="auto"/>
        <w:right w:val="none" w:sz="0" w:space="0" w:color="auto"/>
      </w:divBdr>
    </w:div>
    <w:div w:id="1954746444">
      <w:bodyDiv w:val="1"/>
      <w:marLeft w:val="0"/>
      <w:marRight w:val="0"/>
      <w:marTop w:val="0"/>
      <w:marBottom w:val="0"/>
      <w:divBdr>
        <w:top w:val="none" w:sz="0" w:space="0" w:color="auto"/>
        <w:left w:val="none" w:sz="0" w:space="0" w:color="auto"/>
        <w:bottom w:val="none" w:sz="0" w:space="0" w:color="auto"/>
        <w:right w:val="none" w:sz="0" w:space="0" w:color="auto"/>
      </w:divBdr>
    </w:div>
    <w:div w:id="1987467344">
      <w:bodyDiv w:val="1"/>
      <w:marLeft w:val="0"/>
      <w:marRight w:val="0"/>
      <w:marTop w:val="0"/>
      <w:marBottom w:val="0"/>
      <w:divBdr>
        <w:top w:val="none" w:sz="0" w:space="0" w:color="auto"/>
        <w:left w:val="none" w:sz="0" w:space="0" w:color="auto"/>
        <w:bottom w:val="none" w:sz="0" w:space="0" w:color="auto"/>
        <w:right w:val="none" w:sz="0" w:space="0" w:color="auto"/>
      </w:divBdr>
    </w:div>
    <w:div w:id="2000495850">
      <w:bodyDiv w:val="1"/>
      <w:marLeft w:val="0"/>
      <w:marRight w:val="0"/>
      <w:marTop w:val="0"/>
      <w:marBottom w:val="0"/>
      <w:divBdr>
        <w:top w:val="none" w:sz="0" w:space="0" w:color="auto"/>
        <w:left w:val="none" w:sz="0" w:space="0" w:color="auto"/>
        <w:bottom w:val="none" w:sz="0" w:space="0" w:color="auto"/>
        <w:right w:val="none" w:sz="0" w:space="0" w:color="auto"/>
      </w:divBdr>
    </w:div>
    <w:div w:id="2012103451">
      <w:bodyDiv w:val="1"/>
      <w:marLeft w:val="0"/>
      <w:marRight w:val="0"/>
      <w:marTop w:val="0"/>
      <w:marBottom w:val="0"/>
      <w:divBdr>
        <w:top w:val="none" w:sz="0" w:space="0" w:color="auto"/>
        <w:left w:val="none" w:sz="0" w:space="0" w:color="auto"/>
        <w:bottom w:val="none" w:sz="0" w:space="0" w:color="auto"/>
        <w:right w:val="none" w:sz="0" w:space="0" w:color="auto"/>
      </w:divBdr>
    </w:div>
    <w:div w:id="2022967658">
      <w:bodyDiv w:val="1"/>
      <w:marLeft w:val="0"/>
      <w:marRight w:val="0"/>
      <w:marTop w:val="0"/>
      <w:marBottom w:val="0"/>
      <w:divBdr>
        <w:top w:val="none" w:sz="0" w:space="0" w:color="auto"/>
        <w:left w:val="none" w:sz="0" w:space="0" w:color="auto"/>
        <w:bottom w:val="none" w:sz="0" w:space="0" w:color="auto"/>
        <w:right w:val="none" w:sz="0" w:space="0" w:color="auto"/>
      </w:divBdr>
    </w:div>
    <w:div w:id="2026862741">
      <w:bodyDiv w:val="1"/>
      <w:marLeft w:val="0"/>
      <w:marRight w:val="0"/>
      <w:marTop w:val="0"/>
      <w:marBottom w:val="0"/>
      <w:divBdr>
        <w:top w:val="none" w:sz="0" w:space="0" w:color="auto"/>
        <w:left w:val="none" w:sz="0" w:space="0" w:color="auto"/>
        <w:bottom w:val="none" w:sz="0" w:space="0" w:color="auto"/>
        <w:right w:val="none" w:sz="0" w:space="0" w:color="auto"/>
      </w:divBdr>
    </w:div>
    <w:div w:id="2074156000">
      <w:bodyDiv w:val="1"/>
      <w:marLeft w:val="0"/>
      <w:marRight w:val="0"/>
      <w:marTop w:val="0"/>
      <w:marBottom w:val="0"/>
      <w:divBdr>
        <w:top w:val="none" w:sz="0" w:space="0" w:color="auto"/>
        <w:left w:val="none" w:sz="0" w:space="0" w:color="auto"/>
        <w:bottom w:val="none" w:sz="0" w:space="0" w:color="auto"/>
        <w:right w:val="none" w:sz="0" w:space="0" w:color="auto"/>
      </w:divBdr>
    </w:div>
    <w:div w:id="2098939717">
      <w:bodyDiv w:val="1"/>
      <w:marLeft w:val="0"/>
      <w:marRight w:val="0"/>
      <w:marTop w:val="0"/>
      <w:marBottom w:val="0"/>
      <w:divBdr>
        <w:top w:val="none" w:sz="0" w:space="0" w:color="auto"/>
        <w:left w:val="none" w:sz="0" w:space="0" w:color="auto"/>
        <w:bottom w:val="none" w:sz="0" w:space="0" w:color="auto"/>
        <w:right w:val="none" w:sz="0" w:space="0" w:color="auto"/>
      </w:divBdr>
    </w:div>
    <w:div w:id="2127771500">
      <w:bodyDiv w:val="1"/>
      <w:marLeft w:val="0"/>
      <w:marRight w:val="0"/>
      <w:marTop w:val="0"/>
      <w:marBottom w:val="0"/>
      <w:divBdr>
        <w:top w:val="none" w:sz="0" w:space="0" w:color="auto"/>
        <w:left w:val="none" w:sz="0" w:space="0" w:color="auto"/>
        <w:bottom w:val="none" w:sz="0" w:space="0" w:color="auto"/>
        <w:right w:val="none" w:sz="0" w:space="0" w:color="auto"/>
      </w:divBdr>
    </w:div>
    <w:div w:id="2141072394">
      <w:bodyDiv w:val="1"/>
      <w:marLeft w:val="0"/>
      <w:marRight w:val="0"/>
      <w:marTop w:val="0"/>
      <w:marBottom w:val="0"/>
      <w:divBdr>
        <w:top w:val="none" w:sz="0" w:space="0" w:color="auto"/>
        <w:left w:val="none" w:sz="0" w:space="0" w:color="auto"/>
        <w:bottom w:val="none" w:sz="0" w:space="0" w:color="auto"/>
        <w:right w:val="none" w:sz="0" w:space="0" w:color="auto"/>
      </w:divBdr>
    </w:div>
    <w:div w:id="2142573591">
      <w:bodyDiv w:val="1"/>
      <w:marLeft w:val="0"/>
      <w:marRight w:val="0"/>
      <w:marTop w:val="0"/>
      <w:marBottom w:val="0"/>
      <w:divBdr>
        <w:top w:val="none" w:sz="0" w:space="0" w:color="auto"/>
        <w:left w:val="none" w:sz="0" w:space="0" w:color="auto"/>
        <w:bottom w:val="none" w:sz="0" w:space="0" w:color="auto"/>
        <w:right w:val="none" w:sz="0" w:space="0" w:color="auto"/>
      </w:divBdr>
    </w:div>
    <w:div w:id="2143692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Yet24</b:Tag>
    <b:SourceType>JournalArticle</b:SourceType>
    <b:Guid>{367D9273-29EA-4E4D-865A-7F96ED574050}</b:Guid>
    <b:Title>Energy transition in the oil and gas sector: Business models for a sustainable future</b:Title>
    <b:Year>2024</b:Year>
    <b:JournalName>International Journal of Management &amp; Entrepreneurship Research</b:JournalName>
    <b:Pages>1</b:Pages>
    <b:Volume>6</b:Volume>
    <b:Issue>10</b:Issue>
    <b:Author>
      <b:Author>
        <b:NameList>
          <b:Person>
            <b:Last>Adebayo</b:Last>
            <b:First>Yetunde</b:First>
          </b:Person>
          <b:Person>
            <b:Last>Esiri</b:Last>
            <b:First>Andrew</b:First>
          </b:Person>
          <b:Person>
            <b:Last>Ikevuje</b:Last>
            <b:First>Augusta</b:First>
            <b:Middle>Heavens</b:Middle>
          </b:Person>
          <b:Person>
            <b:Last>Kwakye</b:Last>
            <b:First>Jephta</b:First>
            <b:Middle>Mensah</b:Middle>
          </b:Person>
        </b:NameList>
      </b:Author>
    </b:Author>
    <b:RefOrder>3</b:RefOrder>
  </b:Source>
  <b:Source>
    <b:Tag>uni26</b:Tag>
    <b:SourceType>InternetSite</b:SourceType>
    <b:Guid>{95F368F0-97EE-4436-AE43-277DF550BA2A}</b:Guid>
    <b:Author>
      <b:Author>
        <b:Corporate>United Nations</b:Corporate>
      </b:Author>
    </b:Author>
    <b:Title>The Paris Agreement</b:Title>
    <b:Year>2026</b:Year>
    <b:YearAccessed>2026</b:YearAccessed>
    <b:MonthAccessed>May</b:MonthAccessed>
    <b:DayAccessed>19</b:DayAccessed>
    <b:URL>https://www.un.org/pl/node/84376</b:URL>
    <b:RefOrder>2</b:RefOrder>
  </b:Source>
  <b:Source>
    <b:Tag>Dan25</b:Tag>
    <b:SourceType>JournalArticle</b:SourceType>
    <b:Guid>{D26AB594-0DA0-4ACF-961D-84C663BE2C04}</b:Guid>
    <b:Title>Evaluating the role of the oil and gas industry in energy transition in oil-producing countries: A systematic literature review</b:Title>
    <b:Year>2025</b:Year>
    <b:Pages>1</b:Pages>
    <b:Author>
      <b:Author>
        <b:NameList>
          <b:Person>
            <b:Last>Dongo</b:Last>
            <b:First>Daniel</b:First>
            <b:Middle>Filipe</b:Middle>
          </b:Person>
          <b:Person>
            <b:Last>Relvas</b:Last>
            <b:First>Susana</b:First>
          </b:Person>
        </b:NameList>
      </b:Author>
    </b:Author>
    <b:JournalName>Energy Research &amp; Social Science</b:JournalName>
    <b:Volume>120</b:Volume>
    <b:RefOrder>1</b:RefOrder>
  </b:Source>
  <b:Source>
    <b:Tag>Kri23</b:Tag>
    <b:SourceType>JournalArticle</b:SourceType>
    <b:Guid>{534D8F22-0E1D-4D42-9CDF-496C21035D34}</b:Guid>
    <b:Author>
      <b:Author>
        <b:NameList>
          <b:Person>
            <b:Last>Halttunen</b:Last>
            <b:First>Krista</b:First>
          </b:Person>
          <b:Person>
            <b:Last>Slade</b:Last>
            <b:First>Raphael</b:First>
          </b:Person>
          <b:Person>
            <b:Last>Staffell</b:Last>
            <b:First>Iain</b:First>
          </b:Person>
        </b:NameList>
      </b:Author>
    </b:Author>
    <b:Title>Diversify or die: Strategy options for oil majors in the sustainable energy transition</b:Title>
    <b:JournalName>Energy Research &amp; Social Science</b:JournalName>
    <b:Year>2023</b:Year>
    <b:Pages>1</b:Pages>
    <b:Volume>104</b:Volume>
    <b:RefOrder>4</b:RefOrder>
  </b:Source>
  <b:Source>
    <b:Tag>Joa25</b:Tag>
    <b:SourceType>Report</b:SourceType>
    <b:Guid>{CCD60C6E-09B6-40C2-B583-A564AAF261E1}</b:Guid>
    <b:Title>Global trends in climate change litigation: 2025 snapshot</b:Title>
    <b:Year>2025</b:Year>
    <b:Publisher>London School of Economics and Political Science</b:Publisher>
    <b:City>London</b:City>
    <b:Author>
      <b:Author>
        <b:NameList>
          <b:Person>
            <b:Last>Setzer</b:Last>
            <b:First>Joana</b:First>
          </b:Person>
          <b:Person>
            <b:Last>Higham</b:Last>
            <b:First>Catherine</b:First>
          </b:Person>
        </b:NameList>
      </b:Author>
    </b:Author>
    <b:RefOrder>5</b:RefOrder>
  </b:Source>
  <b:Source>
    <b:Tag>She26</b:Tag>
    <b:SourceType>InternetSite</b:SourceType>
    <b:Guid>{3F9ED1B5-E37B-430B-9511-52934BF53D8B}</b:Guid>
    <b:Title>Climate</b:Title>
    <b:Year>2026</b:Year>
    <b:YearAccessed>2026</b:YearAccessed>
    <b:MonthAccessed>May</b:MonthAccessed>
    <b:DayAccessed>19</b:DayAccessed>
    <b:URL>https://www.shell.com/sustainability/climate.html</b:URL>
    <b:Author>
      <b:Author>
        <b:Corporate>Shell</b:Corporate>
      </b:Author>
    </b:Author>
    <b:RefOrder>6</b:RefOrder>
  </b:Source>
  <b:Source>
    <b:Tag>Vir25</b:Tag>
    <b:SourceType>InternetSite</b:SourceType>
    <b:Guid>{4441A7B7-8158-4F4C-B9F7-394E734B4AD4}</b:Guid>
    <b:Title>Shareholders' climate resolution challenges 'disconnect' in Shell's LNG strategy</b:Title>
    <b:Year>2025</b:Year>
    <b:Author>
      <b:Author>
        <b:NameList>
          <b:Person>
            <b:Last>Furness</b:Last>
            <b:First>Virginia</b:First>
          </b:Person>
        </b:NameList>
      </b:Author>
    </b:Author>
    <b:YearAccessed>2026</b:YearAccessed>
    <b:MonthAccessed>February</b:MonthAccessed>
    <b:DayAccessed>26</b:DayAccessed>
    <b:URL>https://www.reuters.com/sustainability/climate-energy/shareholders-climate-resolution-challenges-disconnect-shells-lng-strategy-2025-01-07/</b:URL>
    <b:RefOrder>7</b:RefOrder>
  </b:Source>
  <b:Source>
    <b:Tag>Mat19</b:Tag>
    <b:SourceType>JournalArticle</b:SourceType>
    <b:Guid>{DAD2AA96-B66D-4B06-9E53-53CCE22D367D}</b:Guid>
    <b:Author>
      <b:Author>
        <b:NameList>
          <b:Person>
            <b:Last>Pickl</b:Last>
            <b:First>Matthias</b:First>
            <b:Middle>J.</b:Middle>
          </b:Person>
        </b:NameList>
      </b:Author>
    </b:Author>
    <b:Title>The renewable energy strategies of oil majors – From oil to energy?</b:Title>
    <b:JournalName>Energy Strategy Reviews</b:JournalName>
    <b:Year>2019</b:Year>
    <b:Volume>26</b:Volume>
    <b:RefOrder>9</b:RefOrder>
  </b:Source>
  <b:Source>
    <b:Tag>Dim25</b:Tag>
    <b:SourceType>JournalArticle</b:SourceType>
    <b:Guid>{79336A33-A475-4B56-AB20-0EF5827E8530}</b:Guid>
    <b:Author>
      <b:Author>
        <b:NameList>
          <b:Person>
            <b:Last>Dimitriou</b:Last>
            <b:First>Dimitrios</b:First>
          </b:Person>
          <b:Person>
            <b:Last>Sartzetaki</b:Last>
            <b:First>Maria</b:First>
          </b:Person>
          <b:Person>
            <b:Last>Karagkouni</b:Last>
            <b:First>Aristi</b:First>
          </b:Person>
          <b:Person>
            <b:Last>Efstratiou</b:Last>
            <b:First>Vasiliki</b:First>
          </b:Person>
        </b:NameList>
      </b:Author>
    </b:Author>
    <b:Title>Corporate Strategy for Sustainable Development in the Oil and Gas Industry: Drivers, Agility Mechanisms, and SDG Alignment</b:Title>
    <b:JournalName>J Sustain Res</b:JournalName>
    <b:Year>2025</b:Year>
    <b:Volume>7</b:Volume>
    <b:Issue>3</b:Issue>
    <b:RefOrder>29</b:RefOrder>
  </b:Source>
  <b:Source>
    <b:Tag>dwa84</b:Tag>
    <b:SourceType>Book</b:SourceType>
    <b:Guid>{0302A4B3-E06A-41DB-B181-1003410BB183}</b:Guid>
    <b:Title>Stakeholder Theory: The State of the Art</b:Title>
    <b:Year>1984</b:Year>
    <b:Author>
      <b:Author>
        <b:NameList>
          <b:Person>
            <b:Last>Freeman</b:Last>
            <b:First>dward</b:First>
          </b:Person>
          <b:Person>
            <b:Last>Harrison</b:Last>
            <b:First>Jeffrey</b:First>
            <b:Middle>S.</b:Middle>
          </b:Person>
          <b:Person>
            <b:Last>Wicks</b:Last>
            <b:First>Andrew</b:First>
            <b:Middle>C.</b:Middle>
          </b:Person>
          <b:Person>
            <b:Last>Parmar</b:Last>
            <b:First>Bidhan</b:First>
            <b:Middle>L.</b:Middle>
          </b:Person>
          <b:Person>
            <b:Last>Colle</b:Last>
            <b:First>Simone</b:First>
            <b:Middle>de</b:Middle>
          </b:Person>
        </b:NameList>
      </b:Author>
    </b:Author>
    <b:City>Cambridge</b:City>
    <b:Publisher>Cambridge University Press</b:Publisher>
    <b:RefOrder>30</b:RefOrder>
  </b:Source>
  <b:Source>
    <b:Tag>Ber23</b:Tag>
    <b:SourceType>JournalArticle</b:SourceType>
    <b:Guid>{DDDE29FD-C97C-4F54-BFC9-CF83F75C3DAA}</b:Guid>
    <b:Title>What explains firms’ net zero adoption, strategy and response? </b:Title>
    <b:Year>2023</b:Year>
    <b:Pages>1-15</b:Pages>
    <b:Author>
      <b:Author>
        <b:NameList>
          <b:Person>
            <b:Last>Berger-Schmitz</b:Last>
          </b:Person>
          <b:Person>
            <b:Last>Zola</b:Last>
          </b:Person>
          <b:Person>
            <b:Last>George</b:Last>
          </b:Person>
          <b:Person>
            <b:Last>Douglas</b:Last>
          </b:Person>
          <b:Person>
            <b:Last>Hindal</b:Last>
          </b:Person>
          <b:Person>
            <b:Last>Cameron</b:Last>
          </b:Person>
          <b:Person>
            <b:Last>Perkins</b:Last>
          </b:Person>
          <b:Person>
            <b:Last>Travaille</b:Last>
            <b:First>Richard</b:First>
            <b:Middle>&amp;</b:Middle>
          </b:Person>
          <b:Person>
            <b:Last>Maria</b:Last>
          </b:Person>
        </b:NameList>
      </b:Author>
    </b:Author>
    <b:JournalName>Business Strategy and the Environment</b:JournalName>
    <b:RefOrder>31</b:RefOrder>
  </b:Source>
  <b:Source>
    <b:Tag>Pau83</b:Tag>
    <b:SourceType>JournalArticle</b:SourceType>
    <b:Guid>{FB128FC2-88F7-4A39-BE45-1014C9917485}</b:Guid>
    <b:Author>
      <b:Author>
        <b:NameList>
          <b:Person>
            <b:Last>DiMaggio</b:Last>
            <b:First>Paul</b:First>
            <b:Middle>J.</b:Middle>
          </b:Person>
          <b:Person>
            <b:Last>Powell</b:Last>
            <b:First>Walter</b:First>
            <b:Middle>W.</b:Middle>
          </b:Person>
        </b:NameList>
      </b:Author>
    </b:Author>
    <b:Title>The Iron Cage Revisited: Institutional Isomorphism and Collective Rationality in Organizational Fields</b:Title>
    <b:JournalName>American Sociological Review</b:JournalName>
    <b:Year>1983</b:Year>
    <b:Volume>48</b:Volume>
    <b:Issue>2</b:Issue>
    <b:RefOrder>32</b:RefOrder>
  </b:Source>
  <b:Source>
    <b:Tag>Yut23</b:Tag>
    <b:SourceType>JournalArticle</b:SourceType>
    <b:Guid>{41FBEC75-A77A-4BA1-BC22-433E823134FA}</b:Guid>
    <b:Author>
      <b:Author>
        <b:NameList>
          <b:Person>
            <b:Last>Si</b:Last>
            <b:First>Yutong</b:First>
          </b:Person>
          <b:Person>
            <b:Last>Desai</b:Last>
            <b:First>Dipa</b:First>
          </b:Person>
          <b:Person>
            <b:Last>Bozhilova</b:Last>
            <b:First>Diana</b:First>
          </b:Person>
          <b:Person>
            <b:Last>Puffer</b:Last>
            <b:First>Sheila</b:First>
          </b:Person>
          <b:Person>
            <b:Last>Stephens</b:Last>
            <b:First>Jennie</b:First>
            <b:Middle>C.</b:Middle>
          </b:Person>
        </b:NameList>
      </b:Author>
    </b:Author>
    <b:Title>Fossil fuel companies' climate communication strategies: Industry messaging on renewables and natural gas</b:Title>
    <b:JournalName>Energy Research &amp; Social Science</b:JournalName>
    <b:Year>2023</b:Year>
    <b:Volume>98</b:Volume>
    <b:RefOrder>33</b:RefOrder>
  </b:Source>
  <b:Source>
    <b:Tag>Eig18</b:Tag>
    <b:SourceType>JournalArticle</b:SourceType>
    <b:Guid>{6EE57B74-3C16-42F8-BC0C-F0CE1431FA04}</b:Guid>
    <b:Title>Craving gains and claiming “green” by cutting greens? An exploratory analysis of greenfield housing developments in Iskandar Malaysia</b:Title>
    <b:Year>2018</b:Year>
    <b:Pages>370-393</b:Pages>
    <b:Author>
      <b:Author>
        <b:NameList>
          <b:Person>
            <b:Last>Tateishi</b:Last>
            <b:First>Eigo</b:First>
          </b:Person>
        </b:NameList>
      </b:Author>
    </b:Author>
    <b:JournalName>Journal of Urban Affairs</b:JournalName>
    <b:Volume>40</b:Volume>
    <b:Issue>3</b:Issue>
    <b:RefOrder>10</b:RefOrder>
  </b:Source>
  <b:Source>
    <b:Tag>Let23</b:Tag>
    <b:SourceType>JournalArticle</b:SourceType>
    <b:Guid>{7D4A18E2-012E-45AB-A387-C39A1B1AE1C0}</b:Guid>
    <b:Author>
      <b:Author>
        <b:NameList>
          <b:Person>
            <b:Last>Vieira</b:Last>
            <b:First>Leticia</b:First>
            <b:Middle>Canal</b:Middle>
          </b:Person>
          <b:Person>
            <b:Last>Longo</b:Last>
            <b:First>Mariolina</b:First>
          </b:Person>
          <b:Person>
            <b:Last>Mura</b:Last>
            <b:First>Matteo</b:First>
          </b:Person>
        </b:NameList>
      </b:Author>
    </b:Author>
    <b:Title>From carbon dependence to renewables: The European oil majors' strategies to face climate change</b:Title>
    <b:JournalName>Business Strategy and the Environment</b:JournalName>
    <b:Year>2023</b:Year>
    <b:Pages>1248-1259</b:Pages>
    <b:Volume>32</b:Volume>
    <b:Issue>4</b:Issue>
    <b:RefOrder>34</b:RefOrder>
  </b:Source>
  <b:Source>
    <b:Tag>Seb09</b:Tag>
    <b:SourceType>JournalArticle</b:SourceType>
    <b:Guid>{BE8A4561-6662-422E-A4CD-CB8627623F2B}</b:Guid>
    <b:Author>
      <b:Author>
        <b:NameList>
          <b:Person>
            <b:Last>Raisch</b:Last>
            <b:First>Sebastian</b:First>
          </b:Person>
          <b:Person>
            <b:Last>Birkinshaw</b:Last>
            <b:First>Julian</b:First>
          </b:Person>
          <b:Person>
            <b:Last>Probst</b:Last>
            <b:First>Gilbert</b:First>
          </b:Person>
          <b:Person>
            <b:Last>Tushman</b:Last>
            <b:First>Michael</b:First>
            <b:Middle>L.</b:Middle>
          </b:Person>
        </b:NameList>
      </b:Author>
    </b:Author>
    <b:Title>Organizational Ambidexterity: Balancing Exploitation and Exploration for Sustained Performance</b:Title>
    <b:JournalName>Organization Science</b:JournalName>
    <b:Year>2009</b:Year>
    <b:Pages>685-695</b:Pages>
    <b:RefOrder>35</b:RefOrder>
  </b:Source>
  <b:Source>
    <b:Tag>Kas19</b:Tag>
    <b:SourceType>JournalArticle</b:SourceType>
    <b:Guid>{222372D7-7C4F-4447-8D48-579D6E5A761F}</b:Guid>
    <b:Author>
      <b:Author>
        <b:NameList>
          <b:Person>
            <b:Last>Kassotaki</b:Last>
            <b:First>Olga</b:First>
          </b:Person>
        </b:NameList>
      </b:Author>
    </b:Author>
    <b:Title>Ambidextrous leadership in high technology organizations</b:Title>
    <b:JournalName>Organizational Dynamics</b:JournalName>
    <b:Year>2019</b:Year>
    <b:Pages>37-43</b:Pages>
    <b:RefOrder>36</b:RefOrder>
  </b:Source>
  <b:Source>
    <b:Tag>Rob14</b:Tag>
    <b:SourceType>JournalArticle</b:SourceType>
    <b:Guid>{D2218197-6652-4EF3-B5BB-DAD35D7D8EB7}</b:Guid>
    <b:Title>The Impact of Corporate Sustainability on Organizational Processes and Performance</b:Title>
    <b:JournalName>Management Science</b:JournalName>
    <b:Year>2014</b:Year>
    <b:Author>
      <b:Author>
        <b:NameList>
          <b:Person>
            <b:Last>Eccles</b:Last>
            <b:First>Robert</b:First>
            <b:Middle>G.</b:Middle>
          </b:Person>
          <b:Person>
            <b:Last>Ioannou</b:Last>
            <b:First>Ioannis</b:First>
          </b:Person>
          <b:Person>
            <b:Last>Serafeim</b:Last>
            <b:First>George</b:First>
          </b:Person>
        </b:NameList>
      </b:Author>
    </b:Author>
    <b:Pages>2835-2857</b:Pages>
    <b:Volume>60</b:Volume>
    <b:Issue>11</b:Issue>
    <b:RefOrder>21</b:RefOrder>
  </b:Source>
  <b:Source>
    <b:Tag>Han19</b:Tag>
    <b:SourceType>JournalArticle</b:SourceType>
    <b:Guid>{DFC346A5-D3F6-4834-99E2-EBAC134B639B}</b:Guid>
    <b:Title>Literature review as a research methodology: An overview and guidelines</b:Title>
    <b:Year>2019</b:Year>
    <b:Pages>333-339</b:Pages>
    <b:JournalName>Journal of Business Research</b:JournalName>
    <b:Volume>104</b:Volume>
    <b:Author>
      <b:Author>
        <b:NameList>
          <b:Person>
            <b:Last>Snyder</b:Last>
            <b:First>Hannah</b:First>
          </b:Person>
        </b:NameList>
      </b:Author>
    </b:Author>
    <b:RefOrder>15</b:RefOrder>
  </b:Source>
  <b:Source>
    <b:Tag>Dav03</b:Tag>
    <b:SourceType>JournalArticle</b:SourceType>
    <b:Guid>{D137F7CB-9223-4C42-886A-7611C02F7AFA}</b:Guid>
    <b:Author>
      <b:Author>
        <b:NameList>
          <b:Person>
            <b:Last>Tranfield</b:Last>
            <b:First>David</b:First>
          </b:Person>
          <b:Person>
            <b:Last>Denye</b:Last>
            <b:First>David</b:First>
          </b:Person>
          <b:Person>
            <b:Last>Smart</b:Last>
            <b:First>Palminder</b:First>
          </b:Person>
        </b:NameList>
      </b:Author>
    </b:Author>
    <b:Title>Towards a Methodology for Developing Evidence-Informed Management Knowledge by Means of Systematic Review</b:Title>
    <b:JournalName>British Journal of Management</b:JournalName>
    <b:Year>2003</b:Year>
    <b:Pages>207-222</b:Pages>
    <b:Volume>14</b:Volume>
    <b:RefOrder>16</b:RefOrder>
  </b:Source>
  <b:Source>
    <b:Tag>Gro87</b:Tag>
    <b:SourceType>Report</b:SourceType>
    <b:Guid>{A27A7EEE-1DA2-4D97-AB88-49ED49EBBD60}</b:Guid>
    <b:Title>Our Common Future</b:Title>
    <b:Year>1987</b:Year>
    <b:Publisher>Oxford University Press</b:Publisher>
    <b:Author>
      <b:Author>
        <b:NameList>
          <b:Person>
            <b:Last>Brundtland</b:Last>
            <b:First>Gro</b:First>
            <b:Middle>Harlem</b:Middle>
          </b:Person>
        </b:NameList>
      </b:Author>
    </b:Author>
    <b:RefOrder>8</b:RefOrder>
  </b:Source>
  <b:Source>
    <b:Tag>Int23</b:Tag>
    <b:SourceType>Report</b:SourceType>
    <b:Guid>{21B1D364-5F37-4900-9276-6F65DEC83C2E}</b:Guid>
    <b:Author>
      <b:Author>
        <b:Corporate>International Energy Agency</b:Corporate>
      </b:Author>
    </b:Author>
    <b:Title>Net Zero Roadmap: A Global Pathway to Keep the 1.5 °C Goal in Reach</b:Title>
    <b:Year>2023</b:Year>
    <b:Publisher>IEA</b:Publisher>
    <b:City>Paris</b:City>
    <b:RefOrder>37</b:RefOrder>
  </b:Source>
  <b:Source>
    <b:Tag>Int231</b:Tag>
    <b:SourceType>Report</b:SourceType>
    <b:Guid>{6E4222ED-BFE3-4C40-AAEB-A4FD5B7CCDD4}</b:Guid>
    <b:Author>
      <b:Author>
        <b:Corporate>Intergovernmental Panel on Climate Change</b:Corporate>
      </b:Author>
    </b:Author>
    <b:Title>AR6 Synthesis Report: Climate Change 2023</b:Title>
    <b:Year>2023</b:Year>
    <b:Publisher>Intergovernmental Panel on Climate Change</b:Publisher>
    <b:City>Switzerland</b:City>
    <b:RefOrder>38</b:RefOrder>
  </b:Source>
  <b:Source>
    <b:Tag>Fra14</b:Tag>
    <b:SourceType>JournalArticle</b:SourceType>
    <b:Guid>{8A50CE97-718F-437E-9FC1-CBC993FE4C80}</b:Guid>
    <b:Title>Regime Resistance against Low-Carbon Transitions: Introducing Politics and Power into the Multi-Level Perspective</b:Title>
    <b:Year>2014</b:Year>
    <b:Pages>21–40</b:Pages>
    <b:Author>
      <b:Author>
        <b:NameList>
          <b:Person>
            <b:Last>Geels</b:Last>
            <b:First>Frank</b:First>
            <b:Middle>W</b:Middle>
          </b:Person>
        </b:NameList>
      </b:Author>
    </b:Author>
    <b:JournalName>Theory, Culture &amp; Society</b:JournalName>
    <b:Volume>31</b:Volume>
    <b:Issue>5</b:Issue>
    <b:RefOrder>39</b:RefOrder>
  </b:Source>
  <b:Source>
    <b:Tag>Ben16</b:Tag>
    <b:SourceType>JournalArticle</b:SourceType>
    <b:Guid>{A8186B9C-5883-46A4-99D9-B203F8776CD9}</b:Guid>
    <b:Author>
      <b:Author>
        <b:NameList>
          <b:Person>
            <b:Last>Sovacool</b:Last>
            <b:First>Benjamin</b:First>
            <b:Middle>K.</b:Middle>
          </b:Person>
        </b:NameList>
      </b:Author>
    </b:Author>
    <b:Title>How Long Will It Take? Conceptualizing the Temporal Dynamics of Energy Transitions</b:Title>
    <b:JournalName>Energy Research &amp; Social Science</b:JournalName>
    <b:Year>2016</b:Year>
    <b:Pages>202-215</b:Pages>
    <b:Volume>13</b:Volume>
    <b:RefOrder>40</b:RefOrder>
  </b:Source>
  <b:Source>
    <b:Tag>Tus13</b:Tag>
    <b:SourceType>JournalArticle</b:SourceType>
    <b:Guid>{D7023339-E5BA-4BF7-835B-382F7A14F58C}</b:Guid>
    <b:Title>Organizational Ambidexterity: Past, Present and Future</b:Title>
    <b:JournalName>Academy of Management Perspectives</b:JournalName>
    <b:Year>2013</b:Year>
    <b:Pages>1-30</b:Pages>
    <b:Volume>27</b:Volume>
    <b:Issue>4</b:Issue>
    <b:Author>
      <b:Author>
        <b:NameList>
          <b:Person>
            <b:Last>Tushman</b:Last>
            <b:First>Michael</b:First>
            <b:Middle>L.</b:Middle>
          </b:Person>
          <b:Person>
            <b:Last>III</b:Last>
            <b:First>Charles</b:First>
            <b:Middle>A. O’Reilly</b:Middle>
          </b:Person>
        </b:NameList>
      </b:Author>
    </b:Author>
    <b:RefOrder>41</b:RefOrder>
  </b:Source>
  <b:Source>
    <b:Tag>Pra14</b:Tag>
    <b:SourceType>JournalArticle</b:SourceType>
    <b:Guid>{5E825BFE-A814-45E1-9CA2-852B6FE2DA13}</b:Guid>
    <b:Author>
      <b:Author>
        <b:NameList>
          <b:Person>
            <b:Last>Bansal</b:Last>
            <b:First>Pratima</b:First>
          </b:Person>
          <b:Person>
            <b:Last>DesJardine</b:Last>
            <b:First>Mark</b:First>
            <b:Middle>R.</b:Middle>
          </b:Person>
        </b:NameList>
      </b:Author>
    </b:Author>
    <b:Title>Business sustainability: It is about time</b:Title>
    <b:JournalName>Strategic Organization</b:JournalName>
    <b:Year>2014</b:Year>
    <b:Pages>70-78</b:Pages>
    <b:Volume>12</b:Volume>
    <b:Issue>1</b:Issue>
    <b:RefOrder>22</b:RefOrder>
  </b:Source>
  <b:Source>
    <b:Tag>She264</b:Tag>
    <b:SourceType>InternetSite</b:SourceType>
    <b:Guid>{F69A5F2C-BB43-4DFC-AB1E-E5379AB1FD48}</b:Guid>
    <b:Title>Renewable power</b:Title>
    <b:Year>2026</b:Year>
    <b:Author>
      <b:Author>
        <b:Corporate>Shell</b:Corporate>
      </b:Author>
    </b:Author>
    <b:YearAccessed>2026</b:YearAccessed>
    <b:MonthAccessed>June</b:MonthAccessed>
    <b:DayAccessed>03</b:DayAccessed>
    <b:URL>https://www.shell.com/what-we-do/renewable-power.html</b:URL>
    <b:RefOrder>23</b:RefOrder>
  </b:Source>
  <b:Source>
    <b:Tag>She267</b:Tag>
    <b:SourceType>InternetSite</b:SourceType>
    <b:Guid>{04DB2FB7-9BBB-40CE-B4FA-B39DD0F82DAC}</b:Guid>
    <b:Author>
      <b:Author>
        <b:Corporate>Shell Global</b:Corporate>
      </b:Author>
    </b:Author>
    <b:Title>hydrogen</b:Title>
    <b:Year>2026</b:Year>
    <b:YearAccessed>2026</b:YearAccessed>
    <b:MonthAccessed>June</b:MonthAccessed>
    <b:DayAccessed>03</b:DayAccessed>
    <b:URL>https://www.shell.com/what-we-do/hydrogen.html</b:URL>
    <b:RefOrder>26</b:RefOrder>
  </b:Source>
  <b:Source>
    <b:Tag>She266</b:Tag>
    <b:SourceType>InternetSite</b:SourceType>
    <b:Guid>{F763C74D-1F16-4243-95FA-DD17479665CF}</b:Guid>
    <b:Author>
      <b:Author>
        <b:Corporate>Shell Global</b:Corporate>
      </b:Author>
    </b:Author>
    <b:Title>Carbon capture and storage (CCS)</b:Title>
    <b:Year>2026</b:Year>
    <b:YearAccessed>2026</b:YearAccessed>
    <b:MonthAccessed>June</b:MonthAccessed>
    <b:DayAccessed>03</b:DayAccessed>
    <b:URL>https://www.shell.com/what-we-do/carbon-capture-and-storage.html</b:URL>
    <b:RefOrder>25</b:RefOrder>
  </b:Source>
  <b:Source xmlns:b="http://schemas.openxmlformats.org/officeDocument/2006/bibliography">
    <b:Tag>She265</b:Tag>
    <b:SourceType>InternetSite</b:SourceType>
    <b:Guid>{C074919D-499F-4328-93C1-B5693F62C96D}</b:Guid>
    <b:Author>
      <b:Author>
        <b:Corporate>Shell USA</b:Corporate>
      </b:Author>
    </b:Author>
    <b:Title>EV Charging Solutions</b:Title>
    <b:Year>2026</b:Year>
    <b:YearAccessed>2026</b:YearAccessed>
    <b:MonthAccessed>June</b:MonthAccessed>
    <b:DayAccessed>03</b:DayAccessed>
    <b:URL>https://www.shell.us/electric-vehicle-charging.html</b:URL>
    <b:RefOrder>24</b:RefOrder>
  </b:Source>
  <b:Source>
    <b:Tag>IEA23</b:Tag>
    <b:SourceType>Report</b:SourceType>
    <b:Guid>{404DA62B-0227-4403-95BE-41EDBDB5FF98}</b:Guid>
    <b:Title>The Oil and Gas Industry in Net Zero Transitions</b:Title>
    <b:Year>2023</b:Year>
    <b:Publisher>IEA</b:Publisher>
    <b:City>Paris </b:City>
    <b:Author>
      <b:Author>
        <b:Corporate>IEA </b:Corporate>
      </b:Author>
    </b:Author>
    <b:RefOrder>42</b:RefOrder>
  </b:Source>
  <b:Source>
    <b:Tag>Ada08</b:Tag>
    <b:SourceType>Report</b:SourceType>
    <b:Guid>{871CF8E8-78D0-4401-8334-8313605015FE}</b:Guid>
    <b:Author>
      <b:Author>
        <b:NameList>
          <b:Person>
            <b:Last>Lindgreen</b:Last>
            <b:First>Adam</b:First>
          </b:Person>
        </b:NameList>
      </b:Author>
    </b:Author>
    <b:Title>A Change Model Grounded in Theory and Practice</b:Title>
    <b:Year>2008</b:Year>
    <b:Publisher>IAG-Louvain School of Management</b:Publisher>
    <b:RefOrder>12</b:RefOrder>
  </b:Source>
  <b:Source>
    <b:Tag>Oli18</b:Tag>
    <b:SourceType>JournalArticle</b:SourceType>
    <b:Guid>{A4390FAC-DAA2-4164-ADCD-7DE6B87750CC}</b:Guid>
    <b:Title>Institutional Theory of Organizations</b:Title>
    <b:Year>2018</b:Year>
    <b:Author>
      <b:Author>
        <b:NameList>
          <b:Person>
            <b:Last>Berthod</b:Last>
            <b:First>Olivier</b:First>
          </b:Person>
        </b:NameList>
      </b:Author>
    </b:Author>
    <b:JournalName>Global Encyclopedia of Public Administration, Public Policy, and Governance</b:JournalName>
    <b:Pages>3306–3310</b:Pages>
    <b:RefOrder>13</b:RefOrder>
  </b:Source>
  <b:Source>
    <b:Tag>Ant141</b:Tag>
    <b:SourceType>InternetSite</b:SourceType>
    <b:Guid>{8FC4B46C-498D-42ED-8E5A-51226F9E14D8}</b:Guid>
    <b:Title>Organisational ambidexterity</b:Title>
    <b:Year>2014</b:Year>
    <b:Author>
      <b:Author>
        <b:NameList>
          <b:Person>
            <b:Last>Nieto-Rodriguez</b:Last>
            <b:First>Antonio</b:First>
          </b:Person>
        </b:NameList>
      </b:Author>
    </b:Author>
    <b:YearAccessed>2026</b:YearAccessed>
    <b:MonthAccessed>July</b:MonthAccessed>
    <b:DayAccessed>05</b:DayAccessed>
    <b:URL>https://www.london.edu/think/organisational-ambidexterity</b:URL>
    <b:RefOrder>14</b:RefOrder>
  </b:Source>
  <b:Source>
    <b:Tag>Eog22</b:Tag>
    <b:SourceType>InternetSite</b:SourceType>
    <b:Guid>{87A63AD0-0B16-47E7-BD90-51CC74ADB77F}</b:Guid>
    <b:Title>Boolean Operators | Quick Guide, Examples &amp; Tips</b:Title>
    <b:Year>2022</b:Year>
    <b:Author>
      <b:Author>
        <b:NameList>
          <b:Person>
            <b:Last>Ryan</b:Last>
            <b:First>Eoghan</b:First>
          </b:Person>
        </b:NameList>
      </b:Author>
    </b:Author>
    <b:YearAccessed>2026</b:YearAccessed>
    <b:MonthAccessed>July</b:MonthAccessed>
    <b:DayAccessed>05</b:DayAccessed>
    <b:URL>https://www.scribbr.co.uk/working-sources/boolean-operator/</b:URL>
    <b:RefOrder>18</b:RefOrder>
  </b:Source>
  <b:Source>
    <b:Tag>Placeholder1</b:Tag>
    <b:SourceType>DocumentFromInternetSite</b:SourceType>
    <b:Guid>{7D7167B2-FE84-4F25-87A5-391F17492C13}</b:Guid>
    <b:Author>
      <b:Author>
        <b:Corporate>Gov.UK</b:Corporate>
      </b:Author>
    </b:Author>
    <b:Title>Weekly road fuel prices (CSV) 2018 to 2026</b:Title>
    <b:Year>2026</b:Year>
    <b:Month>June</b:Month>
    <b:Day>18</b:Day>
    <b:YearAccessed>2026</b:YearAccessed>
    <b:MonthAccessed>June</b:MonthAccessed>
    <b:DayAccessed>18</b:DayAccessed>
    <b:URL>https://www.gov.uk/csv-preview/6a54d4ec2467584757371e0a/weekly_road_fuel_prices_130726.csv</b:URL>
    <b:RefOrder>11</b:RefOrder>
  </b:Source>
  <b:Source>
    <b:Tag>Vit25</b:Tag>
    <b:SourceType>JournalArticle</b:SourceType>
    <b:Guid>{4C0143F3-8DA3-4CC1-93BD-0EBF370B890F}</b:Guid>
    <b:Title>Fueling the circular transition: an empirical exploration of sustainable development goal performance in the oil and gas industry</b:Title>
    <b:Year>2025</b:Year>
    <b:Author>
      <b:Author>
        <b:NameList>
          <b:Person>
            <b:Last>L'Abate</b:Last>
            <b:First>Vitiana</b:First>
          </b:Person>
          <b:Person>
            <b:Last>Esposito</b:Last>
            <b:First>Benedetta</b:First>
          </b:Person>
          <b:Person>
            <b:Last>Sica</b:Last>
            <b:First>Daniela</b:First>
          </b:Person>
          <b:Person>
            <b:Last>Supino</b:Last>
            <b:First>Stefania</b:First>
          </b:Person>
        </b:NameList>
      </b:Author>
    </b:Author>
    <b:JournalName>Measuring Business Excellence</b:JournalName>
    <b:Pages>285-305</b:Pages>
    <b:Volume>29</b:Volume>
    <b:Issue>2</b:Issue>
    <b:RefOrder>19</b:RefOrder>
  </b:Source>
  <b:Source>
    <b:Tag>Dav18</b:Tag>
    <b:SourceType>JournalArticle</b:SourceType>
    <b:Guid>{83F5BFE9-3CC1-4C06-B11D-51D00B484ED2}</b:Guid>
    <b:Author>
      <b:Author>
        <b:NameList>
          <b:Person>
            <b:Last>Herold</b:Last>
            <b:First>David</b:First>
            <b:Middle>M.</b:Middle>
          </b:Person>
        </b:NameList>
      </b:Author>
    </b:Author>
    <b:Title>Demystifying the link between institutional theory and stakeholder theory in sustainability reporting</b:Title>
    <b:JournalName>Economics, Management and Sustainability</b:JournalName>
    <b:Year>2018</b:Year>
    <b:Pages>6–19</b:Pages>
    <b:Volume>3</b:Volume>
    <b:Issue>2</b:Issue>
    <b:RefOrder>20</b:RefOrder>
  </b:Source>
  <b:Source>
    <b:Tag>Der22</b:Tag>
    <b:SourceType>Book</b:SourceType>
    <b:Guid>{2CFCD532-4A74-460A-ABA8-BAAD6A56B13A}</b:Guid>
    <b:Title>Advanced Research Skills: Conducting Literature and Systematic Reviews</b:Title>
    <b:Year>2022</b:Year>
    <b:Publisher>Toronto Metropolitan University Library</b:Publisher>
    <b:City>Toronto</b:City>
    <b:Edition>1st</b:Edition>
    <b:Author>
      <b:Author>
        <b:NameList>
          <b:Person>
            <b:Last>Dermody</b:Last>
            <b:First>Kelly</b:First>
          </b:Person>
          <b:Person>
            <b:Last>Farnum</b:Last>
            <b:First>Cecile</b:First>
          </b:Person>
          <b:Person>
            <b:Last>Jakubek</b:Last>
            <b:First>Daniel</b:First>
          </b:Person>
          <b:Person>
            <b:Last>Petropoulos</b:Last>
            <b:First>Jo-Anne</b:First>
          </b:Person>
          <b:Person>
            <b:Last>Schmidt</b:Last>
            <b:First>Jane</b:First>
          </b:Person>
          <b:Person>
            <b:Last>Steinberg</b:Last>
            <b:First>Reece</b:First>
          </b:Person>
        </b:NameList>
      </b:Author>
    </b:Author>
    <b:RefOrder>17</b:RefOrder>
  </b:Source>
  <b:Source>
    <b:Tag>She25</b:Tag>
    <b:SourceType>Report</b:SourceType>
    <b:Guid>{174759AF-BBBF-46F1-B3D8-53C678B588A4}</b:Guid>
    <b:Title>Annual Report and Accounts</b:Title>
    <b:Year>2025</b:Year>
    <b:City>London</b:City>
    <b:Publisher>Shell</b:Publisher>
    <b:Author>
      <b:Author>
        <b:Corporate>Shell plc</b:Corporate>
      </b:Author>
    </b:Author>
    <b:RefOrder>27</b:RefOrder>
  </b:Source>
  <b:Source>
    <b:Tag>Mag11</b:Tag>
    <b:SourceType>JournalArticle</b:SourceType>
    <b:Guid>{02568B2E-1649-4BF7-B69D-AEAB5040B279}</b:Guid>
    <b:Title>The Drivers of Greenwashing</b:Title>
    <b:Year>2011</b:Year>
    <b:Pages>64-87</b:Pages>
    <b:JournalName>California management review</b:JournalName>
    <b:Volume>54</b:Volume>
    <b:Issue>1</b:Issue>
    <b:Author>
      <b:Author>
        <b:NameList>
          <b:Person>
            <b:Last>Delma</b:Last>
            <b:First>Magali</b:First>
            <b:Middle>A.</b:Middle>
          </b:Person>
          <b:Person>
            <b:Last>Burbano</b:Last>
            <b:First>Vanessa</b:First>
            <b:Middle>Cuerel</b:Middle>
          </b:Person>
        </b:NameList>
      </b:Author>
    </b:Author>
    <b:RefOrder>28</b:RefOrder>
  </b:Source>
</b:Sources>
</file>

<file path=customXml/itemProps1.xml><?xml version="1.0" encoding="utf-8"?>
<ds:datastoreItem xmlns:ds="http://schemas.openxmlformats.org/officeDocument/2006/customXml" ds:itemID="{1E7FB5E9-7DD5-4287-BE07-78B4D118D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8754</TotalTime>
  <Pages>49</Pages>
  <Words>18290</Words>
  <Characters>104258</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122304</CharactersWithSpaces>
  <SharedDoc>false</SharedDoc>
  <HLinks>
    <vt:vector size="12" baseType="variant">
      <vt:variant>
        <vt:i4>5242897</vt:i4>
      </vt:variant>
      <vt:variant>
        <vt:i4>36</vt:i4>
      </vt:variant>
      <vt:variant>
        <vt:i4>0</vt:i4>
      </vt:variant>
      <vt:variant>
        <vt:i4>5</vt:i4>
      </vt:variant>
      <vt:variant>
        <vt:lpwstr>https://www.gov.uk/government/statistics/weekly-road-fuel-prices</vt:lpwstr>
      </vt:variant>
      <vt:variant>
        <vt:lpwstr/>
      </vt:variant>
      <vt:variant>
        <vt:i4>6750303</vt:i4>
      </vt:variant>
      <vt:variant>
        <vt:i4>0</vt:i4>
      </vt:variant>
      <vt:variant>
        <vt:i4>0</vt:i4>
      </vt:variant>
      <vt:variant>
        <vt:i4>5</vt:i4>
      </vt:variant>
      <vt:variant>
        <vt:lpwstr/>
      </vt:variant>
      <vt:variant>
        <vt:lpwstr>_ABBREVIATIONS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Lamar Walters (2310732)</cp:lastModifiedBy>
  <cp:revision>647</cp:revision>
  <dcterms:created xsi:type="dcterms:W3CDTF">2026-05-14T19:09:00Z</dcterms:created>
  <dcterms:modified xsi:type="dcterms:W3CDTF">2026-07-25T20:24:00Z</dcterms:modified>
</cp:coreProperties>
</file>