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57FB6F" w14:textId="77777777" w:rsidR="00E95F26" w:rsidRDefault="000F6132">
      <w:pPr>
        <w:jc w:val="center"/>
      </w:pPr>
      <w:r>
        <w:rPr>
          <w:b/>
          <w:color w:val="1C465C"/>
          <w:sz w:val="38"/>
        </w:rPr>
        <w:t>LCHS7009 Component 1</w:t>
      </w:r>
      <w:r>
        <w:rPr>
          <w:b/>
          <w:color w:val="1C465C"/>
          <w:sz w:val="38"/>
        </w:rPr>
        <w:br/>
      </w:r>
      <w:r>
        <w:rPr>
          <w:b/>
          <w:color w:val="1C465C"/>
          <w:sz w:val="36"/>
        </w:rPr>
        <w:t>Digital Health Promotion Blogs</w:t>
      </w:r>
    </w:p>
    <w:p w14:paraId="0955A65F" w14:textId="77777777" w:rsidR="00E95F26" w:rsidRDefault="000F6132">
      <w:pPr>
        <w:jc w:val="center"/>
        <w:rPr>
          <w:i/>
          <w:color w:val="646464"/>
          <w:sz w:val="22"/>
        </w:rPr>
      </w:pPr>
      <w:r>
        <w:rPr>
          <w:i/>
          <w:color w:val="646464"/>
          <w:sz w:val="22"/>
        </w:rPr>
        <w:t>Two blog entries | Existing technology and designed technology</w:t>
      </w:r>
    </w:p>
    <w:p w14:paraId="6D90A369" w14:textId="77777777" w:rsidR="001537CE" w:rsidRDefault="001537CE">
      <w:pPr>
        <w:jc w:val="center"/>
      </w:pPr>
    </w:p>
    <w:tbl>
      <w:tblPr>
        <w:tblStyle w:val="TableGrid"/>
        <w:tblW w:w="0" w:type="auto"/>
        <w:jc w:val="center"/>
        <w:tblLook w:val="04A0" w:firstRow="1" w:lastRow="0" w:firstColumn="1" w:lastColumn="0" w:noHBand="0" w:noVBand="1"/>
      </w:tblPr>
      <w:tblGrid>
        <w:gridCol w:w="5107"/>
        <w:gridCol w:w="5107"/>
      </w:tblGrid>
      <w:tr w:rsidR="00E95F26" w:rsidRPr="007E2B4E" w14:paraId="2B1C5672" w14:textId="77777777" w:rsidTr="007E2B4E">
        <w:trPr>
          <w:jc w:val="center"/>
        </w:trPr>
        <w:tc>
          <w:tcPr>
            <w:tcW w:w="5107" w:type="dxa"/>
            <w:vAlign w:val="center"/>
          </w:tcPr>
          <w:p w14:paraId="35DC4435" w14:textId="77777777" w:rsidR="00E95F26" w:rsidRPr="007E2B4E" w:rsidRDefault="000F6132" w:rsidP="007E2B4E">
            <w:pPr>
              <w:spacing w:line="360" w:lineRule="auto"/>
              <w:rPr>
                <w:sz w:val="22"/>
              </w:rPr>
            </w:pPr>
            <w:r w:rsidRPr="007E2B4E">
              <w:rPr>
                <w:b/>
                <w:sz w:val="22"/>
              </w:rPr>
              <w:t>Programme</w:t>
            </w:r>
          </w:p>
        </w:tc>
        <w:tc>
          <w:tcPr>
            <w:tcW w:w="5107" w:type="dxa"/>
            <w:vAlign w:val="center"/>
          </w:tcPr>
          <w:p w14:paraId="5E3179D9" w14:textId="77777777" w:rsidR="00E95F26" w:rsidRPr="007E2B4E" w:rsidRDefault="000F6132" w:rsidP="007E2B4E">
            <w:pPr>
              <w:spacing w:line="360" w:lineRule="auto"/>
              <w:rPr>
                <w:sz w:val="22"/>
              </w:rPr>
            </w:pPr>
            <w:r w:rsidRPr="007E2B4E">
              <w:rPr>
                <w:sz w:val="22"/>
              </w:rPr>
              <w:t>MSc Public Health and Social Care in Practice</w:t>
            </w:r>
          </w:p>
        </w:tc>
      </w:tr>
      <w:tr w:rsidR="00E95F26" w:rsidRPr="007E2B4E" w14:paraId="4FE4D59C" w14:textId="77777777" w:rsidTr="007E2B4E">
        <w:trPr>
          <w:jc w:val="center"/>
        </w:trPr>
        <w:tc>
          <w:tcPr>
            <w:tcW w:w="5107" w:type="dxa"/>
            <w:vAlign w:val="center"/>
          </w:tcPr>
          <w:p w14:paraId="792D1A5E" w14:textId="77777777" w:rsidR="00E95F26" w:rsidRPr="007E2B4E" w:rsidRDefault="000F6132" w:rsidP="007E2B4E">
            <w:pPr>
              <w:spacing w:line="360" w:lineRule="auto"/>
              <w:rPr>
                <w:sz w:val="22"/>
              </w:rPr>
            </w:pPr>
            <w:r w:rsidRPr="007E2B4E">
              <w:rPr>
                <w:b/>
                <w:sz w:val="22"/>
              </w:rPr>
              <w:t>Module</w:t>
            </w:r>
          </w:p>
        </w:tc>
        <w:tc>
          <w:tcPr>
            <w:tcW w:w="5107" w:type="dxa"/>
            <w:vAlign w:val="center"/>
          </w:tcPr>
          <w:p w14:paraId="525988E0" w14:textId="77777777" w:rsidR="00E95F26" w:rsidRPr="007E2B4E" w:rsidRDefault="000F6132" w:rsidP="007E2B4E">
            <w:pPr>
              <w:spacing w:line="360" w:lineRule="auto"/>
              <w:rPr>
                <w:sz w:val="22"/>
              </w:rPr>
            </w:pPr>
            <w:r w:rsidRPr="007E2B4E">
              <w:rPr>
                <w:sz w:val="22"/>
              </w:rPr>
              <w:t>Population Health and Digital Health Promotion</w:t>
            </w:r>
          </w:p>
        </w:tc>
      </w:tr>
      <w:tr w:rsidR="00E95F26" w:rsidRPr="007E2B4E" w14:paraId="3E875A2A" w14:textId="77777777" w:rsidTr="007E2B4E">
        <w:trPr>
          <w:jc w:val="center"/>
        </w:trPr>
        <w:tc>
          <w:tcPr>
            <w:tcW w:w="5107" w:type="dxa"/>
            <w:vAlign w:val="center"/>
          </w:tcPr>
          <w:p w14:paraId="18E3B284" w14:textId="77777777" w:rsidR="00E95F26" w:rsidRPr="007E2B4E" w:rsidRDefault="000F6132" w:rsidP="007E2B4E">
            <w:pPr>
              <w:spacing w:line="360" w:lineRule="auto"/>
              <w:rPr>
                <w:sz w:val="22"/>
              </w:rPr>
            </w:pPr>
            <w:r w:rsidRPr="007E2B4E">
              <w:rPr>
                <w:b/>
                <w:sz w:val="22"/>
              </w:rPr>
              <w:t>Module code</w:t>
            </w:r>
          </w:p>
        </w:tc>
        <w:tc>
          <w:tcPr>
            <w:tcW w:w="5107" w:type="dxa"/>
            <w:vAlign w:val="center"/>
          </w:tcPr>
          <w:p w14:paraId="72443A8E" w14:textId="77777777" w:rsidR="00E95F26" w:rsidRPr="007E2B4E" w:rsidRDefault="000F6132" w:rsidP="007E2B4E">
            <w:pPr>
              <w:spacing w:line="360" w:lineRule="auto"/>
              <w:rPr>
                <w:sz w:val="22"/>
              </w:rPr>
            </w:pPr>
            <w:r w:rsidRPr="007E2B4E">
              <w:rPr>
                <w:sz w:val="22"/>
              </w:rPr>
              <w:t>LCHS7009</w:t>
            </w:r>
          </w:p>
        </w:tc>
      </w:tr>
      <w:tr w:rsidR="00E95F26" w:rsidRPr="007E2B4E" w14:paraId="56F35D8F" w14:textId="77777777" w:rsidTr="007E2B4E">
        <w:trPr>
          <w:jc w:val="center"/>
        </w:trPr>
        <w:tc>
          <w:tcPr>
            <w:tcW w:w="5107" w:type="dxa"/>
            <w:vAlign w:val="center"/>
          </w:tcPr>
          <w:p w14:paraId="699ACB68" w14:textId="77777777" w:rsidR="00E95F26" w:rsidRPr="007E2B4E" w:rsidRDefault="000F6132" w:rsidP="007E2B4E">
            <w:pPr>
              <w:spacing w:line="360" w:lineRule="auto"/>
              <w:rPr>
                <w:sz w:val="22"/>
              </w:rPr>
            </w:pPr>
            <w:r w:rsidRPr="007E2B4E">
              <w:rPr>
                <w:b/>
                <w:sz w:val="22"/>
              </w:rPr>
              <w:t>Lecturer</w:t>
            </w:r>
          </w:p>
        </w:tc>
        <w:tc>
          <w:tcPr>
            <w:tcW w:w="5107" w:type="dxa"/>
            <w:vAlign w:val="center"/>
          </w:tcPr>
          <w:p w14:paraId="727A3FED" w14:textId="2DBCBBE3" w:rsidR="00E95F26" w:rsidRPr="007E2B4E" w:rsidRDefault="00744705" w:rsidP="007E2B4E">
            <w:pPr>
              <w:spacing w:line="360" w:lineRule="auto"/>
              <w:rPr>
                <w:sz w:val="22"/>
              </w:rPr>
            </w:pPr>
            <w:r w:rsidRPr="007E2B4E">
              <w:rPr>
                <w:sz w:val="22"/>
              </w:rPr>
              <w:t>Dr. Raheela Shaikh</w:t>
            </w:r>
          </w:p>
        </w:tc>
      </w:tr>
      <w:tr w:rsidR="00E95F26" w:rsidRPr="007E2B4E" w14:paraId="339F17A3" w14:textId="77777777" w:rsidTr="007E2B4E">
        <w:trPr>
          <w:jc w:val="center"/>
        </w:trPr>
        <w:tc>
          <w:tcPr>
            <w:tcW w:w="5107" w:type="dxa"/>
            <w:vAlign w:val="center"/>
          </w:tcPr>
          <w:p w14:paraId="51591788" w14:textId="77777777" w:rsidR="00E95F26" w:rsidRPr="007E2B4E" w:rsidRDefault="000F6132" w:rsidP="007E2B4E">
            <w:pPr>
              <w:spacing w:line="360" w:lineRule="auto"/>
              <w:rPr>
                <w:sz w:val="22"/>
              </w:rPr>
            </w:pPr>
            <w:r w:rsidRPr="007E2B4E">
              <w:rPr>
                <w:b/>
                <w:sz w:val="22"/>
              </w:rPr>
              <w:t>Assignment title</w:t>
            </w:r>
          </w:p>
        </w:tc>
        <w:tc>
          <w:tcPr>
            <w:tcW w:w="5107" w:type="dxa"/>
            <w:vAlign w:val="center"/>
          </w:tcPr>
          <w:p w14:paraId="61E89B6A" w14:textId="77777777" w:rsidR="00E95F26" w:rsidRPr="007E2B4E" w:rsidRDefault="000F6132" w:rsidP="007E2B4E">
            <w:pPr>
              <w:spacing w:line="360" w:lineRule="auto"/>
              <w:rPr>
                <w:sz w:val="22"/>
              </w:rPr>
            </w:pPr>
            <w:r w:rsidRPr="007E2B4E">
              <w:rPr>
                <w:sz w:val="22"/>
              </w:rPr>
              <w:t>Component 1: 2 Blogs</w:t>
            </w:r>
          </w:p>
        </w:tc>
      </w:tr>
      <w:tr w:rsidR="00E95F26" w:rsidRPr="007E2B4E" w14:paraId="3C645DAB" w14:textId="77777777" w:rsidTr="007E2B4E">
        <w:trPr>
          <w:jc w:val="center"/>
        </w:trPr>
        <w:tc>
          <w:tcPr>
            <w:tcW w:w="5107" w:type="dxa"/>
            <w:vAlign w:val="center"/>
          </w:tcPr>
          <w:p w14:paraId="795A91CB" w14:textId="77777777" w:rsidR="00E95F26" w:rsidRPr="007E2B4E" w:rsidRDefault="000F6132" w:rsidP="007E2B4E">
            <w:pPr>
              <w:spacing w:line="360" w:lineRule="auto"/>
              <w:rPr>
                <w:sz w:val="22"/>
              </w:rPr>
            </w:pPr>
            <w:r w:rsidRPr="007E2B4E">
              <w:rPr>
                <w:b/>
                <w:sz w:val="22"/>
              </w:rPr>
              <w:t>Student name</w:t>
            </w:r>
          </w:p>
        </w:tc>
        <w:tc>
          <w:tcPr>
            <w:tcW w:w="5107" w:type="dxa"/>
            <w:vAlign w:val="center"/>
          </w:tcPr>
          <w:p w14:paraId="229800D3" w14:textId="1E0D4C86" w:rsidR="00E95F26" w:rsidRPr="007E2B4E" w:rsidRDefault="001D1EBF" w:rsidP="007E2B4E">
            <w:pPr>
              <w:spacing w:line="360" w:lineRule="auto"/>
              <w:rPr>
                <w:sz w:val="22"/>
              </w:rPr>
            </w:pPr>
            <w:proofErr w:type="spellStart"/>
            <w:r w:rsidRPr="007E2B4E">
              <w:rPr>
                <w:sz w:val="22"/>
              </w:rPr>
              <w:t>Mst</w:t>
            </w:r>
            <w:proofErr w:type="spellEnd"/>
            <w:r w:rsidRPr="007E2B4E">
              <w:rPr>
                <w:sz w:val="22"/>
              </w:rPr>
              <w:t xml:space="preserve"> </w:t>
            </w:r>
            <w:proofErr w:type="spellStart"/>
            <w:r w:rsidRPr="007E2B4E">
              <w:rPr>
                <w:sz w:val="22"/>
              </w:rPr>
              <w:t>Sharmin</w:t>
            </w:r>
            <w:proofErr w:type="spellEnd"/>
            <w:r w:rsidRPr="007E2B4E">
              <w:rPr>
                <w:sz w:val="22"/>
              </w:rPr>
              <w:t xml:space="preserve"> Sultana </w:t>
            </w:r>
            <w:proofErr w:type="spellStart"/>
            <w:r w:rsidRPr="007E2B4E">
              <w:rPr>
                <w:sz w:val="22"/>
              </w:rPr>
              <w:t>Mitu</w:t>
            </w:r>
            <w:proofErr w:type="spellEnd"/>
          </w:p>
        </w:tc>
      </w:tr>
      <w:tr w:rsidR="00E95F26" w:rsidRPr="007E2B4E" w14:paraId="1D67DD8C" w14:textId="77777777" w:rsidTr="007E2B4E">
        <w:trPr>
          <w:jc w:val="center"/>
        </w:trPr>
        <w:tc>
          <w:tcPr>
            <w:tcW w:w="5107" w:type="dxa"/>
            <w:vAlign w:val="center"/>
          </w:tcPr>
          <w:p w14:paraId="716A39BE" w14:textId="77777777" w:rsidR="00E95F26" w:rsidRPr="007E2B4E" w:rsidRDefault="000F6132" w:rsidP="007E2B4E">
            <w:pPr>
              <w:spacing w:line="360" w:lineRule="auto"/>
              <w:rPr>
                <w:sz w:val="22"/>
              </w:rPr>
            </w:pPr>
            <w:r w:rsidRPr="007E2B4E">
              <w:rPr>
                <w:b/>
                <w:sz w:val="22"/>
              </w:rPr>
              <w:t>Student ID number</w:t>
            </w:r>
          </w:p>
        </w:tc>
        <w:tc>
          <w:tcPr>
            <w:tcW w:w="5107" w:type="dxa"/>
            <w:vAlign w:val="center"/>
          </w:tcPr>
          <w:p w14:paraId="133618F3" w14:textId="53C25338" w:rsidR="00E95F26" w:rsidRPr="007E2B4E" w:rsidRDefault="001D1EBF" w:rsidP="007E2B4E">
            <w:pPr>
              <w:spacing w:line="360" w:lineRule="auto"/>
              <w:rPr>
                <w:sz w:val="22"/>
              </w:rPr>
            </w:pPr>
            <w:r w:rsidRPr="007E2B4E">
              <w:rPr>
                <w:sz w:val="22"/>
              </w:rPr>
              <w:t>2524666</w:t>
            </w:r>
          </w:p>
        </w:tc>
      </w:tr>
      <w:tr w:rsidR="00B368F8" w:rsidRPr="007E2B4E" w14:paraId="5AF31691" w14:textId="77777777" w:rsidTr="007E2B4E">
        <w:trPr>
          <w:jc w:val="center"/>
        </w:trPr>
        <w:tc>
          <w:tcPr>
            <w:tcW w:w="5107" w:type="dxa"/>
            <w:vAlign w:val="center"/>
          </w:tcPr>
          <w:p w14:paraId="75583057" w14:textId="2869E356" w:rsidR="00B368F8" w:rsidRPr="007E2B4E" w:rsidRDefault="00B368F8" w:rsidP="007E2B4E">
            <w:pPr>
              <w:spacing w:line="360" w:lineRule="auto"/>
              <w:rPr>
                <w:b/>
                <w:sz w:val="22"/>
              </w:rPr>
            </w:pPr>
            <w:r>
              <w:rPr>
                <w:b/>
                <w:sz w:val="22"/>
              </w:rPr>
              <w:t>Submission Date</w:t>
            </w:r>
          </w:p>
        </w:tc>
        <w:tc>
          <w:tcPr>
            <w:tcW w:w="5107" w:type="dxa"/>
            <w:vAlign w:val="center"/>
          </w:tcPr>
          <w:p w14:paraId="53436128" w14:textId="02A543EF" w:rsidR="00B368F8" w:rsidRPr="007E2B4E" w:rsidRDefault="00DE5F1D" w:rsidP="007E2B4E">
            <w:pPr>
              <w:spacing w:line="360" w:lineRule="auto"/>
              <w:rPr>
                <w:sz w:val="22"/>
              </w:rPr>
            </w:pPr>
            <w:r>
              <w:rPr>
                <w:sz w:val="22"/>
              </w:rPr>
              <w:t>1 July</w:t>
            </w:r>
            <w:r w:rsidR="00B368F8">
              <w:rPr>
                <w:sz w:val="22"/>
              </w:rPr>
              <w:t>, 2026</w:t>
            </w:r>
          </w:p>
        </w:tc>
      </w:tr>
    </w:tbl>
    <w:p w14:paraId="0B2FC2F4" w14:textId="77777777" w:rsidR="00E95F26" w:rsidRDefault="000F6132">
      <w:r>
        <w:br w:type="page"/>
      </w:r>
    </w:p>
    <w:p w14:paraId="4256C828" w14:textId="57355669" w:rsidR="00E95F26" w:rsidRPr="00906DB3" w:rsidRDefault="000F6132" w:rsidP="00906DB3">
      <w:pPr>
        <w:spacing w:after="40" w:line="360" w:lineRule="auto"/>
        <w:rPr>
          <w:rFonts w:cs="Arial"/>
          <w:color w:val="000000" w:themeColor="text1"/>
          <w:sz w:val="22"/>
        </w:rPr>
      </w:pPr>
      <w:r w:rsidRPr="00906DB3">
        <w:rPr>
          <w:b/>
          <w:color w:val="8B2649"/>
          <w:sz w:val="32"/>
          <w:szCs w:val="32"/>
        </w:rPr>
        <w:lastRenderedPageBreak/>
        <w:t xml:space="preserve">BLOG 1: </w:t>
      </w:r>
      <w:r w:rsidR="005979B4">
        <w:rPr>
          <w:b/>
          <w:color w:val="8B2649"/>
          <w:sz w:val="32"/>
          <w:szCs w:val="32"/>
        </w:rPr>
        <w:t>Role of Digital Technology in Dementia</w:t>
      </w:r>
      <w:bookmarkStart w:id="0" w:name="_GoBack"/>
      <w:bookmarkEnd w:id="0"/>
      <w:r w:rsidR="005979B4">
        <w:rPr>
          <w:b/>
          <w:color w:val="8B2649"/>
          <w:sz w:val="32"/>
          <w:szCs w:val="32"/>
        </w:rPr>
        <w:t xml:space="preserve"> Management in the UK </w:t>
      </w:r>
    </w:p>
    <w:p w14:paraId="330656D9" w14:textId="77777777" w:rsidR="007E2B4E" w:rsidRDefault="000F6132" w:rsidP="00906DB3">
      <w:pPr>
        <w:pStyle w:val="Title"/>
        <w:pBdr>
          <w:bottom w:val="single" w:sz="8" w:space="14" w:color="4F81BD" w:themeColor="accent1"/>
        </w:pBdr>
        <w:spacing w:after="160" w:line="360" w:lineRule="auto"/>
        <w:jc w:val="both"/>
        <w:rPr>
          <w:rFonts w:ascii="Arial" w:hAnsi="Arial" w:cs="Arial"/>
          <w:b w:val="0"/>
          <w:bCs/>
          <w:color w:val="000000" w:themeColor="text1"/>
          <w:sz w:val="22"/>
          <w:szCs w:val="22"/>
        </w:rPr>
      </w:pPr>
      <w:r w:rsidRPr="00906DB3">
        <w:rPr>
          <w:rFonts w:ascii="Arial" w:hAnsi="Arial" w:cs="Arial"/>
          <w:sz w:val="22"/>
          <w:szCs w:val="22"/>
        </w:rPr>
        <w:t>Background</w:t>
      </w:r>
      <w:r w:rsidRPr="00906DB3">
        <w:rPr>
          <w:rFonts w:ascii="Arial" w:hAnsi="Arial" w:cs="Arial"/>
          <w:sz w:val="22"/>
          <w:szCs w:val="22"/>
        </w:rPr>
        <w:br/>
      </w:r>
      <w:r w:rsidR="007E2B4E" w:rsidRPr="007E2B4E">
        <w:rPr>
          <w:rFonts w:ascii="Arial" w:hAnsi="Arial" w:cs="Arial"/>
          <w:b w:val="0"/>
          <w:bCs/>
          <w:color w:val="000000" w:themeColor="text1"/>
          <w:sz w:val="22"/>
          <w:szCs w:val="22"/>
        </w:rPr>
        <w:t xml:space="preserve">Dementia is a progressive syndrome that impairs memory, thinking, </w:t>
      </w:r>
      <w:proofErr w:type="spellStart"/>
      <w:r w:rsidR="007E2B4E" w:rsidRPr="007E2B4E">
        <w:rPr>
          <w:rFonts w:ascii="Arial" w:hAnsi="Arial" w:cs="Arial"/>
          <w:b w:val="0"/>
          <w:bCs/>
          <w:color w:val="000000" w:themeColor="text1"/>
          <w:sz w:val="22"/>
          <w:szCs w:val="22"/>
        </w:rPr>
        <w:t>behaviour</w:t>
      </w:r>
      <w:proofErr w:type="spellEnd"/>
      <w:r w:rsidR="007E2B4E" w:rsidRPr="007E2B4E">
        <w:rPr>
          <w:rFonts w:ascii="Arial" w:hAnsi="Arial" w:cs="Arial"/>
          <w:b w:val="0"/>
          <w:bCs/>
          <w:color w:val="000000" w:themeColor="text1"/>
          <w:sz w:val="22"/>
          <w:szCs w:val="22"/>
        </w:rPr>
        <w:t xml:space="preserve"> and daily functioning hence resulting in the emergence of long-term needs of safety, communication and social care supports (World Health Organization, 2025). It is estimated that approximately 982,000 people live with dementia in the UK and that the cost is going to increase to approximately £90 billion in 2040 compared to approximately 42 billion in 2024 (Alzheimer's Society and Carnall Farrar, 2024). Dementia can also be considered as a population health concern due to unpaid caregivers usually taking care of medications, appointments, nighttime care and risks related to disorientation or going out without notice (NICE, 2018; Damant et al., 2024). Effective dementia care must consequently defend autonomy devoid of disregarding dignity, assent and disparities in the digital arena (NICE, 2018; NHS England, 2023).</w:t>
      </w:r>
    </w:p>
    <w:p w14:paraId="3989088B" w14:textId="77777777" w:rsidR="004168CA" w:rsidRPr="004168CA" w:rsidRDefault="004168CA" w:rsidP="004168CA"/>
    <w:p w14:paraId="1D8965C8" w14:textId="1C186689" w:rsidR="00E95F26" w:rsidRPr="00906DB3" w:rsidRDefault="005979B4" w:rsidP="00906DB3">
      <w:pPr>
        <w:spacing w:line="360" w:lineRule="auto"/>
        <w:jc w:val="center"/>
        <w:rPr>
          <w:rFonts w:cs="Arial"/>
          <w:b/>
          <w:sz w:val="22"/>
        </w:rPr>
      </w:pPr>
      <w:r>
        <w:rPr>
          <w:rFonts w:cs="Arial"/>
          <w:b/>
          <w:noProof/>
          <w:sz w:val="22"/>
          <w:lang w:bidi="bn-IN"/>
        </w:rPr>
        <w:drawing>
          <wp:inline distT="0" distB="0" distL="0" distR="0" wp14:anchorId="7562672B" wp14:editId="0B59CFC3">
            <wp:extent cx="4251960" cy="3238500"/>
            <wp:effectExtent l="0" t="0" r="0" b="0"/>
            <wp:docPr id="28707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53519" cy="3239687"/>
                    </a:xfrm>
                    <a:prstGeom prst="rect">
                      <a:avLst/>
                    </a:prstGeom>
                    <a:noFill/>
                  </pic:spPr>
                </pic:pic>
              </a:graphicData>
            </a:graphic>
          </wp:inline>
        </w:drawing>
      </w:r>
    </w:p>
    <w:p w14:paraId="3B125D5B" w14:textId="77777777" w:rsidR="00E95F26" w:rsidRPr="00906DB3" w:rsidRDefault="000F6132" w:rsidP="00906DB3">
      <w:pPr>
        <w:spacing w:line="360" w:lineRule="auto"/>
        <w:jc w:val="center"/>
        <w:rPr>
          <w:rFonts w:cs="Arial"/>
          <w:sz w:val="22"/>
        </w:rPr>
      </w:pPr>
      <w:r w:rsidRPr="00906DB3">
        <w:rPr>
          <w:rFonts w:cs="Arial"/>
          <w:i/>
          <w:color w:val="5A5A5A"/>
          <w:sz w:val="22"/>
        </w:rPr>
        <w:t>Figure 1. Projected annual cost of dementia in the UK. Source: author's own, based on Alzheimer's Society and Carnall F</w:t>
      </w:r>
      <w:r w:rsidRPr="00906DB3">
        <w:rPr>
          <w:rFonts w:cs="Arial"/>
          <w:i/>
          <w:color w:val="5A5A5A"/>
          <w:sz w:val="22"/>
        </w:rPr>
        <w:t>arrar (2024).</w:t>
      </w:r>
    </w:p>
    <w:p w14:paraId="4A9452A3" w14:textId="76E18107" w:rsidR="00E95F26" w:rsidRPr="00906DB3" w:rsidRDefault="005979B4" w:rsidP="00906DB3">
      <w:pPr>
        <w:pStyle w:val="Heading2"/>
        <w:spacing w:line="360" w:lineRule="auto"/>
        <w:rPr>
          <w:rFonts w:ascii="Arial" w:hAnsi="Arial" w:cs="Arial"/>
          <w:sz w:val="22"/>
          <w:szCs w:val="22"/>
        </w:rPr>
      </w:pPr>
      <w:r>
        <w:rPr>
          <w:rFonts w:ascii="Arial" w:hAnsi="Arial" w:cs="Arial"/>
          <w:sz w:val="22"/>
          <w:szCs w:val="22"/>
        </w:rPr>
        <w:t xml:space="preserve">Role of digital technology </w:t>
      </w:r>
    </w:p>
    <w:p w14:paraId="56EB9002" w14:textId="77777777" w:rsidR="007E2B4E" w:rsidRDefault="007E2B4E" w:rsidP="00906DB3">
      <w:pPr>
        <w:spacing w:line="360" w:lineRule="auto"/>
        <w:jc w:val="both"/>
        <w:rPr>
          <w:rFonts w:cs="Arial"/>
          <w:sz w:val="22"/>
        </w:rPr>
      </w:pPr>
      <w:r w:rsidRPr="007E2B4E">
        <w:rPr>
          <w:rFonts w:cs="Arial"/>
          <w:sz w:val="22"/>
        </w:rPr>
        <w:t>Digital tools in dementia treatment comprise reminder applications, video calls, information websites on the Internet about the carers, GPS watch (</w:t>
      </w:r>
      <w:proofErr w:type="spellStart"/>
      <w:r w:rsidRPr="007E2B4E">
        <w:rPr>
          <w:rFonts w:cs="Arial"/>
          <w:sz w:val="22"/>
        </w:rPr>
        <w:t>skilefts</w:t>
      </w:r>
      <w:proofErr w:type="spellEnd"/>
      <w:r w:rsidRPr="007E2B4E">
        <w:rPr>
          <w:rFonts w:cs="Arial"/>
          <w:sz w:val="22"/>
        </w:rPr>
        <w:t xml:space="preserve">) and smart-home devices (Di Lorito et al., 2022; Damant et al., 2024). GPS accessories and sensors at home are helpful in that they are rather created to aid safer </w:t>
      </w:r>
      <w:r w:rsidRPr="007E2B4E">
        <w:rPr>
          <w:rFonts w:cs="Arial"/>
          <w:sz w:val="22"/>
        </w:rPr>
        <w:lastRenderedPageBreak/>
        <w:t>living at home than human attention (Doyle et al., 2024). The GPS device can also notify a carer upon an overstep on an agreed safe zone, whereas door or motion detectors can indicate atypical habit like night wandering (Doyle et al., 2024; NICE, 2018).</w:t>
      </w:r>
    </w:p>
    <w:p w14:paraId="3B368DE0" w14:textId="6BB1A91A" w:rsidR="00E95F26" w:rsidRPr="00906DB3" w:rsidRDefault="009C23A9" w:rsidP="00906DB3">
      <w:pPr>
        <w:spacing w:line="360" w:lineRule="auto"/>
        <w:jc w:val="center"/>
        <w:rPr>
          <w:rFonts w:cs="Arial"/>
          <w:sz w:val="22"/>
        </w:rPr>
      </w:pPr>
      <w:r>
        <w:rPr>
          <w:rFonts w:cs="Arial"/>
          <w:noProof/>
          <w:sz w:val="22"/>
          <w:lang w:bidi="bn-IN"/>
        </w:rPr>
        <w:drawing>
          <wp:inline distT="0" distB="0" distL="0" distR="0" wp14:anchorId="3EDFD49B" wp14:editId="3BC93651">
            <wp:extent cx="4457700" cy="3642360"/>
            <wp:effectExtent l="0" t="0" r="0" b="0"/>
            <wp:docPr id="1469876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83370" cy="3663335"/>
                    </a:xfrm>
                    <a:prstGeom prst="rect">
                      <a:avLst/>
                    </a:prstGeom>
                    <a:noFill/>
                  </pic:spPr>
                </pic:pic>
              </a:graphicData>
            </a:graphic>
          </wp:inline>
        </w:drawing>
      </w:r>
    </w:p>
    <w:p w14:paraId="36ED8B90" w14:textId="77777777" w:rsidR="00E95F26" w:rsidRPr="00906DB3" w:rsidRDefault="000F6132" w:rsidP="00906DB3">
      <w:pPr>
        <w:spacing w:before="40" w:after="120" w:line="360" w:lineRule="auto"/>
        <w:jc w:val="center"/>
        <w:rPr>
          <w:rFonts w:cs="Arial"/>
          <w:sz w:val="22"/>
        </w:rPr>
      </w:pPr>
      <w:r w:rsidRPr="00906DB3">
        <w:rPr>
          <w:rFonts w:cs="Arial"/>
          <w:i/>
          <w:color w:val="5A5A5A"/>
          <w:sz w:val="22"/>
        </w:rPr>
        <w:t>Figure 2. Digital technology pathway in dementia management. Source: author's own, based on</w:t>
      </w:r>
      <w:r w:rsidRPr="00906DB3">
        <w:rPr>
          <w:rFonts w:cs="Arial"/>
          <w:i/>
          <w:color w:val="5A5A5A"/>
          <w:sz w:val="22"/>
        </w:rPr>
        <w:t xml:space="preserve"> NICE (2018), Michie, van Stralen and West (2011), Doyle et al. (2024) and NHS England (2023).</w:t>
      </w:r>
    </w:p>
    <w:p w14:paraId="520FEE33" w14:textId="57788256" w:rsidR="00E95F26" w:rsidRPr="00906DB3" w:rsidRDefault="000F6132" w:rsidP="00906DB3">
      <w:pPr>
        <w:pStyle w:val="Heading2"/>
        <w:spacing w:line="360" w:lineRule="auto"/>
        <w:rPr>
          <w:rFonts w:ascii="Arial" w:hAnsi="Arial" w:cs="Arial"/>
          <w:sz w:val="22"/>
          <w:szCs w:val="22"/>
        </w:rPr>
      </w:pPr>
      <w:r w:rsidRPr="00906DB3">
        <w:rPr>
          <w:rFonts w:ascii="Arial" w:hAnsi="Arial" w:cs="Arial"/>
          <w:sz w:val="22"/>
          <w:szCs w:val="22"/>
        </w:rPr>
        <w:t>Clinical impact</w:t>
      </w:r>
      <w:r w:rsidR="005979B4">
        <w:rPr>
          <w:rFonts w:ascii="Arial" w:hAnsi="Arial" w:cs="Arial"/>
          <w:sz w:val="22"/>
          <w:szCs w:val="22"/>
        </w:rPr>
        <w:t xml:space="preserve"> of digital technology</w:t>
      </w:r>
    </w:p>
    <w:p w14:paraId="26ED6B14" w14:textId="77777777" w:rsidR="007E2B4E" w:rsidRDefault="007E2B4E" w:rsidP="00906DB3">
      <w:pPr>
        <w:spacing w:line="360" w:lineRule="auto"/>
        <w:jc w:val="both"/>
        <w:rPr>
          <w:rFonts w:cs="Arial"/>
          <w:sz w:val="22"/>
        </w:rPr>
      </w:pPr>
      <w:r w:rsidRPr="007E2B4E">
        <w:rPr>
          <w:rFonts w:cs="Arial"/>
          <w:sz w:val="22"/>
        </w:rPr>
        <w:t xml:space="preserve">Early response is the health-promotion value since carers can intervene before the crisis turns into an emergency (Doyle et al., 2024). Remote monitoring may contribute to capability by providing more informative carers, opportunity by facilitating faster response, and motivation through alleviating anxiety which is associated with the COM-B </w:t>
      </w:r>
      <w:proofErr w:type="spellStart"/>
      <w:r w:rsidRPr="007E2B4E">
        <w:rPr>
          <w:rFonts w:cs="Arial"/>
          <w:sz w:val="22"/>
        </w:rPr>
        <w:t>behaviour</w:t>
      </w:r>
      <w:proofErr w:type="spellEnd"/>
      <w:r w:rsidRPr="007E2B4E">
        <w:rPr>
          <w:rFonts w:cs="Arial"/>
          <w:sz w:val="22"/>
        </w:rPr>
        <w:t xml:space="preserve"> change theory (</w:t>
      </w:r>
      <w:proofErr w:type="spellStart"/>
      <w:r w:rsidRPr="007E2B4E">
        <w:rPr>
          <w:rFonts w:cs="Arial"/>
          <w:sz w:val="22"/>
        </w:rPr>
        <w:t>Michie</w:t>
      </w:r>
      <w:proofErr w:type="spellEnd"/>
      <w:r w:rsidRPr="007E2B4E">
        <w:rPr>
          <w:rFonts w:cs="Arial"/>
          <w:sz w:val="22"/>
        </w:rPr>
        <w:t xml:space="preserve">, van Stralen and West, 2011). Doyle et al. (2024) have established GPS trackers as a feasible and acceptable form of wearer-carer dyad, and the benefits of independence, safety, reassurance and decreased contact with the police force or the social services. Information access ability and communication of the carers with support networks could also be enhanced through ICT (Damant et al., 2024). </w:t>
      </w:r>
    </w:p>
    <w:p w14:paraId="4375CC43" w14:textId="466FCECF" w:rsidR="004168CA" w:rsidRDefault="004168CA" w:rsidP="004168CA">
      <w:pPr>
        <w:spacing w:line="360" w:lineRule="auto"/>
        <w:jc w:val="center"/>
        <w:rPr>
          <w:rFonts w:cs="Arial"/>
          <w:sz w:val="22"/>
        </w:rPr>
      </w:pPr>
      <w:r>
        <w:rPr>
          <w:rFonts w:cs="Arial"/>
          <w:noProof/>
          <w:sz w:val="22"/>
          <w:lang w:bidi="bn-IN"/>
        </w:rPr>
        <w:lastRenderedPageBreak/>
        <w:drawing>
          <wp:inline distT="0" distB="0" distL="0" distR="0" wp14:anchorId="4E68C720" wp14:editId="00EAD261">
            <wp:extent cx="3441700" cy="2567819"/>
            <wp:effectExtent l="0" t="0" r="6350" b="4445"/>
            <wp:docPr id="1647905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67789" cy="2587284"/>
                    </a:xfrm>
                    <a:prstGeom prst="rect">
                      <a:avLst/>
                    </a:prstGeom>
                    <a:noFill/>
                  </pic:spPr>
                </pic:pic>
              </a:graphicData>
            </a:graphic>
          </wp:inline>
        </w:drawing>
      </w:r>
    </w:p>
    <w:p w14:paraId="04AD0E34" w14:textId="0CA2AB0C" w:rsidR="004168CA" w:rsidRPr="009C23A9" w:rsidRDefault="004168CA" w:rsidP="004168CA">
      <w:pPr>
        <w:spacing w:line="360" w:lineRule="auto"/>
        <w:jc w:val="center"/>
        <w:rPr>
          <w:rFonts w:cs="Arial"/>
          <w:i/>
          <w:iCs/>
          <w:sz w:val="22"/>
        </w:rPr>
      </w:pPr>
      <w:r w:rsidRPr="009C23A9">
        <w:rPr>
          <w:rFonts w:cs="Arial"/>
          <w:i/>
          <w:iCs/>
          <w:sz w:val="22"/>
        </w:rPr>
        <w:t>Figure 3: Dementia care often depends on family support, safety planning and person-</w:t>
      </w:r>
      <w:proofErr w:type="spellStart"/>
      <w:r w:rsidRPr="009C23A9">
        <w:rPr>
          <w:rFonts w:cs="Arial"/>
          <w:i/>
          <w:iCs/>
          <w:sz w:val="22"/>
        </w:rPr>
        <w:t>centred</w:t>
      </w:r>
      <w:proofErr w:type="spellEnd"/>
      <w:r w:rsidRPr="009C23A9">
        <w:rPr>
          <w:rFonts w:cs="Arial"/>
          <w:i/>
          <w:iCs/>
          <w:sz w:val="22"/>
        </w:rPr>
        <w:t xml:space="preserve"> daily care</w:t>
      </w:r>
    </w:p>
    <w:p w14:paraId="415E55F7" w14:textId="77777777" w:rsidR="00E95F26" w:rsidRPr="00906DB3" w:rsidRDefault="000F6132" w:rsidP="00906DB3">
      <w:pPr>
        <w:pStyle w:val="Heading2"/>
        <w:spacing w:line="360" w:lineRule="auto"/>
        <w:rPr>
          <w:rFonts w:ascii="Arial" w:hAnsi="Arial" w:cs="Arial"/>
          <w:sz w:val="22"/>
          <w:szCs w:val="22"/>
        </w:rPr>
      </w:pPr>
      <w:r w:rsidRPr="00906DB3">
        <w:rPr>
          <w:rFonts w:ascii="Arial" w:hAnsi="Arial" w:cs="Arial"/>
          <w:sz w:val="22"/>
          <w:szCs w:val="22"/>
        </w:rPr>
        <w:t>Ethical issu</w:t>
      </w:r>
      <w:r w:rsidRPr="00906DB3">
        <w:rPr>
          <w:rFonts w:ascii="Arial" w:hAnsi="Arial" w:cs="Arial"/>
          <w:sz w:val="22"/>
          <w:szCs w:val="22"/>
        </w:rPr>
        <w:t>es, inequality and shortfalls</w:t>
      </w:r>
    </w:p>
    <w:p w14:paraId="6C740AB4" w14:textId="77777777" w:rsidR="007E2B4E" w:rsidRDefault="007E2B4E" w:rsidP="00906DB3">
      <w:pPr>
        <w:spacing w:line="360" w:lineRule="auto"/>
        <w:jc w:val="both"/>
        <w:rPr>
          <w:rFonts w:cs="Arial"/>
          <w:sz w:val="22"/>
        </w:rPr>
      </w:pPr>
      <w:r w:rsidRPr="007E2B4E">
        <w:rPr>
          <w:rFonts w:cs="Arial"/>
          <w:sz w:val="22"/>
        </w:rPr>
        <w:t>The effect is not necessarily good since monitoring may become support and surveillance (Di Lorito et al., 2022). When the unpaid carers have to pay attention to the digital systems, monitoring may appear intrusive, the false alerts may cause additional stress, and when the services fail to respond in time, the load on the already enough work may be transferred to them (Di Lorito et al., 2022; Damant et al., 2024). One of the key issues is digital exclusion since in the UK only 53 per cent of adults at the age of 75 and older have the basic foundational knowledge of digital skills (Good Things Foundation, 2024). Opt-in consent, frequent review, limited data gathering, training of carers, and use of loan devices and non-digital options should be implemented to address these gaps by local authorities and to Integrated Care Systems (NICE, 2018; NHS England, 2023; Good Things Foundation, 2024).</w:t>
      </w:r>
    </w:p>
    <w:p w14:paraId="44EB63B4" w14:textId="7F041C76" w:rsidR="00E95F26" w:rsidRPr="00906DB3" w:rsidRDefault="00DE5F1D" w:rsidP="00906DB3">
      <w:pPr>
        <w:pStyle w:val="Heading2"/>
        <w:spacing w:line="360" w:lineRule="auto"/>
        <w:rPr>
          <w:rFonts w:ascii="Arial" w:hAnsi="Arial" w:cs="Arial"/>
          <w:sz w:val="22"/>
          <w:szCs w:val="22"/>
        </w:rPr>
      </w:pPr>
      <w:r>
        <w:rPr>
          <w:rFonts w:ascii="Arial" w:hAnsi="Arial" w:cs="Arial"/>
          <w:sz w:val="22"/>
          <w:szCs w:val="22"/>
        </w:rPr>
        <w:t>Resources for</w:t>
      </w:r>
      <w:r w:rsidR="00523C56">
        <w:rPr>
          <w:rFonts w:ascii="Arial" w:hAnsi="Arial" w:cs="Arial"/>
          <w:sz w:val="22"/>
          <w:szCs w:val="22"/>
        </w:rPr>
        <w:t xml:space="preserve"> further study </w:t>
      </w:r>
    </w:p>
    <w:p w14:paraId="17F666DF" w14:textId="7A1F3C1F" w:rsidR="00906DB3" w:rsidRDefault="000F6132" w:rsidP="00906DB3">
      <w:pPr>
        <w:spacing w:line="360" w:lineRule="auto"/>
        <w:jc w:val="both"/>
        <w:rPr>
          <w:rFonts w:cs="Arial"/>
          <w:sz w:val="22"/>
        </w:rPr>
      </w:pPr>
      <w:r w:rsidRPr="00906DB3">
        <w:rPr>
          <w:rFonts w:cs="Arial"/>
          <w:sz w:val="22"/>
        </w:rPr>
        <w:t xml:space="preserve">For dementia advice and support, visit NHS Dementia: </w:t>
      </w:r>
      <w:hyperlink r:id="rId11" w:history="1">
        <w:r w:rsidR="00906DB3" w:rsidRPr="00710370">
          <w:rPr>
            <w:rStyle w:val="Hyperlink"/>
            <w:rFonts w:cs="Arial"/>
            <w:sz w:val="22"/>
          </w:rPr>
          <w:t>https://www.nhs.uk/conditions/dementia/</w:t>
        </w:r>
      </w:hyperlink>
    </w:p>
    <w:p w14:paraId="58DFAC48" w14:textId="7E07040A" w:rsidR="009C23A9" w:rsidRPr="009C23A9" w:rsidRDefault="000F6132" w:rsidP="00DE5F1D">
      <w:pPr>
        <w:spacing w:line="360" w:lineRule="auto"/>
        <w:jc w:val="both"/>
        <w:rPr>
          <w:rFonts w:cs="Arial"/>
          <w:sz w:val="22"/>
        </w:rPr>
      </w:pPr>
      <w:r w:rsidRPr="00906DB3">
        <w:rPr>
          <w:rFonts w:cs="Arial"/>
          <w:sz w:val="22"/>
        </w:rPr>
        <w:t xml:space="preserve"> and Dementia UK: </w:t>
      </w:r>
      <w:hyperlink r:id="rId12" w:history="1">
        <w:r w:rsidR="00906DB3" w:rsidRPr="00710370">
          <w:rPr>
            <w:rStyle w:val="Hyperlink"/>
            <w:rFonts w:cs="Arial"/>
            <w:sz w:val="22"/>
          </w:rPr>
          <w:t>https://www.dementiauk.org/</w:t>
        </w:r>
      </w:hyperlink>
      <w:r w:rsidRPr="00906DB3">
        <w:rPr>
          <w:rFonts w:cs="Arial"/>
          <w:sz w:val="22"/>
        </w:rPr>
        <w:br w:type="page"/>
      </w:r>
    </w:p>
    <w:p w14:paraId="1C0DED3C" w14:textId="4F1F4781" w:rsidR="00906DB3" w:rsidRPr="00DE5F1D" w:rsidRDefault="000F6132" w:rsidP="00DE5F1D">
      <w:pPr>
        <w:spacing w:line="360" w:lineRule="auto"/>
        <w:rPr>
          <w:rFonts w:cs="Arial"/>
          <w:sz w:val="22"/>
        </w:rPr>
      </w:pPr>
      <w:r w:rsidRPr="00906DB3">
        <w:rPr>
          <w:rFonts w:cs="Arial"/>
          <w:b/>
          <w:color w:val="8B2649"/>
          <w:sz w:val="32"/>
          <w:szCs w:val="32"/>
        </w:rPr>
        <w:lastRenderedPageBreak/>
        <w:t xml:space="preserve">BLOG 2: </w:t>
      </w:r>
      <w:r w:rsidR="005979B4">
        <w:rPr>
          <w:rFonts w:cs="Arial"/>
          <w:b/>
          <w:color w:val="8B2649"/>
          <w:sz w:val="32"/>
          <w:szCs w:val="32"/>
        </w:rPr>
        <w:t xml:space="preserve">A Digital Support Tool for Dementia Care in the UK: </w:t>
      </w:r>
      <w:proofErr w:type="spellStart"/>
      <w:r w:rsidR="005979B4">
        <w:rPr>
          <w:rFonts w:cs="Arial"/>
          <w:b/>
          <w:color w:val="8B2649"/>
          <w:sz w:val="32"/>
          <w:szCs w:val="32"/>
        </w:rPr>
        <w:t>CogniCare</w:t>
      </w:r>
      <w:proofErr w:type="spellEnd"/>
      <w:r w:rsidR="005979B4">
        <w:rPr>
          <w:rFonts w:cs="Arial"/>
          <w:b/>
          <w:color w:val="8B2649"/>
          <w:sz w:val="32"/>
          <w:szCs w:val="32"/>
        </w:rPr>
        <w:t xml:space="preserve"> </w:t>
      </w:r>
    </w:p>
    <w:p w14:paraId="1B1A0AF9" w14:textId="1160A687" w:rsidR="007E2B4E" w:rsidRDefault="00123253" w:rsidP="00123253">
      <w:pPr>
        <w:pStyle w:val="Title"/>
        <w:pBdr>
          <w:bottom w:val="single" w:sz="8" w:space="10" w:color="4F81BD" w:themeColor="accent1"/>
        </w:pBdr>
        <w:spacing w:after="160" w:line="360" w:lineRule="auto"/>
        <w:jc w:val="both"/>
        <w:rPr>
          <w:rFonts w:ascii="Arial" w:hAnsi="Arial" w:cs="Arial"/>
          <w:b w:val="0"/>
          <w:bCs/>
          <w:color w:val="000000" w:themeColor="text1"/>
          <w:sz w:val="22"/>
          <w:szCs w:val="22"/>
        </w:rPr>
      </w:pPr>
      <w:r w:rsidRPr="00906DB3">
        <w:rPr>
          <w:rFonts w:ascii="Arial" w:hAnsi="Arial" w:cs="Arial"/>
          <w:color w:val="000000" w:themeColor="text1"/>
          <w:sz w:val="22"/>
          <w:szCs w:val="22"/>
        </w:rPr>
        <w:t>Background</w:t>
      </w:r>
      <w:r w:rsidRPr="00906DB3">
        <w:rPr>
          <w:rFonts w:ascii="Arial" w:hAnsi="Arial" w:cs="Arial"/>
          <w:sz w:val="22"/>
          <w:szCs w:val="22"/>
        </w:rPr>
        <w:br/>
      </w:r>
      <w:r w:rsidR="007E2B4E" w:rsidRPr="007E2B4E">
        <w:rPr>
          <w:rFonts w:ascii="Arial" w:hAnsi="Arial" w:cs="Arial"/>
          <w:b w:val="0"/>
          <w:bCs/>
          <w:color w:val="000000" w:themeColor="text1"/>
          <w:sz w:val="22"/>
          <w:szCs w:val="22"/>
        </w:rPr>
        <w:t xml:space="preserve">The prevention and support of dementia is a priority in the public health as the clinical, </w:t>
      </w:r>
      <w:proofErr w:type="spellStart"/>
      <w:r w:rsidR="007E2B4E" w:rsidRPr="007E2B4E">
        <w:rPr>
          <w:rFonts w:ascii="Arial" w:hAnsi="Arial" w:cs="Arial"/>
          <w:b w:val="0"/>
          <w:bCs/>
          <w:color w:val="000000" w:themeColor="text1"/>
          <w:sz w:val="22"/>
          <w:szCs w:val="22"/>
        </w:rPr>
        <w:t>behavioural</w:t>
      </w:r>
      <w:proofErr w:type="spellEnd"/>
      <w:r w:rsidR="007E2B4E" w:rsidRPr="007E2B4E">
        <w:rPr>
          <w:rFonts w:ascii="Arial" w:hAnsi="Arial" w:cs="Arial"/>
          <w:b w:val="0"/>
          <w:bCs/>
          <w:color w:val="000000" w:themeColor="text1"/>
          <w:sz w:val="22"/>
          <w:szCs w:val="22"/>
        </w:rPr>
        <w:t xml:space="preserve"> and social determinants of dementia risk in the life course (Livingston et al., 2024; World Health Organization, 2025). It is estimated that nearly half of the cases of dementia may be prevented or postponed by dealing with 14 risk factors that are modifiable, including hearing loss, hypertension, inactivity and isolation (Livingston et al., 2024). Family carers are also affected by dementia in the UK where most of the people who are at home rely on family support (Damant et al., 2024).</w:t>
      </w:r>
    </w:p>
    <w:p w14:paraId="640FDE0A" w14:textId="71DB82EB" w:rsidR="00123253" w:rsidRDefault="00123253" w:rsidP="00123253">
      <w:pPr>
        <w:jc w:val="center"/>
        <w:rPr>
          <w:b/>
          <w:bCs/>
        </w:rPr>
      </w:pPr>
    </w:p>
    <w:p w14:paraId="32A4EE72" w14:textId="4EFA4E8E" w:rsidR="00DE5F1D" w:rsidRDefault="00DE5F1D" w:rsidP="00123253">
      <w:pPr>
        <w:jc w:val="center"/>
        <w:rPr>
          <w:b/>
          <w:bCs/>
        </w:rPr>
      </w:pPr>
      <w:r>
        <w:rPr>
          <w:b/>
          <w:bCs/>
          <w:noProof/>
          <w:lang w:bidi="bn-IN"/>
        </w:rPr>
        <w:drawing>
          <wp:inline distT="0" distB="0" distL="0" distR="0" wp14:anchorId="41F36646" wp14:editId="426920A9">
            <wp:extent cx="3976279" cy="2674620"/>
            <wp:effectExtent l="0" t="0" r="5715" b="0"/>
            <wp:docPr id="962974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78662" cy="2676223"/>
                    </a:xfrm>
                    <a:prstGeom prst="rect">
                      <a:avLst/>
                    </a:prstGeom>
                    <a:noFill/>
                  </pic:spPr>
                </pic:pic>
              </a:graphicData>
            </a:graphic>
          </wp:inline>
        </w:drawing>
      </w:r>
    </w:p>
    <w:p w14:paraId="6FBFDD98" w14:textId="699E5C38" w:rsidR="00123253" w:rsidRPr="005E1299" w:rsidRDefault="00123253" w:rsidP="005E1299">
      <w:pPr>
        <w:jc w:val="center"/>
        <w:rPr>
          <w:i/>
          <w:iCs/>
          <w:sz w:val="22"/>
          <w:szCs w:val="24"/>
        </w:rPr>
      </w:pPr>
      <w:r w:rsidRPr="009C23A9">
        <w:rPr>
          <w:i/>
          <w:iCs/>
          <w:sz w:val="22"/>
          <w:szCs w:val="24"/>
        </w:rPr>
        <w:t>Figure 1: Digital dementia support should be simple enough for carers and older adults to use together.</w:t>
      </w:r>
      <w:r w:rsidR="00A43F6D" w:rsidRPr="00A43F6D">
        <w:t xml:space="preserve"> </w:t>
      </w:r>
      <w:r w:rsidR="00A43F6D" w:rsidRPr="00A43F6D">
        <w:rPr>
          <w:i/>
          <w:iCs/>
          <w:sz w:val="22"/>
          <w:szCs w:val="24"/>
        </w:rPr>
        <w:t>Author’s own illustration created for this submission</w:t>
      </w:r>
      <w:r>
        <w:br w:type="textWrapping" w:clear="all"/>
      </w:r>
    </w:p>
    <w:p w14:paraId="74182DAB" w14:textId="7981724F" w:rsidR="00123253" w:rsidRPr="00123253" w:rsidRDefault="00DE5F1D" w:rsidP="00123253">
      <w:pPr>
        <w:pStyle w:val="Heading2"/>
        <w:spacing w:line="360" w:lineRule="auto"/>
        <w:rPr>
          <w:rFonts w:ascii="Arial" w:hAnsi="Arial" w:cs="Arial"/>
          <w:sz w:val="22"/>
          <w:szCs w:val="22"/>
        </w:rPr>
      </w:pPr>
      <w:r>
        <w:rPr>
          <w:rFonts w:ascii="Arial" w:hAnsi="Arial" w:cs="Arial"/>
          <w:sz w:val="22"/>
          <w:szCs w:val="22"/>
        </w:rPr>
        <w:t xml:space="preserve">Role of </w:t>
      </w:r>
      <w:proofErr w:type="spellStart"/>
      <w:r w:rsidRPr="00906DB3">
        <w:rPr>
          <w:rFonts w:ascii="Arial" w:hAnsi="Arial" w:cs="Arial"/>
          <w:sz w:val="22"/>
          <w:szCs w:val="22"/>
        </w:rPr>
        <w:t>CogniCare</w:t>
      </w:r>
      <w:proofErr w:type="spellEnd"/>
      <w:r w:rsidRPr="00906DB3">
        <w:rPr>
          <w:rFonts w:ascii="Arial" w:hAnsi="Arial" w:cs="Arial"/>
          <w:sz w:val="22"/>
          <w:szCs w:val="22"/>
        </w:rPr>
        <w:t xml:space="preserve"> </w:t>
      </w:r>
    </w:p>
    <w:p w14:paraId="71B69B20" w14:textId="77777777" w:rsidR="007E2B4E" w:rsidRDefault="007E2B4E" w:rsidP="00906DB3">
      <w:pPr>
        <w:spacing w:line="360" w:lineRule="auto"/>
        <w:jc w:val="both"/>
        <w:rPr>
          <w:rFonts w:cs="Arial"/>
          <w:sz w:val="22"/>
        </w:rPr>
      </w:pPr>
      <w:proofErr w:type="spellStart"/>
      <w:r w:rsidRPr="007E2B4E">
        <w:rPr>
          <w:rFonts w:cs="Arial"/>
          <w:sz w:val="22"/>
        </w:rPr>
        <w:t>CogniCare</w:t>
      </w:r>
      <w:proofErr w:type="spellEnd"/>
      <w:r w:rsidRPr="007E2B4E">
        <w:rPr>
          <w:rFonts w:cs="Arial"/>
          <w:sz w:val="22"/>
        </w:rPr>
        <w:t xml:space="preserve"> Ageing UK is a </w:t>
      </w:r>
      <w:proofErr w:type="spellStart"/>
      <w:r w:rsidRPr="007E2B4E">
        <w:rPr>
          <w:rFonts w:cs="Arial"/>
          <w:sz w:val="22"/>
        </w:rPr>
        <w:t>carer</w:t>
      </w:r>
      <w:proofErr w:type="spellEnd"/>
      <w:r w:rsidRPr="007E2B4E">
        <w:rPr>
          <w:rFonts w:cs="Arial"/>
          <w:sz w:val="22"/>
        </w:rPr>
        <w:t>-focused mobile, web and SMS service in support of adults with early memory issues or mild dementia that has been designed around the principles of digital inclusion (NHS England, 2023). It is not a diagnostic app meaning that users would be directed to GP and NHS routes when symptoms evolve (NICE, 2018). The platform transforms brain-health types of advice to weekly activities like walking, hearing check, social interaction and appointment booking (Livingston et al., 2024; World Health Organization, 2025). The Carer Load Traffic Light is its initial feature, whereby the carers respond to four weekly questions about sleep, stress, confidence and missed tasks, via a straightforward escalation concept, which aligns with person-</w:t>
      </w:r>
      <w:proofErr w:type="spellStart"/>
      <w:r w:rsidRPr="007E2B4E">
        <w:rPr>
          <w:rFonts w:cs="Arial"/>
          <w:sz w:val="22"/>
        </w:rPr>
        <w:t>centred</w:t>
      </w:r>
      <w:proofErr w:type="spellEnd"/>
      <w:r w:rsidRPr="007E2B4E">
        <w:rPr>
          <w:rFonts w:cs="Arial"/>
          <w:sz w:val="22"/>
        </w:rPr>
        <w:t xml:space="preserve"> support (NICE, 2018). Green is reassuring, amber </w:t>
      </w:r>
      <w:r w:rsidRPr="007E2B4E">
        <w:rPr>
          <w:rFonts w:cs="Arial"/>
          <w:sz w:val="22"/>
        </w:rPr>
        <w:lastRenderedPageBreak/>
        <w:t xml:space="preserve">indicative of local support, and red provides an action prompt, which can be printed and given to a GP, NHS 111, </w:t>
      </w:r>
      <w:proofErr w:type="spellStart"/>
      <w:r w:rsidRPr="007E2B4E">
        <w:rPr>
          <w:rFonts w:cs="Arial"/>
          <w:sz w:val="22"/>
        </w:rPr>
        <w:t>carer</w:t>
      </w:r>
      <w:proofErr w:type="spellEnd"/>
      <w:r w:rsidRPr="007E2B4E">
        <w:rPr>
          <w:rFonts w:cs="Arial"/>
          <w:sz w:val="22"/>
        </w:rPr>
        <w:t xml:space="preserve"> </w:t>
      </w:r>
      <w:proofErr w:type="spellStart"/>
      <w:r w:rsidRPr="007E2B4E">
        <w:rPr>
          <w:rFonts w:cs="Arial"/>
          <w:sz w:val="22"/>
        </w:rPr>
        <w:t>centre</w:t>
      </w:r>
      <w:proofErr w:type="spellEnd"/>
      <w:r w:rsidRPr="007E2B4E">
        <w:rPr>
          <w:rFonts w:cs="Arial"/>
          <w:sz w:val="22"/>
        </w:rPr>
        <w:t xml:space="preserve"> or social prescriber (NICE, 2018; NHS England, 2023).</w:t>
      </w:r>
    </w:p>
    <w:p w14:paraId="29C90764" w14:textId="7F55F0E2" w:rsidR="00E95F26" w:rsidRPr="00906DB3" w:rsidRDefault="00C658D5" w:rsidP="00906DB3">
      <w:pPr>
        <w:spacing w:line="360" w:lineRule="auto"/>
        <w:jc w:val="center"/>
        <w:rPr>
          <w:rFonts w:cs="Arial"/>
          <w:sz w:val="22"/>
        </w:rPr>
      </w:pPr>
      <w:r>
        <w:rPr>
          <w:rFonts w:cs="Arial"/>
          <w:noProof/>
          <w:sz w:val="22"/>
          <w:lang w:bidi="bn-IN"/>
        </w:rPr>
        <w:drawing>
          <wp:inline distT="0" distB="0" distL="0" distR="0" wp14:anchorId="1E0717B2" wp14:editId="485170CE">
            <wp:extent cx="4151948" cy="3371627"/>
            <wp:effectExtent l="0" t="0" r="1270" b="635"/>
            <wp:docPr id="2854228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69911" cy="3386214"/>
                    </a:xfrm>
                    <a:prstGeom prst="rect">
                      <a:avLst/>
                    </a:prstGeom>
                    <a:noFill/>
                  </pic:spPr>
                </pic:pic>
              </a:graphicData>
            </a:graphic>
          </wp:inline>
        </w:drawing>
      </w:r>
    </w:p>
    <w:p w14:paraId="202D5E19" w14:textId="7D255140" w:rsidR="00E95F26" w:rsidRPr="00A329BE" w:rsidRDefault="000F6132" w:rsidP="00906DB3">
      <w:pPr>
        <w:spacing w:before="40" w:after="120" w:line="360" w:lineRule="auto"/>
        <w:jc w:val="center"/>
        <w:rPr>
          <w:rFonts w:cs="Arial"/>
          <w:color w:val="000000" w:themeColor="text1"/>
          <w:sz w:val="22"/>
        </w:rPr>
      </w:pPr>
      <w:r w:rsidRPr="00A329BE">
        <w:rPr>
          <w:rFonts w:cs="Arial"/>
          <w:i/>
          <w:color w:val="000000" w:themeColor="text1"/>
          <w:sz w:val="22"/>
        </w:rPr>
        <w:t xml:space="preserve">Figure </w:t>
      </w:r>
      <w:r w:rsidR="00123253" w:rsidRPr="00A329BE">
        <w:rPr>
          <w:rFonts w:cs="Arial"/>
          <w:i/>
          <w:color w:val="000000" w:themeColor="text1"/>
          <w:sz w:val="22"/>
        </w:rPr>
        <w:t>2</w:t>
      </w:r>
      <w:r w:rsidRPr="00A329BE">
        <w:rPr>
          <w:rFonts w:cs="Arial"/>
          <w:i/>
          <w:color w:val="000000" w:themeColor="text1"/>
          <w:sz w:val="22"/>
        </w:rPr>
        <w:t>. CogniCare Ageing UK design flow. Source: author's own, based on Michie, van Stralen and West (2011), NICE (2018) and NHS England (2023).</w:t>
      </w:r>
    </w:p>
    <w:p w14:paraId="077FA599" w14:textId="77777777" w:rsidR="00E95F26" w:rsidRPr="00906DB3" w:rsidRDefault="000F6132" w:rsidP="00906DB3">
      <w:pPr>
        <w:pStyle w:val="Heading2"/>
        <w:spacing w:line="360" w:lineRule="auto"/>
        <w:rPr>
          <w:rFonts w:ascii="Arial" w:hAnsi="Arial" w:cs="Arial"/>
          <w:sz w:val="22"/>
          <w:szCs w:val="22"/>
        </w:rPr>
      </w:pPr>
      <w:r w:rsidRPr="00906DB3">
        <w:rPr>
          <w:rFonts w:ascii="Arial" w:hAnsi="Arial" w:cs="Arial"/>
          <w:sz w:val="22"/>
          <w:szCs w:val="22"/>
        </w:rPr>
        <w:t>How it promotes health</w:t>
      </w:r>
    </w:p>
    <w:p w14:paraId="20580D61" w14:textId="77777777" w:rsidR="007E2B4E" w:rsidRDefault="007E2B4E" w:rsidP="00906DB3">
      <w:pPr>
        <w:spacing w:line="360" w:lineRule="auto"/>
        <w:jc w:val="both"/>
        <w:rPr>
          <w:rFonts w:cs="Arial"/>
          <w:sz w:val="22"/>
        </w:rPr>
      </w:pPr>
      <w:proofErr w:type="spellStart"/>
      <w:r w:rsidRPr="007E2B4E">
        <w:rPr>
          <w:rFonts w:cs="Arial"/>
          <w:sz w:val="22"/>
        </w:rPr>
        <w:t>CogniCare</w:t>
      </w:r>
      <w:proofErr w:type="spellEnd"/>
      <w:r w:rsidRPr="007E2B4E">
        <w:rPr>
          <w:rFonts w:cs="Arial"/>
          <w:sz w:val="22"/>
        </w:rPr>
        <w:t xml:space="preserve"> embraces the idea of COM-B, where all are enabled to develop through the provision of short learning cards, access to local services via localized service mapping and SMS, and induced through feedback and the shared family objectives (Michie, van Stralen and West, 2011). It might help decrease inequality through plain-English, voice services, translation, and printable plans and low-data access, which allows households with low digital literacy to use the health service (Good Things Foundation, 2024; NHS England, 2023). It may bring prevention, support and carer wellbeing into a single pathway, which reacts to fragmented support outlined in the literature on dementia and carers (Damant et al., 2024; NICE, 2018).</w:t>
      </w:r>
    </w:p>
    <w:p w14:paraId="42C2DD23" w14:textId="77777777" w:rsidR="00A329BE" w:rsidRDefault="00A329BE" w:rsidP="00906DB3">
      <w:pPr>
        <w:spacing w:line="360" w:lineRule="auto"/>
        <w:jc w:val="both"/>
        <w:rPr>
          <w:rFonts w:cs="Arial"/>
          <w:noProof/>
          <w:sz w:val="22"/>
        </w:rPr>
      </w:pPr>
    </w:p>
    <w:p w14:paraId="2CE35965" w14:textId="6D771550" w:rsidR="00AB0660" w:rsidRDefault="00A329BE" w:rsidP="00DE5F1D">
      <w:pPr>
        <w:spacing w:line="360" w:lineRule="auto"/>
        <w:jc w:val="center"/>
        <w:rPr>
          <w:rFonts w:cs="Arial"/>
          <w:sz w:val="22"/>
        </w:rPr>
      </w:pPr>
      <w:r>
        <w:rPr>
          <w:rFonts w:cs="Arial"/>
          <w:noProof/>
          <w:sz w:val="22"/>
          <w:lang w:bidi="bn-IN"/>
        </w:rPr>
        <w:lastRenderedPageBreak/>
        <w:drawing>
          <wp:inline distT="0" distB="0" distL="0" distR="0" wp14:anchorId="725CBDFD" wp14:editId="0F70F4FE">
            <wp:extent cx="3717925" cy="2804160"/>
            <wp:effectExtent l="0" t="0" r="0" b="0"/>
            <wp:docPr id="10276208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28513" cy="2812146"/>
                    </a:xfrm>
                    <a:prstGeom prst="rect">
                      <a:avLst/>
                    </a:prstGeom>
                    <a:noFill/>
                  </pic:spPr>
                </pic:pic>
              </a:graphicData>
            </a:graphic>
          </wp:inline>
        </w:drawing>
      </w:r>
    </w:p>
    <w:p w14:paraId="287B7224" w14:textId="11DD08C0" w:rsidR="00AB0660" w:rsidRPr="009C23A9" w:rsidRDefault="00AB0660" w:rsidP="00AB0660">
      <w:pPr>
        <w:spacing w:line="360" w:lineRule="auto"/>
        <w:jc w:val="center"/>
        <w:rPr>
          <w:rFonts w:cs="Arial"/>
          <w:i/>
          <w:iCs/>
          <w:sz w:val="22"/>
        </w:rPr>
      </w:pPr>
      <w:r w:rsidRPr="009C23A9">
        <w:rPr>
          <w:rFonts w:cs="Arial"/>
          <w:i/>
          <w:iCs/>
          <w:sz w:val="22"/>
        </w:rPr>
        <w:t xml:space="preserve">Figure </w:t>
      </w:r>
      <w:r w:rsidR="00123253" w:rsidRPr="009C23A9">
        <w:rPr>
          <w:rFonts w:cs="Arial"/>
          <w:i/>
          <w:iCs/>
          <w:sz w:val="22"/>
        </w:rPr>
        <w:t>3</w:t>
      </w:r>
      <w:r w:rsidRPr="009C23A9">
        <w:rPr>
          <w:rFonts w:cs="Arial"/>
          <w:i/>
          <w:iCs/>
          <w:sz w:val="22"/>
        </w:rPr>
        <w:t xml:space="preserve">: </w:t>
      </w:r>
      <w:proofErr w:type="spellStart"/>
      <w:r w:rsidR="00A329BE" w:rsidRPr="009C23A9">
        <w:rPr>
          <w:rFonts w:cs="Arial"/>
          <w:i/>
          <w:iCs/>
          <w:sz w:val="22"/>
        </w:rPr>
        <w:t>CogniCare</w:t>
      </w:r>
      <w:proofErr w:type="spellEnd"/>
      <w:r w:rsidR="00A329BE" w:rsidRPr="009C23A9">
        <w:rPr>
          <w:rFonts w:cs="Arial"/>
          <w:i/>
          <w:iCs/>
          <w:sz w:val="22"/>
        </w:rPr>
        <w:t xml:space="preserve"> applies COM-B by linking learning, access and motivation to weekly dementia-support actions.</w:t>
      </w:r>
      <w:r w:rsidR="00A43F6D" w:rsidRPr="00A43F6D">
        <w:t xml:space="preserve"> </w:t>
      </w:r>
      <w:r w:rsidR="00A43F6D" w:rsidRPr="00A43F6D">
        <w:rPr>
          <w:rFonts w:cs="Arial"/>
          <w:i/>
          <w:iCs/>
          <w:sz w:val="22"/>
        </w:rPr>
        <w:t>Author’s own illustration created for this submission</w:t>
      </w:r>
    </w:p>
    <w:p w14:paraId="7E31E120" w14:textId="77777777" w:rsidR="00E95F26" w:rsidRPr="00906DB3" w:rsidRDefault="000F6132" w:rsidP="00906DB3">
      <w:pPr>
        <w:pStyle w:val="Heading2"/>
        <w:spacing w:line="360" w:lineRule="auto"/>
        <w:rPr>
          <w:rFonts w:ascii="Arial" w:hAnsi="Arial" w:cs="Arial"/>
          <w:sz w:val="22"/>
          <w:szCs w:val="22"/>
        </w:rPr>
      </w:pPr>
      <w:r w:rsidRPr="00906DB3">
        <w:rPr>
          <w:rFonts w:ascii="Arial" w:hAnsi="Arial" w:cs="Arial"/>
          <w:sz w:val="22"/>
          <w:szCs w:val="22"/>
        </w:rPr>
        <w:t>Risks and shortfalls</w:t>
      </w:r>
    </w:p>
    <w:p w14:paraId="6B1360E0" w14:textId="61659212" w:rsidR="007E2B4E" w:rsidRDefault="007E2B4E" w:rsidP="00906DB3">
      <w:pPr>
        <w:spacing w:line="360" w:lineRule="auto"/>
        <w:jc w:val="both"/>
        <w:rPr>
          <w:rFonts w:cs="Arial"/>
          <w:sz w:val="22"/>
        </w:rPr>
      </w:pPr>
      <w:r w:rsidRPr="007E2B4E">
        <w:rPr>
          <w:rFonts w:cs="Arial"/>
          <w:sz w:val="22"/>
        </w:rPr>
        <w:t xml:space="preserve">The primary risks are the invasion of privacy, excessive reliance on self-reported data on </w:t>
      </w:r>
      <w:proofErr w:type="spellStart"/>
      <w:r w:rsidRPr="007E2B4E">
        <w:rPr>
          <w:rFonts w:cs="Arial"/>
          <w:sz w:val="22"/>
        </w:rPr>
        <w:t>carers</w:t>
      </w:r>
      <w:proofErr w:type="spellEnd"/>
      <w:r w:rsidRPr="007E2B4E">
        <w:rPr>
          <w:rFonts w:cs="Arial"/>
          <w:sz w:val="22"/>
        </w:rPr>
        <w:t xml:space="preserve">, additional unpaid </w:t>
      </w:r>
      <w:proofErr w:type="spellStart"/>
      <w:r w:rsidRPr="007E2B4E">
        <w:rPr>
          <w:rFonts w:cs="Arial"/>
          <w:sz w:val="22"/>
        </w:rPr>
        <w:t>labour</w:t>
      </w:r>
      <w:proofErr w:type="spellEnd"/>
      <w:r w:rsidRPr="007E2B4E">
        <w:rPr>
          <w:rFonts w:cs="Arial"/>
          <w:sz w:val="22"/>
        </w:rPr>
        <w:t xml:space="preserve"> and disappointment in case the local services are not able to reply (Di Lorito et al., 2022; Damant et al., 2024). These risks are important due to the frequent evidence of greater acceptability and lesser long-term outcomes of interventions of digital dementia across various groups (Di Lorito et al., 2022). </w:t>
      </w:r>
      <w:proofErr w:type="spellStart"/>
      <w:r w:rsidRPr="007E2B4E">
        <w:rPr>
          <w:rFonts w:cs="Arial"/>
          <w:sz w:val="22"/>
        </w:rPr>
        <w:t>CogniCare</w:t>
      </w:r>
      <w:proofErr w:type="spellEnd"/>
      <w:r w:rsidRPr="007E2B4E">
        <w:rPr>
          <w:rFonts w:cs="Arial"/>
          <w:sz w:val="22"/>
        </w:rPr>
        <w:t xml:space="preserve"> ought to be co-created with individuals with dementia, minority ethnic carers, elderly and low-income households, and require very small amounts of data, consent and human follow-up (NICE, 2018; NHS England, 2023; Damant et al., 2024). Carter burden, social participation, service referrals and usability are the success metrics that need to be used rather than downloads (Damant et al., 2024).</w:t>
      </w:r>
    </w:p>
    <w:p w14:paraId="5893C6CC" w14:textId="5BC4C710" w:rsidR="00E95F26" w:rsidRPr="00906DB3" w:rsidRDefault="00523C56" w:rsidP="00906DB3">
      <w:pPr>
        <w:pStyle w:val="Heading2"/>
        <w:spacing w:line="360" w:lineRule="auto"/>
        <w:rPr>
          <w:rFonts w:ascii="Arial" w:hAnsi="Arial" w:cs="Arial"/>
          <w:sz w:val="22"/>
          <w:szCs w:val="22"/>
        </w:rPr>
      </w:pPr>
      <w:r>
        <w:rPr>
          <w:rFonts w:ascii="Arial" w:hAnsi="Arial" w:cs="Arial"/>
          <w:sz w:val="22"/>
          <w:szCs w:val="22"/>
        </w:rPr>
        <w:t>Resources for further study</w:t>
      </w:r>
    </w:p>
    <w:p w14:paraId="77D229D7" w14:textId="77098F17" w:rsidR="00906DB3" w:rsidRDefault="000F6132" w:rsidP="00906DB3">
      <w:pPr>
        <w:spacing w:line="360" w:lineRule="auto"/>
        <w:jc w:val="both"/>
        <w:rPr>
          <w:rFonts w:cs="Arial"/>
          <w:sz w:val="22"/>
        </w:rPr>
      </w:pPr>
      <w:r w:rsidRPr="00906DB3">
        <w:rPr>
          <w:rFonts w:cs="Arial"/>
          <w:sz w:val="22"/>
        </w:rPr>
        <w:t xml:space="preserve">For dementia advice and support, visit NHS Dementia: </w:t>
      </w:r>
      <w:hyperlink r:id="rId16" w:history="1">
        <w:r w:rsidR="00906DB3" w:rsidRPr="00710370">
          <w:rPr>
            <w:rStyle w:val="Hyperlink"/>
            <w:rFonts w:cs="Arial"/>
            <w:sz w:val="22"/>
          </w:rPr>
          <w:t>https://www.nhs.uk/conditions/dementia/</w:t>
        </w:r>
      </w:hyperlink>
    </w:p>
    <w:p w14:paraId="383E6EDB" w14:textId="4F868CBE" w:rsidR="00E95F26" w:rsidRDefault="000F6132" w:rsidP="00906DB3">
      <w:pPr>
        <w:spacing w:line="360" w:lineRule="auto"/>
        <w:jc w:val="both"/>
        <w:rPr>
          <w:rFonts w:cs="Arial"/>
          <w:sz w:val="22"/>
        </w:rPr>
      </w:pPr>
      <w:r w:rsidRPr="00906DB3">
        <w:rPr>
          <w:rFonts w:cs="Arial"/>
          <w:sz w:val="22"/>
        </w:rPr>
        <w:t xml:space="preserve"> and Alzheimer's Society: </w:t>
      </w:r>
      <w:hyperlink r:id="rId17" w:history="1">
        <w:r w:rsidR="00906DB3" w:rsidRPr="00710370">
          <w:rPr>
            <w:rStyle w:val="Hyperlink"/>
            <w:rFonts w:cs="Arial"/>
            <w:sz w:val="22"/>
          </w:rPr>
          <w:t>https://www.alzheimers.org.uk/</w:t>
        </w:r>
      </w:hyperlink>
    </w:p>
    <w:p w14:paraId="4E2F8CDE" w14:textId="77777777" w:rsidR="00E95F26" w:rsidRPr="00906DB3" w:rsidRDefault="000F6132" w:rsidP="00906DB3">
      <w:pPr>
        <w:spacing w:line="360" w:lineRule="auto"/>
        <w:rPr>
          <w:rFonts w:cs="Arial"/>
          <w:sz w:val="22"/>
        </w:rPr>
      </w:pPr>
      <w:r w:rsidRPr="00906DB3">
        <w:rPr>
          <w:rFonts w:cs="Arial"/>
          <w:sz w:val="22"/>
        </w:rPr>
        <w:br w:type="page"/>
      </w:r>
    </w:p>
    <w:p w14:paraId="334659EC" w14:textId="388F4F61" w:rsidR="00DE5F1D" w:rsidRPr="00906DB3" w:rsidRDefault="00DE5F1D" w:rsidP="00DE5F1D">
      <w:pPr>
        <w:spacing w:line="360" w:lineRule="auto"/>
        <w:rPr>
          <w:rFonts w:cs="Arial"/>
          <w:b/>
          <w:bCs/>
          <w:sz w:val="22"/>
        </w:rPr>
      </w:pPr>
      <w:r w:rsidRPr="00906DB3">
        <w:rPr>
          <w:rFonts w:cs="Arial"/>
          <w:b/>
          <w:bCs/>
          <w:sz w:val="24"/>
          <w:szCs w:val="24"/>
        </w:rPr>
        <w:lastRenderedPageBreak/>
        <w:t>References</w:t>
      </w:r>
      <w:r>
        <w:rPr>
          <w:rFonts w:cs="Arial"/>
          <w:b/>
          <w:bCs/>
          <w:sz w:val="24"/>
          <w:szCs w:val="24"/>
        </w:rPr>
        <w:t xml:space="preserve"> for Blog 1</w:t>
      </w:r>
    </w:p>
    <w:p w14:paraId="2CF489E1" w14:textId="77777777" w:rsidR="00DE5F1D" w:rsidRPr="009C23A9" w:rsidRDefault="00DE5F1D" w:rsidP="00DE5F1D">
      <w:pPr>
        <w:spacing w:line="360" w:lineRule="auto"/>
        <w:rPr>
          <w:rFonts w:cs="Arial"/>
          <w:sz w:val="22"/>
        </w:rPr>
      </w:pPr>
      <w:r w:rsidRPr="009C23A9">
        <w:rPr>
          <w:rFonts w:cs="Arial"/>
          <w:sz w:val="22"/>
        </w:rPr>
        <w:t xml:space="preserve">Alzheimer’s Society and Carnall Farrar (2024) </w:t>
      </w:r>
      <w:r w:rsidRPr="009C23A9">
        <w:rPr>
          <w:rFonts w:cs="Arial"/>
          <w:i/>
          <w:iCs/>
          <w:sz w:val="22"/>
        </w:rPr>
        <w:t>The economic impact of dementia</w:t>
      </w:r>
      <w:r w:rsidRPr="009C23A9">
        <w:rPr>
          <w:rFonts w:cs="Arial"/>
          <w:sz w:val="22"/>
        </w:rPr>
        <w:t xml:space="preserve">. London: Alzheimer’s Society. Available at: </w:t>
      </w:r>
      <w:hyperlink r:id="rId18" w:tgtFrame="_new" w:history="1">
        <w:r w:rsidRPr="009C23A9">
          <w:rPr>
            <w:rStyle w:val="Hyperlink"/>
            <w:rFonts w:cs="Arial"/>
            <w:sz w:val="22"/>
          </w:rPr>
          <w:t>https://www.alzheimers.org.uk/what-we-do/policy-and-influencing/economic-impact-of-dementia</w:t>
        </w:r>
      </w:hyperlink>
      <w:r w:rsidRPr="009C23A9">
        <w:rPr>
          <w:rFonts w:cs="Arial"/>
          <w:sz w:val="22"/>
        </w:rPr>
        <w:t xml:space="preserve"> (Accessed: 19 June 2026).</w:t>
      </w:r>
    </w:p>
    <w:p w14:paraId="3C5A39BB" w14:textId="77777777" w:rsidR="00DE5F1D" w:rsidRPr="009C23A9" w:rsidRDefault="00DE5F1D" w:rsidP="00DE5F1D">
      <w:pPr>
        <w:spacing w:line="360" w:lineRule="auto"/>
        <w:rPr>
          <w:rFonts w:cs="Arial"/>
          <w:sz w:val="22"/>
        </w:rPr>
      </w:pPr>
      <w:r w:rsidRPr="009C23A9">
        <w:rPr>
          <w:rFonts w:cs="Arial"/>
          <w:sz w:val="22"/>
        </w:rPr>
        <w:t xml:space="preserve">Damant, J., </w:t>
      </w:r>
      <w:proofErr w:type="spellStart"/>
      <w:r w:rsidRPr="009C23A9">
        <w:rPr>
          <w:rFonts w:cs="Arial"/>
          <w:sz w:val="22"/>
        </w:rPr>
        <w:t>Freddolino</w:t>
      </w:r>
      <w:proofErr w:type="spellEnd"/>
      <w:r w:rsidRPr="009C23A9">
        <w:rPr>
          <w:rFonts w:cs="Arial"/>
          <w:sz w:val="22"/>
        </w:rPr>
        <w:t xml:space="preserve">, P., </w:t>
      </w:r>
      <w:proofErr w:type="spellStart"/>
      <w:r w:rsidRPr="009C23A9">
        <w:rPr>
          <w:rFonts w:cs="Arial"/>
          <w:sz w:val="22"/>
        </w:rPr>
        <w:t>Dangoor</w:t>
      </w:r>
      <w:proofErr w:type="spellEnd"/>
      <w:r w:rsidRPr="009C23A9">
        <w:rPr>
          <w:rFonts w:cs="Arial"/>
          <w:sz w:val="22"/>
        </w:rPr>
        <w:t xml:space="preserve">, M., Hu, B., King, D. and Wittenberg, R. (2024) ‘Unpaid carers of people with dementia and information communication technology: use, impact and ideas for the future’, </w:t>
      </w:r>
      <w:r w:rsidRPr="009C23A9">
        <w:rPr>
          <w:rFonts w:cs="Arial"/>
          <w:i/>
          <w:iCs/>
          <w:sz w:val="22"/>
        </w:rPr>
        <w:t>Dementia</w:t>
      </w:r>
      <w:r w:rsidRPr="009C23A9">
        <w:rPr>
          <w:rFonts w:cs="Arial"/>
          <w:sz w:val="22"/>
        </w:rPr>
        <w:t xml:space="preserve">, 23(5), pp. 779–799. Available at: </w:t>
      </w:r>
      <w:hyperlink r:id="rId19" w:tgtFrame="_new" w:history="1">
        <w:r w:rsidRPr="009C23A9">
          <w:rPr>
            <w:rStyle w:val="Hyperlink"/>
            <w:rFonts w:cs="Arial"/>
            <w:sz w:val="22"/>
          </w:rPr>
          <w:t>https://doi.org/10.1177/14713012241249793</w:t>
        </w:r>
      </w:hyperlink>
      <w:r w:rsidRPr="009C23A9">
        <w:rPr>
          <w:rFonts w:cs="Arial"/>
          <w:sz w:val="22"/>
        </w:rPr>
        <w:t>.</w:t>
      </w:r>
    </w:p>
    <w:p w14:paraId="6C658F3A" w14:textId="77777777" w:rsidR="00DE5F1D" w:rsidRPr="009C23A9" w:rsidRDefault="00DE5F1D" w:rsidP="00DE5F1D">
      <w:pPr>
        <w:spacing w:line="360" w:lineRule="auto"/>
        <w:rPr>
          <w:rFonts w:cs="Arial"/>
          <w:sz w:val="22"/>
        </w:rPr>
      </w:pPr>
      <w:r w:rsidRPr="009C23A9">
        <w:rPr>
          <w:rFonts w:cs="Arial"/>
          <w:sz w:val="22"/>
        </w:rPr>
        <w:t xml:space="preserve">Di Lorito, C., Bosco, A., Rai, H., Craven, M., McNally, D., Todd, C., Booth, V., Cowley, A., Howe, L. and Harwood, R. (2022) ‘A systematic literature review and meta-analysis on digital health interventions for people living with dementia and mild cognitive impairment’, </w:t>
      </w:r>
      <w:r w:rsidRPr="009C23A9">
        <w:rPr>
          <w:rFonts w:cs="Arial"/>
          <w:i/>
          <w:iCs/>
          <w:sz w:val="22"/>
        </w:rPr>
        <w:t>International Journal of Geriatric Psychiatry</w:t>
      </w:r>
      <w:r w:rsidRPr="009C23A9">
        <w:rPr>
          <w:rFonts w:cs="Arial"/>
          <w:sz w:val="22"/>
        </w:rPr>
        <w:t xml:space="preserve">, 37(6). Available at: </w:t>
      </w:r>
      <w:hyperlink r:id="rId20" w:tgtFrame="_new" w:history="1">
        <w:r w:rsidRPr="009C23A9">
          <w:rPr>
            <w:rStyle w:val="Hyperlink"/>
            <w:rFonts w:cs="Arial"/>
            <w:sz w:val="22"/>
          </w:rPr>
          <w:t>https://doi.org/10.1002/gps.5730</w:t>
        </w:r>
      </w:hyperlink>
      <w:r w:rsidRPr="009C23A9">
        <w:rPr>
          <w:rFonts w:cs="Arial"/>
          <w:sz w:val="22"/>
        </w:rPr>
        <w:t>.</w:t>
      </w:r>
    </w:p>
    <w:p w14:paraId="0F348B2D" w14:textId="77777777" w:rsidR="00DE5F1D" w:rsidRPr="009C23A9" w:rsidRDefault="00DE5F1D" w:rsidP="00DE5F1D">
      <w:pPr>
        <w:spacing w:line="360" w:lineRule="auto"/>
        <w:rPr>
          <w:rFonts w:cs="Arial"/>
          <w:sz w:val="22"/>
        </w:rPr>
      </w:pPr>
      <w:r w:rsidRPr="009C23A9">
        <w:rPr>
          <w:rFonts w:cs="Arial"/>
          <w:sz w:val="22"/>
        </w:rPr>
        <w:t xml:space="preserve">Doyle, M., </w:t>
      </w:r>
      <w:proofErr w:type="spellStart"/>
      <w:r w:rsidRPr="009C23A9">
        <w:rPr>
          <w:rFonts w:cs="Arial"/>
          <w:sz w:val="22"/>
        </w:rPr>
        <w:t>Nwofe</w:t>
      </w:r>
      <w:proofErr w:type="spellEnd"/>
      <w:r w:rsidRPr="009C23A9">
        <w:rPr>
          <w:rFonts w:cs="Arial"/>
          <w:sz w:val="22"/>
        </w:rPr>
        <w:t xml:space="preserve">, E.S., </w:t>
      </w:r>
      <w:proofErr w:type="spellStart"/>
      <w:r w:rsidRPr="009C23A9">
        <w:rPr>
          <w:rFonts w:cs="Arial"/>
          <w:sz w:val="22"/>
        </w:rPr>
        <w:t>Rooke</w:t>
      </w:r>
      <w:proofErr w:type="spellEnd"/>
      <w:r w:rsidRPr="009C23A9">
        <w:rPr>
          <w:rFonts w:cs="Arial"/>
          <w:sz w:val="22"/>
        </w:rPr>
        <w:t xml:space="preserve">, C., Seelam, K., Porter, J. and Bishop, D. (2024) ‘Implementing global positioning system trackers for people with dementia who are at risk of wandering’, </w:t>
      </w:r>
      <w:r w:rsidRPr="009C23A9">
        <w:rPr>
          <w:rFonts w:cs="Arial"/>
          <w:i/>
          <w:iCs/>
          <w:sz w:val="22"/>
        </w:rPr>
        <w:t>Dementia</w:t>
      </w:r>
      <w:r w:rsidRPr="009C23A9">
        <w:rPr>
          <w:rFonts w:cs="Arial"/>
          <w:sz w:val="22"/>
        </w:rPr>
        <w:t xml:space="preserve">, 23(6), pp. 964–980. Available at: </w:t>
      </w:r>
      <w:hyperlink r:id="rId21" w:tgtFrame="_new" w:history="1">
        <w:r w:rsidRPr="009C23A9">
          <w:rPr>
            <w:rStyle w:val="Hyperlink"/>
            <w:rFonts w:cs="Arial"/>
            <w:sz w:val="22"/>
          </w:rPr>
          <w:t>https://doi.org/10.1177/14713012241248556</w:t>
        </w:r>
      </w:hyperlink>
      <w:r w:rsidRPr="009C23A9">
        <w:rPr>
          <w:rFonts w:cs="Arial"/>
          <w:sz w:val="22"/>
        </w:rPr>
        <w:t>.</w:t>
      </w:r>
    </w:p>
    <w:p w14:paraId="6DCBEE6C" w14:textId="77777777" w:rsidR="00DE5F1D" w:rsidRPr="009C23A9" w:rsidRDefault="00DE5F1D" w:rsidP="00DE5F1D">
      <w:pPr>
        <w:spacing w:line="360" w:lineRule="auto"/>
        <w:rPr>
          <w:rFonts w:cs="Arial"/>
          <w:sz w:val="22"/>
        </w:rPr>
      </w:pPr>
      <w:r w:rsidRPr="009C23A9">
        <w:rPr>
          <w:rFonts w:cs="Arial"/>
          <w:sz w:val="22"/>
        </w:rPr>
        <w:t xml:space="preserve">Good Things Foundation (2024) </w:t>
      </w:r>
      <w:r w:rsidRPr="009C23A9">
        <w:rPr>
          <w:rFonts w:cs="Arial"/>
          <w:i/>
          <w:iCs/>
          <w:sz w:val="22"/>
        </w:rPr>
        <w:t>Digital inclusion and health: summary of key statistics</w:t>
      </w:r>
      <w:r w:rsidRPr="009C23A9">
        <w:rPr>
          <w:rFonts w:cs="Arial"/>
          <w:sz w:val="22"/>
        </w:rPr>
        <w:t xml:space="preserve">. Available at: </w:t>
      </w:r>
      <w:hyperlink r:id="rId22" w:tgtFrame="_new" w:history="1">
        <w:r w:rsidRPr="009C23A9">
          <w:rPr>
            <w:rStyle w:val="Hyperlink"/>
            <w:rFonts w:cs="Arial"/>
            <w:sz w:val="22"/>
          </w:rPr>
          <w:t>https://www.goodthingsfoundation.org/discover/digital-inclusion-insights/digital-inclusion-insights-2024/digital-inclusion-and-health</w:t>
        </w:r>
      </w:hyperlink>
      <w:r w:rsidRPr="009C23A9">
        <w:rPr>
          <w:rFonts w:cs="Arial"/>
          <w:sz w:val="22"/>
        </w:rPr>
        <w:t xml:space="preserve"> (Accessed: 19 June 2026).</w:t>
      </w:r>
    </w:p>
    <w:p w14:paraId="4386A476" w14:textId="77777777" w:rsidR="00DE5F1D" w:rsidRPr="009C23A9" w:rsidRDefault="00DE5F1D" w:rsidP="00DE5F1D">
      <w:pPr>
        <w:spacing w:line="360" w:lineRule="auto"/>
        <w:rPr>
          <w:rFonts w:cs="Arial"/>
          <w:sz w:val="22"/>
        </w:rPr>
      </w:pPr>
      <w:r w:rsidRPr="009C23A9">
        <w:rPr>
          <w:rFonts w:cs="Arial"/>
          <w:sz w:val="22"/>
        </w:rPr>
        <w:t xml:space="preserve">Michie, S., van Stralen, M.M. and West, R. (2011) ‘The </w:t>
      </w:r>
      <w:proofErr w:type="spellStart"/>
      <w:r w:rsidRPr="009C23A9">
        <w:rPr>
          <w:rFonts w:cs="Arial"/>
          <w:sz w:val="22"/>
        </w:rPr>
        <w:t>behaviour</w:t>
      </w:r>
      <w:proofErr w:type="spellEnd"/>
      <w:r w:rsidRPr="009C23A9">
        <w:rPr>
          <w:rFonts w:cs="Arial"/>
          <w:sz w:val="22"/>
        </w:rPr>
        <w:t xml:space="preserve"> change wheel: a new method for </w:t>
      </w:r>
      <w:proofErr w:type="spellStart"/>
      <w:r w:rsidRPr="009C23A9">
        <w:rPr>
          <w:rFonts w:cs="Arial"/>
          <w:sz w:val="22"/>
        </w:rPr>
        <w:t>characterising</w:t>
      </w:r>
      <w:proofErr w:type="spellEnd"/>
      <w:r w:rsidRPr="009C23A9">
        <w:rPr>
          <w:rFonts w:cs="Arial"/>
          <w:sz w:val="22"/>
        </w:rPr>
        <w:t xml:space="preserve"> and designing </w:t>
      </w:r>
      <w:proofErr w:type="spellStart"/>
      <w:r w:rsidRPr="009C23A9">
        <w:rPr>
          <w:rFonts w:cs="Arial"/>
          <w:sz w:val="22"/>
        </w:rPr>
        <w:t>behaviour</w:t>
      </w:r>
      <w:proofErr w:type="spellEnd"/>
      <w:r w:rsidRPr="009C23A9">
        <w:rPr>
          <w:rFonts w:cs="Arial"/>
          <w:sz w:val="22"/>
        </w:rPr>
        <w:t xml:space="preserve"> change interventions’, </w:t>
      </w:r>
      <w:r w:rsidRPr="009C23A9">
        <w:rPr>
          <w:rFonts w:cs="Arial"/>
          <w:i/>
          <w:iCs/>
          <w:sz w:val="22"/>
        </w:rPr>
        <w:t>Implementation Science</w:t>
      </w:r>
      <w:r w:rsidRPr="009C23A9">
        <w:rPr>
          <w:rFonts w:cs="Arial"/>
          <w:sz w:val="22"/>
        </w:rPr>
        <w:t xml:space="preserve">, 6, article 42. Available at: </w:t>
      </w:r>
      <w:hyperlink r:id="rId23" w:tgtFrame="_new" w:history="1">
        <w:r w:rsidRPr="009C23A9">
          <w:rPr>
            <w:rStyle w:val="Hyperlink"/>
            <w:rFonts w:cs="Arial"/>
            <w:sz w:val="22"/>
          </w:rPr>
          <w:t>https://doi.org/10.1186/1748-5908-6-42</w:t>
        </w:r>
      </w:hyperlink>
      <w:r w:rsidRPr="009C23A9">
        <w:rPr>
          <w:rFonts w:cs="Arial"/>
          <w:sz w:val="22"/>
        </w:rPr>
        <w:t>.</w:t>
      </w:r>
    </w:p>
    <w:p w14:paraId="1F602D31" w14:textId="77777777" w:rsidR="00DE5F1D" w:rsidRPr="009C23A9" w:rsidRDefault="00DE5F1D" w:rsidP="00DE5F1D">
      <w:pPr>
        <w:spacing w:line="360" w:lineRule="auto"/>
        <w:rPr>
          <w:rFonts w:cs="Arial"/>
          <w:sz w:val="22"/>
        </w:rPr>
      </w:pPr>
      <w:r w:rsidRPr="009C23A9">
        <w:rPr>
          <w:rFonts w:cs="Arial"/>
          <w:sz w:val="22"/>
        </w:rPr>
        <w:t xml:space="preserve">NHS England (2023) </w:t>
      </w:r>
      <w:r w:rsidRPr="009C23A9">
        <w:rPr>
          <w:rFonts w:cs="Arial"/>
          <w:i/>
          <w:iCs/>
          <w:sz w:val="22"/>
        </w:rPr>
        <w:t>Inclusive digital healthcare: a framework for NHS action on digital inclusion</w:t>
      </w:r>
      <w:r w:rsidRPr="009C23A9">
        <w:rPr>
          <w:rFonts w:cs="Arial"/>
          <w:sz w:val="22"/>
        </w:rPr>
        <w:t xml:space="preserve">. Available at: </w:t>
      </w:r>
      <w:hyperlink r:id="rId24" w:tgtFrame="_new" w:history="1">
        <w:r w:rsidRPr="009C23A9">
          <w:rPr>
            <w:rStyle w:val="Hyperlink"/>
            <w:rFonts w:cs="Arial"/>
            <w:sz w:val="22"/>
          </w:rPr>
          <w:t>https://www.england.nhs.uk/long-read/inclusive-digital-healthcare-a-framework-for-nhs-action-on-digital-inclusion/</w:t>
        </w:r>
      </w:hyperlink>
      <w:r w:rsidRPr="009C23A9">
        <w:rPr>
          <w:rFonts w:cs="Arial"/>
          <w:sz w:val="22"/>
        </w:rPr>
        <w:t xml:space="preserve"> (Accessed: 19 June 2026).</w:t>
      </w:r>
    </w:p>
    <w:p w14:paraId="47B280F9" w14:textId="77777777" w:rsidR="00DE5F1D" w:rsidRPr="009C23A9" w:rsidRDefault="00DE5F1D" w:rsidP="00DE5F1D">
      <w:pPr>
        <w:spacing w:line="360" w:lineRule="auto"/>
        <w:rPr>
          <w:rFonts w:cs="Arial"/>
          <w:sz w:val="22"/>
        </w:rPr>
      </w:pPr>
      <w:r w:rsidRPr="009C23A9">
        <w:rPr>
          <w:rFonts w:cs="Arial"/>
          <w:sz w:val="22"/>
        </w:rPr>
        <w:t xml:space="preserve">NICE (2018) </w:t>
      </w:r>
      <w:r w:rsidRPr="009C23A9">
        <w:rPr>
          <w:rFonts w:cs="Arial"/>
          <w:i/>
          <w:iCs/>
          <w:sz w:val="22"/>
        </w:rPr>
        <w:t xml:space="preserve">Dementia: assessment, management and support for people living with dementia and their </w:t>
      </w:r>
      <w:proofErr w:type="spellStart"/>
      <w:r w:rsidRPr="009C23A9">
        <w:rPr>
          <w:rFonts w:cs="Arial"/>
          <w:i/>
          <w:iCs/>
          <w:sz w:val="22"/>
        </w:rPr>
        <w:t>carers</w:t>
      </w:r>
      <w:proofErr w:type="spellEnd"/>
      <w:r w:rsidRPr="009C23A9">
        <w:rPr>
          <w:rFonts w:cs="Arial"/>
          <w:sz w:val="22"/>
        </w:rPr>
        <w:t xml:space="preserve">. NICE guideline NG97. Available at: </w:t>
      </w:r>
      <w:hyperlink r:id="rId25" w:tgtFrame="_new" w:history="1">
        <w:r w:rsidRPr="009C23A9">
          <w:rPr>
            <w:rStyle w:val="Hyperlink"/>
            <w:rFonts w:cs="Arial"/>
            <w:sz w:val="22"/>
          </w:rPr>
          <w:t>https://www.nice.org.uk/guidance/ng97</w:t>
        </w:r>
      </w:hyperlink>
      <w:r w:rsidRPr="009C23A9">
        <w:rPr>
          <w:rFonts w:cs="Arial"/>
          <w:sz w:val="22"/>
        </w:rPr>
        <w:t xml:space="preserve"> (Accessed: 19 June 2026).</w:t>
      </w:r>
    </w:p>
    <w:p w14:paraId="260AB7EF" w14:textId="77777777" w:rsidR="00DE5F1D" w:rsidRPr="009C23A9" w:rsidRDefault="00DE5F1D" w:rsidP="00DE5F1D">
      <w:pPr>
        <w:spacing w:line="360" w:lineRule="auto"/>
        <w:rPr>
          <w:rFonts w:cs="Arial"/>
          <w:sz w:val="22"/>
        </w:rPr>
      </w:pPr>
      <w:r w:rsidRPr="009C23A9">
        <w:rPr>
          <w:rFonts w:cs="Arial"/>
          <w:sz w:val="22"/>
        </w:rPr>
        <w:t xml:space="preserve">World Health Organization (2025) </w:t>
      </w:r>
      <w:r w:rsidRPr="009C23A9">
        <w:rPr>
          <w:rFonts w:cs="Arial"/>
          <w:i/>
          <w:iCs/>
          <w:sz w:val="22"/>
        </w:rPr>
        <w:t>Dementia</w:t>
      </w:r>
      <w:r w:rsidRPr="009C23A9">
        <w:rPr>
          <w:rFonts w:cs="Arial"/>
          <w:sz w:val="22"/>
        </w:rPr>
        <w:t xml:space="preserve">. Available at: </w:t>
      </w:r>
      <w:hyperlink r:id="rId26" w:tgtFrame="_new" w:history="1">
        <w:r w:rsidRPr="009C23A9">
          <w:rPr>
            <w:rStyle w:val="Hyperlink"/>
            <w:rFonts w:cs="Arial"/>
            <w:sz w:val="22"/>
          </w:rPr>
          <w:t>https://www.who.int/news-room/fact-sheets/detail/dementia</w:t>
        </w:r>
      </w:hyperlink>
      <w:r w:rsidRPr="009C23A9">
        <w:rPr>
          <w:rFonts w:cs="Arial"/>
          <w:sz w:val="22"/>
        </w:rPr>
        <w:t xml:space="preserve"> (Accessed: 19 June 2026).</w:t>
      </w:r>
    </w:p>
    <w:p w14:paraId="74B08760" w14:textId="77777777" w:rsidR="00DE5F1D" w:rsidRDefault="00DE5F1D">
      <w:pPr>
        <w:spacing w:after="200" w:line="276" w:lineRule="auto"/>
        <w:rPr>
          <w:rFonts w:eastAsiaTheme="majorEastAsia" w:cs="Arial"/>
          <w:b/>
          <w:bCs/>
          <w:color w:val="000000"/>
          <w:sz w:val="22"/>
        </w:rPr>
      </w:pPr>
      <w:r>
        <w:rPr>
          <w:rFonts w:cs="Arial"/>
          <w:sz w:val="22"/>
        </w:rPr>
        <w:br w:type="page"/>
      </w:r>
    </w:p>
    <w:p w14:paraId="113BFB2A" w14:textId="3DA98A6C" w:rsidR="00E95F26" w:rsidRPr="00906DB3" w:rsidRDefault="000F6132" w:rsidP="00906DB3">
      <w:pPr>
        <w:pStyle w:val="Heading2"/>
        <w:spacing w:line="360" w:lineRule="auto"/>
        <w:rPr>
          <w:rFonts w:ascii="Arial" w:hAnsi="Arial" w:cs="Arial"/>
          <w:sz w:val="22"/>
          <w:szCs w:val="22"/>
        </w:rPr>
      </w:pPr>
      <w:r w:rsidRPr="00906DB3">
        <w:rPr>
          <w:rFonts w:ascii="Arial" w:hAnsi="Arial" w:cs="Arial"/>
          <w:sz w:val="22"/>
          <w:szCs w:val="22"/>
        </w:rPr>
        <w:lastRenderedPageBreak/>
        <w:t>References</w:t>
      </w:r>
      <w:r w:rsidR="00DE5F1D">
        <w:rPr>
          <w:rFonts w:ascii="Arial" w:hAnsi="Arial" w:cs="Arial"/>
          <w:sz w:val="22"/>
          <w:szCs w:val="22"/>
        </w:rPr>
        <w:t xml:space="preserve"> for Blog 2</w:t>
      </w:r>
    </w:p>
    <w:p w14:paraId="73E73638" w14:textId="77777777" w:rsidR="009C23A9" w:rsidRPr="009C23A9" w:rsidRDefault="009C23A9" w:rsidP="009C23A9">
      <w:pPr>
        <w:spacing w:after="160" w:line="360" w:lineRule="auto"/>
        <w:rPr>
          <w:rFonts w:cs="Arial"/>
        </w:rPr>
      </w:pPr>
      <w:r w:rsidRPr="009C23A9">
        <w:rPr>
          <w:rFonts w:cs="Arial"/>
        </w:rPr>
        <w:t xml:space="preserve">Damant, J., </w:t>
      </w:r>
      <w:proofErr w:type="spellStart"/>
      <w:r w:rsidRPr="009C23A9">
        <w:rPr>
          <w:rFonts w:cs="Arial"/>
        </w:rPr>
        <w:t>Freddolino</w:t>
      </w:r>
      <w:proofErr w:type="spellEnd"/>
      <w:r w:rsidRPr="009C23A9">
        <w:rPr>
          <w:rFonts w:cs="Arial"/>
        </w:rPr>
        <w:t xml:space="preserve">, P., </w:t>
      </w:r>
      <w:proofErr w:type="spellStart"/>
      <w:r w:rsidRPr="009C23A9">
        <w:rPr>
          <w:rFonts w:cs="Arial"/>
        </w:rPr>
        <w:t>Dangoor</w:t>
      </w:r>
      <w:proofErr w:type="spellEnd"/>
      <w:r w:rsidRPr="009C23A9">
        <w:rPr>
          <w:rFonts w:cs="Arial"/>
        </w:rPr>
        <w:t xml:space="preserve">, M., Hu, B., King, D. and Wittenberg, R. (2024) ‘Unpaid carers of people with dementia and information communication technology: use, impact and ideas for the future’, </w:t>
      </w:r>
      <w:r w:rsidRPr="009C23A9">
        <w:rPr>
          <w:rFonts w:cs="Arial"/>
          <w:i/>
          <w:iCs/>
        </w:rPr>
        <w:t>Dementia</w:t>
      </w:r>
      <w:r w:rsidRPr="009C23A9">
        <w:rPr>
          <w:rFonts w:cs="Arial"/>
        </w:rPr>
        <w:t xml:space="preserve">, 23(5), pp. 779–799. Available at: </w:t>
      </w:r>
      <w:hyperlink r:id="rId27" w:tgtFrame="_new" w:history="1">
        <w:r w:rsidRPr="009C23A9">
          <w:rPr>
            <w:rStyle w:val="Hyperlink"/>
            <w:rFonts w:cs="Arial"/>
          </w:rPr>
          <w:t>https://doi.org/10.1177/14713012241249793</w:t>
        </w:r>
      </w:hyperlink>
      <w:r w:rsidRPr="009C23A9">
        <w:rPr>
          <w:rFonts w:cs="Arial"/>
        </w:rPr>
        <w:t>.</w:t>
      </w:r>
    </w:p>
    <w:p w14:paraId="0817F7FC" w14:textId="77777777" w:rsidR="009C23A9" w:rsidRPr="009C23A9" w:rsidRDefault="009C23A9" w:rsidP="009C23A9">
      <w:pPr>
        <w:spacing w:after="160" w:line="360" w:lineRule="auto"/>
        <w:rPr>
          <w:rFonts w:cs="Arial"/>
        </w:rPr>
      </w:pPr>
      <w:r w:rsidRPr="009C23A9">
        <w:rPr>
          <w:rFonts w:cs="Arial"/>
        </w:rPr>
        <w:t xml:space="preserve">Di Lorito, C., Bosco, A., Rai, H., Craven, M., McNally, D., Todd, C., Booth, V., Cowley, A., Howe, L. and Harwood, R. (2022) ‘A systematic literature review and meta-analysis on digital health interventions for people living with dementia and mild cognitive impairment’, </w:t>
      </w:r>
      <w:r w:rsidRPr="009C23A9">
        <w:rPr>
          <w:rFonts w:cs="Arial"/>
          <w:i/>
          <w:iCs/>
        </w:rPr>
        <w:t>International Journal of Geriatric Psychiatry</w:t>
      </w:r>
      <w:r w:rsidRPr="009C23A9">
        <w:rPr>
          <w:rFonts w:cs="Arial"/>
        </w:rPr>
        <w:t xml:space="preserve">, 37(6). Available at: </w:t>
      </w:r>
      <w:hyperlink r:id="rId28" w:tgtFrame="_new" w:history="1">
        <w:r w:rsidRPr="009C23A9">
          <w:rPr>
            <w:rStyle w:val="Hyperlink"/>
            <w:rFonts w:cs="Arial"/>
          </w:rPr>
          <w:t>https://doi.org/10.1002/gps.5730</w:t>
        </w:r>
      </w:hyperlink>
      <w:r w:rsidRPr="009C23A9">
        <w:rPr>
          <w:rFonts w:cs="Arial"/>
        </w:rPr>
        <w:t>.</w:t>
      </w:r>
    </w:p>
    <w:p w14:paraId="1A9138EB" w14:textId="77777777" w:rsidR="009C23A9" w:rsidRPr="009C23A9" w:rsidRDefault="009C23A9" w:rsidP="009C23A9">
      <w:pPr>
        <w:spacing w:after="160" w:line="360" w:lineRule="auto"/>
        <w:rPr>
          <w:rFonts w:cs="Arial"/>
        </w:rPr>
      </w:pPr>
      <w:r w:rsidRPr="009C23A9">
        <w:rPr>
          <w:rFonts w:cs="Arial"/>
        </w:rPr>
        <w:t xml:space="preserve">Good Things Foundation (2024) </w:t>
      </w:r>
      <w:r w:rsidRPr="009C23A9">
        <w:rPr>
          <w:rFonts w:cs="Arial"/>
          <w:i/>
          <w:iCs/>
        </w:rPr>
        <w:t>Digital inclusion and health: summary of key statistics</w:t>
      </w:r>
      <w:r w:rsidRPr="009C23A9">
        <w:rPr>
          <w:rFonts w:cs="Arial"/>
        </w:rPr>
        <w:t xml:space="preserve">. Available at: </w:t>
      </w:r>
      <w:hyperlink r:id="rId29" w:tgtFrame="_new" w:history="1">
        <w:r w:rsidRPr="009C23A9">
          <w:rPr>
            <w:rStyle w:val="Hyperlink"/>
            <w:rFonts w:cs="Arial"/>
          </w:rPr>
          <w:t>https://www.goodthingsfoundation.org/discover/digital-inclusion-insights/digital-inclusion-insights-2024/digital-inclusion-and-health</w:t>
        </w:r>
      </w:hyperlink>
      <w:r w:rsidRPr="009C23A9">
        <w:rPr>
          <w:rFonts w:cs="Arial"/>
        </w:rPr>
        <w:t xml:space="preserve"> (Accessed: 19 June 2026).</w:t>
      </w:r>
    </w:p>
    <w:p w14:paraId="504155F4" w14:textId="77777777" w:rsidR="009C23A9" w:rsidRPr="009C23A9" w:rsidRDefault="009C23A9" w:rsidP="009C23A9">
      <w:pPr>
        <w:spacing w:after="160" w:line="360" w:lineRule="auto"/>
        <w:rPr>
          <w:rFonts w:cs="Arial"/>
        </w:rPr>
      </w:pPr>
      <w:r w:rsidRPr="009C23A9">
        <w:rPr>
          <w:rFonts w:cs="Arial"/>
        </w:rPr>
        <w:t xml:space="preserve">Livingston, G., Huntley, J., Liu, K.Y., </w:t>
      </w:r>
      <w:proofErr w:type="spellStart"/>
      <w:r w:rsidRPr="009C23A9">
        <w:rPr>
          <w:rFonts w:cs="Arial"/>
        </w:rPr>
        <w:t>Costafreda</w:t>
      </w:r>
      <w:proofErr w:type="spellEnd"/>
      <w:r w:rsidRPr="009C23A9">
        <w:rPr>
          <w:rFonts w:cs="Arial"/>
        </w:rPr>
        <w:t xml:space="preserve">, S.G., </w:t>
      </w:r>
      <w:proofErr w:type="spellStart"/>
      <w:r w:rsidRPr="009C23A9">
        <w:rPr>
          <w:rFonts w:cs="Arial"/>
        </w:rPr>
        <w:t>Selbæk</w:t>
      </w:r>
      <w:proofErr w:type="spellEnd"/>
      <w:r w:rsidRPr="009C23A9">
        <w:rPr>
          <w:rFonts w:cs="Arial"/>
        </w:rPr>
        <w:t xml:space="preserve">, G., Alladi, S., Ames, D., Banerjee, S., Burns, A., </w:t>
      </w:r>
      <w:proofErr w:type="spellStart"/>
      <w:r w:rsidRPr="009C23A9">
        <w:rPr>
          <w:rFonts w:cs="Arial"/>
        </w:rPr>
        <w:t>Brayne</w:t>
      </w:r>
      <w:proofErr w:type="spellEnd"/>
      <w:r w:rsidRPr="009C23A9">
        <w:rPr>
          <w:rFonts w:cs="Arial"/>
        </w:rPr>
        <w:t xml:space="preserve">, C. </w:t>
      </w:r>
      <w:r w:rsidRPr="009C23A9">
        <w:rPr>
          <w:rFonts w:cs="Arial"/>
          <w:i/>
          <w:iCs/>
        </w:rPr>
        <w:t>et al.</w:t>
      </w:r>
      <w:r w:rsidRPr="009C23A9">
        <w:rPr>
          <w:rFonts w:cs="Arial"/>
        </w:rPr>
        <w:t xml:space="preserve"> (2024) ‘Dementia prevention, intervention, and care: 2024 report of the Lancet Standing Commission’, </w:t>
      </w:r>
      <w:r w:rsidRPr="009C23A9">
        <w:rPr>
          <w:rFonts w:cs="Arial"/>
          <w:i/>
          <w:iCs/>
        </w:rPr>
        <w:t>The Lancet</w:t>
      </w:r>
      <w:r w:rsidRPr="009C23A9">
        <w:rPr>
          <w:rFonts w:cs="Arial"/>
        </w:rPr>
        <w:t xml:space="preserve">, 404(10452), pp. 572–628. Available at: </w:t>
      </w:r>
      <w:hyperlink r:id="rId30" w:tgtFrame="_new" w:history="1">
        <w:r w:rsidRPr="009C23A9">
          <w:rPr>
            <w:rStyle w:val="Hyperlink"/>
            <w:rFonts w:cs="Arial"/>
          </w:rPr>
          <w:t>https://doi.org/10.1016/S0140-6736(24)01296-0</w:t>
        </w:r>
      </w:hyperlink>
      <w:r w:rsidRPr="009C23A9">
        <w:rPr>
          <w:rFonts w:cs="Arial"/>
        </w:rPr>
        <w:t>.</w:t>
      </w:r>
    </w:p>
    <w:p w14:paraId="758B4F86" w14:textId="77777777" w:rsidR="009C23A9" w:rsidRPr="009C23A9" w:rsidRDefault="009C23A9" w:rsidP="009C23A9">
      <w:pPr>
        <w:spacing w:after="160" w:line="360" w:lineRule="auto"/>
        <w:rPr>
          <w:rFonts w:cs="Arial"/>
        </w:rPr>
      </w:pPr>
      <w:r w:rsidRPr="009C23A9">
        <w:rPr>
          <w:rFonts w:cs="Arial"/>
        </w:rPr>
        <w:t xml:space="preserve">Michie, S., van Stralen, M.M. and West, R. (2011) ‘The </w:t>
      </w:r>
      <w:proofErr w:type="spellStart"/>
      <w:r w:rsidRPr="009C23A9">
        <w:rPr>
          <w:rFonts w:cs="Arial"/>
        </w:rPr>
        <w:t>behaviour</w:t>
      </w:r>
      <w:proofErr w:type="spellEnd"/>
      <w:r w:rsidRPr="009C23A9">
        <w:rPr>
          <w:rFonts w:cs="Arial"/>
        </w:rPr>
        <w:t xml:space="preserve"> change wheel: a new method for </w:t>
      </w:r>
      <w:proofErr w:type="spellStart"/>
      <w:r w:rsidRPr="009C23A9">
        <w:rPr>
          <w:rFonts w:cs="Arial"/>
        </w:rPr>
        <w:t>characterising</w:t>
      </w:r>
      <w:proofErr w:type="spellEnd"/>
      <w:r w:rsidRPr="009C23A9">
        <w:rPr>
          <w:rFonts w:cs="Arial"/>
        </w:rPr>
        <w:t xml:space="preserve"> and designing </w:t>
      </w:r>
      <w:proofErr w:type="spellStart"/>
      <w:r w:rsidRPr="009C23A9">
        <w:rPr>
          <w:rFonts w:cs="Arial"/>
        </w:rPr>
        <w:t>behaviour</w:t>
      </w:r>
      <w:proofErr w:type="spellEnd"/>
      <w:r w:rsidRPr="009C23A9">
        <w:rPr>
          <w:rFonts w:cs="Arial"/>
        </w:rPr>
        <w:t xml:space="preserve"> change interventions’, </w:t>
      </w:r>
      <w:r w:rsidRPr="009C23A9">
        <w:rPr>
          <w:rFonts w:cs="Arial"/>
          <w:i/>
          <w:iCs/>
        </w:rPr>
        <w:t>Implementation Science</w:t>
      </w:r>
      <w:r w:rsidRPr="009C23A9">
        <w:rPr>
          <w:rFonts w:cs="Arial"/>
        </w:rPr>
        <w:t xml:space="preserve">, 6, article 42. Available at: </w:t>
      </w:r>
      <w:hyperlink r:id="rId31" w:tgtFrame="_new" w:history="1">
        <w:r w:rsidRPr="009C23A9">
          <w:rPr>
            <w:rStyle w:val="Hyperlink"/>
            <w:rFonts w:cs="Arial"/>
          </w:rPr>
          <w:t>https://doi.org/10.1186/1748-5908-6-42</w:t>
        </w:r>
      </w:hyperlink>
      <w:r w:rsidRPr="009C23A9">
        <w:rPr>
          <w:rFonts w:cs="Arial"/>
        </w:rPr>
        <w:t>.</w:t>
      </w:r>
    </w:p>
    <w:p w14:paraId="7C76B85E" w14:textId="77777777" w:rsidR="009C23A9" w:rsidRPr="009C23A9" w:rsidRDefault="009C23A9" w:rsidP="009C23A9">
      <w:pPr>
        <w:spacing w:after="160" w:line="360" w:lineRule="auto"/>
        <w:rPr>
          <w:rFonts w:cs="Arial"/>
        </w:rPr>
      </w:pPr>
      <w:r w:rsidRPr="009C23A9">
        <w:rPr>
          <w:rFonts w:cs="Arial"/>
        </w:rPr>
        <w:t xml:space="preserve">NHS England (2023) </w:t>
      </w:r>
      <w:r w:rsidRPr="009C23A9">
        <w:rPr>
          <w:rFonts w:cs="Arial"/>
          <w:i/>
          <w:iCs/>
        </w:rPr>
        <w:t>Inclusive digital healthcare: a framework for NHS action on digital inclusion</w:t>
      </w:r>
      <w:r w:rsidRPr="009C23A9">
        <w:rPr>
          <w:rFonts w:cs="Arial"/>
        </w:rPr>
        <w:t xml:space="preserve">. Available at: </w:t>
      </w:r>
      <w:hyperlink r:id="rId32" w:tgtFrame="_new" w:history="1">
        <w:r w:rsidRPr="009C23A9">
          <w:rPr>
            <w:rStyle w:val="Hyperlink"/>
            <w:rFonts w:cs="Arial"/>
          </w:rPr>
          <w:t>https://www.england.nhs.uk/long-read/inclusive-digital-healthcare-a-framework-for-nhs-action-on-digital-inclusion/</w:t>
        </w:r>
      </w:hyperlink>
      <w:r w:rsidRPr="009C23A9">
        <w:rPr>
          <w:rFonts w:cs="Arial"/>
        </w:rPr>
        <w:t xml:space="preserve"> (Accessed: 19 June 2026).</w:t>
      </w:r>
    </w:p>
    <w:p w14:paraId="718BF58B" w14:textId="77777777" w:rsidR="009C23A9" w:rsidRPr="009C23A9" w:rsidRDefault="009C23A9" w:rsidP="009C23A9">
      <w:pPr>
        <w:spacing w:after="160" w:line="360" w:lineRule="auto"/>
        <w:rPr>
          <w:rFonts w:cs="Arial"/>
        </w:rPr>
      </w:pPr>
      <w:r w:rsidRPr="009C23A9">
        <w:rPr>
          <w:rFonts w:cs="Arial"/>
        </w:rPr>
        <w:t xml:space="preserve">NICE (2018) </w:t>
      </w:r>
      <w:r w:rsidRPr="009C23A9">
        <w:rPr>
          <w:rFonts w:cs="Arial"/>
          <w:i/>
          <w:iCs/>
        </w:rPr>
        <w:t xml:space="preserve">Dementia: assessment, management and support for people living with dementia and their </w:t>
      </w:r>
      <w:proofErr w:type="spellStart"/>
      <w:r w:rsidRPr="009C23A9">
        <w:rPr>
          <w:rFonts w:cs="Arial"/>
          <w:i/>
          <w:iCs/>
        </w:rPr>
        <w:t>carers</w:t>
      </w:r>
      <w:proofErr w:type="spellEnd"/>
      <w:r w:rsidRPr="009C23A9">
        <w:rPr>
          <w:rFonts w:cs="Arial"/>
        </w:rPr>
        <w:t xml:space="preserve">. NICE guideline NG97. Available at: </w:t>
      </w:r>
      <w:hyperlink r:id="rId33" w:tgtFrame="_new" w:history="1">
        <w:r w:rsidRPr="009C23A9">
          <w:rPr>
            <w:rStyle w:val="Hyperlink"/>
            <w:rFonts w:cs="Arial"/>
          </w:rPr>
          <w:t>https://www.nice.org.uk/guidance/ng97</w:t>
        </w:r>
      </w:hyperlink>
      <w:r w:rsidRPr="009C23A9">
        <w:rPr>
          <w:rFonts w:cs="Arial"/>
        </w:rPr>
        <w:t xml:space="preserve"> (Accessed: 19 June 2026).</w:t>
      </w:r>
    </w:p>
    <w:p w14:paraId="2157B807" w14:textId="77777777" w:rsidR="009C23A9" w:rsidRPr="009C23A9" w:rsidRDefault="009C23A9" w:rsidP="009C23A9">
      <w:pPr>
        <w:spacing w:after="160" w:line="360" w:lineRule="auto"/>
        <w:rPr>
          <w:rFonts w:cs="Arial"/>
        </w:rPr>
      </w:pPr>
      <w:r w:rsidRPr="009C23A9">
        <w:rPr>
          <w:rFonts w:cs="Arial"/>
        </w:rPr>
        <w:t xml:space="preserve">World Health Organization (2025) </w:t>
      </w:r>
      <w:r w:rsidRPr="009C23A9">
        <w:rPr>
          <w:rFonts w:cs="Arial"/>
          <w:i/>
          <w:iCs/>
        </w:rPr>
        <w:t>Dementia</w:t>
      </w:r>
      <w:r w:rsidRPr="009C23A9">
        <w:rPr>
          <w:rFonts w:cs="Arial"/>
        </w:rPr>
        <w:t xml:space="preserve">. Available at: </w:t>
      </w:r>
      <w:hyperlink r:id="rId34" w:tgtFrame="_new" w:history="1">
        <w:r w:rsidRPr="009C23A9">
          <w:rPr>
            <w:rStyle w:val="Hyperlink"/>
            <w:rFonts w:cs="Arial"/>
          </w:rPr>
          <w:t>https://www.who.int/news-room/fact-sheets/detail/dementia</w:t>
        </w:r>
      </w:hyperlink>
      <w:r w:rsidRPr="009C23A9">
        <w:rPr>
          <w:rFonts w:cs="Arial"/>
        </w:rPr>
        <w:t xml:space="preserve"> (Accessed: 19 June 2026).</w:t>
      </w:r>
    </w:p>
    <w:p w14:paraId="6DCC7A37" w14:textId="77777777" w:rsidR="00E95F26" w:rsidRPr="00906DB3" w:rsidRDefault="00E95F26" w:rsidP="00906DB3">
      <w:pPr>
        <w:spacing w:after="160" w:line="360" w:lineRule="auto"/>
        <w:rPr>
          <w:rFonts w:cs="Arial"/>
        </w:rPr>
      </w:pPr>
    </w:p>
    <w:sectPr w:rsidR="00E95F26" w:rsidRPr="00906DB3" w:rsidSect="00034616">
      <w:headerReference w:type="default" r:id="rId35"/>
      <w:footerReference w:type="default" r:id="rId36"/>
      <w:pgSz w:w="12240" w:h="15840"/>
      <w:pgMar w:top="936" w:right="1008" w:bottom="936" w:left="100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56C48E" w14:textId="77777777" w:rsidR="000F6132" w:rsidRDefault="000F6132">
      <w:pPr>
        <w:spacing w:after="0" w:line="240" w:lineRule="auto"/>
      </w:pPr>
      <w:r>
        <w:separator/>
      </w:r>
    </w:p>
  </w:endnote>
  <w:endnote w:type="continuationSeparator" w:id="0">
    <w:p w14:paraId="421167AE" w14:textId="77777777" w:rsidR="000F6132" w:rsidRDefault="000F6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rinda">
    <w:altName w:val="Courier New"/>
    <w:panose1 w:val="000004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55A978" w14:textId="5712E2F4" w:rsidR="00E95F26" w:rsidRDefault="00E95F26">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CE1598" w14:textId="77777777" w:rsidR="000F6132" w:rsidRDefault="000F6132">
      <w:pPr>
        <w:spacing w:after="0" w:line="240" w:lineRule="auto"/>
      </w:pPr>
      <w:r>
        <w:separator/>
      </w:r>
    </w:p>
  </w:footnote>
  <w:footnote w:type="continuationSeparator" w:id="0">
    <w:p w14:paraId="2BD2A038" w14:textId="77777777" w:rsidR="000F6132" w:rsidRDefault="000F61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19FC5C" w14:textId="032FC469" w:rsidR="00E95F26" w:rsidRDefault="00E95F26">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050C0"/>
    <w:rsid w:val="00034616"/>
    <w:rsid w:val="0006063C"/>
    <w:rsid w:val="000F6132"/>
    <w:rsid w:val="00123253"/>
    <w:rsid w:val="0015074B"/>
    <w:rsid w:val="001537CE"/>
    <w:rsid w:val="001615B5"/>
    <w:rsid w:val="001D1EBF"/>
    <w:rsid w:val="00256F57"/>
    <w:rsid w:val="0029639D"/>
    <w:rsid w:val="002A4649"/>
    <w:rsid w:val="00326F90"/>
    <w:rsid w:val="003E4658"/>
    <w:rsid w:val="004074F3"/>
    <w:rsid w:val="004168CA"/>
    <w:rsid w:val="004A2A8C"/>
    <w:rsid w:val="00523C56"/>
    <w:rsid w:val="005979B4"/>
    <w:rsid w:val="005E1299"/>
    <w:rsid w:val="00744705"/>
    <w:rsid w:val="0079651A"/>
    <w:rsid w:val="007E2B4E"/>
    <w:rsid w:val="0085343A"/>
    <w:rsid w:val="008654AF"/>
    <w:rsid w:val="008D118C"/>
    <w:rsid w:val="00906DB3"/>
    <w:rsid w:val="009071F8"/>
    <w:rsid w:val="009332BF"/>
    <w:rsid w:val="009A6C55"/>
    <w:rsid w:val="009C23A9"/>
    <w:rsid w:val="00A329BE"/>
    <w:rsid w:val="00A43F6D"/>
    <w:rsid w:val="00AA1D8D"/>
    <w:rsid w:val="00AB0660"/>
    <w:rsid w:val="00B3035A"/>
    <w:rsid w:val="00B368F8"/>
    <w:rsid w:val="00B47730"/>
    <w:rsid w:val="00C658D5"/>
    <w:rsid w:val="00CB0664"/>
    <w:rsid w:val="00DE5F1D"/>
    <w:rsid w:val="00E95F26"/>
    <w:rsid w:val="00EF7EE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2FC852"/>
  <w14:defaultImageDpi w14:val="300"/>
  <w15:docId w15:val="{E1203331-B437-43D1-BCD9-821CE726A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80" w:line="252" w:lineRule="auto"/>
    </w:pPr>
    <w:rPr>
      <w:rFonts w:ascii="Arial" w:eastAsia="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C465C"/>
      <w:sz w:val="32"/>
      <w:szCs w:val="28"/>
    </w:rPr>
  </w:style>
  <w:style w:type="paragraph" w:styleId="Heading2">
    <w:name w:val="heading 2"/>
    <w:basedOn w:val="Normal"/>
    <w:next w:val="Normal"/>
    <w:link w:val="Heading2Char"/>
    <w:uiPriority w:val="9"/>
    <w:unhideWhenUsed/>
    <w:qFormat/>
    <w:rsid w:val="00FC693F"/>
    <w:pPr>
      <w:keepNext/>
      <w:keepLines/>
      <w:spacing w:before="160" w:after="60"/>
      <w:outlineLvl w:val="1"/>
    </w:pPr>
    <w:rPr>
      <w:rFonts w:asciiTheme="majorHAnsi" w:eastAsiaTheme="majorEastAsia" w:hAnsiTheme="majorHAnsi" w:cstheme="majorBidi"/>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C465C"/>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906DB3"/>
    <w:rPr>
      <w:color w:val="0000FF" w:themeColor="hyperlink"/>
      <w:u w:val="single"/>
    </w:rPr>
  </w:style>
  <w:style w:type="character" w:customStyle="1" w:styleId="UnresolvedMention">
    <w:name w:val="Unresolved Mention"/>
    <w:basedOn w:val="DefaultParagraphFont"/>
    <w:uiPriority w:val="99"/>
    <w:semiHidden/>
    <w:unhideWhenUsed/>
    <w:rsid w:val="00906D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www.alzheimers.org.uk/what-we-do/policy-and-influencing/economic-impact-of-dementia?utm_source=chatgpt.com" TargetMode="External"/><Relationship Id="rId26" Type="http://schemas.openxmlformats.org/officeDocument/2006/relationships/hyperlink" Target="https://www.who.int/news-room/fact-sheets/detail/dementia?utm_source=chatgpt.com" TargetMode="External"/><Relationship Id="rId3" Type="http://schemas.openxmlformats.org/officeDocument/2006/relationships/styles" Target="styles.xml"/><Relationship Id="rId21" Type="http://schemas.openxmlformats.org/officeDocument/2006/relationships/hyperlink" Target="https://doi.org/10.1177/14713012241248556" TargetMode="External"/><Relationship Id="rId34" Type="http://schemas.openxmlformats.org/officeDocument/2006/relationships/hyperlink" Target="https://www.who.int/news-room/fact-sheets/detail/dementia?utm_source=chatgpt.com" TargetMode="External"/><Relationship Id="rId7" Type="http://schemas.openxmlformats.org/officeDocument/2006/relationships/endnotes" Target="endnotes.xml"/><Relationship Id="rId12" Type="http://schemas.openxmlformats.org/officeDocument/2006/relationships/hyperlink" Target="https://www.dementiauk.org/" TargetMode="External"/><Relationship Id="rId17" Type="http://schemas.openxmlformats.org/officeDocument/2006/relationships/hyperlink" Target="https://www.alzheimers.org.uk/" TargetMode="External"/><Relationship Id="rId25" Type="http://schemas.openxmlformats.org/officeDocument/2006/relationships/hyperlink" Target="https://www.nice.org.uk/guidance/ng97?utm_source=chatgpt.com" TargetMode="External"/><Relationship Id="rId33" Type="http://schemas.openxmlformats.org/officeDocument/2006/relationships/hyperlink" Target="https://www.nice.org.uk/guidance/ng97?utm_source=chatgpt.co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nhs.uk/conditions/dementia/" TargetMode="External"/><Relationship Id="rId20" Type="http://schemas.openxmlformats.org/officeDocument/2006/relationships/hyperlink" Target="https://doi.org/10.1002/gps.5730" TargetMode="External"/><Relationship Id="rId29" Type="http://schemas.openxmlformats.org/officeDocument/2006/relationships/hyperlink" Target="https://www.goodthingsfoundation.org/discover/digital-inclusion-insights/digital-inclusion-insights-2024/digital-inclusion-and-health?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onditions/dementia/" TargetMode="External"/><Relationship Id="rId24" Type="http://schemas.openxmlformats.org/officeDocument/2006/relationships/hyperlink" Target="https://www.england.nhs.uk/long-read/inclusive-digital-healthcare-a-framework-for-nhs-action-on-digital-inclusion/?utm_source=chatgpt.com" TargetMode="External"/><Relationship Id="rId32" Type="http://schemas.openxmlformats.org/officeDocument/2006/relationships/hyperlink" Target="https://www.england.nhs.uk/long-read/inclusive-digital-healthcare-a-framework-for-nhs-action-on-digital-inclusion/?utm_source=chatgpt.co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doi.org/10.1186/1748-5908-6-42" TargetMode="External"/><Relationship Id="rId28" Type="http://schemas.openxmlformats.org/officeDocument/2006/relationships/hyperlink" Target="https://doi.org/10.1002/gps.5730"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doi.org/10.1177/14713012241249793" TargetMode="External"/><Relationship Id="rId31" Type="http://schemas.openxmlformats.org/officeDocument/2006/relationships/hyperlink" Target="https://doi.org/10.1186/1748-5908-6-4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www.goodthingsfoundation.org/discover/digital-inclusion-insights/digital-inclusion-insights-2024/digital-inclusion-and-health?utm_source=chatgpt.com" TargetMode="External"/><Relationship Id="rId27" Type="http://schemas.openxmlformats.org/officeDocument/2006/relationships/hyperlink" Target="https://doi.org/10.1177/14713012241249793" TargetMode="External"/><Relationship Id="rId30" Type="http://schemas.openxmlformats.org/officeDocument/2006/relationships/hyperlink" Target="https://doi.org/10.1016/S0140-6736(24)01296-0"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748F55-16DE-4A00-A7E7-1054329EC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9</Pages>
  <Words>2197</Words>
  <Characters>12528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14696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DECENT</cp:lastModifiedBy>
  <cp:revision>19</cp:revision>
  <dcterms:created xsi:type="dcterms:W3CDTF">2026-06-19T17:52:00Z</dcterms:created>
  <dcterms:modified xsi:type="dcterms:W3CDTF">2026-06-30T10:34:00Z</dcterms:modified>
  <cp:category/>
</cp:coreProperties>
</file>