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360" w:lineRule="auto"/>
        <w:jc w:val="both"/>
        <w:rPr>
          <w:rFonts w:ascii="Times New Roman" w:cs="Times New Roman" w:eastAsia="Times New Roman" w:hAnsi="Times New Roman"/>
          <w:b w:val="1"/>
          <w:color w:val="ff0000"/>
          <w:sz w:val="24"/>
          <w:szCs w:val="24"/>
        </w:rPr>
      </w:pPr>
      <w:bookmarkStart w:colFirst="0" w:colLast="0" w:name="_gjdgxs" w:id="0"/>
      <w:bookmarkEnd w:id="0"/>
      <w:r w:rsidDel="00000000" w:rsidR="00000000" w:rsidRPr="00000000">
        <w:rPr>
          <w:rFonts w:ascii="Times New Roman" w:cs="Times New Roman" w:eastAsia="Times New Roman" w:hAnsi="Times New Roman"/>
          <w:b w:val="1"/>
          <w:color w:val="ff0000"/>
          <w:sz w:val="24"/>
          <w:szCs w:val="24"/>
          <w:rtl w:val="0"/>
        </w:rPr>
        <w:t xml:space="preserve">ECGE4001Q Assessment 1:</w:t>
      </w:r>
    </w:p>
    <w:p w:rsidR="00000000" w:rsidDel="00000000" w:rsidP="00000000" w:rsidRDefault="00000000" w:rsidRPr="00000000" w14:paraId="00000002">
      <w:pPr>
        <w:ind w:left="720"/>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Part 1- Re-write a passage of text in appropriate academic language. Correct the referencing errors in both the body of the text and the reference list. (The passage of text will be provided along with information on the sources used). (Approx. 1000 words)</w:t>
      </w:r>
    </w:p>
    <w:p w:rsidR="00000000" w:rsidDel="00000000" w:rsidP="00000000" w:rsidRDefault="00000000" w:rsidRPr="00000000" w14:paraId="00000003">
      <w:pPr>
        <w:ind w:left="720"/>
        <w:rPr>
          <w:rFonts w:ascii="Times New Roman" w:cs="Times New Roman" w:eastAsia="Times New Roman" w:hAnsi="Times New Roman"/>
          <w:b w:val="1"/>
          <w:color w:val="ff0000"/>
          <w:sz w:val="24"/>
          <w:szCs w:val="24"/>
        </w:rPr>
      </w:pPr>
      <w:r w:rsidDel="00000000" w:rsidR="00000000" w:rsidRPr="00000000">
        <w:rPr>
          <w:rtl w:val="0"/>
        </w:rPr>
      </w:r>
    </w:p>
    <w:p w:rsidR="00000000" w:rsidDel="00000000" w:rsidP="00000000" w:rsidRDefault="00000000" w:rsidRPr="00000000" w14:paraId="00000004">
      <w:pPr>
        <w:spacing w:after="0" w:line="360" w:lineRule="auto"/>
        <w:jc w:val="both"/>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05">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topic of poverty can be defined in a number of ways, from a highly educated person’s point of view poverty could be a lack of education. Although ‘</w:t>
      </w:r>
      <w:r w:rsidDel="00000000" w:rsidR="00000000" w:rsidRPr="00000000">
        <w:rPr>
          <w:rFonts w:ascii="Times New Roman" w:cs="Times New Roman" w:eastAsia="Times New Roman" w:hAnsi="Times New Roman"/>
          <w:sz w:val="24"/>
          <w:szCs w:val="24"/>
          <w:rtl w:val="0"/>
        </w:rPr>
        <w:t xml:space="preserve">p</w:t>
      </w:r>
      <w:r w:rsidDel="00000000" w:rsidR="00000000" w:rsidRPr="00000000">
        <w:rPr>
          <w:rFonts w:ascii="Times New Roman" w:cs="Times New Roman" w:eastAsia="Times New Roman" w:hAnsi="Times New Roman"/>
          <w:sz w:val="24"/>
          <w:szCs w:val="24"/>
          <w:rtl w:val="0"/>
        </w:rPr>
        <w:t xml:space="preserve">overty and education are inextricably linked’ (ChildFund International, 2019) there are many other studies in Britain alone to argue there are many more definitions of poverty.</w:t>
      </w:r>
      <w:r w:rsidDel="00000000" w:rsidR="00000000" w:rsidRPr="00000000">
        <w:rPr>
          <w:rtl w:val="0"/>
        </w:rPr>
      </w:r>
    </w:p>
    <w:p w:rsidR="00000000" w:rsidDel="00000000" w:rsidP="00000000" w:rsidRDefault="00000000" w:rsidRPr="00000000" w14:paraId="00000006">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Lister (2004) suggests that how we discuss and define poverty are different and are in need of a clearer definition. Lister (2004) then goes on to propose the idea of the meanings of poverty—both to those who experience it and to different groups in society’ (Lister, 2004, p. 4).</w:t>
      </w:r>
    </w:p>
    <w:p w:rsidR="00000000" w:rsidDel="00000000" w:rsidP="00000000" w:rsidRDefault="00000000" w:rsidRPr="00000000" w14:paraId="00000008">
      <w:pPr>
        <w:spacing w:after="0" w:line="360" w:lineRule="auto"/>
        <w:jc w:val="both"/>
        <w:rPr>
          <w:rFonts w:ascii="Times New Roman" w:cs="Times New Roman" w:eastAsia="Times New Roman" w:hAnsi="Times New Roman"/>
          <w:sz w:val="24"/>
          <w:szCs w:val="24"/>
          <w:highlight w:val="yellow"/>
        </w:rPr>
      </w:pPr>
      <w:r w:rsidDel="00000000" w:rsidR="00000000" w:rsidRPr="00000000">
        <w:rPr>
          <w:rFonts w:ascii="Times New Roman" w:cs="Times New Roman" w:eastAsia="Times New Roman" w:hAnsi="Times New Roman"/>
          <w:sz w:val="24"/>
          <w:szCs w:val="24"/>
          <w:rtl w:val="0"/>
        </w:rPr>
        <w:t xml:space="preserve">A lingering question of whether poverty is about materialistic things is specifically just an academic question. A way of defining poverty and understanding it is a definition, however, this is different from actually living in poverty. An example of this fault in the definition is the clear point of different opinions of the lack of material resources and goods from different ranges of people. One way to measure the level of poverty has been to give specific targets, these will be measured by numbers to give an overall end score which in turn indicate the severity of the individual’s poverty. In practice, many books and articles have been written in which the authors explain what they think poverty is and how they measure it with numbers. Although interesting, the authors could have done better to understand what poverty actually means.</w:t>
      </w:r>
      <w:r w:rsidDel="00000000" w:rsidR="00000000" w:rsidRPr="00000000">
        <w:rPr>
          <w:rFonts w:ascii="Times New Roman" w:cs="Times New Roman" w:eastAsia="Times New Roman" w:hAnsi="Times New Roman"/>
          <w:sz w:val="24"/>
          <w:szCs w:val="24"/>
          <w:highlight w:val="yellow"/>
          <w:rtl w:val="0"/>
        </w:rPr>
        <w:t xml:space="preserve"> </w:t>
      </w:r>
    </w:p>
    <w:p w:rsidR="00000000" w:rsidDel="00000000" w:rsidP="00000000" w:rsidRDefault="00000000" w:rsidRPr="00000000" w14:paraId="00000009">
      <w:pPr>
        <w:spacing w:after="0" w:line="360" w:lineRule="auto"/>
        <w:jc w:val="both"/>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0A">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Charles Booth’s (1897) survey of London in the 1880s was the first time anyone had tried to get information on the extremity of poverty in the UK. Booth told everyone that there was a hypothetical line we couldn’t cross called the ‘line of poverty’, he saw poverty as low income set against what families wanted: </w:t>
      </w:r>
    </w:p>
    <w:p w:rsidR="00000000" w:rsidDel="00000000" w:rsidP="00000000" w:rsidRDefault="00000000" w:rsidRPr="00000000" w14:paraId="0000000B">
      <w:pPr>
        <w:spacing w:after="0" w:line="360" w:lineRule="auto"/>
        <w:ind w:left="567" w:right="56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the word ‘poor’ I mean to describe those who have a fairly regular though bare income, such as 18 shillings to 21 shillings per week for a moderate family, and by ‘very poor’ those who fall below this standard, whether from chronic irregularity of work, sickness or a large number of young children” (Booth talking to the Royal Statistical Society in 1897; quoted by Glennerster 2004). </w:t>
      </w:r>
    </w:p>
    <w:p w:rsidR="00000000" w:rsidDel="00000000" w:rsidP="00000000" w:rsidRDefault="00000000" w:rsidRPr="00000000" w14:paraId="0000000C">
      <w:pPr>
        <w:spacing w:after="0" w:line="360" w:lineRule="auto"/>
        <w:jc w:val="both"/>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0D">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Gillie (1996) makes clear, this idea of what poverty is, was just a way to get people to see what he meant. Booth (1897) used this in his research to tell people what he thought poor meant.; this idea of poor was about how everyone in the School Board employs and surveys people who visited each household, and Gillie’s (1996) shows that one of the big issues was too many people living in a small house and this was also about servants, not people’s money they got from their employer. This work looked at income and aimed to look at things like living standards in houses and how bad housing was, instead of jobs, children's health or going to school, while Booth’s focused on his belief that low income was the main thing that made people poor, he also blamed “drink and thriftlessness” as a problem for only a few (Booth 1897, pp. 147–148). </w:t>
      </w:r>
    </w:p>
    <w:p w:rsidR="00000000" w:rsidDel="00000000" w:rsidP="00000000" w:rsidRDefault="00000000" w:rsidRPr="00000000" w14:paraId="0000000E">
      <w:pPr>
        <w:spacing w:after="0" w:line="360" w:lineRule="auto"/>
        <w:jc w:val="both"/>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0F">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Seebohm Rowntree (1901) used ‘visual identification’ to manifest the poor in his 1899 study of York (Veit-Wilson, 1986, p. 92), Rowntree told his researchers to note down whether families were ‘living in obvious want and squalor’ (Rowntree, p. 114). Money itself was not a focus for this assessment, as Veit-Wilson (1986) kept saying. Like Booth’s, Rowntree’s money based poverty line was developed after the survey, mainly to see the difference between families in ‘primary’ and ‘secondary’ poverty—those who could not afford ‘necessities’ on their money, and those who could. Rowntree’s (1901) understanding of poverty, was one of the first attempts at definition, he looked at the ‘primary’ poor and the concept of not enough money for their needs: families were poor if their money was not enough to allow them to purchase what they needed to maintain physical efficiency. This ‘subsistence standard’ approach became widely used afterwards, first by social scientists and then by the government (Abel-Smith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1965). Rowntree’s (1901) second survey, in 1936, widened the understanding of necessities to include other needs, including a radio, a newspaper and presents for children, but the underlying concept of poverty as insufficient material resources to meet one’s needs (however defend) remained.</w:t>
      </w:r>
    </w:p>
    <w:p w:rsidR="00000000" w:rsidDel="00000000" w:rsidP="00000000" w:rsidRDefault="00000000" w:rsidRPr="00000000" w14:paraId="00000010">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Booth and Rowntree, this concept of poverty appears to have become so widely accepted that many writers have dealt with the issue in depth without ever spelling out that this is how they understand it. Abel-Smith and Townsend’s own 1965 work opts to use National Assistance rates as the poverty line and includes a discussion of whether money in or money out data gives a more accurate measure of standard of living, but leaves the idea that poverty is about enough material resources as implicit. Hills and Alcock contain extended chats about different approaches to poverty definition and measurement that take as read that the concept of interest is a lack of material resources. Niemietz builds an extended critique of the UK’s official approach to poverty measurement, and the relative income measure in particular, but does not question the view that poverty is about possessions. </w:t>
      </w:r>
    </w:p>
    <w:p w:rsidR="00000000" w:rsidDel="00000000" w:rsidP="00000000" w:rsidRDefault="00000000" w:rsidRPr="00000000" w14:paraId="00000012">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Townsend (1979) made an enormously influential contribution in taking an explicitly relative approach to thinking about needs, he also called for a wider concept of ‘resources’ to replace ‘income’, defining individuals and groups as living in poverty.</w:t>
      </w:r>
    </w:p>
    <w:p w:rsidR="00000000" w:rsidDel="00000000" w:rsidP="00000000" w:rsidRDefault="00000000" w:rsidRPr="00000000" w14:paraId="00000014">
      <w:pPr>
        <w:spacing w:after="0" w:line="360" w:lineRule="auto"/>
        <w:ind w:left="567" w:right="56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they lack the resources to obtain the types of diet, participate in the activities and have the living conditions and amenities which are customary… in the societies to which they belong’ (Townsend, 1979). </w:t>
      </w:r>
    </w:p>
    <w:p w:rsidR="00000000" w:rsidDel="00000000" w:rsidP="00000000" w:rsidRDefault="00000000" w:rsidRPr="00000000" w14:paraId="00000015">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Yet mostly what he lists under the heading of ‘resources’ are material resources, including income, assets and home production. Townsend also adds ‘the value of public social services’ (health and education), hinting at a multidimensional approach, but this is not developed in his 1979 book. In later work he distinguishes clearly between concepts of poverty and (‘as important’) wider deprivation, including social deprivation (isolation, discrimination, lack of opportunities for education or employment), arguing that poverty (a lack of resources) is one of the factors that can lead to deprivation: “[Deprivation] turns on the level of conditions or activities experienced, [poverty] on the incomes and other resources directly available” (Townsend 1987, pp. 139–140).</w:t>
      </w:r>
    </w:p>
    <w:p w:rsidR="00000000" w:rsidDel="00000000" w:rsidP="00000000" w:rsidRDefault="00000000" w:rsidRPr="00000000" w14:paraId="00000017">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9">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A">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B">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C">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D">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E">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F">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0">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1">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2">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3">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4">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5">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6">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7">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8">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9">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A">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B">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C">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D">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E">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F">
      <w:pPr>
        <w:spacing w:after="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0">
      <w:pPr>
        <w:spacing w:after="0"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Reference List:</w:t>
      </w:r>
    </w:p>
    <w:p w:rsidR="00000000" w:rsidDel="00000000" w:rsidP="00000000" w:rsidRDefault="00000000" w:rsidRPr="00000000" w14:paraId="00000031">
      <w:pPr>
        <w:spacing w:after="0" w:line="360" w:lineRule="auto"/>
        <w:ind w:left="720"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Abel-Smith, B., &amp; Townsend, P. (1965). ‘The Poor and the Poorest’</w:t>
      </w:r>
      <w:r w:rsidDel="00000000" w:rsidR="00000000" w:rsidRPr="00000000">
        <w:rPr>
          <w:rFonts w:ascii="Times New Roman" w:cs="Times New Roman" w:eastAsia="Times New Roman" w:hAnsi="Times New Roman"/>
          <w:i w:val="1"/>
          <w:sz w:val="24"/>
          <w:szCs w:val="24"/>
          <w:rtl w:val="0"/>
        </w:rPr>
        <w:t xml:space="preserve">.</w:t>
      </w:r>
      <w:r w:rsidDel="00000000" w:rsidR="00000000" w:rsidRPr="00000000">
        <w:rPr>
          <w:rFonts w:ascii="Times New Roman" w:cs="Times New Roman" w:eastAsia="Times New Roman" w:hAnsi="Times New Roman"/>
          <w:sz w:val="24"/>
          <w:szCs w:val="24"/>
          <w:rtl w:val="0"/>
        </w:rPr>
        <w:t xml:space="preserve"> London: G Bell and Sons Ltd.</w:t>
      </w:r>
    </w:p>
    <w:p w:rsidR="00000000" w:rsidDel="00000000" w:rsidP="00000000" w:rsidRDefault="00000000" w:rsidRPr="00000000" w14:paraId="00000033">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Alcock, P. (2006). </w:t>
      </w:r>
      <w:r w:rsidDel="00000000" w:rsidR="00000000" w:rsidRPr="00000000">
        <w:rPr>
          <w:rFonts w:ascii="Times New Roman" w:cs="Times New Roman" w:eastAsia="Times New Roman" w:hAnsi="Times New Roman"/>
          <w:i w:val="1"/>
          <w:sz w:val="24"/>
          <w:szCs w:val="24"/>
          <w:rtl w:val="0"/>
        </w:rPr>
        <w:t xml:space="preserve">Understanding Poverty</w:t>
      </w:r>
      <w:r w:rsidDel="00000000" w:rsidR="00000000" w:rsidRPr="00000000">
        <w:rPr>
          <w:rFonts w:ascii="Times New Roman" w:cs="Times New Roman" w:eastAsia="Times New Roman" w:hAnsi="Times New Roman"/>
          <w:sz w:val="24"/>
          <w:szCs w:val="24"/>
          <w:rtl w:val="0"/>
        </w:rPr>
        <w:t xml:space="preserve">. Basingstoke: Palgrave Macmillan.</w:t>
      </w:r>
    </w:p>
    <w:p w:rsidR="00000000" w:rsidDel="00000000" w:rsidP="00000000" w:rsidRDefault="00000000" w:rsidRPr="00000000" w14:paraId="00000034">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Booth, C. (1897). </w:t>
      </w:r>
      <w:r w:rsidDel="00000000" w:rsidR="00000000" w:rsidRPr="00000000">
        <w:rPr>
          <w:rFonts w:ascii="Times New Roman" w:cs="Times New Roman" w:eastAsia="Times New Roman" w:hAnsi="Times New Roman"/>
          <w:i w:val="1"/>
          <w:sz w:val="24"/>
          <w:szCs w:val="24"/>
          <w:rtl w:val="0"/>
        </w:rPr>
        <w:t xml:space="preserve">Life and Labour of the People in London, Ix: Comparisons, Survey and Conclusions</w:t>
      </w:r>
      <w:r w:rsidDel="00000000" w:rsidR="00000000" w:rsidRPr="00000000">
        <w:rPr>
          <w:rFonts w:ascii="Times New Roman" w:cs="Times New Roman" w:eastAsia="Times New Roman" w:hAnsi="Times New Roman"/>
          <w:sz w:val="24"/>
          <w:szCs w:val="24"/>
          <w:rtl w:val="0"/>
        </w:rPr>
        <w:t xml:space="preserve">. Macmillan and Company. London.</w:t>
      </w:r>
    </w:p>
    <w:p w:rsidR="00000000" w:rsidDel="00000000" w:rsidP="00000000" w:rsidRDefault="00000000" w:rsidRPr="00000000" w14:paraId="00000035">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Gillie, A. (1996). ‘The Origin of the Poverty Line’, The Economic History Review, 49(4), pp. 715–730.</w:t>
      </w:r>
    </w:p>
    <w:p w:rsidR="00000000" w:rsidDel="00000000" w:rsidP="00000000" w:rsidRDefault="00000000" w:rsidRPr="00000000" w14:paraId="00000036">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Glennerster, H. (2004). ‘The Context for Rowntree’s Contribution’. In H. Glennerster, J. Hills, D. Piachaud, &amp; J. Webb (Eds.), (2004) </w:t>
      </w:r>
      <w:r w:rsidDel="00000000" w:rsidR="00000000" w:rsidRPr="00000000">
        <w:rPr>
          <w:rFonts w:ascii="Times New Roman" w:cs="Times New Roman" w:eastAsia="Times New Roman" w:hAnsi="Times New Roman"/>
          <w:i w:val="1"/>
          <w:sz w:val="24"/>
          <w:szCs w:val="24"/>
          <w:rtl w:val="0"/>
        </w:rPr>
        <w:t xml:space="preserve">One Hundred Years of Poverty and Policy</w:t>
      </w:r>
      <w:r w:rsidDel="00000000" w:rsidR="00000000" w:rsidRPr="00000000">
        <w:rPr>
          <w:rFonts w:ascii="Times New Roman" w:cs="Times New Roman" w:eastAsia="Times New Roman" w:hAnsi="Times New Roman"/>
          <w:sz w:val="24"/>
          <w:szCs w:val="24"/>
          <w:rtl w:val="0"/>
        </w:rPr>
        <w:t xml:space="preserve">. York: Joseph Rowntree Foundation.</w:t>
      </w:r>
    </w:p>
    <w:p w:rsidR="00000000" w:rsidDel="00000000" w:rsidP="00000000" w:rsidRDefault="00000000" w:rsidRPr="00000000" w14:paraId="00000037">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Hills, J. (2004). </w:t>
      </w:r>
      <w:r w:rsidDel="00000000" w:rsidR="00000000" w:rsidRPr="00000000">
        <w:rPr>
          <w:rFonts w:ascii="Times New Roman" w:cs="Times New Roman" w:eastAsia="Times New Roman" w:hAnsi="Times New Roman"/>
          <w:i w:val="1"/>
          <w:sz w:val="24"/>
          <w:szCs w:val="24"/>
          <w:rtl w:val="0"/>
        </w:rPr>
        <w:t xml:space="preserve">Inequality and the State</w:t>
      </w:r>
      <w:r w:rsidDel="00000000" w:rsidR="00000000" w:rsidRPr="00000000">
        <w:rPr>
          <w:rFonts w:ascii="Times New Roman" w:cs="Times New Roman" w:eastAsia="Times New Roman" w:hAnsi="Times New Roman"/>
          <w:sz w:val="24"/>
          <w:szCs w:val="24"/>
          <w:rtl w:val="0"/>
        </w:rPr>
        <w:t xml:space="preserve">; Oxford University Press. Oxford.</w:t>
      </w:r>
    </w:p>
    <w:p w:rsidR="00000000" w:rsidDel="00000000" w:rsidP="00000000" w:rsidRDefault="00000000" w:rsidRPr="00000000" w14:paraId="00000038">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Lister, R. (2004). </w:t>
      </w:r>
      <w:r w:rsidDel="00000000" w:rsidR="00000000" w:rsidRPr="00000000">
        <w:rPr>
          <w:rFonts w:ascii="Times New Roman" w:cs="Times New Roman" w:eastAsia="Times New Roman" w:hAnsi="Times New Roman"/>
          <w:i w:val="1"/>
          <w:sz w:val="24"/>
          <w:szCs w:val="24"/>
          <w:rtl w:val="0"/>
        </w:rPr>
        <w:t xml:space="preserve">Poverty</w:t>
      </w:r>
      <w:r w:rsidDel="00000000" w:rsidR="00000000" w:rsidRPr="00000000">
        <w:rPr>
          <w:rFonts w:ascii="Times New Roman" w:cs="Times New Roman" w:eastAsia="Times New Roman" w:hAnsi="Times New Roman"/>
          <w:sz w:val="24"/>
          <w:szCs w:val="24"/>
          <w:rtl w:val="0"/>
        </w:rPr>
        <w:t xml:space="preserve">. Cambridge: Polity Press. </w:t>
      </w:r>
    </w:p>
    <w:p w:rsidR="00000000" w:rsidDel="00000000" w:rsidP="00000000" w:rsidRDefault="00000000" w:rsidRPr="00000000" w14:paraId="00000039">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Niemietz, K. (2011). ‘A New Understanding of Poverty’; London: The Institute of Economic Affairs.</w:t>
      </w:r>
    </w:p>
    <w:p w:rsidR="00000000" w:rsidDel="00000000" w:rsidP="00000000" w:rsidRDefault="00000000" w:rsidRPr="00000000" w14:paraId="0000003A">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Rowntree, B. S. (1901). </w:t>
      </w:r>
      <w:r w:rsidDel="00000000" w:rsidR="00000000" w:rsidRPr="00000000">
        <w:rPr>
          <w:rFonts w:ascii="Times New Roman" w:cs="Times New Roman" w:eastAsia="Times New Roman" w:hAnsi="Times New Roman"/>
          <w:i w:val="1"/>
          <w:sz w:val="24"/>
          <w:szCs w:val="24"/>
          <w:rtl w:val="0"/>
        </w:rPr>
        <w:t xml:space="preserve">Poverty: A Study of Town Life</w:t>
      </w:r>
      <w:r w:rsidDel="00000000" w:rsidR="00000000" w:rsidRPr="00000000">
        <w:rPr>
          <w:rFonts w:ascii="Times New Roman" w:cs="Times New Roman" w:eastAsia="Times New Roman" w:hAnsi="Times New Roman"/>
          <w:sz w:val="24"/>
          <w:szCs w:val="24"/>
          <w:rtl w:val="0"/>
        </w:rPr>
        <w:t xml:space="preserve">. London: Macmillan.</w:t>
      </w:r>
    </w:p>
    <w:p w:rsidR="00000000" w:rsidDel="00000000" w:rsidP="00000000" w:rsidRDefault="00000000" w:rsidRPr="00000000" w14:paraId="0000003B">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Townsend, P. (1979). </w:t>
      </w:r>
      <w:r w:rsidDel="00000000" w:rsidR="00000000" w:rsidRPr="00000000">
        <w:rPr>
          <w:rFonts w:ascii="Times New Roman" w:cs="Times New Roman" w:eastAsia="Times New Roman" w:hAnsi="Times New Roman"/>
          <w:i w:val="1"/>
          <w:sz w:val="24"/>
          <w:szCs w:val="24"/>
          <w:rtl w:val="0"/>
        </w:rPr>
        <w:t xml:space="preserve">Poverty in the United Kingdom</w:t>
      </w:r>
      <w:r w:rsidDel="00000000" w:rsidR="00000000" w:rsidRPr="00000000">
        <w:rPr>
          <w:rFonts w:ascii="Times New Roman" w:cs="Times New Roman" w:eastAsia="Times New Roman" w:hAnsi="Times New Roman"/>
          <w:sz w:val="24"/>
          <w:szCs w:val="24"/>
          <w:rtl w:val="0"/>
        </w:rPr>
        <w:t xml:space="preserve">. Berkeley: University of California Press.</w:t>
      </w:r>
    </w:p>
    <w:p w:rsidR="00000000" w:rsidDel="00000000" w:rsidP="00000000" w:rsidRDefault="00000000" w:rsidRPr="00000000" w14:paraId="0000003C">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Townsend, P. (1987). </w:t>
      </w:r>
      <w:r w:rsidDel="00000000" w:rsidR="00000000" w:rsidRPr="00000000">
        <w:rPr>
          <w:rFonts w:ascii="Times New Roman" w:cs="Times New Roman" w:eastAsia="Times New Roman" w:hAnsi="Times New Roman"/>
          <w:i w:val="1"/>
          <w:sz w:val="24"/>
          <w:szCs w:val="24"/>
          <w:rtl w:val="0"/>
        </w:rPr>
        <w:t xml:space="preserve">Deprivation</w:t>
      </w:r>
      <w:r w:rsidDel="00000000" w:rsidR="00000000" w:rsidRPr="00000000">
        <w:rPr>
          <w:rFonts w:ascii="Times New Roman" w:cs="Times New Roman" w:eastAsia="Times New Roman" w:hAnsi="Times New Roman"/>
          <w:sz w:val="24"/>
          <w:szCs w:val="24"/>
          <w:rtl w:val="0"/>
        </w:rPr>
        <w:t xml:space="preserve">, Journal of Social Policy, 15(2), pp. 125–146.</w:t>
      </w:r>
    </w:p>
    <w:p w:rsidR="00000000" w:rsidDel="00000000" w:rsidP="00000000" w:rsidRDefault="00000000" w:rsidRPr="00000000" w14:paraId="0000003D">
      <w:pPr>
        <w:spacing w:after="0" w:line="36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Veit-Wilson, J. (1986). ‘Paradigms of Poverty: A Rehabilitation of B S Rowntree’, Journal of Social Policy, 15(1), pp. 69–99.</w:t>
      </w:r>
    </w:p>
    <w:p w:rsidR="00000000" w:rsidDel="00000000" w:rsidP="00000000" w:rsidRDefault="00000000" w:rsidRPr="00000000" w14:paraId="0000003E">
      <w:pPr>
        <w:spacing w:after="0" w:line="360" w:lineRule="auto"/>
        <w:ind w:left="720"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spacing w:after="0" w:line="360" w:lineRule="auto"/>
        <w:ind w:left="720"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after="0" w:line="360" w:lineRule="auto"/>
        <w:ind w:left="720"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spacing w:after="0" w:line="360" w:lineRule="auto"/>
        <w:ind w:left="720"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after="0" w:line="360" w:lineRule="auto"/>
        <w:ind w:left="720"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after="0" w:line="360" w:lineRule="auto"/>
        <w:ind w:left="720"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after="0" w:line="360" w:lineRule="auto"/>
        <w:ind w:left="720"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after="0" w:line="360" w:lineRule="auto"/>
        <w:ind w:left="720"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after="0"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spacing w:after="0" w:line="360" w:lineRule="auto"/>
        <w:jc w:val="both"/>
        <w:rPr>
          <w:rFonts w:ascii="Times New Roman" w:cs="Times New Roman" w:eastAsia="Times New Roman" w:hAnsi="Times New Roman"/>
          <w:b w:val="1"/>
          <w:color w:val="ff0000"/>
          <w:sz w:val="24"/>
          <w:szCs w:val="24"/>
        </w:rPr>
      </w:pPr>
      <w:bookmarkStart w:colFirst="0" w:colLast="0" w:name="_gjdgxs" w:id="0"/>
      <w:bookmarkEnd w:id="0"/>
      <w:r w:rsidDel="00000000" w:rsidR="00000000" w:rsidRPr="00000000">
        <w:rPr>
          <w:rFonts w:ascii="Times New Roman" w:cs="Times New Roman" w:eastAsia="Times New Roman" w:hAnsi="Times New Roman"/>
          <w:b w:val="1"/>
          <w:color w:val="ff0000"/>
          <w:sz w:val="24"/>
          <w:szCs w:val="24"/>
          <w:rtl w:val="0"/>
        </w:rPr>
        <w:t xml:space="preserve">ECGE4001Q Assessment 1:</w:t>
      </w:r>
    </w:p>
    <w:p w:rsidR="00000000" w:rsidDel="00000000" w:rsidP="00000000" w:rsidRDefault="00000000" w:rsidRPr="00000000" w14:paraId="00000048">
      <w:pPr>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color w:val="ff0000"/>
          <w:sz w:val="24"/>
          <w:szCs w:val="24"/>
          <w:rtl w:val="0"/>
        </w:rPr>
        <w:t xml:space="preserve">Part 2 - Use the academic article provided to write a 500-word academic piece, correctly referenced and in an appropriate academic style. </w:t>
      </w:r>
      <w:r w:rsidDel="00000000" w:rsidR="00000000" w:rsidRPr="00000000">
        <w:rPr>
          <w:rtl w:val="0"/>
        </w:rPr>
      </w:r>
    </w:p>
    <w:p w:rsidR="00000000" w:rsidDel="00000000" w:rsidP="00000000" w:rsidRDefault="00000000" w:rsidRPr="00000000" w14:paraId="00000049">
      <w:pPr>
        <w:spacing w:after="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after="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Inter-generational housing inequalities: ‘Baby Boomers’ versus the ‘Millennials’ by Hoolachan, J. and McKee, K. (2018) looks at the discussion of issues with ‘housing between the post-war period and the late 20th/early 21st century in the UK’. Hoolachan and McKee take evidence from other justified authors commenting that:</w:t>
      </w:r>
    </w:p>
    <w:p w:rsidR="00000000" w:rsidDel="00000000" w:rsidP="00000000" w:rsidRDefault="00000000" w:rsidRPr="00000000" w14:paraId="0000004B">
      <w:pPr>
        <w:spacing w:after="0"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‘socioeconomic disparities between Baby Boomers and younger Millennials have further been detailed by a range of academics, policymakers and political commentators’ (Bessant et al., 2017, Howker and Malik, 2010; Hurley et al., 2017, Piachaud et al., 2009; Willets, 2010)</w:t>
      </w:r>
    </w:p>
    <w:p w:rsidR="00000000" w:rsidDel="00000000" w:rsidP="00000000" w:rsidRDefault="00000000" w:rsidRPr="00000000" w14:paraId="0000004C">
      <w:pPr>
        <w:spacing w:after="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article discusses Brexit and the implications this has in regards to those involved Boult (2016) states ‘news headlines such as ‘Millennials’ “fury” over ‘Baby Boomers’ vote for Brexit’ which indicates the clear divide between the two generations in regards to opinions of Brexit. Further on in the article, the debate of who is to blame for the inequalities faced are discussed;</w:t>
      </w:r>
    </w:p>
    <w:p w:rsidR="00000000" w:rsidDel="00000000" w:rsidP="00000000" w:rsidRDefault="00000000" w:rsidRPr="00000000" w14:paraId="0000004D">
      <w:pPr>
        <w:spacing w:after="0"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‘first, our data counter the conflict narrative espoused by authors such as Willetts (2010) by arguing that placing blame on the agency of Baby Boomers for the struggles of Millennials deflects attention from the political structures underpinning these inequalities.’ (Hoolachan and McKee, 2018)</w:t>
      </w:r>
    </w:p>
    <w:p w:rsidR="00000000" w:rsidDel="00000000" w:rsidP="00000000" w:rsidRDefault="00000000" w:rsidRPr="00000000" w14:paraId="0000004E">
      <w:pPr>
        <w:spacing w:after="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after="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diverse set of opinions create a non-biased and balanced argument regarding the subject of blame, which leads to a discussion of ‘Generation rent’ and how this term discusses the inability of today’s generation to buy a property, meaning they are increasing numbers of tenants forced to rent. Inter-generational housing inequalities: ‘Baby Boomers’ versus the ‘Millennials’ by Hoolachan, J. and McKee, K. (2018) includes accurate statistics that provide valid evidence for points throughout the article. A clear example of this within the article is located on pages 215-217 where there are different ways of giving evidence such as studies, tables and use of quantitive data throughout. Although the article is based on opinions and views, all the points made are backed up with evidence to support the author’s argument.</w:t>
      </w:r>
    </w:p>
    <w:p w:rsidR="00000000" w:rsidDel="00000000" w:rsidP="00000000" w:rsidRDefault="00000000" w:rsidRPr="00000000" w14:paraId="00000050">
      <w:pPr>
        <w:spacing w:after="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after="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article ends with  Hoolachan, J. and McKee, K. (2018) discussing that the paper ‘ challenged the narrative of inter-generational conflict purported by some commentators’ which leads on to the authors discussing what they have discovered and how this has affected today’s generation and the generations to come if it all continues. throughout both sides are discussed and commented on equally, keeping the conversation equal and relevant, using opinions from both parties to create opinions from both sides to create a better discussion overall. However, the authors discuss and agree that these issues are purely UK based and do not apply to beyond the UK.</w:t>
      </w:r>
    </w:p>
    <w:p w:rsidR="00000000" w:rsidDel="00000000" w:rsidP="00000000" w:rsidRDefault="00000000" w:rsidRPr="00000000" w14:paraId="00000052">
      <w:pPr>
        <w:spacing w:after="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spacing w:after="0" w:line="360" w:lineRule="auto"/>
        <w:ind w:left="0" w:firstLine="0"/>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4">
      <w:pPr>
        <w:spacing w:after="0" w:line="360" w:lineRule="auto"/>
        <w:ind w:left="0" w:firstLine="0"/>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5">
      <w:pPr>
        <w:spacing w:after="0" w:line="360" w:lineRule="auto"/>
        <w:ind w:left="0" w:firstLine="0"/>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6">
      <w:pPr>
        <w:spacing w:after="0" w:line="360" w:lineRule="auto"/>
        <w:ind w:left="0" w:firstLine="0"/>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7">
      <w:pPr>
        <w:spacing w:after="0" w:line="360" w:lineRule="auto"/>
        <w:ind w:left="0" w:firstLine="0"/>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8">
      <w:pPr>
        <w:spacing w:after="0" w:line="360" w:lineRule="auto"/>
        <w:ind w:left="0" w:firstLine="0"/>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9">
      <w:pPr>
        <w:spacing w:after="0" w:line="360" w:lineRule="auto"/>
        <w:ind w:left="0" w:firstLine="0"/>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A">
      <w:pPr>
        <w:spacing w:after="0" w:line="360" w:lineRule="auto"/>
        <w:ind w:left="0" w:firstLine="0"/>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B">
      <w:pPr>
        <w:spacing w:after="0" w:line="360" w:lineRule="auto"/>
        <w:ind w:left="0" w:firstLine="0"/>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C">
      <w:pPr>
        <w:spacing w:after="0" w:line="360" w:lineRule="auto"/>
        <w:ind w:left="0" w:firstLine="0"/>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D">
      <w:pPr>
        <w:spacing w:after="0" w:line="360" w:lineRule="auto"/>
        <w:ind w:left="0" w:firstLine="0"/>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E">
      <w:pPr>
        <w:spacing w:after="0" w:line="360" w:lineRule="auto"/>
        <w:ind w:left="0" w:firstLine="0"/>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F">
      <w:pPr>
        <w:spacing w:after="0" w:line="360" w:lineRule="auto"/>
        <w:ind w:left="0" w:firstLine="0"/>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60">
      <w:pPr>
        <w:spacing w:after="0" w:line="360" w:lineRule="auto"/>
        <w:ind w:left="0" w:firstLine="0"/>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61">
      <w:pPr>
        <w:spacing w:after="0" w:line="360" w:lineRule="auto"/>
        <w:ind w:left="0" w:firstLine="0"/>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62">
      <w:pPr>
        <w:spacing w:after="0" w:line="360" w:lineRule="auto"/>
        <w:ind w:left="0" w:firstLine="0"/>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63">
      <w:pPr>
        <w:spacing w:after="0" w:line="360" w:lineRule="auto"/>
        <w:ind w:left="0" w:firstLine="0"/>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Reference list:</w:t>
      </w:r>
    </w:p>
    <w:p w:rsidR="00000000" w:rsidDel="00000000" w:rsidP="00000000" w:rsidRDefault="00000000" w:rsidRPr="00000000" w14:paraId="00000064">
      <w:pPr>
        <w:spacing w:after="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spacing w:after="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Bessant, J, Farhering, R. and Watts, R. (2017) </w:t>
      </w:r>
      <w:r w:rsidDel="00000000" w:rsidR="00000000" w:rsidRPr="00000000">
        <w:rPr>
          <w:rFonts w:ascii="Times New Roman" w:cs="Times New Roman" w:eastAsia="Times New Roman" w:hAnsi="Times New Roman"/>
          <w:i w:val="1"/>
          <w:sz w:val="24"/>
          <w:szCs w:val="24"/>
          <w:rtl w:val="0"/>
        </w:rPr>
        <w:t xml:space="preserve">The Precarious Generation: A Political Economy of  Young People.</w:t>
      </w:r>
      <w:r w:rsidDel="00000000" w:rsidR="00000000" w:rsidRPr="00000000">
        <w:rPr>
          <w:rFonts w:ascii="Times New Roman" w:cs="Times New Roman" w:eastAsia="Times New Roman" w:hAnsi="Times New Roman"/>
          <w:sz w:val="24"/>
          <w:szCs w:val="24"/>
          <w:rtl w:val="0"/>
        </w:rPr>
        <w:t xml:space="preserve"> London: Routledge.</w:t>
      </w:r>
    </w:p>
    <w:p w:rsidR="00000000" w:rsidDel="00000000" w:rsidP="00000000" w:rsidRDefault="00000000" w:rsidRPr="00000000" w14:paraId="00000066">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(Accessed N/A)</w:t>
      </w:r>
    </w:p>
    <w:p w:rsidR="00000000" w:rsidDel="00000000" w:rsidP="00000000" w:rsidRDefault="00000000" w:rsidRPr="00000000" w14:paraId="00000067">
      <w:pPr>
        <w:spacing w:after="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8">
      <w:pPr>
        <w:spacing w:after="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Boult, A. (2016) Millennials’ ‘fury’ over baby boomers vote for Brexit, </w:t>
      </w:r>
      <w:r w:rsidDel="00000000" w:rsidR="00000000" w:rsidRPr="00000000">
        <w:rPr>
          <w:rFonts w:ascii="Times New Roman" w:cs="Times New Roman" w:eastAsia="Times New Roman" w:hAnsi="Times New Roman"/>
          <w:i w:val="1"/>
          <w:sz w:val="24"/>
          <w:szCs w:val="24"/>
          <w:rtl w:val="0"/>
        </w:rPr>
        <w:t xml:space="preserve">The Telegraph</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69">
      <w:pPr>
        <w:spacing w:after="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Available at:</w:t>
      </w:r>
    </w:p>
    <w:p w:rsidR="00000000" w:rsidDel="00000000" w:rsidP="00000000" w:rsidRDefault="00000000" w:rsidRPr="00000000" w14:paraId="0000006A">
      <w:pPr>
        <w:spacing w:after="0" w:line="360" w:lineRule="auto"/>
        <w:ind w:left="0" w:firstLine="0"/>
        <w:jc w:val="both"/>
        <w:rPr>
          <w:rFonts w:ascii="Times New Roman" w:cs="Times New Roman" w:eastAsia="Times New Roman" w:hAnsi="Times New Roman"/>
          <w:sz w:val="24"/>
          <w:szCs w:val="24"/>
        </w:rPr>
      </w:pPr>
      <w:hyperlink r:id="rId6">
        <w:r w:rsidDel="00000000" w:rsidR="00000000" w:rsidRPr="00000000">
          <w:rPr>
            <w:rFonts w:ascii="Times New Roman" w:cs="Times New Roman" w:eastAsia="Times New Roman" w:hAnsi="Times New Roman"/>
            <w:color w:val="1155cc"/>
            <w:sz w:val="24"/>
            <w:szCs w:val="24"/>
            <w:u w:val="single"/>
            <w:rtl w:val="0"/>
          </w:rPr>
          <w:t xml:space="preserve">http://www.telegraph.co.uk/news/2016/-6/24/millennials-fury-over-baby-boomers-vote-for-brexit/</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B">
      <w:pPr>
        <w:spacing w:after="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(Accessed 30th June 2016)</w:t>
      </w:r>
    </w:p>
    <w:p w:rsidR="00000000" w:rsidDel="00000000" w:rsidP="00000000" w:rsidRDefault="00000000" w:rsidRPr="00000000" w14:paraId="0000006C">
      <w:pPr>
        <w:spacing w:after="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D">
      <w:pPr>
        <w:spacing w:after="0"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Howker, E. and Malik, S. (2010) </w:t>
      </w:r>
      <w:r w:rsidDel="00000000" w:rsidR="00000000" w:rsidRPr="00000000">
        <w:rPr>
          <w:rFonts w:ascii="Times New Roman" w:cs="Times New Roman" w:eastAsia="Times New Roman" w:hAnsi="Times New Roman"/>
          <w:i w:val="1"/>
          <w:sz w:val="24"/>
          <w:szCs w:val="24"/>
          <w:rtl w:val="0"/>
        </w:rPr>
        <w:t xml:space="preserve">Jilted Generation: How Britain Bankrupted Its Youth.</w:t>
      </w:r>
      <w:r w:rsidDel="00000000" w:rsidR="00000000" w:rsidRPr="00000000">
        <w:rPr>
          <w:rFonts w:ascii="Times New Roman" w:cs="Times New Roman" w:eastAsia="Times New Roman" w:hAnsi="Times New Roman"/>
          <w:sz w:val="24"/>
          <w:szCs w:val="24"/>
          <w:rtl w:val="0"/>
        </w:rPr>
        <w:t xml:space="preserve"> London: Icon Books.</w:t>
      </w:r>
    </w:p>
    <w:p w:rsidR="00000000" w:rsidDel="00000000" w:rsidP="00000000" w:rsidRDefault="00000000" w:rsidRPr="00000000" w14:paraId="0000006E">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(Accessed N/A)</w:t>
      </w:r>
    </w:p>
    <w:p w:rsidR="00000000" w:rsidDel="00000000" w:rsidP="00000000" w:rsidRDefault="00000000" w:rsidRPr="00000000" w14:paraId="0000006F">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0">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Hurley, K. Breheny, M. and Tuffin, K. (2017) Inter-generational inequity arguments and the implications for state-funded financial support of older people. </w:t>
      </w:r>
      <w:r w:rsidDel="00000000" w:rsidR="00000000" w:rsidRPr="00000000">
        <w:rPr>
          <w:rFonts w:ascii="Times New Roman" w:cs="Times New Roman" w:eastAsia="Times New Roman" w:hAnsi="Times New Roman"/>
          <w:i w:val="1"/>
          <w:sz w:val="24"/>
          <w:szCs w:val="24"/>
          <w:rtl w:val="0"/>
        </w:rPr>
        <w:t xml:space="preserve">Ageing and Society</w:t>
      </w:r>
      <w:r w:rsidDel="00000000" w:rsidR="00000000" w:rsidRPr="00000000">
        <w:rPr>
          <w:rFonts w:ascii="Times New Roman" w:cs="Times New Roman" w:eastAsia="Times New Roman" w:hAnsi="Times New Roman"/>
          <w:sz w:val="24"/>
          <w:szCs w:val="24"/>
          <w:rtl w:val="0"/>
        </w:rPr>
        <w:t xml:space="preserve"> 37(3): pg. 561-580.</w:t>
      </w:r>
    </w:p>
    <w:p w:rsidR="00000000" w:rsidDel="00000000" w:rsidP="00000000" w:rsidRDefault="00000000" w:rsidRPr="00000000" w14:paraId="00000071">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(Accessed N/A)</w:t>
      </w:r>
    </w:p>
    <w:p w:rsidR="00000000" w:rsidDel="00000000" w:rsidP="00000000" w:rsidRDefault="00000000" w:rsidRPr="00000000" w14:paraId="00000072">
      <w:pPr>
        <w:spacing w:after="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3">
      <w:pPr>
        <w:spacing w:after="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4">
      <w:pPr>
        <w:spacing w:after="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5">
      <w:pPr>
        <w:spacing w:after="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6">
      <w:pPr>
        <w:spacing w:after="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7">
      <w:pPr>
        <w:spacing w:after="0" w:line="360" w:lineRule="auto"/>
        <w:ind w:left="0" w:firstLine="0"/>
        <w:jc w:val="both"/>
        <w:rPr>
          <w:rFonts w:ascii="Times New Roman" w:cs="Times New Roman" w:eastAsia="Times New Roman" w:hAnsi="Times New Roman"/>
          <w:sz w:val="24"/>
          <w:szCs w:val="24"/>
        </w:rPr>
      </w:pPr>
      <w:r w:rsidDel="00000000" w:rsidR="00000000" w:rsidRPr="00000000">
        <w:rPr>
          <w:rtl w:val="0"/>
        </w:rPr>
      </w:r>
    </w:p>
    <w:sectPr>
      <w:headerReference r:id="rId7" w:type="default"/>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8">
    <w:pPr>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ECGE4001Q</w:t>
    </w:r>
  </w:p>
  <w:p w:rsidR="00000000" w:rsidDel="00000000" w:rsidP="00000000" w:rsidRDefault="00000000" w:rsidRPr="00000000" w14:paraId="00000079">
    <w:pPr>
      <w:spacing w:after="0" w:line="360"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1802106</w:t>
    </w:r>
  </w:p>
  <w:p w:rsidR="00000000" w:rsidDel="00000000" w:rsidP="00000000" w:rsidRDefault="00000000" w:rsidRPr="00000000" w14:paraId="0000007A">
    <w:pPr>
      <w:spacing w:after="0" w:line="360" w:lineRule="auto"/>
      <w:jc w:val="both"/>
      <w:rPr/>
    </w:pPr>
    <w:r w:rsidDel="00000000" w:rsidR="00000000" w:rsidRPr="00000000">
      <w:rPr>
        <w:rFonts w:ascii="Times New Roman" w:cs="Times New Roman" w:eastAsia="Times New Roman" w:hAnsi="Times New Roman"/>
        <w:b w:val="1"/>
        <w:sz w:val="24"/>
        <w:szCs w:val="24"/>
        <w:highlight w:val="white"/>
        <w:rtl w:val="0"/>
      </w:rPr>
      <w:t xml:space="preserve">Assessment 1</w:t>
    </w:r>
    <w:r w:rsidDel="00000000" w:rsidR="00000000" w:rsidRPr="00000000">
      <w:rPr>
        <w:rtl w:val="0"/>
      </w:rPr>
    </w:r>
  </w:p>
  <w:p w:rsidR="00000000" w:rsidDel="00000000" w:rsidP="00000000" w:rsidRDefault="00000000" w:rsidRPr="00000000" w14:paraId="0000007B">
    <w:pPr>
      <w:jc w:val="both"/>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www.telegraph.co.uk/news/2016/-6/24/millennials-fury-over-baby-boomers-vote-for-brexit/" TargetMode="Externa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