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CB5EC3" w14:textId="6911DB38" w:rsidR="00D00CFF" w:rsidRPr="008778AA" w:rsidRDefault="000D410D" w:rsidP="008778AA">
      <w:pPr>
        <w:pStyle w:val="Title"/>
        <w:spacing w:line="360" w:lineRule="auto"/>
        <w:jc w:val="center"/>
        <w:rPr>
          <w:rFonts w:ascii="Times New Roman" w:hAnsi="Times New Roman" w:cs="Times New Roman"/>
          <w:b/>
          <w:bCs/>
        </w:rPr>
      </w:pPr>
      <w:r w:rsidRPr="008778AA">
        <w:rPr>
          <w:rFonts w:ascii="Times New Roman" w:hAnsi="Times New Roman" w:cs="Times New Roman"/>
          <w:b/>
          <w:bCs/>
        </w:rPr>
        <w:t>CFO Financial Evaluation and Investment Appraisal of InterContinental Hotels Group PLC</w:t>
      </w:r>
    </w:p>
    <w:p w14:paraId="03DBE5C7" w14:textId="77777777" w:rsidR="00B34136" w:rsidRPr="008778AA" w:rsidRDefault="00B34136" w:rsidP="008778AA">
      <w:pPr>
        <w:keepNext/>
        <w:spacing w:line="360" w:lineRule="auto"/>
        <w:jc w:val="center"/>
        <w:rPr>
          <w:rFonts w:ascii="Times New Roman" w:hAnsi="Times New Roman" w:cs="Times New Roman"/>
        </w:rPr>
      </w:pPr>
      <w:r w:rsidRPr="008778AA">
        <w:rPr>
          <w:rFonts w:ascii="Times New Roman" w:hAnsi="Times New Roman" w:cs="Times New Roman"/>
          <w:noProof/>
        </w:rPr>
        <w:drawing>
          <wp:inline distT="0" distB="0" distL="0" distR="0" wp14:anchorId="54531C25" wp14:editId="1B3E364B">
            <wp:extent cx="5943600" cy="3978275"/>
            <wp:effectExtent l="0" t="0" r="0" b="3175"/>
            <wp:docPr id="1961242238" name="Picture 3" descr="Getting started | IHG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tting started | IHG Develop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978275"/>
                    </a:xfrm>
                    <a:prstGeom prst="rect">
                      <a:avLst/>
                    </a:prstGeom>
                    <a:noFill/>
                    <a:ln>
                      <a:noFill/>
                    </a:ln>
                  </pic:spPr>
                </pic:pic>
              </a:graphicData>
            </a:graphic>
          </wp:inline>
        </w:drawing>
      </w:r>
    </w:p>
    <w:p w14:paraId="135E7E5F" w14:textId="024D5808" w:rsidR="00AF2BDF" w:rsidRPr="00AF2BDF" w:rsidRDefault="00B34136" w:rsidP="00AF2BDF">
      <w:pPr>
        <w:pStyle w:val="Caption"/>
        <w:spacing w:line="360" w:lineRule="auto"/>
        <w:jc w:val="center"/>
        <w:rPr>
          <w:rFonts w:ascii="Times New Roman" w:hAnsi="Times New Roman" w:cs="Times New Roman"/>
        </w:rPr>
      </w:pPr>
      <w:r w:rsidRPr="008778AA">
        <w:rPr>
          <w:rFonts w:ascii="Times New Roman" w:hAnsi="Times New Roman" w:cs="Times New Roman"/>
        </w:rPr>
        <w:t xml:space="preserve">Figure </w:t>
      </w:r>
      <w:r w:rsidRPr="008778AA">
        <w:rPr>
          <w:rFonts w:ascii="Times New Roman" w:hAnsi="Times New Roman" w:cs="Times New Roman"/>
        </w:rPr>
        <w:fldChar w:fldCharType="begin"/>
      </w:r>
      <w:r w:rsidRPr="008778AA">
        <w:rPr>
          <w:rFonts w:ascii="Times New Roman" w:hAnsi="Times New Roman" w:cs="Times New Roman"/>
        </w:rPr>
        <w:instrText xml:space="preserve"> SEQ Figure \* ARABIC </w:instrText>
      </w:r>
      <w:r w:rsidRPr="008778AA">
        <w:rPr>
          <w:rFonts w:ascii="Times New Roman" w:hAnsi="Times New Roman" w:cs="Times New Roman"/>
        </w:rPr>
        <w:fldChar w:fldCharType="separate"/>
      </w:r>
      <w:r w:rsidRPr="008778AA">
        <w:rPr>
          <w:rFonts w:ascii="Times New Roman" w:hAnsi="Times New Roman" w:cs="Times New Roman"/>
          <w:noProof/>
        </w:rPr>
        <w:t>1</w:t>
      </w:r>
      <w:r w:rsidRPr="008778AA">
        <w:rPr>
          <w:rFonts w:ascii="Times New Roman" w:hAnsi="Times New Roman" w:cs="Times New Roman"/>
        </w:rPr>
        <w:fldChar w:fldCharType="end"/>
      </w:r>
      <w:r w:rsidRPr="008778AA">
        <w:rPr>
          <w:rFonts w:ascii="Times New Roman" w:hAnsi="Times New Roman" w:cs="Times New Roman"/>
        </w:rPr>
        <w:t xml:space="preserve">- </w:t>
      </w:r>
      <w:r w:rsidR="009C7F74" w:rsidRPr="009C7F74">
        <w:t>(IHG, 2026)</w:t>
      </w:r>
      <w:bookmarkStart w:id="0" w:name="_Toc233392945"/>
    </w:p>
    <w:p w14:paraId="6CE90560" w14:textId="77777777" w:rsidR="00AF2BDF" w:rsidRDefault="00AF2BDF" w:rsidP="00AF2BDF"/>
    <w:p w14:paraId="3258FE99" w14:textId="77777777" w:rsidR="00AF2BDF" w:rsidRPr="00AF2BDF" w:rsidRDefault="00AF2BDF" w:rsidP="00AF2BDF">
      <w:pPr>
        <w:sectPr w:rsidR="00AF2BDF" w:rsidRPr="00AF2BDF" w:rsidSect="00AF2BDF">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sdt>
      <w:sdtPr>
        <w:rPr>
          <w:b/>
        </w:rPr>
        <w:id w:val="-662701905"/>
        <w:docPartObj>
          <w:docPartGallery w:val="Table of Contents"/>
          <w:docPartUnique/>
        </w:docPartObj>
      </w:sdtPr>
      <w:sdtEndPr>
        <w:rPr>
          <w:b w:val="0"/>
          <w:bCs/>
          <w:noProof/>
        </w:rPr>
      </w:sdtEndPr>
      <w:sdtContent>
        <w:p w14:paraId="41CCC71E" w14:textId="2D3F30D0" w:rsidR="00AF2BDF" w:rsidRPr="003F3DB9" w:rsidRDefault="00AF2BDF" w:rsidP="003F3DB9">
          <w:pPr>
            <w:pStyle w:val="NoSpacing"/>
            <w:rPr>
              <w:b/>
              <w:bCs/>
            </w:rPr>
          </w:pPr>
          <w:r w:rsidRPr="003F3DB9">
            <w:rPr>
              <w:b/>
              <w:bCs/>
            </w:rPr>
            <w:t>Table of Contents</w:t>
          </w:r>
        </w:p>
        <w:p w14:paraId="28D7401D" w14:textId="6F59FB60" w:rsidR="003F3DB9" w:rsidRDefault="00AF2BDF">
          <w:pPr>
            <w:pStyle w:val="TOC1"/>
            <w:rPr>
              <w:rFonts w:asciiTheme="minorHAnsi" w:eastAsiaTheme="minorEastAsia" w:hAnsiTheme="minorHAnsi" w:cstheme="minorBidi"/>
              <w:b w:val="0"/>
              <w:bCs w:val="0"/>
            </w:rPr>
          </w:pPr>
          <w:r w:rsidRPr="00AF2BDF">
            <w:fldChar w:fldCharType="begin"/>
          </w:r>
          <w:r w:rsidRPr="00AF2BDF">
            <w:instrText xml:space="preserve"> TOC \o "1-3" \h \z \u </w:instrText>
          </w:r>
          <w:r w:rsidRPr="00AF2BDF">
            <w:fldChar w:fldCharType="separate"/>
          </w:r>
          <w:hyperlink w:anchor="_Toc233884791" w:history="1">
            <w:r w:rsidR="003F3DB9" w:rsidRPr="00BC4162">
              <w:rPr>
                <w:rStyle w:val="Hyperlink"/>
              </w:rPr>
              <w:t>1.</w:t>
            </w:r>
            <w:r w:rsidR="003F3DB9">
              <w:rPr>
                <w:rFonts w:asciiTheme="minorHAnsi" w:eastAsiaTheme="minorEastAsia" w:hAnsiTheme="minorHAnsi" w:cstheme="minorBidi"/>
                <w:b w:val="0"/>
                <w:bCs w:val="0"/>
              </w:rPr>
              <w:tab/>
            </w:r>
            <w:r w:rsidR="003F3DB9" w:rsidRPr="00BC4162">
              <w:rPr>
                <w:rStyle w:val="Hyperlink"/>
              </w:rPr>
              <w:t>Introduction</w:t>
            </w:r>
            <w:r w:rsidR="003F3DB9">
              <w:rPr>
                <w:webHidden/>
              </w:rPr>
              <w:tab/>
            </w:r>
            <w:r w:rsidR="003F3DB9">
              <w:rPr>
                <w:webHidden/>
              </w:rPr>
              <w:fldChar w:fldCharType="begin"/>
            </w:r>
            <w:r w:rsidR="003F3DB9">
              <w:rPr>
                <w:webHidden/>
              </w:rPr>
              <w:instrText xml:space="preserve"> PAGEREF _Toc233884791 \h </w:instrText>
            </w:r>
            <w:r w:rsidR="003F3DB9">
              <w:rPr>
                <w:webHidden/>
              </w:rPr>
            </w:r>
            <w:r w:rsidR="003F3DB9">
              <w:rPr>
                <w:webHidden/>
              </w:rPr>
              <w:fldChar w:fldCharType="separate"/>
            </w:r>
            <w:r w:rsidR="003F3DB9">
              <w:rPr>
                <w:webHidden/>
              </w:rPr>
              <w:t>1</w:t>
            </w:r>
            <w:r w:rsidR="003F3DB9">
              <w:rPr>
                <w:webHidden/>
              </w:rPr>
              <w:fldChar w:fldCharType="end"/>
            </w:r>
          </w:hyperlink>
        </w:p>
        <w:p w14:paraId="64C35D18" w14:textId="24D244A4" w:rsidR="003F3DB9" w:rsidRDefault="003F3DB9">
          <w:pPr>
            <w:pStyle w:val="TOC1"/>
            <w:rPr>
              <w:rFonts w:asciiTheme="minorHAnsi" w:eastAsiaTheme="minorEastAsia" w:hAnsiTheme="minorHAnsi" w:cstheme="minorBidi"/>
              <w:b w:val="0"/>
              <w:bCs w:val="0"/>
            </w:rPr>
          </w:pPr>
          <w:hyperlink w:anchor="_Toc233884792" w:history="1">
            <w:r w:rsidRPr="00BC4162">
              <w:rPr>
                <w:rStyle w:val="Hyperlink"/>
              </w:rPr>
              <w:t>2.</w:t>
            </w:r>
            <w:r>
              <w:rPr>
                <w:rFonts w:asciiTheme="minorHAnsi" w:eastAsiaTheme="minorEastAsia" w:hAnsiTheme="minorHAnsi" w:cstheme="minorBidi"/>
                <w:b w:val="0"/>
                <w:bCs w:val="0"/>
              </w:rPr>
              <w:tab/>
            </w:r>
            <w:r w:rsidRPr="00BC4162">
              <w:rPr>
                <w:rStyle w:val="Hyperlink"/>
              </w:rPr>
              <w:t>Financial Health Check</w:t>
            </w:r>
            <w:r>
              <w:rPr>
                <w:webHidden/>
              </w:rPr>
              <w:tab/>
            </w:r>
            <w:r>
              <w:rPr>
                <w:webHidden/>
              </w:rPr>
              <w:fldChar w:fldCharType="begin"/>
            </w:r>
            <w:r>
              <w:rPr>
                <w:webHidden/>
              </w:rPr>
              <w:instrText xml:space="preserve"> PAGEREF _Toc233884792 \h </w:instrText>
            </w:r>
            <w:r>
              <w:rPr>
                <w:webHidden/>
              </w:rPr>
            </w:r>
            <w:r>
              <w:rPr>
                <w:webHidden/>
              </w:rPr>
              <w:fldChar w:fldCharType="separate"/>
            </w:r>
            <w:r>
              <w:rPr>
                <w:webHidden/>
              </w:rPr>
              <w:t>1</w:t>
            </w:r>
            <w:r>
              <w:rPr>
                <w:webHidden/>
              </w:rPr>
              <w:fldChar w:fldCharType="end"/>
            </w:r>
          </w:hyperlink>
        </w:p>
        <w:p w14:paraId="35D74347" w14:textId="61B136C8" w:rsidR="003F3DB9" w:rsidRDefault="003F3DB9">
          <w:pPr>
            <w:pStyle w:val="TOC2"/>
            <w:tabs>
              <w:tab w:val="right" w:leader="dot" w:pos="9350"/>
            </w:tabs>
            <w:rPr>
              <w:rFonts w:eastAsiaTheme="minorEastAsia"/>
              <w:noProof/>
            </w:rPr>
          </w:pPr>
          <w:hyperlink w:anchor="_Toc233884793" w:history="1">
            <w:r w:rsidRPr="00BC4162">
              <w:rPr>
                <w:rStyle w:val="Hyperlink"/>
                <w:noProof/>
              </w:rPr>
              <w:t>Company context and business model</w:t>
            </w:r>
            <w:r>
              <w:rPr>
                <w:noProof/>
                <w:webHidden/>
              </w:rPr>
              <w:tab/>
            </w:r>
            <w:r>
              <w:rPr>
                <w:noProof/>
                <w:webHidden/>
              </w:rPr>
              <w:fldChar w:fldCharType="begin"/>
            </w:r>
            <w:r>
              <w:rPr>
                <w:noProof/>
                <w:webHidden/>
              </w:rPr>
              <w:instrText xml:space="preserve"> PAGEREF _Toc233884793 \h </w:instrText>
            </w:r>
            <w:r>
              <w:rPr>
                <w:noProof/>
                <w:webHidden/>
              </w:rPr>
            </w:r>
            <w:r>
              <w:rPr>
                <w:noProof/>
                <w:webHidden/>
              </w:rPr>
              <w:fldChar w:fldCharType="separate"/>
            </w:r>
            <w:r>
              <w:rPr>
                <w:noProof/>
                <w:webHidden/>
              </w:rPr>
              <w:t>1</w:t>
            </w:r>
            <w:r>
              <w:rPr>
                <w:noProof/>
                <w:webHidden/>
              </w:rPr>
              <w:fldChar w:fldCharType="end"/>
            </w:r>
          </w:hyperlink>
        </w:p>
        <w:p w14:paraId="1E3CC14E" w14:textId="2AD5478A" w:rsidR="003F3DB9" w:rsidRDefault="003F3DB9">
          <w:pPr>
            <w:pStyle w:val="TOC2"/>
            <w:tabs>
              <w:tab w:val="right" w:leader="dot" w:pos="9350"/>
            </w:tabs>
            <w:rPr>
              <w:rFonts w:eastAsiaTheme="minorEastAsia"/>
              <w:noProof/>
            </w:rPr>
          </w:pPr>
          <w:hyperlink w:anchor="_Toc233884794" w:history="1">
            <w:r w:rsidRPr="00BC4162">
              <w:rPr>
                <w:rStyle w:val="Hyperlink"/>
                <w:noProof/>
              </w:rPr>
              <w:t>Five-year financial statement trend analysis</w:t>
            </w:r>
            <w:r>
              <w:rPr>
                <w:noProof/>
                <w:webHidden/>
              </w:rPr>
              <w:tab/>
            </w:r>
            <w:r>
              <w:rPr>
                <w:noProof/>
                <w:webHidden/>
              </w:rPr>
              <w:fldChar w:fldCharType="begin"/>
            </w:r>
            <w:r>
              <w:rPr>
                <w:noProof/>
                <w:webHidden/>
              </w:rPr>
              <w:instrText xml:space="preserve"> PAGEREF _Toc233884794 \h </w:instrText>
            </w:r>
            <w:r>
              <w:rPr>
                <w:noProof/>
                <w:webHidden/>
              </w:rPr>
            </w:r>
            <w:r>
              <w:rPr>
                <w:noProof/>
                <w:webHidden/>
              </w:rPr>
              <w:fldChar w:fldCharType="separate"/>
            </w:r>
            <w:r>
              <w:rPr>
                <w:noProof/>
                <w:webHidden/>
              </w:rPr>
              <w:t>2</w:t>
            </w:r>
            <w:r>
              <w:rPr>
                <w:noProof/>
                <w:webHidden/>
              </w:rPr>
              <w:fldChar w:fldCharType="end"/>
            </w:r>
          </w:hyperlink>
        </w:p>
        <w:p w14:paraId="1BD07DE4" w14:textId="7D89ABCF" w:rsidR="003F3DB9" w:rsidRDefault="003F3DB9">
          <w:pPr>
            <w:pStyle w:val="TOC2"/>
            <w:tabs>
              <w:tab w:val="right" w:leader="dot" w:pos="9350"/>
            </w:tabs>
            <w:rPr>
              <w:rFonts w:eastAsiaTheme="minorEastAsia"/>
              <w:noProof/>
            </w:rPr>
          </w:pPr>
          <w:hyperlink w:anchor="_Toc233884795" w:history="1">
            <w:r w:rsidRPr="00BC4162">
              <w:rPr>
                <w:rStyle w:val="Hyperlink"/>
                <w:noProof/>
              </w:rPr>
              <w:t>Profitability ratio analysis</w:t>
            </w:r>
            <w:r>
              <w:rPr>
                <w:noProof/>
                <w:webHidden/>
              </w:rPr>
              <w:tab/>
            </w:r>
            <w:r>
              <w:rPr>
                <w:noProof/>
                <w:webHidden/>
              </w:rPr>
              <w:fldChar w:fldCharType="begin"/>
            </w:r>
            <w:r>
              <w:rPr>
                <w:noProof/>
                <w:webHidden/>
              </w:rPr>
              <w:instrText xml:space="preserve"> PAGEREF _Toc233884795 \h </w:instrText>
            </w:r>
            <w:r>
              <w:rPr>
                <w:noProof/>
                <w:webHidden/>
              </w:rPr>
            </w:r>
            <w:r>
              <w:rPr>
                <w:noProof/>
                <w:webHidden/>
              </w:rPr>
              <w:fldChar w:fldCharType="separate"/>
            </w:r>
            <w:r>
              <w:rPr>
                <w:noProof/>
                <w:webHidden/>
              </w:rPr>
              <w:t>3</w:t>
            </w:r>
            <w:r>
              <w:rPr>
                <w:noProof/>
                <w:webHidden/>
              </w:rPr>
              <w:fldChar w:fldCharType="end"/>
            </w:r>
          </w:hyperlink>
        </w:p>
        <w:p w14:paraId="287A6248" w14:textId="4DF1A0C9" w:rsidR="003F3DB9" w:rsidRDefault="003F3DB9">
          <w:pPr>
            <w:pStyle w:val="TOC2"/>
            <w:tabs>
              <w:tab w:val="right" w:leader="dot" w:pos="9350"/>
            </w:tabs>
            <w:rPr>
              <w:rFonts w:eastAsiaTheme="minorEastAsia"/>
              <w:noProof/>
            </w:rPr>
          </w:pPr>
          <w:hyperlink w:anchor="_Toc233884796" w:history="1">
            <w:r w:rsidRPr="00BC4162">
              <w:rPr>
                <w:rStyle w:val="Hyperlink"/>
                <w:noProof/>
              </w:rPr>
              <w:t>Liquidity ratio analysis and industry benchmark comparison</w:t>
            </w:r>
            <w:r>
              <w:rPr>
                <w:noProof/>
                <w:webHidden/>
              </w:rPr>
              <w:tab/>
            </w:r>
            <w:r>
              <w:rPr>
                <w:noProof/>
                <w:webHidden/>
              </w:rPr>
              <w:fldChar w:fldCharType="begin"/>
            </w:r>
            <w:r>
              <w:rPr>
                <w:noProof/>
                <w:webHidden/>
              </w:rPr>
              <w:instrText xml:space="preserve"> PAGEREF _Toc233884796 \h </w:instrText>
            </w:r>
            <w:r>
              <w:rPr>
                <w:noProof/>
                <w:webHidden/>
              </w:rPr>
            </w:r>
            <w:r>
              <w:rPr>
                <w:noProof/>
                <w:webHidden/>
              </w:rPr>
              <w:fldChar w:fldCharType="separate"/>
            </w:r>
            <w:r>
              <w:rPr>
                <w:noProof/>
                <w:webHidden/>
              </w:rPr>
              <w:t>3</w:t>
            </w:r>
            <w:r>
              <w:rPr>
                <w:noProof/>
                <w:webHidden/>
              </w:rPr>
              <w:fldChar w:fldCharType="end"/>
            </w:r>
          </w:hyperlink>
        </w:p>
        <w:p w14:paraId="7A191E72" w14:textId="51259972" w:rsidR="003F3DB9" w:rsidRDefault="003F3DB9">
          <w:pPr>
            <w:pStyle w:val="TOC2"/>
            <w:tabs>
              <w:tab w:val="right" w:leader="dot" w:pos="9350"/>
            </w:tabs>
            <w:rPr>
              <w:rFonts w:eastAsiaTheme="minorEastAsia"/>
              <w:noProof/>
            </w:rPr>
          </w:pPr>
          <w:hyperlink w:anchor="_Toc233884797" w:history="1">
            <w:r w:rsidRPr="00BC4162">
              <w:rPr>
                <w:rStyle w:val="Hyperlink"/>
                <w:noProof/>
              </w:rPr>
              <w:t>Efficiency ratio analysis</w:t>
            </w:r>
            <w:r>
              <w:rPr>
                <w:noProof/>
                <w:webHidden/>
              </w:rPr>
              <w:tab/>
            </w:r>
            <w:r>
              <w:rPr>
                <w:noProof/>
                <w:webHidden/>
              </w:rPr>
              <w:fldChar w:fldCharType="begin"/>
            </w:r>
            <w:r>
              <w:rPr>
                <w:noProof/>
                <w:webHidden/>
              </w:rPr>
              <w:instrText xml:space="preserve"> PAGEREF _Toc233884797 \h </w:instrText>
            </w:r>
            <w:r>
              <w:rPr>
                <w:noProof/>
                <w:webHidden/>
              </w:rPr>
            </w:r>
            <w:r>
              <w:rPr>
                <w:noProof/>
                <w:webHidden/>
              </w:rPr>
              <w:fldChar w:fldCharType="separate"/>
            </w:r>
            <w:r>
              <w:rPr>
                <w:noProof/>
                <w:webHidden/>
              </w:rPr>
              <w:t>4</w:t>
            </w:r>
            <w:r>
              <w:rPr>
                <w:noProof/>
                <w:webHidden/>
              </w:rPr>
              <w:fldChar w:fldCharType="end"/>
            </w:r>
          </w:hyperlink>
        </w:p>
        <w:p w14:paraId="30B207C2" w14:textId="072F54AD" w:rsidR="003F3DB9" w:rsidRDefault="003F3DB9">
          <w:pPr>
            <w:pStyle w:val="TOC2"/>
            <w:tabs>
              <w:tab w:val="right" w:leader="dot" w:pos="9350"/>
            </w:tabs>
            <w:rPr>
              <w:rFonts w:eastAsiaTheme="minorEastAsia"/>
              <w:noProof/>
            </w:rPr>
          </w:pPr>
          <w:hyperlink w:anchor="_Toc233884798" w:history="1">
            <w:r w:rsidRPr="00BC4162">
              <w:rPr>
                <w:rStyle w:val="Hyperlink"/>
                <w:noProof/>
              </w:rPr>
              <w:t>Gearing and solvency ratio analysis</w:t>
            </w:r>
            <w:r>
              <w:rPr>
                <w:noProof/>
                <w:webHidden/>
              </w:rPr>
              <w:tab/>
            </w:r>
            <w:r>
              <w:rPr>
                <w:noProof/>
                <w:webHidden/>
              </w:rPr>
              <w:fldChar w:fldCharType="begin"/>
            </w:r>
            <w:r>
              <w:rPr>
                <w:noProof/>
                <w:webHidden/>
              </w:rPr>
              <w:instrText xml:space="preserve"> PAGEREF _Toc233884798 \h </w:instrText>
            </w:r>
            <w:r>
              <w:rPr>
                <w:noProof/>
                <w:webHidden/>
              </w:rPr>
            </w:r>
            <w:r>
              <w:rPr>
                <w:noProof/>
                <w:webHidden/>
              </w:rPr>
              <w:fldChar w:fldCharType="separate"/>
            </w:r>
            <w:r>
              <w:rPr>
                <w:noProof/>
                <w:webHidden/>
              </w:rPr>
              <w:t>5</w:t>
            </w:r>
            <w:r>
              <w:rPr>
                <w:noProof/>
                <w:webHidden/>
              </w:rPr>
              <w:fldChar w:fldCharType="end"/>
            </w:r>
          </w:hyperlink>
        </w:p>
        <w:p w14:paraId="38E05932" w14:textId="7430FFC8" w:rsidR="003F3DB9" w:rsidRDefault="003F3DB9">
          <w:pPr>
            <w:pStyle w:val="TOC2"/>
            <w:tabs>
              <w:tab w:val="right" w:leader="dot" w:pos="9350"/>
            </w:tabs>
            <w:rPr>
              <w:rFonts w:eastAsiaTheme="minorEastAsia"/>
              <w:noProof/>
            </w:rPr>
          </w:pPr>
          <w:hyperlink w:anchor="_Toc233884799" w:history="1">
            <w:r w:rsidRPr="00BC4162">
              <w:rPr>
                <w:rStyle w:val="Hyperlink"/>
                <w:noProof/>
              </w:rPr>
              <w:t>Investment and shareholder ratio analysis</w:t>
            </w:r>
            <w:r>
              <w:rPr>
                <w:noProof/>
                <w:webHidden/>
              </w:rPr>
              <w:tab/>
            </w:r>
            <w:r>
              <w:rPr>
                <w:noProof/>
                <w:webHidden/>
              </w:rPr>
              <w:fldChar w:fldCharType="begin"/>
            </w:r>
            <w:r>
              <w:rPr>
                <w:noProof/>
                <w:webHidden/>
              </w:rPr>
              <w:instrText xml:space="preserve"> PAGEREF _Toc233884799 \h </w:instrText>
            </w:r>
            <w:r>
              <w:rPr>
                <w:noProof/>
                <w:webHidden/>
              </w:rPr>
            </w:r>
            <w:r>
              <w:rPr>
                <w:noProof/>
                <w:webHidden/>
              </w:rPr>
              <w:fldChar w:fldCharType="separate"/>
            </w:r>
            <w:r>
              <w:rPr>
                <w:noProof/>
                <w:webHidden/>
              </w:rPr>
              <w:t>5</w:t>
            </w:r>
            <w:r>
              <w:rPr>
                <w:noProof/>
                <w:webHidden/>
              </w:rPr>
              <w:fldChar w:fldCharType="end"/>
            </w:r>
          </w:hyperlink>
        </w:p>
        <w:p w14:paraId="11CAA417" w14:textId="7E13A99B" w:rsidR="003F3DB9" w:rsidRDefault="003F3DB9">
          <w:pPr>
            <w:pStyle w:val="TOC2"/>
            <w:tabs>
              <w:tab w:val="right" w:leader="dot" w:pos="9350"/>
            </w:tabs>
            <w:rPr>
              <w:rFonts w:eastAsiaTheme="minorEastAsia"/>
              <w:noProof/>
            </w:rPr>
          </w:pPr>
          <w:hyperlink w:anchor="_Toc233884800" w:history="1">
            <w:r w:rsidRPr="00BC4162">
              <w:rPr>
                <w:rStyle w:val="Hyperlink"/>
                <w:noProof/>
              </w:rPr>
              <w:t>Cash flow analysis, strengths and threats</w:t>
            </w:r>
            <w:r>
              <w:rPr>
                <w:noProof/>
                <w:webHidden/>
              </w:rPr>
              <w:tab/>
            </w:r>
            <w:r>
              <w:rPr>
                <w:noProof/>
                <w:webHidden/>
              </w:rPr>
              <w:fldChar w:fldCharType="begin"/>
            </w:r>
            <w:r>
              <w:rPr>
                <w:noProof/>
                <w:webHidden/>
              </w:rPr>
              <w:instrText xml:space="preserve"> PAGEREF _Toc233884800 \h </w:instrText>
            </w:r>
            <w:r>
              <w:rPr>
                <w:noProof/>
                <w:webHidden/>
              </w:rPr>
            </w:r>
            <w:r>
              <w:rPr>
                <w:noProof/>
                <w:webHidden/>
              </w:rPr>
              <w:fldChar w:fldCharType="separate"/>
            </w:r>
            <w:r>
              <w:rPr>
                <w:noProof/>
                <w:webHidden/>
              </w:rPr>
              <w:t>6</w:t>
            </w:r>
            <w:r>
              <w:rPr>
                <w:noProof/>
                <w:webHidden/>
              </w:rPr>
              <w:fldChar w:fldCharType="end"/>
            </w:r>
          </w:hyperlink>
        </w:p>
        <w:p w14:paraId="2605C06D" w14:textId="6E626A32" w:rsidR="003F3DB9" w:rsidRDefault="003F3DB9">
          <w:pPr>
            <w:pStyle w:val="TOC1"/>
            <w:rPr>
              <w:rFonts w:asciiTheme="minorHAnsi" w:eastAsiaTheme="minorEastAsia" w:hAnsiTheme="minorHAnsi" w:cstheme="minorBidi"/>
              <w:b w:val="0"/>
              <w:bCs w:val="0"/>
            </w:rPr>
          </w:pPr>
          <w:hyperlink w:anchor="_Toc233884801" w:history="1">
            <w:r w:rsidRPr="00BC4162">
              <w:rPr>
                <w:rStyle w:val="Hyperlink"/>
              </w:rPr>
              <w:t>3.</w:t>
            </w:r>
            <w:r>
              <w:rPr>
                <w:rFonts w:asciiTheme="minorHAnsi" w:eastAsiaTheme="minorEastAsia" w:hAnsiTheme="minorHAnsi" w:cstheme="minorBidi"/>
                <w:b w:val="0"/>
                <w:bCs w:val="0"/>
              </w:rPr>
              <w:tab/>
            </w:r>
            <w:r w:rsidRPr="00BC4162">
              <w:rPr>
                <w:rStyle w:val="Hyperlink"/>
              </w:rPr>
              <w:t>Working Capital Management Analysis</w:t>
            </w:r>
            <w:r>
              <w:rPr>
                <w:webHidden/>
              </w:rPr>
              <w:tab/>
            </w:r>
            <w:r>
              <w:rPr>
                <w:webHidden/>
              </w:rPr>
              <w:fldChar w:fldCharType="begin"/>
            </w:r>
            <w:r>
              <w:rPr>
                <w:webHidden/>
              </w:rPr>
              <w:instrText xml:space="preserve"> PAGEREF _Toc233884801 \h </w:instrText>
            </w:r>
            <w:r>
              <w:rPr>
                <w:webHidden/>
              </w:rPr>
            </w:r>
            <w:r>
              <w:rPr>
                <w:webHidden/>
              </w:rPr>
              <w:fldChar w:fldCharType="separate"/>
            </w:r>
            <w:r>
              <w:rPr>
                <w:webHidden/>
              </w:rPr>
              <w:t>7</w:t>
            </w:r>
            <w:r>
              <w:rPr>
                <w:webHidden/>
              </w:rPr>
              <w:fldChar w:fldCharType="end"/>
            </w:r>
          </w:hyperlink>
        </w:p>
        <w:p w14:paraId="45B3E6AC" w14:textId="648E9611" w:rsidR="003F3DB9" w:rsidRDefault="003F3DB9">
          <w:pPr>
            <w:pStyle w:val="TOC2"/>
            <w:tabs>
              <w:tab w:val="right" w:leader="dot" w:pos="9350"/>
            </w:tabs>
            <w:rPr>
              <w:rFonts w:eastAsiaTheme="minorEastAsia"/>
              <w:noProof/>
            </w:rPr>
          </w:pPr>
          <w:hyperlink w:anchor="_Toc233884802" w:history="1">
            <w:r w:rsidRPr="00BC4162">
              <w:rPr>
                <w:rStyle w:val="Hyperlink"/>
                <w:noProof/>
              </w:rPr>
              <w:t>Cash operating cycle assessment</w:t>
            </w:r>
            <w:r>
              <w:rPr>
                <w:noProof/>
                <w:webHidden/>
              </w:rPr>
              <w:tab/>
            </w:r>
            <w:r>
              <w:rPr>
                <w:noProof/>
                <w:webHidden/>
              </w:rPr>
              <w:fldChar w:fldCharType="begin"/>
            </w:r>
            <w:r>
              <w:rPr>
                <w:noProof/>
                <w:webHidden/>
              </w:rPr>
              <w:instrText xml:space="preserve"> PAGEREF _Toc233884802 \h </w:instrText>
            </w:r>
            <w:r>
              <w:rPr>
                <w:noProof/>
                <w:webHidden/>
              </w:rPr>
            </w:r>
            <w:r>
              <w:rPr>
                <w:noProof/>
                <w:webHidden/>
              </w:rPr>
              <w:fldChar w:fldCharType="separate"/>
            </w:r>
            <w:r>
              <w:rPr>
                <w:noProof/>
                <w:webHidden/>
              </w:rPr>
              <w:t>7</w:t>
            </w:r>
            <w:r>
              <w:rPr>
                <w:noProof/>
                <w:webHidden/>
              </w:rPr>
              <w:fldChar w:fldCharType="end"/>
            </w:r>
          </w:hyperlink>
        </w:p>
        <w:p w14:paraId="21A51C7E" w14:textId="5BD45B1D" w:rsidR="003F3DB9" w:rsidRDefault="003F3DB9">
          <w:pPr>
            <w:pStyle w:val="TOC2"/>
            <w:tabs>
              <w:tab w:val="right" w:leader="dot" w:pos="9350"/>
            </w:tabs>
            <w:rPr>
              <w:rFonts w:eastAsiaTheme="minorEastAsia"/>
              <w:noProof/>
            </w:rPr>
          </w:pPr>
          <w:hyperlink w:anchor="_Toc233884803" w:history="1">
            <w:r w:rsidRPr="00BC4162">
              <w:rPr>
                <w:rStyle w:val="Hyperlink"/>
                <w:noProof/>
              </w:rPr>
              <w:t>Working capital reforms to improve liquidity</w:t>
            </w:r>
            <w:r>
              <w:rPr>
                <w:noProof/>
                <w:webHidden/>
              </w:rPr>
              <w:tab/>
            </w:r>
            <w:r>
              <w:rPr>
                <w:noProof/>
                <w:webHidden/>
              </w:rPr>
              <w:fldChar w:fldCharType="begin"/>
            </w:r>
            <w:r>
              <w:rPr>
                <w:noProof/>
                <w:webHidden/>
              </w:rPr>
              <w:instrText xml:space="preserve"> PAGEREF _Toc233884803 \h </w:instrText>
            </w:r>
            <w:r>
              <w:rPr>
                <w:noProof/>
                <w:webHidden/>
              </w:rPr>
            </w:r>
            <w:r>
              <w:rPr>
                <w:noProof/>
                <w:webHidden/>
              </w:rPr>
              <w:fldChar w:fldCharType="separate"/>
            </w:r>
            <w:r>
              <w:rPr>
                <w:noProof/>
                <w:webHidden/>
              </w:rPr>
              <w:t>8</w:t>
            </w:r>
            <w:r>
              <w:rPr>
                <w:noProof/>
                <w:webHidden/>
              </w:rPr>
              <w:fldChar w:fldCharType="end"/>
            </w:r>
          </w:hyperlink>
        </w:p>
        <w:p w14:paraId="5642D69A" w14:textId="477985F7" w:rsidR="003F3DB9" w:rsidRDefault="003F3DB9">
          <w:pPr>
            <w:pStyle w:val="TOC2"/>
            <w:tabs>
              <w:tab w:val="right" w:leader="dot" w:pos="9350"/>
            </w:tabs>
            <w:rPr>
              <w:rFonts w:eastAsiaTheme="minorEastAsia"/>
              <w:noProof/>
            </w:rPr>
          </w:pPr>
          <w:hyperlink w:anchor="_Toc233884804" w:history="1">
            <w:r w:rsidRPr="00BC4162">
              <w:rPr>
                <w:rStyle w:val="Hyperlink"/>
                <w:noProof/>
              </w:rPr>
              <w:t>Short-term versus long-term financing options</w:t>
            </w:r>
            <w:r>
              <w:rPr>
                <w:noProof/>
                <w:webHidden/>
              </w:rPr>
              <w:tab/>
            </w:r>
            <w:r>
              <w:rPr>
                <w:noProof/>
                <w:webHidden/>
              </w:rPr>
              <w:fldChar w:fldCharType="begin"/>
            </w:r>
            <w:r>
              <w:rPr>
                <w:noProof/>
                <w:webHidden/>
              </w:rPr>
              <w:instrText xml:space="preserve"> PAGEREF _Toc233884804 \h </w:instrText>
            </w:r>
            <w:r>
              <w:rPr>
                <w:noProof/>
                <w:webHidden/>
              </w:rPr>
            </w:r>
            <w:r>
              <w:rPr>
                <w:noProof/>
                <w:webHidden/>
              </w:rPr>
              <w:fldChar w:fldCharType="separate"/>
            </w:r>
            <w:r>
              <w:rPr>
                <w:noProof/>
                <w:webHidden/>
              </w:rPr>
              <w:t>9</w:t>
            </w:r>
            <w:r>
              <w:rPr>
                <w:noProof/>
                <w:webHidden/>
              </w:rPr>
              <w:fldChar w:fldCharType="end"/>
            </w:r>
          </w:hyperlink>
        </w:p>
        <w:p w14:paraId="5D2FC110" w14:textId="7271F6AD" w:rsidR="003F3DB9" w:rsidRDefault="003F3DB9">
          <w:pPr>
            <w:pStyle w:val="TOC1"/>
            <w:rPr>
              <w:rFonts w:asciiTheme="minorHAnsi" w:eastAsiaTheme="minorEastAsia" w:hAnsiTheme="minorHAnsi" w:cstheme="minorBidi"/>
              <w:b w:val="0"/>
              <w:bCs w:val="0"/>
            </w:rPr>
          </w:pPr>
          <w:hyperlink w:anchor="_Toc233884805" w:history="1">
            <w:r w:rsidRPr="00BC4162">
              <w:rPr>
                <w:rStyle w:val="Hyperlink"/>
              </w:rPr>
              <w:t>4.</w:t>
            </w:r>
            <w:r>
              <w:rPr>
                <w:rFonts w:asciiTheme="minorHAnsi" w:eastAsiaTheme="minorEastAsia" w:hAnsiTheme="minorHAnsi" w:cstheme="minorBidi"/>
                <w:b w:val="0"/>
                <w:bCs w:val="0"/>
              </w:rPr>
              <w:tab/>
            </w:r>
            <w:r w:rsidRPr="00BC4162">
              <w:rPr>
                <w:rStyle w:val="Hyperlink"/>
              </w:rPr>
              <w:t>Strategic Financial Restructuring Plan</w:t>
            </w:r>
            <w:r>
              <w:rPr>
                <w:webHidden/>
              </w:rPr>
              <w:tab/>
            </w:r>
            <w:r>
              <w:rPr>
                <w:webHidden/>
              </w:rPr>
              <w:fldChar w:fldCharType="begin"/>
            </w:r>
            <w:r>
              <w:rPr>
                <w:webHidden/>
              </w:rPr>
              <w:instrText xml:space="preserve"> PAGEREF _Toc233884805 \h </w:instrText>
            </w:r>
            <w:r>
              <w:rPr>
                <w:webHidden/>
              </w:rPr>
            </w:r>
            <w:r>
              <w:rPr>
                <w:webHidden/>
              </w:rPr>
              <w:fldChar w:fldCharType="separate"/>
            </w:r>
            <w:r>
              <w:rPr>
                <w:webHidden/>
              </w:rPr>
              <w:t>9</w:t>
            </w:r>
            <w:r>
              <w:rPr>
                <w:webHidden/>
              </w:rPr>
              <w:fldChar w:fldCharType="end"/>
            </w:r>
          </w:hyperlink>
        </w:p>
        <w:p w14:paraId="0C0E6AF7" w14:textId="451D5EA1" w:rsidR="003F3DB9" w:rsidRDefault="003F3DB9">
          <w:pPr>
            <w:pStyle w:val="TOC2"/>
            <w:tabs>
              <w:tab w:val="right" w:leader="dot" w:pos="9350"/>
            </w:tabs>
            <w:rPr>
              <w:rFonts w:eastAsiaTheme="minorEastAsia"/>
              <w:noProof/>
            </w:rPr>
          </w:pPr>
          <w:hyperlink w:anchor="_Toc233884806" w:history="1">
            <w:r w:rsidRPr="00BC4162">
              <w:rPr>
                <w:rStyle w:val="Hyperlink"/>
                <w:noProof/>
              </w:rPr>
              <w:t>Core financial problems requiring CFO attention</w:t>
            </w:r>
            <w:r>
              <w:rPr>
                <w:noProof/>
                <w:webHidden/>
              </w:rPr>
              <w:tab/>
            </w:r>
            <w:r>
              <w:rPr>
                <w:noProof/>
                <w:webHidden/>
              </w:rPr>
              <w:fldChar w:fldCharType="begin"/>
            </w:r>
            <w:r>
              <w:rPr>
                <w:noProof/>
                <w:webHidden/>
              </w:rPr>
              <w:instrText xml:space="preserve"> PAGEREF _Toc233884806 \h </w:instrText>
            </w:r>
            <w:r>
              <w:rPr>
                <w:noProof/>
                <w:webHidden/>
              </w:rPr>
            </w:r>
            <w:r>
              <w:rPr>
                <w:noProof/>
                <w:webHidden/>
              </w:rPr>
              <w:fldChar w:fldCharType="separate"/>
            </w:r>
            <w:r>
              <w:rPr>
                <w:noProof/>
                <w:webHidden/>
              </w:rPr>
              <w:t>9</w:t>
            </w:r>
            <w:r>
              <w:rPr>
                <w:noProof/>
                <w:webHidden/>
              </w:rPr>
              <w:fldChar w:fldCharType="end"/>
            </w:r>
          </w:hyperlink>
        </w:p>
        <w:p w14:paraId="202A4BA4" w14:textId="07897A2B" w:rsidR="003F3DB9" w:rsidRDefault="003F3DB9">
          <w:pPr>
            <w:pStyle w:val="TOC2"/>
            <w:tabs>
              <w:tab w:val="right" w:leader="dot" w:pos="9350"/>
            </w:tabs>
            <w:rPr>
              <w:rFonts w:eastAsiaTheme="minorEastAsia"/>
              <w:noProof/>
            </w:rPr>
          </w:pPr>
          <w:hyperlink w:anchor="_Toc233884807" w:history="1">
            <w:r w:rsidRPr="00BC4162">
              <w:rPr>
                <w:rStyle w:val="Hyperlink"/>
                <w:noProof/>
              </w:rPr>
              <w:t>Recommended restructuring options</w:t>
            </w:r>
            <w:r>
              <w:rPr>
                <w:noProof/>
                <w:webHidden/>
              </w:rPr>
              <w:tab/>
            </w:r>
            <w:r>
              <w:rPr>
                <w:noProof/>
                <w:webHidden/>
              </w:rPr>
              <w:fldChar w:fldCharType="begin"/>
            </w:r>
            <w:r>
              <w:rPr>
                <w:noProof/>
                <w:webHidden/>
              </w:rPr>
              <w:instrText xml:space="preserve"> PAGEREF _Toc233884807 \h </w:instrText>
            </w:r>
            <w:r>
              <w:rPr>
                <w:noProof/>
                <w:webHidden/>
              </w:rPr>
            </w:r>
            <w:r>
              <w:rPr>
                <w:noProof/>
                <w:webHidden/>
              </w:rPr>
              <w:fldChar w:fldCharType="separate"/>
            </w:r>
            <w:r>
              <w:rPr>
                <w:noProof/>
                <w:webHidden/>
              </w:rPr>
              <w:t>10</w:t>
            </w:r>
            <w:r>
              <w:rPr>
                <w:noProof/>
                <w:webHidden/>
              </w:rPr>
              <w:fldChar w:fldCharType="end"/>
            </w:r>
          </w:hyperlink>
        </w:p>
        <w:p w14:paraId="11A4981D" w14:textId="380FF10F" w:rsidR="003F3DB9" w:rsidRDefault="003F3DB9">
          <w:pPr>
            <w:pStyle w:val="TOC2"/>
            <w:tabs>
              <w:tab w:val="right" w:leader="dot" w:pos="9350"/>
            </w:tabs>
            <w:rPr>
              <w:rFonts w:eastAsiaTheme="minorEastAsia"/>
              <w:noProof/>
            </w:rPr>
          </w:pPr>
          <w:hyperlink w:anchor="_Toc233884808" w:history="1">
            <w:r w:rsidRPr="00BC4162">
              <w:rPr>
                <w:rStyle w:val="Hyperlink"/>
                <w:noProof/>
              </w:rPr>
              <w:t>Impact on shareholder value, debt structure and operational flexibility</w:t>
            </w:r>
            <w:r>
              <w:rPr>
                <w:noProof/>
                <w:webHidden/>
              </w:rPr>
              <w:tab/>
            </w:r>
            <w:r>
              <w:rPr>
                <w:noProof/>
                <w:webHidden/>
              </w:rPr>
              <w:fldChar w:fldCharType="begin"/>
            </w:r>
            <w:r>
              <w:rPr>
                <w:noProof/>
                <w:webHidden/>
              </w:rPr>
              <w:instrText xml:space="preserve"> PAGEREF _Toc233884808 \h </w:instrText>
            </w:r>
            <w:r>
              <w:rPr>
                <w:noProof/>
                <w:webHidden/>
              </w:rPr>
            </w:r>
            <w:r>
              <w:rPr>
                <w:noProof/>
                <w:webHidden/>
              </w:rPr>
              <w:fldChar w:fldCharType="separate"/>
            </w:r>
            <w:r>
              <w:rPr>
                <w:noProof/>
                <w:webHidden/>
              </w:rPr>
              <w:t>11</w:t>
            </w:r>
            <w:r>
              <w:rPr>
                <w:noProof/>
                <w:webHidden/>
              </w:rPr>
              <w:fldChar w:fldCharType="end"/>
            </w:r>
          </w:hyperlink>
        </w:p>
        <w:p w14:paraId="726C5996" w14:textId="423D3EC6" w:rsidR="003F3DB9" w:rsidRDefault="003F3DB9">
          <w:pPr>
            <w:pStyle w:val="TOC2"/>
            <w:tabs>
              <w:tab w:val="right" w:leader="dot" w:pos="9350"/>
            </w:tabs>
            <w:rPr>
              <w:rFonts w:eastAsiaTheme="minorEastAsia"/>
              <w:noProof/>
            </w:rPr>
          </w:pPr>
          <w:hyperlink w:anchor="_Toc233884809" w:history="1">
            <w:r w:rsidRPr="00BC4162">
              <w:rPr>
                <w:rStyle w:val="Hyperlink"/>
                <w:noProof/>
              </w:rPr>
              <w:t>International and ethical considerations</w:t>
            </w:r>
            <w:r>
              <w:rPr>
                <w:noProof/>
                <w:webHidden/>
              </w:rPr>
              <w:tab/>
            </w:r>
            <w:r>
              <w:rPr>
                <w:noProof/>
                <w:webHidden/>
              </w:rPr>
              <w:fldChar w:fldCharType="begin"/>
            </w:r>
            <w:r>
              <w:rPr>
                <w:noProof/>
                <w:webHidden/>
              </w:rPr>
              <w:instrText xml:space="preserve"> PAGEREF _Toc233884809 \h </w:instrText>
            </w:r>
            <w:r>
              <w:rPr>
                <w:noProof/>
                <w:webHidden/>
              </w:rPr>
            </w:r>
            <w:r>
              <w:rPr>
                <w:noProof/>
                <w:webHidden/>
              </w:rPr>
              <w:fldChar w:fldCharType="separate"/>
            </w:r>
            <w:r>
              <w:rPr>
                <w:noProof/>
                <w:webHidden/>
              </w:rPr>
              <w:t>11</w:t>
            </w:r>
            <w:r>
              <w:rPr>
                <w:noProof/>
                <w:webHidden/>
              </w:rPr>
              <w:fldChar w:fldCharType="end"/>
            </w:r>
          </w:hyperlink>
        </w:p>
        <w:p w14:paraId="41B5D384" w14:textId="467DDBFC" w:rsidR="003F3DB9" w:rsidRDefault="003F3DB9">
          <w:pPr>
            <w:pStyle w:val="TOC1"/>
            <w:rPr>
              <w:rFonts w:asciiTheme="minorHAnsi" w:eastAsiaTheme="minorEastAsia" w:hAnsiTheme="minorHAnsi" w:cstheme="minorBidi"/>
              <w:b w:val="0"/>
              <w:bCs w:val="0"/>
            </w:rPr>
          </w:pPr>
          <w:hyperlink w:anchor="_Toc233884810" w:history="1">
            <w:r w:rsidRPr="00BC4162">
              <w:rPr>
                <w:rStyle w:val="Hyperlink"/>
              </w:rPr>
              <w:t>5.</w:t>
            </w:r>
            <w:r>
              <w:rPr>
                <w:rFonts w:asciiTheme="minorHAnsi" w:eastAsiaTheme="minorEastAsia" w:hAnsiTheme="minorHAnsi" w:cstheme="minorBidi"/>
                <w:b w:val="0"/>
                <w:bCs w:val="0"/>
              </w:rPr>
              <w:tab/>
            </w:r>
            <w:r w:rsidRPr="00BC4162">
              <w:rPr>
                <w:rStyle w:val="Hyperlink"/>
              </w:rPr>
              <w:t>Investment Appraisal and Capital Budgeting</w:t>
            </w:r>
            <w:r>
              <w:rPr>
                <w:webHidden/>
              </w:rPr>
              <w:tab/>
            </w:r>
            <w:r>
              <w:rPr>
                <w:webHidden/>
              </w:rPr>
              <w:fldChar w:fldCharType="begin"/>
            </w:r>
            <w:r>
              <w:rPr>
                <w:webHidden/>
              </w:rPr>
              <w:instrText xml:space="preserve"> PAGEREF _Toc233884810 \h </w:instrText>
            </w:r>
            <w:r>
              <w:rPr>
                <w:webHidden/>
              </w:rPr>
            </w:r>
            <w:r>
              <w:rPr>
                <w:webHidden/>
              </w:rPr>
              <w:fldChar w:fldCharType="separate"/>
            </w:r>
            <w:r>
              <w:rPr>
                <w:webHidden/>
              </w:rPr>
              <w:t>11</w:t>
            </w:r>
            <w:r>
              <w:rPr>
                <w:webHidden/>
              </w:rPr>
              <w:fldChar w:fldCharType="end"/>
            </w:r>
          </w:hyperlink>
        </w:p>
        <w:p w14:paraId="77804AE3" w14:textId="2957F79C" w:rsidR="003F3DB9" w:rsidRDefault="003F3DB9">
          <w:pPr>
            <w:pStyle w:val="TOC2"/>
            <w:tabs>
              <w:tab w:val="right" w:leader="dot" w:pos="9350"/>
            </w:tabs>
            <w:rPr>
              <w:rFonts w:eastAsiaTheme="minorEastAsia"/>
              <w:noProof/>
            </w:rPr>
          </w:pPr>
          <w:hyperlink w:anchor="_Toc233884811" w:history="1">
            <w:r w:rsidRPr="00BC4162">
              <w:rPr>
                <w:rStyle w:val="Hyperlink"/>
                <w:noProof/>
              </w:rPr>
              <w:t>Appraisal assumptions and decision criteria</w:t>
            </w:r>
            <w:r>
              <w:rPr>
                <w:noProof/>
                <w:webHidden/>
              </w:rPr>
              <w:tab/>
            </w:r>
            <w:r>
              <w:rPr>
                <w:noProof/>
                <w:webHidden/>
              </w:rPr>
              <w:fldChar w:fldCharType="begin"/>
            </w:r>
            <w:r>
              <w:rPr>
                <w:noProof/>
                <w:webHidden/>
              </w:rPr>
              <w:instrText xml:space="preserve"> PAGEREF _Toc233884811 \h </w:instrText>
            </w:r>
            <w:r>
              <w:rPr>
                <w:noProof/>
                <w:webHidden/>
              </w:rPr>
            </w:r>
            <w:r>
              <w:rPr>
                <w:noProof/>
                <w:webHidden/>
              </w:rPr>
              <w:fldChar w:fldCharType="separate"/>
            </w:r>
            <w:r>
              <w:rPr>
                <w:noProof/>
                <w:webHidden/>
              </w:rPr>
              <w:t>11</w:t>
            </w:r>
            <w:r>
              <w:rPr>
                <w:noProof/>
                <w:webHidden/>
              </w:rPr>
              <w:fldChar w:fldCharType="end"/>
            </w:r>
          </w:hyperlink>
        </w:p>
        <w:p w14:paraId="0FC5E1CD" w14:textId="084E9465" w:rsidR="003F3DB9" w:rsidRDefault="003F3DB9">
          <w:pPr>
            <w:pStyle w:val="TOC2"/>
            <w:tabs>
              <w:tab w:val="right" w:leader="dot" w:pos="9350"/>
            </w:tabs>
            <w:rPr>
              <w:rFonts w:eastAsiaTheme="minorEastAsia"/>
              <w:noProof/>
            </w:rPr>
          </w:pPr>
          <w:hyperlink w:anchor="_Toc233884812" w:history="1">
            <w:r w:rsidRPr="00BC4162">
              <w:rPr>
                <w:rStyle w:val="Hyperlink"/>
                <w:noProof/>
              </w:rPr>
              <w:t>Project A appraisal</w:t>
            </w:r>
            <w:r>
              <w:rPr>
                <w:noProof/>
                <w:webHidden/>
              </w:rPr>
              <w:tab/>
            </w:r>
            <w:r>
              <w:rPr>
                <w:noProof/>
                <w:webHidden/>
              </w:rPr>
              <w:fldChar w:fldCharType="begin"/>
            </w:r>
            <w:r>
              <w:rPr>
                <w:noProof/>
                <w:webHidden/>
              </w:rPr>
              <w:instrText xml:space="preserve"> PAGEREF _Toc233884812 \h </w:instrText>
            </w:r>
            <w:r>
              <w:rPr>
                <w:noProof/>
                <w:webHidden/>
              </w:rPr>
            </w:r>
            <w:r>
              <w:rPr>
                <w:noProof/>
                <w:webHidden/>
              </w:rPr>
              <w:fldChar w:fldCharType="separate"/>
            </w:r>
            <w:r>
              <w:rPr>
                <w:noProof/>
                <w:webHidden/>
              </w:rPr>
              <w:t>12</w:t>
            </w:r>
            <w:r>
              <w:rPr>
                <w:noProof/>
                <w:webHidden/>
              </w:rPr>
              <w:fldChar w:fldCharType="end"/>
            </w:r>
          </w:hyperlink>
        </w:p>
        <w:p w14:paraId="3574285A" w14:textId="0B770EF6" w:rsidR="003F3DB9" w:rsidRDefault="003F3DB9">
          <w:pPr>
            <w:pStyle w:val="TOC2"/>
            <w:tabs>
              <w:tab w:val="right" w:leader="dot" w:pos="9350"/>
            </w:tabs>
            <w:rPr>
              <w:rFonts w:eastAsiaTheme="minorEastAsia"/>
              <w:noProof/>
            </w:rPr>
          </w:pPr>
          <w:hyperlink w:anchor="_Toc233884813" w:history="1">
            <w:r w:rsidRPr="00BC4162">
              <w:rPr>
                <w:rStyle w:val="Hyperlink"/>
                <w:noProof/>
              </w:rPr>
              <w:t>Project B appraisal</w:t>
            </w:r>
            <w:r>
              <w:rPr>
                <w:noProof/>
                <w:webHidden/>
              </w:rPr>
              <w:tab/>
            </w:r>
            <w:r>
              <w:rPr>
                <w:noProof/>
                <w:webHidden/>
              </w:rPr>
              <w:fldChar w:fldCharType="begin"/>
            </w:r>
            <w:r>
              <w:rPr>
                <w:noProof/>
                <w:webHidden/>
              </w:rPr>
              <w:instrText xml:space="preserve"> PAGEREF _Toc233884813 \h </w:instrText>
            </w:r>
            <w:r>
              <w:rPr>
                <w:noProof/>
                <w:webHidden/>
              </w:rPr>
            </w:r>
            <w:r>
              <w:rPr>
                <w:noProof/>
                <w:webHidden/>
              </w:rPr>
              <w:fldChar w:fldCharType="separate"/>
            </w:r>
            <w:r>
              <w:rPr>
                <w:noProof/>
                <w:webHidden/>
              </w:rPr>
              <w:t>12</w:t>
            </w:r>
            <w:r>
              <w:rPr>
                <w:noProof/>
                <w:webHidden/>
              </w:rPr>
              <w:fldChar w:fldCharType="end"/>
            </w:r>
          </w:hyperlink>
        </w:p>
        <w:p w14:paraId="443CC4FC" w14:textId="2DC93061" w:rsidR="003F3DB9" w:rsidRDefault="003F3DB9">
          <w:pPr>
            <w:pStyle w:val="TOC2"/>
            <w:tabs>
              <w:tab w:val="right" w:leader="dot" w:pos="9350"/>
            </w:tabs>
            <w:rPr>
              <w:rFonts w:eastAsiaTheme="minorEastAsia"/>
              <w:noProof/>
            </w:rPr>
          </w:pPr>
          <w:hyperlink w:anchor="_Toc233884814" w:history="1">
            <w:r w:rsidRPr="00BC4162">
              <w:rPr>
                <w:rStyle w:val="Hyperlink"/>
                <w:noProof/>
              </w:rPr>
              <w:t>Project C appraisal</w:t>
            </w:r>
            <w:r>
              <w:rPr>
                <w:noProof/>
                <w:webHidden/>
              </w:rPr>
              <w:tab/>
            </w:r>
            <w:r>
              <w:rPr>
                <w:noProof/>
                <w:webHidden/>
              </w:rPr>
              <w:fldChar w:fldCharType="begin"/>
            </w:r>
            <w:r>
              <w:rPr>
                <w:noProof/>
                <w:webHidden/>
              </w:rPr>
              <w:instrText xml:space="preserve"> PAGEREF _Toc233884814 \h </w:instrText>
            </w:r>
            <w:r>
              <w:rPr>
                <w:noProof/>
                <w:webHidden/>
              </w:rPr>
            </w:r>
            <w:r>
              <w:rPr>
                <w:noProof/>
                <w:webHidden/>
              </w:rPr>
              <w:fldChar w:fldCharType="separate"/>
            </w:r>
            <w:r>
              <w:rPr>
                <w:noProof/>
                <w:webHidden/>
              </w:rPr>
              <w:t>13</w:t>
            </w:r>
            <w:r>
              <w:rPr>
                <w:noProof/>
                <w:webHidden/>
              </w:rPr>
              <w:fldChar w:fldCharType="end"/>
            </w:r>
          </w:hyperlink>
        </w:p>
        <w:p w14:paraId="6A5DCB8A" w14:textId="4B24F119" w:rsidR="003F3DB9" w:rsidRDefault="003F3DB9">
          <w:pPr>
            <w:pStyle w:val="TOC2"/>
            <w:tabs>
              <w:tab w:val="right" w:leader="dot" w:pos="9350"/>
            </w:tabs>
            <w:rPr>
              <w:rFonts w:eastAsiaTheme="minorEastAsia"/>
              <w:noProof/>
            </w:rPr>
          </w:pPr>
          <w:hyperlink w:anchor="_Toc233884815" w:history="1">
            <w:r w:rsidRPr="00BC4162">
              <w:rPr>
                <w:rStyle w:val="Hyperlink"/>
                <w:noProof/>
              </w:rPr>
              <w:t>Comparison and recommended single project</w:t>
            </w:r>
            <w:r>
              <w:rPr>
                <w:noProof/>
                <w:webHidden/>
              </w:rPr>
              <w:tab/>
            </w:r>
            <w:r>
              <w:rPr>
                <w:noProof/>
                <w:webHidden/>
              </w:rPr>
              <w:fldChar w:fldCharType="begin"/>
            </w:r>
            <w:r>
              <w:rPr>
                <w:noProof/>
                <w:webHidden/>
              </w:rPr>
              <w:instrText xml:space="preserve"> PAGEREF _Toc233884815 \h </w:instrText>
            </w:r>
            <w:r>
              <w:rPr>
                <w:noProof/>
                <w:webHidden/>
              </w:rPr>
            </w:r>
            <w:r>
              <w:rPr>
                <w:noProof/>
                <w:webHidden/>
              </w:rPr>
              <w:fldChar w:fldCharType="separate"/>
            </w:r>
            <w:r>
              <w:rPr>
                <w:noProof/>
                <w:webHidden/>
              </w:rPr>
              <w:t>13</w:t>
            </w:r>
            <w:r>
              <w:rPr>
                <w:noProof/>
                <w:webHidden/>
              </w:rPr>
              <w:fldChar w:fldCharType="end"/>
            </w:r>
          </w:hyperlink>
        </w:p>
        <w:p w14:paraId="2B565EBA" w14:textId="7E67815D" w:rsidR="003F3DB9" w:rsidRDefault="003F3DB9">
          <w:pPr>
            <w:pStyle w:val="TOC2"/>
            <w:tabs>
              <w:tab w:val="right" w:leader="dot" w:pos="9350"/>
            </w:tabs>
            <w:rPr>
              <w:rFonts w:eastAsiaTheme="minorEastAsia"/>
              <w:noProof/>
            </w:rPr>
          </w:pPr>
          <w:hyperlink w:anchor="_Toc233884816" w:history="1">
            <w:r w:rsidRPr="00BC4162">
              <w:rPr>
                <w:rStyle w:val="Hyperlink"/>
                <w:noProof/>
              </w:rPr>
              <w:t>Non-financial risk assessment</w:t>
            </w:r>
            <w:r>
              <w:rPr>
                <w:noProof/>
                <w:webHidden/>
              </w:rPr>
              <w:tab/>
            </w:r>
            <w:r>
              <w:rPr>
                <w:noProof/>
                <w:webHidden/>
              </w:rPr>
              <w:fldChar w:fldCharType="begin"/>
            </w:r>
            <w:r>
              <w:rPr>
                <w:noProof/>
                <w:webHidden/>
              </w:rPr>
              <w:instrText xml:space="preserve"> PAGEREF _Toc233884816 \h </w:instrText>
            </w:r>
            <w:r>
              <w:rPr>
                <w:noProof/>
                <w:webHidden/>
              </w:rPr>
            </w:r>
            <w:r>
              <w:rPr>
                <w:noProof/>
                <w:webHidden/>
              </w:rPr>
              <w:fldChar w:fldCharType="separate"/>
            </w:r>
            <w:r>
              <w:rPr>
                <w:noProof/>
                <w:webHidden/>
              </w:rPr>
              <w:t>14</w:t>
            </w:r>
            <w:r>
              <w:rPr>
                <w:noProof/>
                <w:webHidden/>
              </w:rPr>
              <w:fldChar w:fldCharType="end"/>
            </w:r>
          </w:hyperlink>
        </w:p>
        <w:p w14:paraId="2B7CC722" w14:textId="5D2789F2" w:rsidR="003F3DB9" w:rsidRDefault="003F3DB9">
          <w:pPr>
            <w:pStyle w:val="TOC2"/>
            <w:tabs>
              <w:tab w:val="right" w:leader="dot" w:pos="9350"/>
            </w:tabs>
            <w:rPr>
              <w:rFonts w:eastAsiaTheme="minorEastAsia"/>
              <w:noProof/>
            </w:rPr>
          </w:pPr>
          <w:hyperlink w:anchor="_Toc233884817" w:history="1">
            <w:r w:rsidRPr="00BC4162">
              <w:rPr>
                <w:rStyle w:val="Hyperlink"/>
                <w:bCs/>
                <w:noProof/>
              </w:rPr>
              <w:t>Capital rationing decision under the £100 million limit</w:t>
            </w:r>
            <w:r>
              <w:rPr>
                <w:noProof/>
                <w:webHidden/>
              </w:rPr>
              <w:tab/>
            </w:r>
            <w:r>
              <w:rPr>
                <w:noProof/>
                <w:webHidden/>
              </w:rPr>
              <w:fldChar w:fldCharType="begin"/>
            </w:r>
            <w:r>
              <w:rPr>
                <w:noProof/>
                <w:webHidden/>
              </w:rPr>
              <w:instrText xml:space="preserve"> PAGEREF _Toc233884817 \h </w:instrText>
            </w:r>
            <w:r>
              <w:rPr>
                <w:noProof/>
                <w:webHidden/>
              </w:rPr>
            </w:r>
            <w:r>
              <w:rPr>
                <w:noProof/>
                <w:webHidden/>
              </w:rPr>
              <w:fldChar w:fldCharType="separate"/>
            </w:r>
            <w:r>
              <w:rPr>
                <w:noProof/>
                <w:webHidden/>
              </w:rPr>
              <w:t>15</w:t>
            </w:r>
            <w:r>
              <w:rPr>
                <w:noProof/>
                <w:webHidden/>
              </w:rPr>
              <w:fldChar w:fldCharType="end"/>
            </w:r>
          </w:hyperlink>
        </w:p>
        <w:p w14:paraId="6CF03AB7" w14:textId="55FF83ED" w:rsidR="003F3DB9" w:rsidRDefault="003F3DB9">
          <w:pPr>
            <w:pStyle w:val="TOC1"/>
            <w:rPr>
              <w:rFonts w:asciiTheme="minorHAnsi" w:eastAsiaTheme="minorEastAsia" w:hAnsiTheme="minorHAnsi" w:cstheme="minorBidi"/>
              <w:b w:val="0"/>
              <w:bCs w:val="0"/>
            </w:rPr>
          </w:pPr>
          <w:hyperlink w:anchor="_Toc233884818" w:history="1">
            <w:r w:rsidRPr="00BC4162">
              <w:rPr>
                <w:rStyle w:val="Hyperlink"/>
              </w:rPr>
              <w:t>6.</w:t>
            </w:r>
            <w:r>
              <w:rPr>
                <w:rFonts w:asciiTheme="minorHAnsi" w:eastAsiaTheme="minorEastAsia" w:hAnsiTheme="minorHAnsi" w:cstheme="minorBidi"/>
                <w:b w:val="0"/>
                <w:bCs w:val="0"/>
              </w:rPr>
              <w:tab/>
            </w:r>
            <w:r w:rsidRPr="00BC4162">
              <w:rPr>
                <w:rStyle w:val="Hyperlink"/>
              </w:rPr>
              <w:t>Critical Reflection on AI Usage</w:t>
            </w:r>
            <w:r>
              <w:rPr>
                <w:webHidden/>
              </w:rPr>
              <w:tab/>
            </w:r>
            <w:r>
              <w:rPr>
                <w:webHidden/>
              </w:rPr>
              <w:fldChar w:fldCharType="begin"/>
            </w:r>
            <w:r>
              <w:rPr>
                <w:webHidden/>
              </w:rPr>
              <w:instrText xml:space="preserve"> PAGEREF _Toc233884818 \h </w:instrText>
            </w:r>
            <w:r>
              <w:rPr>
                <w:webHidden/>
              </w:rPr>
            </w:r>
            <w:r>
              <w:rPr>
                <w:webHidden/>
              </w:rPr>
              <w:fldChar w:fldCharType="separate"/>
            </w:r>
            <w:r>
              <w:rPr>
                <w:webHidden/>
              </w:rPr>
              <w:t>15</w:t>
            </w:r>
            <w:r>
              <w:rPr>
                <w:webHidden/>
              </w:rPr>
              <w:fldChar w:fldCharType="end"/>
            </w:r>
          </w:hyperlink>
        </w:p>
        <w:p w14:paraId="570976BD" w14:textId="0F6412AF" w:rsidR="003F3DB9" w:rsidRDefault="003F3DB9">
          <w:pPr>
            <w:pStyle w:val="TOC2"/>
            <w:tabs>
              <w:tab w:val="right" w:leader="dot" w:pos="9350"/>
            </w:tabs>
            <w:rPr>
              <w:rFonts w:eastAsiaTheme="minorEastAsia"/>
              <w:noProof/>
            </w:rPr>
          </w:pPr>
          <w:hyperlink w:anchor="_Toc233884819" w:history="1">
            <w:r w:rsidRPr="00BC4162">
              <w:rPr>
                <w:rStyle w:val="Hyperlink"/>
                <w:noProof/>
              </w:rPr>
              <w:t>Tool disclosure</w:t>
            </w:r>
            <w:r>
              <w:rPr>
                <w:noProof/>
                <w:webHidden/>
              </w:rPr>
              <w:tab/>
            </w:r>
            <w:r>
              <w:rPr>
                <w:noProof/>
                <w:webHidden/>
              </w:rPr>
              <w:fldChar w:fldCharType="begin"/>
            </w:r>
            <w:r>
              <w:rPr>
                <w:noProof/>
                <w:webHidden/>
              </w:rPr>
              <w:instrText xml:space="preserve"> PAGEREF _Toc233884819 \h </w:instrText>
            </w:r>
            <w:r>
              <w:rPr>
                <w:noProof/>
                <w:webHidden/>
              </w:rPr>
            </w:r>
            <w:r>
              <w:rPr>
                <w:noProof/>
                <w:webHidden/>
              </w:rPr>
              <w:fldChar w:fldCharType="separate"/>
            </w:r>
            <w:r>
              <w:rPr>
                <w:noProof/>
                <w:webHidden/>
              </w:rPr>
              <w:t>15</w:t>
            </w:r>
            <w:r>
              <w:rPr>
                <w:noProof/>
                <w:webHidden/>
              </w:rPr>
              <w:fldChar w:fldCharType="end"/>
            </w:r>
          </w:hyperlink>
        </w:p>
        <w:p w14:paraId="211D1F08" w14:textId="23376B2A" w:rsidR="003F3DB9" w:rsidRDefault="003F3DB9">
          <w:pPr>
            <w:pStyle w:val="TOC2"/>
            <w:tabs>
              <w:tab w:val="right" w:leader="dot" w:pos="9350"/>
            </w:tabs>
            <w:rPr>
              <w:rFonts w:eastAsiaTheme="minorEastAsia"/>
              <w:noProof/>
            </w:rPr>
          </w:pPr>
          <w:hyperlink w:anchor="_Toc233884820" w:history="1">
            <w:r w:rsidRPr="00BC4162">
              <w:rPr>
                <w:rStyle w:val="Hyperlink"/>
                <w:noProof/>
              </w:rPr>
              <w:t>Critical evaluation and verification of AI output</w:t>
            </w:r>
            <w:r>
              <w:rPr>
                <w:noProof/>
                <w:webHidden/>
              </w:rPr>
              <w:tab/>
            </w:r>
            <w:r>
              <w:rPr>
                <w:noProof/>
                <w:webHidden/>
              </w:rPr>
              <w:fldChar w:fldCharType="begin"/>
            </w:r>
            <w:r>
              <w:rPr>
                <w:noProof/>
                <w:webHidden/>
              </w:rPr>
              <w:instrText xml:space="preserve"> PAGEREF _Toc233884820 \h </w:instrText>
            </w:r>
            <w:r>
              <w:rPr>
                <w:noProof/>
                <w:webHidden/>
              </w:rPr>
            </w:r>
            <w:r>
              <w:rPr>
                <w:noProof/>
                <w:webHidden/>
              </w:rPr>
              <w:fldChar w:fldCharType="separate"/>
            </w:r>
            <w:r>
              <w:rPr>
                <w:noProof/>
                <w:webHidden/>
              </w:rPr>
              <w:t>16</w:t>
            </w:r>
            <w:r>
              <w:rPr>
                <w:noProof/>
                <w:webHidden/>
              </w:rPr>
              <w:fldChar w:fldCharType="end"/>
            </w:r>
          </w:hyperlink>
        </w:p>
        <w:p w14:paraId="753C3EBC" w14:textId="2CA93467" w:rsidR="003F3DB9" w:rsidRDefault="003F3DB9">
          <w:pPr>
            <w:pStyle w:val="TOC2"/>
            <w:tabs>
              <w:tab w:val="right" w:leader="dot" w:pos="9350"/>
            </w:tabs>
            <w:rPr>
              <w:rFonts w:eastAsiaTheme="minorEastAsia"/>
              <w:noProof/>
            </w:rPr>
          </w:pPr>
          <w:hyperlink w:anchor="_Toc233884821" w:history="1">
            <w:r w:rsidRPr="00BC4162">
              <w:rPr>
                <w:rStyle w:val="Hyperlink"/>
                <w:noProof/>
              </w:rPr>
              <w:t>Contribution analysis</w:t>
            </w:r>
            <w:r>
              <w:rPr>
                <w:noProof/>
                <w:webHidden/>
              </w:rPr>
              <w:tab/>
            </w:r>
            <w:r>
              <w:rPr>
                <w:noProof/>
                <w:webHidden/>
              </w:rPr>
              <w:fldChar w:fldCharType="begin"/>
            </w:r>
            <w:r>
              <w:rPr>
                <w:noProof/>
                <w:webHidden/>
              </w:rPr>
              <w:instrText xml:space="preserve"> PAGEREF _Toc233884821 \h </w:instrText>
            </w:r>
            <w:r>
              <w:rPr>
                <w:noProof/>
                <w:webHidden/>
              </w:rPr>
            </w:r>
            <w:r>
              <w:rPr>
                <w:noProof/>
                <w:webHidden/>
              </w:rPr>
              <w:fldChar w:fldCharType="separate"/>
            </w:r>
            <w:r>
              <w:rPr>
                <w:noProof/>
                <w:webHidden/>
              </w:rPr>
              <w:t>16</w:t>
            </w:r>
            <w:r>
              <w:rPr>
                <w:noProof/>
                <w:webHidden/>
              </w:rPr>
              <w:fldChar w:fldCharType="end"/>
            </w:r>
          </w:hyperlink>
        </w:p>
        <w:p w14:paraId="233FA16B" w14:textId="6F5CEF8D" w:rsidR="003F3DB9" w:rsidRDefault="003F3DB9">
          <w:pPr>
            <w:pStyle w:val="TOC2"/>
            <w:tabs>
              <w:tab w:val="right" w:leader="dot" w:pos="9350"/>
            </w:tabs>
            <w:rPr>
              <w:rFonts w:eastAsiaTheme="minorEastAsia"/>
              <w:noProof/>
            </w:rPr>
          </w:pPr>
          <w:hyperlink w:anchor="_Toc233884822" w:history="1">
            <w:r w:rsidRPr="00BC4162">
              <w:rPr>
                <w:rStyle w:val="Hyperlink"/>
                <w:noProof/>
              </w:rPr>
              <w:t>Ethical and professional reflection</w:t>
            </w:r>
            <w:r>
              <w:rPr>
                <w:noProof/>
                <w:webHidden/>
              </w:rPr>
              <w:tab/>
            </w:r>
            <w:r>
              <w:rPr>
                <w:noProof/>
                <w:webHidden/>
              </w:rPr>
              <w:fldChar w:fldCharType="begin"/>
            </w:r>
            <w:r>
              <w:rPr>
                <w:noProof/>
                <w:webHidden/>
              </w:rPr>
              <w:instrText xml:space="preserve"> PAGEREF _Toc233884822 \h </w:instrText>
            </w:r>
            <w:r>
              <w:rPr>
                <w:noProof/>
                <w:webHidden/>
              </w:rPr>
            </w:r>
            <w:r>
              <w:rPr>
                <w:noProof/>
                <w:webHidden/>
              </w:rPr>
              <w:fldChar w:fldCharType="separate"/>
            </w:r>
            <w:r>
              <w:rPr>
                <w:noProof/>
                <w:webHidden/>
              </w:rPr>
              <w:t>16</w:t>
            </w:r>
            <w:r>
              <w:rPr>
                <w:noProof/>
                <w:webHidden/>
              </w:rPr>
              <w:fldChar w:fldCharType="end"/>
            </w:r>
          </w:hyperlink>
        </w:p>
        <w:p w14:paraId="5B2047BB" w14:textId="63585C6A" w:rsidR="003F3DB9" w:rsidRDefault="003F3DB9">
          <w:pPr>
            <w:pStyle w:val="TOC1"/>
            <w:rPr>
              <w:rFonts w:asciiTheme="minorHAnsi" w:eastAsiaTheme="minorEastAsia" w:hAnsiTheme="minorHAnsi" w:cstheme="minorBidi"/>
              <w:b w:val="0"/>
              <w:bCs w:val="0"/>
            </w:rPr>
          </w:pPr>
          <w:hyperlink w:anchor="_Toc233884823" w:history="1">
            <w:r w:rsidRPr="00BC4162">
              <w:rPr>
                <w:rStyle w:val="Hyperlink"/>
              </w:rPr>
              <w:t>7.</w:t>
            </w:r>
            <w:r>
              <w:rPr>
                <w:rFonts w:asciiTheme="minorHAnsi" w:eastAsiaTheme="minorEastAsia" w:hAnsiTheme="minorHAnsi" w:cstheme="minorBidi"/>
                <w:b w:val="0"/>
                <w:bCs w:val="0"/>
              </w:rPr>
              <w:tab/>
            </w:r>
            <w:r w:rsidRPr="00BC4162">
              <w:rPr>
                <w:rStyle w:val="Hyperlink"/>
              </w:rPr>
              <w:t>Conclusion</w:t>
            </w:r>
            <w:r>
              <w:rPr>
                <w:webHidden/>
              </w:rPr>
              <w:tab/>
            </w:r>
            <w:r>
              <w:rPr>
                <w:webHidden/>
              </w:rPr>
              <w:fldChar w:fldCharType="begin"/>
            </w:r>
            <w:r>
              <w:rPr>
                <w:webHidden/>
              </w:rPr>
              <w:instrText xml:space="preserve"> PAGEREF _Toc233884823 \h </w:instrText>
            </w:r>
            <w:r>
              <w:rPr>
                <w:webHidden/>
              </w:rPr>
            </w:r>
            <w:r>
              <w:rPr>
                <w:webHidden/>
              </w:rPr>
              <w:fldChar w:fldCharType="separate"/>
            </w:r>
            <w:r>
              <w:rPr>
                <w:webHidden/>
              </w:rPr>
              <w:t>17</w:t>
            </w:r>
            <w:r>
              <w:rPr>
                <w:webHidden/>
              </w:rPr>
              <w:fldChar w:fldCharType="end"/>
            </w:r>
          </w:hyperlink>
        </w:p>
        <w:p w14:paraId="006CC42D" w14:textId="1AC138DB" w:rsidR="003F3DB9" w:rsidRDefault="003F3DB9">
          <w:pPr>
            <w:pStyle w:val="TOC1"/>
            <w:rPr>
              <w:rFonts w:asciiTheme="minorHAnsi" w:eastAsiaTheme="minorEastAsia" w:hAnsiTheme="minorHAnsi" w:cstheme="minorBidi"/>
              <w:b w:val="0"/>
              <w:bCs w:val="0"/>
            </w:rPr>
          </w:pPr>
          <w:hyperlink w:anchor="_Toc233884824" w:history="1">
            <w:r w:rsidRPr="00BC4162">
              <w:rPr>
                <w:rStyle w:val="Hyperlink"/>
              </w:rPr>
              <w:t>8.</w:t>
            </w:r>
            <w:r>
              <w:rPr>
                <w:rFonts w:asciiTheme="minorHAnsi" w:eastAsiaTheme="minorEastAsia" w:hAnsiTheme="minorHAnsi" w:cstheme="minorBidi"/>
                <w:b w:val="0"/>
                <w:bCs w:val="0"/>
              </w:rPr>
              <w:tab/>
            </w:r>
            <w:r w:rsidRPr="00BC4162">
              <w:rPr>
                <w:rStyle w:val="Hyperlink"/>
              </w:rPr>
              <w:t>Referennces</w:t>
            </w:r>
            <w:r>
              <w:rPr>
                <w:webHidden/>
              </w:rPr>
              <w:tab/>
            </w:r>
            <w:r>
              <w:rPr>
                <w:webHidden/>
              </w:rPr>
              <w:fldChar w:fldCharType="begin"/>
            </w:r>
            <w:r>
              <w:rPr>
                <w:webHidden/>
              </w:rPr>
              <w:instrText xml:space="preserve"> PAGEREF _Toc233884824 \h </w:instrText>
            </w:r>
            <w:r>
              <w:rPr>
                <w:webHidden/>
              </w:rPr>
            </w:r>
            <w:r>
              <w:rPr>
                <w:webHidden/>
              </w:rPr>
              <w:fldChar w:fldCharType="separate"/>
            </w:r>
            <w:r>
              <w:rPr>
                <w:webHidden/>
              </w:rPr>
              <w:t>17</w:t>
            </w:r>
            <w:r>
              <w:rPr>
                <w:webHidden/>
              </w:rPr>
              <w:fldChar w:fldCharType="end"/>
            </w:r>
          </w:hyperlink>
        </w:p>
        <w:p w14:paraId="67AEB3C2" w14:textId="30C0A1A3" w:rsidR="003F3DB9" w:rsidRDefault="003F3DB9">
          <w:pPr>
            <w:pStyle w:val="TOC1"/>
            <w:rPr>
              <w:rFonts w:asciiTheme="minorHAnsi" w:eastAsiaTheme="minorEastAsia" w:hAnsiTheme="minorHAnsi" w:cstheme="minorBidi"/>
              <w:b w:val="0"/>
              <w:bCs w:val="0"/>
            </w:rPr>
          </w:pPr>
          <w:hyperlink w:anchor="_Toc233884825" w:history="1">
            <w:r w:rsidRPr="00BC4162">
              <w:rPr>
                <w:rStyle w:val="Hyperlink"/>
              </w:rPr>
              <w:t>9.</w:t>
            </w:r>
            <w:r>
              <w:rPr>
                <w:rFonts w:asciiTheme="minorHAnsi" w:eastAsiaTheme="minorEastAsia" w:hAnsiTheme="minorHAnsi" w:cstheme="minorBidi"/>
                <w:b w:val="0"/>
                <w:bCs w:val="0"/>
              </w:rPr>
              <w:tab/>
            </w:r>
            <w:r w:rsidRPr="00BC4162">
              <w:rPr>
                <w:rStyle w:val="Hyperlink"/>
              </w:rPr>
              <w:t>Appendices:</w:t>
            </w:r>
            <w:r>
              <w:rPr>
                <w:webHidden/>
              </w:rPr>
              <w:tab/>
            </w:r>
            <w:r>
              <w:rPr>
                <w:webHidden/>
              </w:rPr>
              <w:fldChar w:fldCharType="begin"/>
            </w:r>
            <w:r>
              <w:rPr>
                <w:webHidden/>
              </w:rPr>
              <w:instrText xml:space="preserve"> PAGEREF _Toc233884825 \h </w:instrText>
            </w:r>
            <w:r>
              <w:rPr>
                <w:webHidden/>
              </w:rPr>
            </w:r>
            <w:r>
              <w:rPr>
                <w:webHidden/>
              </w:rPr>
              <w:fldChar w:fldCharType="separate"/>
            </w:r>
            <w:r>
              <w:rPr>
                <w:webHidden/>
              </w:rPr>
              <w:t>21</w:t>
            </w:r>
            <w:r>
              <w:rPr>
                <w:webHidden/>
              </w:rPr>
              <w:fldChar w:fldCharType="end"/>
            </w:r>
          </w:hyperlink>
        </w:p>
        <w:p w14:paraId="67FFA4A2" w14:textId="34330946" w:rsidR="00AF2BDF" w:rsidRDefault="00AF2BDF" w:rsidP="00AF2BDF">
          <w:pPr>
            <w:spacing w:line="360" w:lineRule="auto"/>
            <w:jc w:val="both"/>
          </w:pPr>
          <w:r w:rsidRPr="00AF2BDF">
            <w:rPr>
              <w:rFonts w:ascii="Times New Roman" w:hAnsi="Times New Roman" w:cs="Times New Roman"/>
              <w:b/>
              <w:bCs/>
              <w:noProof/>
            </w:rPr>
            <w:fldChar w:fldCharType="end"/>
          </w:r>
        </w:p>
      </w:sdtContent>
    </w:sdt>
    <w:p w14:paraId="1B2C0482" w14:textId="77777777" w:rsidR="00AF2BDF" w:rsidRPr="00AF2BDF" w:rsidRDefault="00AF2BDF" w:rsidP="00AF2BDF">
      <w:pPr>
        <w:pStyle w:val="Heading1"/>
        <w:ind w:left="720"/>
        <w:sectPr w:rsidR="00AF2BDF" w:rsidRPr="00AF2BDF" w:rsidSect="00AF2BDF">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182CCCFE" w14:textId="3534C96D" w:rsidR="007B781F" w:rsidRPr="008778AA" w:rsidRDefault="007B781F" w:rsidP="00AF2BDF">
      <w:pPr>
        <w:pStyle w:val="Heading1"/>
        <w:numPr>
          <w:ilvl w:val="0"/>
          <w:numId w:val="9"/>
        </w:numPr>
      </w:pPr>
      <w:bookmarkStart w:id="1" w:name="_Toc233884791"/>
      <w:bookmarkStart w:id="2" w:name="_Hlk233630513"/>
      <w:r w:rsidRPr="008778AA">
        <w:lastRenderedPageBreak/>
        <w:t>Introduction</w:t>
      </w:r>
      <w:bookmarkEnd w:id="0"/>
      <w:bookmarkEnd w:id="1"/>
    </w:p>
    <w:p w14:paraId="053DF62F" w14:textId="037F3B01" w:rsidR="00892988" w:rsidRPr="008778AA" w:rsidRDefault="00892988" w:rsidP="008778AA">
      <w:pPr>
        <w:spacing w:line="360" w:lineRule="auto"/>
        <w:jc w:val="both"/>
        <w:rPr>
          <w:rFonts w:ascii="Times New Roman" w:hAnsi="Times New Roman" w:cs="Times New Roman"/>
        </w:rPr>
      </w:pPr>
      <w:r w:rsidRPr="008778AA">
        <w:rPr>
          <w:rFonts w:ascii="Times New Roman" w:hAnsi="Times New Roman" w:cs="Times New Roman"/>
        </w:rPr>
        <w:t xml:space="preserve">This report provides a financial review of the performance, resilience and future capital allocation priorities of InterContinental Hotels Group PLC (IHG). IHG </w:t>
      </w:r>
      <w:r w:rsidR="005B748B" w:rsidRPr="005B748B">
        <w:rPr>
          <w:rFonts w:ascii="Times New Roman" w:hAnsi="Times New Roman" w:cs="Times New Roman"/>
        </w:rPr>
        <w:t>is one of the world's largest hospitality groups with a wide range of hotel brands in various market segments. IHG's 20 hotel brands, more than 6,900 open hotels in more than 100 countries and nearly 2,300 hotels in development</w:t>
      </w:r>
      <w:r w:rsidRPr="008778AA">
        <w:rPr>
          <w:rFonts w:ascii="Times New Roman" w:hAnsi="Times New Roman" w:cs="Times New Roman"/>
        </w:rPr>
        <w:t xml:space="preserve">, showcased its global scale and ongoing growth potential. It also has a business model that is primarily asset light, generating most of its value through third-party hotel ownership and management. </w:t>
      </w:r>
    </w:p>
    <w:p w14:paraId="351A09BE" w14:textId="794112D3" w:rsidR="00892988" w:rsidRPr="00AF2BDF" w:rsidRDefault="00892988" w:rsidP="00AF2BDF">
      <w:pPr>
        <w:spacing w:line="360" w:lineRule="auto"/>
        <w:jc w:val="both"/>
        <w:rPr>
          <w:rFonts w:ascii="Times New Roman" w:hAnsi="Times New Roman" w:cs="Times New Roman"/>
        </w:rPr>
      </w:pPr>
      <w:r w:rsidRPr="00AF2BDF">
        <w:rPr>
          <w:rFonts w:ascii="Times New Roman" w:hAnsi="Times New Roman" w:cs="Times New Roman"/>
        </w:rPr>
        <w:t xml:space="preserve">This report aims to assess IHG's financial standing for the past five full financial years, 2021–2025, and determine areas of critical financial concern at CFO level. The analysis considers financial statement trends, </w:t>
      </w:r>
      <w:r w:rsidR="005B748B" w:rsidRPr="005B748B">
        <w:rPr>
          <w:rFonts w:ascii="Times New Roman" w:hAnsi="Times New Roman" w:cs="Times New Roman"/>
        </w:rPr>
        <w:t>The ratios which are used to measure the profitability, liquidity, efficiency, gearing, investment and cash-flow are all used. It also compares the efficiency of working capital management, financing choice for short term and long term, financial restructuring options and future investments on the basis of payback period, accounting rate of return, net present value, profitability index</w:t>
      </w:r>
      <w:r w:rsidR="005B748B">
        <w:rPr>
          <w:rFonts w:ascii="Times New Roman" w:hAnsi="Times New Roman" w:cs="Times New Roman"/>
        </w:rPr>
        <w:t xml:space="preserve"> </w:t>
      </w:r>
      <w:r w:rsidRPr="00AF2BDF">
        <w:rPr>
          <w:rFonts w:ascii="Times New Roman" w:hAnsi="Times New Roman" w:cs="Times New Roman"/>
        </w:rPr>
        <w:t>and IRR.</w:t>
      </w:r>
    </w:p>
    <w:p w14:paraId="1B6FA7FD" w14:textId="42F49F5B" w:rsidR="007B781F" w:rsidRPr="008778AA" w:rsidRDefault="00892988" w:rsidP="008778AA">
      <w:pPr>
        <w:spacing w:line="360" w:lineRule="auto"/>
        <w:jc w:val="both"/>
        <w:rPr>
          <w:rFonts w:ascii="Times New Roman" w:hAnsi="Times New Roman" w:cs="Times New Roman"/>
        </w:rPr>
      </w:pPr>
      <w:r w:rsidRPr="008778AA">
        <w:rPr>
          <w:rFonts w:ascii="Times New Roman" w:hAnsi="Times New Roman" w:cs="Times New Roman"/>
        </w:rPr>
        <w:t xml:space="preserve">In terms of methodology, the report encompasses audited annual reports, ratio analysis and capital budgeting. While these are beneficial for performance comparison and investment decisions, they don't provide a full understanding of value. Accounting classifications and historical reporting time influence ratio analysis, and cash flows, discount rates and risk influence investment appraisal. </w:t>
      </w:r>
      <w:r w:rsidR="007B781F" w:rsidRPr="008778AA">
        <w:rPr>
          <w:rFonts w:ascii="Times New Roman" w:hAnsi="Times New Roman" w:cs="Times New Roman"/>
        </w:rPr>
        <w:t xml:space="preserve"> </w:t>
      </w:r>
    </w:p>
    <w:p w14:paraId="23B9641F" w14:textId="51118483" w:rsidR="007B781F" w:rsidRPr="008778AA" w:rsidRDefault="007B781F" w:rsidP="00AF2BDF">
      <w:pPr>
        <w:pStyle w:val="Heading1"/>
        <w:numPr>
          <w:ilvl w:val="0"/>
          <w:numId w:val="9"/>
        </w:numPr>
      </w:pPr>
      <w:bookmarkStart w:id="3" w:name="_Toc233392946"/>
      <w:bookmarkStart w:id="4" w:name="_Toc233884792"/>
      <w:r w:rsidRPr="008778AA">
        <w:t>Financial Health Check</w:t>
      </w:r>
      <w:bookmarkEnd w:id="3"/>
      <w:bookmarkEnd w:id="4"/>
    </w:p>
    <w:p w14:paraId="1A42BECC" w14:textId="648F8CF4" w:rsidR="007B781F" w:rsidRPr="008778AA" w:rsidRDefault="007B781F" w:rsidP="00AF2BDF">
      <w:pPr>
        <w:pStyle w:val="Heading2"/>
      </w:pPr>
      <w:bookmarkStart w:id="5" w:name="_Toc233392947"/>
      <w:bookmarkStart w:id="6" w:name="_Toc233884793"/>
      <w:r w:rsidRPr="008778AA">
        <w:t xml:space="preserve">Company </w:t>
      </w:r>
      <w:r w:rsidRPr="00AF2BDF">
        <w:t>context</w:t>
      </w:r>
      <w:r w:rsidRPr="008778AA">
        <w:t xml:space="preserve"> and business model</w:t>
      </w:r>
      <w:bookmarkEnd w:id="5"/>
      <w:bookmarkEnd w:id="6"/>
    </w:p>
    <w:p w14:paraId="0D9E612B" w14:textId="13689224" w:rsidR="007B781F" w:rsidRPr="008778AA" w:rsidRDefault="00892988" w:rsidP="008778AA">
      <w:pPr>
        <w:spacing w:line="360" w:lineRule="auto"/>
        <w:jc w:val="both"/>
        <w:rPr>
          <w:rFonts w:ascii="Times New Roman" w:hAnsi="Times New Roman" w:cs="Times New Roman"/>
        </w:rPr>
      </w:pPr>
      <w:r w:rsidRPr="008778AA">
        <w:rPr>
          <w:rFonts w:ascii="Times New Roman" w:hAnsi="Times New Roman" w:cs="Times New Roman"/>
        </w:rPr>
        <w:t>IHG is an international hospitality company with a financial model that is asset-light and fee-based. By the end of 2025, the Group operated 20 hotel brands, more than 6,900 open hotels in over 100 countries and almost 2,300 hotels in its development pipeline</w:t>
      </w:r>
      <w:r w:rsidR="00A45502" w:rsidRPr="008778AA">
        <w:rPr>
          <w:rFonts w:ascii="Times New Roman" w:hAnsi="Times New Roman" w:cs="Times New Roman"/>
        </w:rPr>
        <w:t xml:space="preserve"> </w:t>
      </w:r>
      <w:r w:rsidR="00A45502" w:rsidRPr="008778AA">
        <w:rPr>
          <w:rFonts w:ascii="Times New Roman" w:hAnsi="Times New Roman" w:cs="Times New Roman"/>
        </w:rPr>
        <w:fldChar w:fldCharType="begin" w:fldLock="1"/>
      </w:r>
      <w:r w:rsidR="00A45502" w:rsidRPr="008778AA">
        <w:rPr>
          <w:rFonts w:ascii="Times New Roman" w:hAnsi="Times New Roman" w:cs="Times New Roman"/>
        </w:rPr>
        <w:instrText>ADDIN CSL_CITATION {"citationItems":[{"id":"ITEM-1","itemData":{"author":[{"dropping-particle":"","family":"InterContinental Hotels","given":"","non-dropping-particle":"","parse-names":false,"suffix":""}],"id":"ITEM-1","issued":{"date-parts":[["2026"]]},"title":"Developing a new hotel or converting an existing property can be a complex process, but IHG helps you take care of every detail","type":"article-journal"},"uris":["http://www.mendeley.com/documents/?uuid=b22fb6ab-ba3b-4a65-9ff7-80cc86da4d61"]}],"mendeley":{"formattedCitation":"(InterContinental Hotels, 2026)","plainTextFormattedCitation":"(InterContinental Hotels, 2026)","previouslyFormattedCitation":"(InterContinental Hotels, 2026)"},"properties":{"noteIndex":0},"schema":"https://github.com/citation-style-language/schema/raw/master/csl-citation.json"}</w:instrText>
      </w:r>
      <w:r w:rsidR="00A45502" w:rsidRPr="008778AA">
        <w:rPr>
          <w:rFonts w:ascii="Times New Roman" w:hAnsi="Times New Roman" w:cs="Times New Roman"/>
        </w:rPr>
        <w:fldChar w:fldCharType="separate"/>
      </w:r>
      <w:r w:rsidR="00A45502" w:rsidRPr="008778AA">
        <w:rPr>
          <w:rFonts w:ascii="Times New Roman" w:hAnsi="Times New Roman" w:cs="Times New Roman"/>
          <w:noProof/>
        </w:rPr>
        <w:t>(InterContinental Hotels, 2026)</w:t>
      </w:r>
      <w:r w:rsidR="00A45502" w:rsidRPr="008778AA">
        <w:rPr>
          <w:rFonts w:ascii="Times New Roman" w:hAnsi="Times New Roman" w:cs="Times New Roman"/>
        </w:rPr>
        <w:fldChar w:fldCharType="end"/>
      </w:r>
      <w:r w:rsidRPr="008778AA">
        <w:rPr>
          <w:rFonts w:ascii="Times New Roman" w:hAnsi="Times New Roman" w:cs="Times New Roman"/>
        </w:rPr>
        <w:t xml:space="preserve">. Instead of owning the majority of hotels, the Group’s main business is to own and manage hotels for third parties, allowing it to concentrate on fee revenue, fee margin, and scalable brand growth at minimal capital investment. Its relatively small owned and leased estate makes </w:t>
      </w:r>
      <w:r w:rsidRPr="008778AA">
        <w:rPr>
          <w:rFonts w:ascii="Times New Roman" w:hAnsi="Times New Roman" w:cs="Times New Roman"/>
        </w:rPr>
        <w:lastRenderedPageBreak/>
        <w:t>profitability and efficiency ratios more about the strength of the brand, owner demand, the digital booking system, penetration of loyalty and pipeline expansion. IHG One Rewards, digital channels and revenue-management technology, therefore, are intrinsic financial assets, even if not necessarily seen as balance-sheet assets</w:t>
      </w:r>
      <w:r w:rsidR="00A45502" w:rsidRPr="008778AA">
        <w:rPr>
          <w:rFonts w:ascii="Times New Roman" w:hAnsi="Times New Roman" w:cs="Times New Roman"/>
        </w:rPr>
        <w:t xml:space="preserve"> </w:t>
      </w:r>
      <w:r w:rsidR="00A45502" w:rsidRPr="008778AA">
        <w:rPr>
          <w:rFonts w:ascii="Times New Roman" w:hAnsi="Times New Roman" w:cs="Times New Roman"/>
        </w:rPr>
        <w:fldChar w:fldCharType="begin" w:fldLock="1"/>
      </w:r>
      <w:r w:rsidR="00A45502" w:rsidRPr="008778AA">
        <w:rPr>
          <w:rFonts w:ascii="Times New Roman" w:hAnsi="Times New Roman" w:cs="Times New Roman"/>
        </w:rPr>
        <w:instrText>ADDIN CSL_CITATION {"citationItems":[{"id":"ITEM-1","itemData":{"author":[{"dropping-particle":"Al","family":"Ameri","given":"Mariam Hamad","non-dropping-particle":"","parse-names":false,"suffix":""},{"dropping-particle":"Al","family":"Katheeri","given":"Wejdan","non-dropping-particle":"","parse-names":false,"suffix":""},{"dropping-particle":"Al","family":"Ali","given":"Amna Essa","non-dropping-particle":"","parse-names":false,"suffix":""},{"dropping-particle":"","family":"Alameemi","given":"Meera","non-dropping-particle":"","parse-names":false,"suffix":""}],"id":"ITEM-1","issued":{"date-parts":[["2021"]]},"title":"Financial Analysis of InterContinental Hotels Group","type":"article-journal"},"uris":["http://www.mendeley.com/documents/?uuid=40843c35-48b9-488a-b31b-9ba38b548c29"]}],"mendeley":{"formattedCitation":"(Ameri &lt;i&gt;et al.&lt;/i&gt;, 2021)","plainTextFormattedCitation":"(Ameri et al., 2021)","previouslyFormattedCitation":"(Ameri &lt;i&gt;et al.&lt;/i&gt;, 2021)"},"properties":{"noteIndex":0},"schema":"https://github.com/citation-style-language/schema/raw/master/csl-citation.json"}</w:instrText>
      </w:r>
      <w:r w:rsidR="00A45502" w:rsidRPr="008778AA">
        <w:rPr>
          <w:rFonts w:ascii="Times New Roman" w:hAnsi="Times New Roman" w:cs="Times New Roman"/>
        </w:rPr>
        <w:fldChar w:fldCharType="separate"/>
      </w:r>
      <w:r w:rsidR="00A45502" w:rsidRPr="008778AA">
        <w:rPr>
          <w:rFonts w:ascii="Times New Roman" w:hAnsi="Times New Roman" w:cs="Times New Roman"/>
          <w:noProof/>
        </w:rPr>
        <w:t xml:space="preserve">(Ameri </w:t>
      </w:r>
      <w:r w:rsidR="00A45502" w:rsidRPr="008778AA">
        <w:rPr>
          <w:rFonts w:ascii="Times New Roman" w:hAnsi="Times New Roman" w:cs="Times New Roman"/>
          <w:i/>
          <w:noProof/>
        </w:rPr>
        <w:t>et al.</w:t>
      </w:r>
      <w:r w:rsidR="00A45502" w:rsidRPr="008778AA">
        <w:rPr>
          <w:rFonts w:ascii="Times New Roman" w:hAnsi="Times New Roman" w:cs="Times New Roman"/>
          <w:noProof/>
        </w:rPr>
        <w:t>, 2021)</w:t>
      </w:r>
      <w:r w:rsidR="00A45502" w:rsidRPr="008778AA">
        <w:rPr>
          <w:rFonts w:ascii="Times New Roman" w:hAnsi="Times New Roman" w:cs="Times New Roman"/>
        </w:rPr>
        <w:fldChar w:fldCharType="end"/>
      </w:r>
      <w:r w:rsidRPr="008778AA">
        <w:rPr>
          <w:rFonts w:ascii="Times New Roman" w:hAnsi="Times New Roman" w:cs="Times New Roman"/>
        </w:rPr>
        <w:t>.</w:t>
      </w:r>
    </w:p>
    <w:p w14:paraId="54ECB34B" w14:textId="022B7C20" w:rsidR="007B781F" w:rsidRPr="008778AA" w:rsidRDefault="007B781F" w:rsidP="00AF2BDF">
      <w:pPr>
        <w:pStyle w:val="Heading2"/>
      </w:pPr>
      <w:bookmarkStart w:id="7" w:name="_Toc233392948"/>
      <w:bookmarkStart w:id="8" w:name="_Toc233884794"/>
      <w:r w:rsidRPr="008778AA">
        <w:t xml:space="preserve">Five-year financial statement </w:t>
      </w:r>
      <w:r w:rsidRPr="00AF2BDF">
        <w:t>trend</w:t>
      </w:r>
      <w:r w:rsidRPr="008778AA">
        <w:t xml:space="preserve"> analysis</w:t>
      </w:r>
      <w:bookmarkEnd w:id="7"/>
      <w:bookmarkEnd w:id="8"/>
    </w:p>
    <w:p w14:paraId="17A73219" w14:textId="618A1028" w:rsidR="007B781F" w:rsidRPr="008778AA" w:rsidRDefault="00892988" w:rsidP="008778AA">
      <w:pPr>
        <w:spacing w:line="360" w:lineRule="auto"/>
        <w:jc w:val="both"/>
        <w:rPr>
          <w:rFonts w:ascii="Times New Roman" w:hAnsi="Times New Roman" w:cs="Times New Roman"/>
        </w:rPr>
      </w:pPr>
      <w:r w:rsidRPr="008778AA">
        <w:rPr>
          <w:rFonts w:ascii="Times New Roman" w:hAnsi="Times New Roman" w:cs="Times New Roman"/>
        </w:rPr>
        <w:t>The five-year financial statements from IHG indicate a clear sign of recovery from the pandemic followed by a more mature growth period. Total revenue increased from $2,907 million in 2021 to $3,892 million in 2022, $4,624 million in 2023, $4,923 million in 2024 and $5,189 million in 2025. This growth is driven by the recovery of travel demand, growth in IHG's system and through franchise, management and System Fund revenue</w:t>
      </w:r>
      <w:r w:rsidR="00A45502" w:rsidRPr="008778AA">
        <w:rPr>
          <w:rFonts w:ascii="Times New Roman" w:hAnsi="Times New Roman" w:cs="Times New Roman"/>
        </w:rPr>
        <w:t xml:space="preserve"> </w:t>
      </w:r>
      <w:r w:rsidR="00A45502" w:rsidRPr="008778AA">
        <w:rPr>
          <w:rFonts w:ascii="Times New Roman" w:hAnsi="Times New Roman" w:cs="Times New Roman"/>
        </w:rPr>
        <w:fldChar w:fldCharType="begin" w:fldLock="1"/>
      </w:r>
      <w:r w:rsidR="00A45502" w:rsidRPr="008778AA">
        <w:rPr>
          <w:rFonts w:ascii="Times New Roman" w:hAnsi="Times New Roman" w:cs="Times New Roman"/>
        </w:rPr>
        <w:instrText>ADDIN CSL_CITATION {"citationItems":[{"id":"ITEM-1","itemData":{"author":[{"dropping-particle":"","family":"IHG","given":"","non-dropping-particle":"","parse-names":false,"suffix":""}],"id":"ITEM-1","issued":{"date-parts":[["2026"]]},"title":"nterContinental Hotels Group PLC Full Year Results to 31 December 2025","type":"article-journal"},"uris":["http://www.mendeley.com/documents/?uuid=84d7132a-7a04-4adf-8ef5-78193c1dbd75"]}],"mendeley":{"formattedCitation":"(IHG, 2026)","plainTextFormattedCitation":"(IHG, 2026)","previouslyFormattedCitation":"(IHG, 2026)"},"properties":{"noteIndex":0},"schema":"https://github.com/citation-style-language/schema/raw/master/csl-citation.json"}</w:instrText>
      </w:r>
      <w:r w:rsidR="00A45502" w:rsidRPr="008778AA">
        <w:rPr>
          <w:rFonts w:ascii="Times New Roman" w:hAnsi="Times New Roman" w:cs="Times New Roman"/>
        </w:rPr>
        <w:fldChar w:fldCharType="separate"/>
      </w:r>
      <w:r w:rsidR="00A45502" w:rsidRPr="008778AA">
        <w:rPr>
          <w:rFonts w:ascii="Times New Roman" w:hAnsi="Times New Roman" w:cs="Times New Roman"/>
          <w:noProof/>
        </w:rPr>
        <w:t>(IHG, 2026)</w:t>
      </w:r>
      <w:r w:rsidR="00A45502" w:rsidRPr="008778AA">
        <w:rPr>
          <w:rFonts w:ascii="Times New Roman" w:hAnsi="Times New Roman" w:cs="Times New Roman"/>
        </w:rPr>
        <w:fldChar w:fldCharType="end"/>
      </w:r>
      <w:r w:rsidRPr="008778AA">
        <w:rPr>
          <w:rFonts w:ascii="Times New Roman" w:hAnsi="Times New Roman" w:cs="Times New Roman"/>
        </w:rPr>
        <w:t>. The operating profit also grew materially, from $494 million in 2021 to $628 million in 2022, to $1,066 million in 2023. The operating profit in 2024 decreased to $1,041 million, but bounced back substantially to $1,198 million in 2025. Profit before tax rose from $361 million in 2021 to $1,074 million in 2025 and profit for the year grew from $265 million to $759 million over the same period.</w:t>
      </w:r>
    </w:p>
    <w:p w14:paraId="2E7FBBD2" w14:textId="0E19B0D5" w:rsidR="0016378B" w:rsidRPr="008778AA" w:rsidRDefault="000A14F3" w:rsidP="008778AA">
      <w:pPr>
        <w:keepNext/>
        <w:spacing w:line="360" w:lineRule="auto"/>
        <w:jc w:val="center"/>
        <w:rPr>
          <w:rFonts w:ascii="Times New Roman" w:hAnsi="Times New Roman" w:cs="Times New Roman"/>
        </w:rPr>
      </w:pPr>
      <w:r w:rsidRPr="008778AA">
        <w:rPr>
          <w:rFonts w:ascii="Times New Roman" w:hAnsi="Times New Roman" w:cs="Times New Roman"/>
          <w:noProof/>
        </w:rPr>
        <w:drawing>
          <wp:inline distT="0" distB="0" distL="0" distR="0" wp14:anchorId="0AA1A4BD" wp14:editId="76399377">
            <wp:extent cx="5305426" cy="3424238"/>
            <wp:effectExtent l="0" t="0" r="9525" b="5080"/>
            <wp:docPr id="163403919" name="Chart 1">
              <a:extLst xmlns:a="http://schemas.openxmlformats.org/drawingml/2006/main">
                <a:ext uri="{FF2B5EF4-FFF2-40B4-BE49-F238E27FC236}">
                  <a16:creationId xmlns:a16="http://schemas.microsoft.com/office/drawing/2014/main" id="{C8045007-9940-DD5E-DBF1-1AE9D348C9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DBEA6CB" w14:textId="67BE6D36" w:rsidR="00B82405" w:rsidRPr="008778AA" w:rsidRDefault="0016378B" w:rsidP="008778AA">
      <w:pPr>
        <w:pStyle w:val="Caption"/>
        <w:spacing w:line="360" w:lineRule="auto"/>
        <w:jc w:val="center"/>
        <w:rPr>
          <w:rFonts w:ascii="Times New Roman" w:hAnsi="Times New Roman" w:cs="Times New Roman"/>
        </w:rPr>
      </w:pPr>
      <w:r w:rsidRPr="008778AA">
        <w:rPr>
          <w:rFonts w:ascii="Times New Roman" w:hAnsi="Times New Roman" w:cs="Times New Roman"/>
        </w:rPr>
        <w:t xml:space="preserve">Figure </w:t>
      </w:r>
      <w:r w:rsidRPr="008778AA">
        <w:rPr>
          <w:rFonts w:ascii="Times New Roman" w:hAnsi="Times New Roman" w:cs="Times New Roman"/>
        </w:rPr>
        <w:fldChar w:fldCharType="begin"/>
      </w:r>
      <w:r w:rsidRPr="008778AA">
        <w:rPr>
          <w:rFonts w:ascii="Times New Roman" w:hAnsi="Times New Roman" w:cs="Times New Roman"/>
        </w:rPr>
        <w:instrText xml:space="preserve"> SEQ Figure \* ARABIC </w:instrText>
      </w:r>
      <w:r w:rsidRPr="008778AA">
        <w:rPr>
          <w:rFonts w:ascii="Times New Roman" w:hAnsi="Times New Roman" w:cs="Times New Roman"/>
        </w:rPr>
        <w:fldChar w:fldCharType="separate"/>
      </w:r>
      <w:r w:rsidR="00B34136" w:rsidRPr="008778AA">
        <w:rPr>
          <w:rFonts w:ascii="Times New Roman" w:hAnsi="Times New Roman" w:cs="Times New Roman"/>
          <w:noProof/>
        </w:rPr>
        <w:t>2</w:t>
      </w:r>
      <w:r w:rsidRPr="008778AA">
        <w:rPr>
          <w:rFonts w:ascii="Times New Roman" w:hAnsi="Times New Roman" w:cs="Times New Roman"/>
        </w:rPr>
        <w:fldChar w:fldCharType="end"/>
      </w:r>
      <w:r w:rsidRPr="008778AA">
        <w:rPr>
          <w:rFonts w:ascii="Times New Roman" w:hAnsi="Times New Roman" w:cs="Times New Roman"/>
        </w:rPr>
        <w:t>- IHG five-year financial performance summary, 2021–2025</w:t>
      </w:r>
    </w:p>
    <w:p w14:paraId="04399824" w14:textId="0FA7D13F" w:rsidR="007B781F" w:rsidRPr="008778AA" w:rsidRDefault="00892988" w:rsidP="008778AA">
      <w:pPr>
        <w:spacing w:line="360" w:lineRule="auto"/>
        <w:jc w:val="both"/>
        <w:rPr>
          <w:rFonts w:ascii="Times New Roman" w:hAnsi="Times New Roman" w:cs="Times New Roman"/>
        </w:rPr>
      </w:pPr>
      <w:r w:rsidRPr="008778AA">
        <w:rPr>
          <w:rFonts w:ascii="Times New Roman" w:hAnsi="Times New Roman" w:cs="Times New Roman"/>
        </w:rPr>
        <w:lastRenderedPageBreak/>
        <w:t>Net liabilities were also unusual on the balance sheet, as IHG continued to report them throughout the period, with the balance reaching $2,736 million in 2025. This isn't necessarily a bad sign as IHG's asset-light model demands less capital in owned property than traditional hotel companies</w:t>
      </w:r>
      <w:r w:rsidR="00A45502" w:rsidRPr="008778AA">
        <w:rPr>
          <w:rFonts w:ascii="Times New Roman" w:hAnsi="Times New Roman" w:cs="Times New Roman"/>
        </w:rPr>
        <w:t xml:space="preserve"> </w:t>
      </w:r>
      <w:r w:rsidR="00A45502" w:rsidRPr="008778AA">
        <w:rPr>
          <w:rFonts w:ascii="Times New Roman" w:hAnsi="Times New Roman" w:cs="Times New Roman"/>
        </w:rPr>
        <w:fldChar w:fldCharType="begin" w:fldLock="1"/>
      </w:r>
      <w:r w:rsidR="00A45502" w:rsidRPr="008778AA">
        <w:rPr>
          <w:rFonts w:ascii="Times New Roman" w:hAnsi="Times New Roman" w:cs="Times New Roman"/>
        </w:rPr>
        <w:instrText>ADDIN CSL_CITATION {"citationItems":[{"id":"ITEM-1","itemData":{"ISBN":"978-86-7912-876-8","author":[{"dropping-particle":"","family":"Mizdraković","given":"Vule","non-dropping-particle":"","parse-names":false,"suffix":""},{"dropping-particle":"","family":"Radojević","given":"Tijana","non-dropping-particle":"","parse-names":false,"suffix":""},{"dropping-particle":"","family":"Milojković","given":"Danka","non-dropping-particle":"","parse-names":false,"suffix":""},{"dropping-particle":"","family":"Kljajić","given":"Maja","non-dropping-particle":"","parse-names":false,"suffix":""},{"dropping-particle":"","family":"Hadrović Zekić","given":"Blaženka","non-dropping-particle":"","parse-names":false,"suffix":""}],"container-title":"Tourism for People, Planet and Prosperity - What Needs to Happen by 2030? Book of Proceedings","id":"ITEM-1","issued":{"date-parts":[["2025","12"]]},"page":"23-28","publisher":"Singidunum University","publisher-place":"Belgrade, Serbia","title":"Asset-heavy or asset-light? Financial performance implications in the luxury hotel industry","type":"paper-conference"},"uris":["http://www.mendeley.com/documents/?uuid=123d55c8-e4ee-40cd-bdc5-2d72cd07f86d"]}],"mendeley":{"formattedCitation":"(Mizdraković &lt;i&gt;et al.&lt;/i&gt;, 2025)","plainTextFormattedCitation":"(Mizdraković et al., 2025)","previouslyFormattedCitation":"(Mizdraković &lt;i&gt;et al.&lt;/i&gt;, 2025)"},"properties":{"noteIndex":0},"schema":"https://github.com/citation-style-language/schema/raw/master/csl-citation.json"}</w:instrText>
      </w:r>
      <w:r w:rsidR="00A45502" w:rsidRPr="008778AA">
        <w:rPr>
          <w:rFonts w:ascii="Times New Roman" w:hAnsi="Times New Roman" w:cs="Times New Roman"/>
        </w:rPr>
        <w:fldChar w:fldCharType="separate"/>
      </w:r>
      <w:r w:rsidR="00A45502" w:rsidRPr="008778AA">
        <w:rPr>
          <w:rFonts w:ascii="Times New Roman" w:hAnsi="Times New Roman" w:cs="Times New Roman"/>
          <w:noProof/>
        </w:rPr>
        <w:t xml:space="preserve">(Mizdraković </w:t>
      </w:r>
      <w:r w:rsidR="00A45502" w:rsidRPr="008778AA">
        <w:rPr>
          <w:rFonts w:ascii="Times New Roman" w:hAnsi="Times New Roman" w:cs="Times New Roman"/>
          <w:i/>
          <w:noProof/>
        </w:rPr>
        <w:t>et al.</w:t>
      </w:r>
      <w:r w:rsidR="00A45502" w:rsidRPr="008778AA">
        <w:rPr>
          <w:rFonts w:ascii="Times New Roman" w:hAnsi="Times New Roman" w:cs="Times New Roman"/>
          <w:noProof/>
        </w:rPr>
        <w:t>, 2025)</w:t>
      </w:r>
      <w:r w:rsidR="00A45502" w:rsidRPr="008778AA">
        <w:rPr>
          <w:rFonts w:ascii="Times New Roman" w:hAnsi="Times New Roman" w:cs="Times New Roman"/>
        </w:rPr>
        <w:fldChar w:fldCharType="end"/>
      </w:r>
      <w:r w:rsidRPr="008778AA">
        <w:rPr>
          <w:rFonts w:ascii="Times New Roman" w:hAnsi="Times New Roman" w:cs="Times New Roman"/>
        </w:rPr>
        <w:t xml:space="preserve">. But it does makes the discipline of cash generation and covenants more important. Operating cash flow was also positive over the period and strengthened from $636m in 2021 to $898m in 2025, which enabled the payment of ordinary dividends and significant buybacks. </w:t>
      </w:r>
      <w:r w:rsidR="00A80675" w:rsidRPr="00A80675">
        <w:rPr>
          <w:rFonts w:ascii="Times New Roman" w:hAnsi="Times New Roman" w:cs="Times New Roman"/>
        </w:rPr>
        <w:t>So it's a positive trend from a CFO perspective, but there is a balance to be struck among distributions to shareholders, investments in debt, technology and cyclical hospitality risks</w:t>
      </w:r>
      <w:r w:rsidR="00A45502" w:rsidRPr="008778AA">
        <w:rPr>
          <w:rFonts w:ascii="Times New Roman" w:hAnsi="Times New Roman" w:cs="Times New Roman"/>
        </w:rPr>
        <w:t xml:space="preserve"> </w:t>
      </w:r>
      <w:r w:rsidR="00A45502" w:rsidRPr="008778AA">
        <w:rPr>
          <w:rFonts w:ascii="Times New Roman" w:hAnsi="Times New Roman" w:cs="Times New Roman"/>
        </w:rPr>
        <w:fldChar w:fldCharType="begin" w:fldLock="1"/>
      </w:r>
      <w:r w:rsidR="00A45502" w:rsidRPr="008778AA">
        <w:rPr>
          <w:rFonts w:ascii="Times New Roman" w:hAnsi="Times New Roman" w:cs="Times New Roman"/>
        </w:rPr>
        <w:instrText>ADDIN CSL_CITATION {"citationItems":[{"id":"ITEM-1","itemData":{"author":[{"dropping-particle":"","family":"Gupta","given":"Nidhi","non-dropping-particle":"","parse-names":false,"suffix":""}],"id":"ITEM-1","issued":{"date-parts":[["2024"]]},"title":"Beyond the Balance Sheet: The Strategic Role of Today’s CFO","type":"article-journal"},"uris":["http://www.mendeley.com/documents/?uuid=3622d788-d406-4e92-8072-ba3c5b73e969"]}],"mendeley":{"formattedCitation":"(Gupta, 2024)","plainTextFormattedCitation":"(Gupta, 2024)","previouslyFormattedCitation":"(Gupta, 2024)"},"properties":{"noteIndex":0},"schema":"https://github.com/citation-style-language/schema/raw/master/csl-citation.json"}</w:instrText>
      </w:r>
      <w:r w:rsidR="00A45502" w:rsidRPr="008778AA">
        <w:rPr>
          <w:rFonts w:ascii="Times New Roman" w:hAnsi="Times New Roman" w:cs="Times New Roman"/>
        </w:rPr>
        <w:fldChar w:fldCharType="separate"/>
      </w:r>
      <w:r w:rsidR="00A45502" w:rsidRPr="008778AA">
        <w:rPr>
          <w:rFonts w:ascii="Times New Roman" w:hAnsi="Times New Roman" w:cs="Times New Roman"/>
          <w:noProof/>
        </w:rPr>
        <w:t>(Gupta, 2024)</w:t>
      </w:r>
      <w:r w:rsidR="00A45502" w:rsidRPr="008778AA">
        <w:rPr>
          <w:rFonts w:ascii="Times New Roman" w:hAnsi="Times New Roman" w:cs="Times New Roman"/>
        </w:rPr>
        <w:fldChar w:fldCharType="end"/>
      </w:r>
      <w:r w:rsidRPr="008778AA">
        <w:rPr>
          <w:rFonts w:ascii="Times New Roman" w:hAnsi="Times New Roman" w:cs="Times New Roman"/>
        </w:rPr>
        <w:t>.</w:t>
      </w:r>
    </w:p>
    <w:p w14:paraId="7911B707" w14:textId="218B4388" w:rsidR="007B781F" w:rsidRPr="008778AA" w:rsidRDefault="007B781F" w:rsidP="00AF2BDF">
      <w:pPr>
        <w:pStyle w:val="Heading2"/>
      </w:pPr>
      <w:bookmarkStart w:id="9" w:name="_Toc233392949"/>
      <w:bookmarkStart w:id="10" w:name="_Toc233884795"/>
      <w:r w:rsidRPr="00AF2BDF">
        <w:t>Profitability</w:t>
      </w:r>
      <w:r w:rsidRPr="008778AA">
        <w:t xml:space="preserve"> ratio analysis</w:t>
      </w:r>
      <w:bookmarkEnd w:id="9"/>
      <w:bookmarkEnd w:id="10"/>
    </w:p>
    <w:p w14:paraId="1BD06723" w14:textId="0DEAB5FB" w:rsidR="00892988" w:rsidRPr="008778AA" w:rsidRDefault="00892988" w:rsidP="008778AA">
      <w:pPr>
        <w:spacing w:line="360" w:lineRule="auto"/>
        <w:jc w:val="both"/>
        <w:rPr>
          <w:rFonts w:ascii="Times New Roman" w:hAnsi="Times New Roman" w:cs="Times New Roman"/>
        </w:rPr>
      </w:pPr>
      <w:r w:rsidRPr="008778AA">
        <w:rPr>
          <w:rFonts w:ascii="Times New Roman" w:hAnsi="Times New Roman" w:cs="Times New Roman"/>
        </w:rPr>
        <w:t>The profitability ratios used were the standard ratios: operating profit margin, net profit margin, ROA and ROCE</w:t>
      </w:r>
      <w:r w:rsidR="005B748B" w:rsidRPr="005B748B">
        <w:rPr>
          <w:rFonts w:ascii="Times New Roman" w:hAnsi="Times New Roman" w:cs="Times New Roman"/>
        </w:rPr>
        <w:t>. On this basis, IHG’s operating profit margin moved from 17.0% in 2021 to 16.1% in 2022, before strengthening to 23.1% in 2023. It then softened to 21.1% in 2024, before recovering to 23.1% in 2025</w:t>
      </w:r>
      <w:r w:rsidRPr="008778AA">
        <w:rPr>
          <w:rFonts w:ascii="Times New Roman" w:hAnsi="Times New Roman" w:cs="Times New Roman"/>
        </w:rPr>
        <w:t xml:space="preserve"> Net profit margin followed a similar direction, rising from 9.1% in 2021 to 16.2% in 2023, before falling to 12.8% in 2024 and improving again to 14.6% in 2025. This suggests that IHG's profit recovery was not just revenue driven, but also benefited by operating leverage, fee expansion and cost control and discipline</w:t>
      </w:r>
      <w:r w:rsidR="00A45502" w:rsidRPr="008778AA">
        <w:rPr>
          <w:rFonts w:ascii="Times New Roman" w:hAnsi="Times New Roman" w:cs="Times New Roman"/>
        </w:rPr>
        <w:t xml:space="preserve"> </w:t>
      </w:r>
      <w:r w:rsidR="00A45502" w:rsidRPr="008778AA">
        <w:rPr>
          <w:rFonts w:ascii="Times New Roman" w:hAnsi="Times New Roman" w:cs="Times New Roman"/>
        </w:rPr>
        <w:fldChar w:fldCharType="begin" w:fldLock="1"/>
      </w:r>
      <w:r w:rsidR="00A45502" w:rsidRPr="008778AA">
        <w:rPr>
          <w:rFonts w:ascii="Times New Roman" w:hAnsi="Times New Roman" w:cs="Times New Roman"/>
        </w:rPr>
        <w:instrText>ADDIN CSL_CITATION {"citationItems":[{"id":"ITEM-1","itemData":{"ISSN":"2470-4393","abstract":"This report examines the impact of COVID-19 on hotel industries and their management adaptations through the example of an IHG brand hotel. By presenting and analyzing the hotel’s data of 2020, a trend of noticeable decrease in booking and room revenue can be found. This report also illustrates the hotel’s service improvement program, which is used to counter such decrease in its revenues.","author":[{"dropping-particle":"","family":"Zhao","given":"Yilin","non-dropping-particle":"","parse-names":false,"suffix":""}],"container-title":"Research in Economics and Management","id":"ITEM-1","issue":"4","issued":{"date-parts":[["2020","11","20"]]},"page":"p164","title":"Report on Hotel Revenue and IHG’s Improvement Plan during COVID-19","type":"article-journal","volume":"5"},"uris":["http://www.mendeley.com/documents/?uuid=e5e788f8-675d-45c0-8d79-e8f7c51fd0d8"]}],"mendeley":{"formattedCitation":"(Zhao, 2020)","plainTextFormattedCitation":"(Zhao, 2020)","previouslyFormattedCitation":"(Zhao, 2020)"},"properties":{"noteIndex":0},"schema":"https://github.com/citation-style-language/schema/raw/master/csl-citation.json"}</w:instrText>
      </w:r>
      <w:r w:rsidR="00A45502" w:rsidRPr="008778AA">
        <w:rPr>
          <w:rFonts w:ascii="Times New Roman" w:hAnsi="Times New Roman" w:cs="Times New Roman"/>
        </w:rPr>
        <w:fldChar w:fldCharType="separate"/>
      </w:r>
      <w:r w:rsidR="00A45502" w:rsidRPr="008778AA">
        <w:rPr>
          <w:rFonts w:ascii="Times New Roman" w:hAnsi="Times New Roman" w:cs="Times New Roman"/>
          <w:noProof/>
        </w:rPr>
        <w:t>(Zhao, 2020)</w:t>
      </w:r>
      <w:r w:rsidR="00A45502" w:rsidRPr="008778AA">
        <w:rPr>
          <w:rFonts w:ascii="Times New Roman" w:hAnsi="Times New Roman" w:cs="Times New Roman"/>
        </w:rPr>
        <w:fldChar w:fldCharType="end"/>
      </w:r>
      <w:r w:rsidRPr="008778AA">
        <w:rPr>
          <w:rFonts w:ascii="Times New Roman" w:hAnsi="Times New Roman" w:cs="Times New Roman"/>
        </w:rPr>
        <w:t>.</w:t>
      </w:r>
    </w:p>
    <w:p w14:paraId="2E88B94F" w14:textId="4263D5F5" w:rsidR="007B781F" w:rsidRPr="008778AA" w:rsidRDefault="00892988" w:rsidP="008778AA">
      <w:pPr>
        <w:spacing w:line="360" w:lineRule="auto"/>
        <w:jc w:val="both"/>
        <w:rPr>
          <w:rFonts w:ascii="Times New Roman" w:hAnsi="Times New Roman" w:cs="Times New Roman"/>
        </w:rPr>
      </w:pPr>
      <w:r w:rsidRPr="008778AA">
        <w:rPr>
          <w:rFonts w:ascii="Times New Roman" w:hAnsi="Times New Roman" w:cs="Times New Roman"/>
        </w:rPr>
        <w:t>ROA improved from 5.4% in 2021 to 15.0% in 2025, while ROCE increased from 16.0% to 36.9%. These capital based ratios should be used with caution, however, as IHG's asset light business model and the fact that they are facing negative equity may make the returns look unusual. Basic EPS increased from 145.4 cents in 2021 to 443.8 cents in 2023, declined to 389.6 cents in 2024, and rose again in 2025. Notwithstanding, profitability is solid, and sustainability will rely on ongoing RevPAR growth and owner demand, cost control, and disciplined reinvestment as opposed to simply enhancing EPS through buybacks</w:t>
      </w:r>
      <w:r w:rsidR="00A45502" w:rsidRPr="008778AA">
        <w:rPr>
          <w:rFonts w:ascii="Times New Roman" w:hAnsi="Times New Roman" w:cs="Times New Roman"/>
        </w:rPr>
        <w:t xml:space="preserve"> </w:t>
      </w:r>
      <w:r w:rsidR="00A45502" w:rsidRPr="008778AA">
        <w:rPr>
          <w:rFonts w:ascii="Times New Roman" w:hAnsi="Times New Roman" w:cs="Times New Roman"/>
        </w:rPr>
        <w:fldChar w:fldCharType="begin" w:fldLock="1"/>
      </w:r>
      <w:r w:rsidR="00A45502" w:rsidRPr="008778AA">
        <w:rPr>
          <w:rFonts w:ascii="Times New Roman" w:hAnsi="Times New Roman" w:cs="Times New Roman"/>
        </w:rPr>
        <w:instrText>ADDIN CSL_CITATION {"citationItems":[{"id":"ITEM-1","itemData":{"ISSN":"22916822","abstract":"This study aimed to clarify the relationship between profitability, investment opportunities, and sustainable profits for industrial companies listed on the Amman Stock Exchange. The population consisted of all 53 industrial companies on the Exchange in 2022. Financial data was obtained for the period 2018-2022, including metrics on investment opportunities and profitability. Using statistical analysis like regression testing, we assessed the data to test hypotheses and reveal insights. Existing research presents mixed findings; some studies suggest a positive link between investment chances and financial performance and profit durability, while others make the opposite claim. Our results contribute uniquely to this ongoing debate by providing statistical evidence that investment opportunities have a robust, positive impact on profit sustainability. Additionally, profitability strongly influences both investment opportunity indicators and profit sustainability for these industrial companies. These conclusions assist stakeholders in justifying financial acquisitions and allocating capital to potential investments. The findings also aid in shaping short and long-term investment approaches aligned with company goals and policies. This can increase value creation for shareholders by enhancing profitability and sustaining profits over time. In summary, by quantitatively demonstrating the interconnected nature of profitability, investment opportunities and durable profits, this study equips decision makers to make informed strategic choices that promote growth and sustainability. The analysis methods and results add valuable insights to academic and practical understanding of these relationships within Jordan's industrial sector.","author":[{"dropping-particle":"","family":"Alshehadeh","given":"Abdul Razzak","non-dropping-particle":"","parse-names":false,"suffix":""},{"dropping-particle":"","family":"Elrefae","given":"Ghaleb Awad","non-dropping-particle":"","parse-names":false,"suffix":""},{"dropping-particle":"El","family":"Qirem","given":"Ihab Ali","non-dropping-particle":"","parse-names":false,"suffix":""},{"dropping-particle":"","family":"Hatamleh","given":"Habes Mohammad","non-dropping-particle":"","parse-names":false,"suffix":""},{"dropping-particle":"","family":"AlKhawaja","given":"Haneen","non-dropping-particle":"","parse-names":false,"suffix":""}],"container-title":"Uncertain Supply Chain Management","id":"ITEM-1","issue":"2","issued":{"date-parts":[["2024"]]},"page":"871-882","title":"Impact of profitability on investment opportunities and its effect on profit sustainability","type":"article-journal","volume":"12"},"uris":["http://www.mendeley.com/documents/?uuid=f46c69a9-3fbc-41b8-8447-c74e33f19c4c"]}],"mendeley":{"formattedCitation":"(Alshehadeh &lt;i&gt;et al.&lt;/i&gt;, 2024)","plainTextFormattedCitation":"(Alshehadeh et al., 2024)","previouslyFormattedCitation":"(Alshehadeh &lt;i&gt;et al.&lt;/i&gt;, 2024)"},"properties":{"noteIndex":0},"schema":"https://github.com/citation-style-language/schema/raw/master/csl-citation.json"}</w:instrText>
      </w:r>
      <w:r w:rsidR="00A45502" w:rsidRPr="008778AA">
        <w:rPr>
          <w:rFonts w:ascii="Times New Roman" w:hAnsi="Times New Roman" w:cs="Times New Roman"/>
        </w:rPr>
        <w:fldChar w:fldCharType="separate"/>
      </w:r>
      <w:r w:rsidR="00A45502" w:rsidRPr="008778AA">
        <w:rPr>
          <w:rFonts w:ascii="Times New Roman" w:hAnsi="Times New Roman" w:cs="Times New Roman"/>
          <w:noProof/>
        </w:rPr>
        <w:t xml:space="preserve">(Alshehadeh </w:t>
      </w:r>
      <w:r w:rsidR="00A45502" w:rsidRPr="008778AA">
        <w:rPr>
          <w:rFonts w:ascii="Times New Roman" w:hAnsi="Times New Roman" w:cs="Times New Roman"/>
          <w:i/>
          <w:noProof/>
        </w:rPr>
        <w:t>et al.</w:t>
      </w:r>
      <w:r w:rsidR="00A45502" w:rsidRPr="008778AA">
        <w:rPr>
          <w:rFonts w:ascii="Times New Roman" w:hAnsi="Times New Roman" w:cs="Times New Roman"/>
          <w:noProof/>
        </w:rPr>
        <w:t>, 2024)</w:t>
      </w:r>
      <w:r w:rsidR="00A45502" w:rsidRPr="008778AA">
        <w:rPr>
          <w:rFonts w:ascii="Times New Roman" w:hAnsi="Times New Roman" w:cs="Times New Roman"/>
        </w:rPr>
        <w:fldChar w:fldCharType="end"/>
      </w:r>
      <w:r w:rsidRPr="008778AA">
        <w:rPr>
          <w:rFonts w:ascii="Times New Roman" w:hAnsi="Times New Roman" w:cs="Times New Roman"/>
        </w:rPr>
        <w:t>.</w:t>
      </w:r>
    </w:p>
    <w:p w14:paraId="6C04080C" w14:textId="196F07F3" w:rsidR="007B781F" w:rsidRPr="008778AA" w:rsidRDefault="007B781F" w:rsidP="00AF2BDF">
      <w:pPr>
        <w:pStyle w:val="Heading2"/>
      </w:pPr>
      <w:bookmarkStart w:id="11" w:name="_Toc233392950"/>
      <w:bookmarkStart w:id="12" w:name="_Toc233884796"/>
      <w:r w:rsidRPr="008778AA">
        <w:t>Liquidity ratio analysis and industry benchmark comparison</w:t>
      </w:r>
      <w:bookmarkEnd w:id="11"/>
      <w:bookmarkEnd w:id="12"/>
    </w:p>
    <w:p w14:paraId="1F52D5D5" w14:textId="7CF8BBBE" w:rsidR="00B82405" w:rsidRPr="008778AA" w:rsidRDefault="00892988" w:rsidP="008778AA">
      <w:pPr>
        <w:spacing w:line="360" w:lineRule="auto"/>
        <w:jc w:val="both"/>
        <w:rPr>
          <w:rFonts w:ascii="Times New Roman" w:hAnsi="Times New Roman" w:cs="Times New Roman"/>
        </w:rPr>
      </w:pPr>
      <w:r w:rsidRPr="008778AA">
        <w:rPr>
          <w:rFonts w:ascii="Times New Roman" w:hAnsi="Times New Roman" w:cs="Times New Roman"/>
        </w:rPr>
        <w:t xml:space="preserve">Four ratios were used for the assessment of the liquidity: current ratio, quick ratio, cash ratio and the ratio of operating cash flow to current ratio. IHG’s current ratio declined from 1.27 in 2021 to 1.09 in 2022, before falling below 1.00 in 2023, 2024 and 2025. The quick ratio had a similar trend as the current ratio, as inventories are insignificant in IHG's business. The ratio for 2025 is a current </w:t>
      </w:r>
      <w:r w:rsidRPr="008778AA">
        <w:rPr>
          <w:rFonts w:ascii="Times New Roman" w:hAnsi="Times New Roman" w:cs="Times New Roman"/>
        </w:rPr>
        <w:lastRenderedPageBreak/>
        <w:t>ratio of 0.98 and quick ratio of 0.97, meaning that current liabilities slightly surpassed current assets.</w:t>
      </w:r>
    </w:p>
    <w:p w14:paraId="5AAFF8C6" w14:textId="77777777" w:rsidR="000A14F3" w:rsidRPr="008778AA" w:rsidRDefault="000A14F3" w:rsidP="008778AA">
      <w:pPr>
        <w:keepNext/>
        <w:spacing w:line="360" w:lineRule="auto"/>
        <w:jc w:val="center"/>
        <w:rPr>
          <w:rFonts w:ascii="Times New Roman" w:hAnsi="Times New Roman" w:cs="Times New Roman"/>
        </w:rPr>
      </w:pPr>
      <w:r w:rsidRPr="008778AA">
        <w:rPr>
          <w:rFonts w:ascii="Times New Roman" w:hAnsi="Times New Roman" w:cs="Times New Roman"/>
          <w:noProof/>
        </w:rPr>
        <w:drawing>
          <wp:inline distT="0" distB="0" distL="0" distR="0" wp14:anchorId="4798E861" wp14:editId="373D6221">
            <wp:extent cx="5291138" cy="3081338"/>
            <wp:effectExtent l="0" t="0" r="5080" b="5080"/>
            <wp:docPr id="1286544" name="Chart 1">
              <a:extLst xmlns:a="http://schemas.openxmlformats.org/drawingml/2006/main">
                <a:ext uri="{FF2B5EF4-FFF2-40B4-BE49-F238E27FC236}">
                  <a16:creationId xmlns:a16="http://schemas.microsoft.com/office/drawing/2014/main" id="{31B03F68-6896-6FED-3C8D-CAE249A38B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4E63985" w14:textId="0BF514BD" w:rsidR="000A14F3" w:rsidRPr="008778AA" w:rsidRDefault="000A14F3" w:rsidP="008778AA">
      <w:pPr>
        <w:pStyle w:val="Caption"/>
        <w:spacing w:line="360" w:lineRule="auto"/>
        <w:jc w:val="center"/>
        <w:rPr>
          <w:rFonts w:ascii="Times New Roman" w:hAnsi="Times New Roman" w:cs="Times New Roman"/>
        </w:rPr>
      </w:pPr>
      <w:r w:rsidRPr="008778AA">
        <w:rPr>
          <w:rFonts w:ascii="Times New Roman" w:hAnsi="Times New Roman" w:cs="Times New Roman"/>
        </w:rPr>
        <w:t xml:space="preserve">Figure </w:t>
      </w:r>
      <w:r w:rsidRPr="008778AA">
        <w:rPr>
          <w:rFonts w:ascii="Times New Roman" w:hAnsi="Times New Roman" w:cs="Times New Roman"/>
        </w:rPr>
        <w:fldChar w:fldCharType="begin"/>
      </w:r>
      <w:r w:rsidRPr="008778AA">
        <w:rPr>
          <w:rFonts w:ascii="Times New Roman" w:hAnsi="Times New Roman" w:cs="Times New Roman"/>
        </w:rPr>
        <w:instrText xml:space="preserve"> SEQ Figure \* ARABIC </w:instrText>
      </w:r>
      <w:r w:rsidRPr="008778AA">
        <w:rPr>
          <w:rFonts w:ascii="Times New Roman" w:hAnsi="Times New Roman" w:cs="Times New Roman"/>
        </w:rPr>
        <w:fldChar w:fldCharType="separate"/>
      </w:r>
      <w:r w:rsidR="00B34136" w:rsidRPr="008778AA">
        <w:rPr>
          <w:rFonts w:ascii="Times New Roman" w:hAnsi="Times New Roman" w:cs="Times New Roman"/>
          <w:noProof/>
        </w:rPr>
        <w:t>3</w:t>
      </w:r>
      <w:r w:rsidRPr="008778AA">
        <w:rPr>
          <w:rFonts w:ascii="Times New Roman" w:hAnsi="Times New Roman" w:cs="Times New Roman"/>
        </w:rPr>
        <w:fldChar w:fldCharType="end"/>
      </w:r>
      <w:r w:rsidRPr="008778AA">
        <w:rPr>
          <w:rFonts w:ascii="Times New Roman" w:hAnsi="Times New Roman" w:cs="Times New Roman"/>
        </w:rPr>
        <w:t>- Liquidity ratio trend, 2021–2025</w:t>
      </w:r>
    </w:p>
    <w:p w14:paraId="62D70A51" w14:textId="6E810130" w:rsidR="007B781F" w:rsidRPr="008778AA" w:rsidRDefault="00892988" w:rsidP="008778AA">
      <w:pPr>
        <w:spacing w:line="360" w:lineRule="auto"/>
        <w:jc w:val="both"/>
        <w:rPr>
          <w:rFonts w:ascii="Times New Roman" w:hAnsi="Times New Roman" w:cs="Times New Roman"/>
        </w:rPr>
      </w:pPr>
      <w:r w:rsidRPr="008778AA">
        <w:rPr>
          <w:rFonts w:ascii="Times New Roman" w:hAnsi="Times New Roman" w:cs="Times New Roman"/>
        </w:rPr>
        <w:t>This is not to be taken as a mechanical sign of weak liquidity, however. IHG's cash ratio was comparatively robust at 0.54 in 2025, and operating cash flow ratio rose to 0.43, indicating that its operating cash generation is adequately supporting its short-term obligations. IHG currently has a higher ratio than the external hospitality peers, which average around 0.75–0.76, but a lower quick ratio than the wider travel and leisure industry median of about 1.13. However, given the downward trend from 2021, there is less short-term headroom and so protecting liquidity from interest costs, inflation, geopolitical uncertainly, and ongoing technology and ESG investment requirements should be done actively</w:t>
      </w:r>
      <w:r w:rsidR="00A45502" w:rsidRPr="008778AA">
        <w:rPr>
          <w:rFonts w:ascii="Times New Roman" w:hAnsi="Times New Roman" w:cs="Times New Roman"/>
        </w:rPr>
        <w:t xml:space="preserve"> </w:t>
      </w:r>
      <w:r w:rsidR="00A45502" w:rsidRPr="008778AA">
        <w:rPr>
          <w:rFonts w:ascii="Times New Roman" w:hAnsi="Times New Roman" w:cs="Times New Roman"/>
        </w:rPr>
        <w:fldChar w:fldCharType="begin" w:fldLock="1"/>
      </w:r>
      <w:r w:rsidR="0029177B" w:rsidRPr="008778AA">
        <w:rPr>
          <w:rFonts w:ascii="Times New Roman" w:hAnsi="Times New Roman" w:cs="Times New Roman"/>
        </w:rPr>
        <w:instrText>ADDIN CSL_CITATION {"citationItems":[{"id":"ITEM-1","itemData":{"ISSN":"2754-1169","abstract":"In recent years, ESG (Environmental, Social, and Governance) investment has significantly integrated into investment strategies worldwide. The concept of ESG investing is not merely a fleeting trend but rather an essential tool for investors looking towards sustainable and responsible investment practices. With the evolution and adoption of ESG investments in the global market, a thorough examination of ESG investment practices reveals valuable insights. Nowadays, in economic landscape, the emphasis on ESG factors in investment decisions continues to grow, underscoring the importance of responsible investing practices in fostering long-term value creation and societal impact. This study offers noteworthy recommendations regarding ESG investment standards, aiming to drive improved ESG performance within enterprises. By adhering to robust ESG criteria, organizations can access enhanced financial prospects, paving the way for them to garner increased social recognition. Besides, this paper also put forward countermeasures and suggestions for China's ESG to improve China's ESG information disclosure system and the awareness of ESG.","author":[{"dropping-particle":"","family":"Yan","given":"Yunqi","non-dropping-particle":"","parse-names":false,"suffix":""}],"container-title":"Advances in Economics, Management and Political Sciences","id":"ITEM-1","issue":"1","issued":{"date-parts":[["2024","10","25"]]},"page":"14-22","title":"The Impact of ESG Standards and Investment : Global Trends and Practices","type":"article-journal","volume":"121"},"uris":["http://www.mendeley.com/documents/?uuid=af761fc8-bf0e-4ac0-a41d-f08fa4246be6"]}],"mendeley":{"formattedCitation":"(Yan, 2024)","plainTextFormattedCitation":"(Yan, 2024)","previouslyFormattedCitation":"(Yan, 2024)"},"properties":{"noteIndex":0},"schema":"https://github.com/citation-style-language/schema/raw/master/csl-citation.json"}</w:instrText>
      </w:r>
      <w:r w:rsidR="00A45502" w:rsidRPr="008778AA">
        <w:rPr>
          <w:rFonts w:ascii="Times New Roman" w:hAnsi="Times New Roman" w:cs="Times New Roman"/>
        </w:rPr>
        <w:fldChar w:fldCharType="separate"/>
      </w:r>
      <w:r w:rsidR="00A45502" w:rsidRPr="008778AA">
        <w:rPr>
          <w:rFonts w:ascii="Times New Roman" w:hAnsi="Times New Roman" w:cs="Times New Roman"/>
          <w:noProof/>
        </w:rPr>
        <w:t>(Yan, 2024)</w:t>
      </w:r>
      <w:r w:rsidR="00A45502" w:rsidRPr="008778AA">
        <w:rPr>
          <w:rFonts w:ascii="Times New Roman" w:hAnsi="Times New Roman" w:cs="Times New Roman"/>
        </w:rPr>
        <w:fldChar w:fldCharType="end"/>
      </w:r>
      <w:r w:rsidRPr="008778AA">
        <w:rPr>
          <w:rFonts w:ascii="Times New Roman" w:hAnsi="Times New Roman" w:cs="Times New Roman"/>
        </w:rPr>
        <w:t>.</w:t>
      </w:r>
    </w:p>
    <w:p w14:paraId="4D5F9342" w14:textId="6ACDF758" w:rsidR="007B781F" w:rsidRPr="008778AA" w:rsidRDefault="007B781F" w:rsidP="00AF2BDF">
      <w:pPr>
        <w:pStyle w:val="Heading2"/>
      </w:pPr>
      <w:bookmarkStart w:id="13" w:name="_Toc233392951"/>
      <w:bookmarkStart w:id="14" w:name="_Toc233884797"/>
      <w:r w:rsidRPr="008778AA">
        <w:t>Efficiency ratio analysis</w:t>
      </w:r>
      <w:bookmarkEnd w:id="13"/>
      <w:bookmarkEnd w:id="14"/>
    </w:p>
    <w:p w14:paraId="02482E43" w14:textId="2D665254" w:rsidR="009C63C4"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Receivables days, payables days, asset turnover and working capital turnover were used to measure efficiency. Average Trade and Other Receivables were divided by the total revenue multiplied by 365 to arrive at receivables days</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29177B" w:rsidRPr="008778AA">
        <w:rPr>
          <w:rFonts w:ascii="Times New Roman" w:hAnsi="Times New Roman" w:cs="Times New Roman"/>
        </w:rPr>
        <w:instrText>ADDIN CSL_CITATION {"citationItems":[{"id":"ITEM-1","itemData":{"author":[{"dropping-particle":"","family":"Ljunggren","given":"Petter","non-dropping-particle":"","parse-names":false,"suffix":""}],"id":"ITEM-1","issued":{"date-parts":[["2025"]]},"title":"Accounts Receivable","type":"article-journal"},"uris":["http://www.mendeley.com/documents/?uuid=c52db637-df70-43fe-8ba7-366ab38ba826"]}],"mendeley":{"formattedCitation":"(Ljunggren, 2025)","plainTextFormattedCitation":"(Ljunggren, 2025)","previouslyFormattedCitation":"(Ljunggren, 2025)"},"properties":{"noteIndex":0},"schema":"https://github.com/citation-style-language/schema/raw/master/csl-citation.json"}</w:instrText>
      </w:r>
      <w:r w:rsidR="0029177B" w:rsidRPr="008778AA">
        <w:rPr>
          <w:rFonts w:ascii="Times New Roman" w:hAnsi="Times New Roman" w:cs="Times New Roman"/>
        </w:rPr>
        <w:fldChar w:fldCharType="separate"/>
      </w:r>
      <w:r w:rsidR="0029177B" w:rsidRPr="008778AA">
        <w:rPr>
          <w:rFonts w:ascii="Times New Roman" w:hAnsi="Times New Roman" w:cs="Times New Roman"/>
          <w:noProof/>
        </w:rPr>
        <w:t>(Ljunggren, 2025)</w:t>
      </w:r>
      <w:r w:rsidR="0029177B" w:rsidRPr="008778AA">
        <w:rPr>
          <w:rFonts w:ascii="Times New Roman" w:hAnsi="Times New Roman" w:cs="Times New Roman"/>
        </w:rPr>
        <w:fldChar w:fldCharType="end"/>
      </w:r>
      <w:r w:rsidRPr="008778AA">
        <w:rPr>
          <w:rFonts w:ascii="Times New Roman" w:hAnsi="Times New Roman" w:cs="Times New Roman"/>
        </w:rPr>
        <w:t>. Based on this, IHG has moved from around 68 days in 2021 to 57 days in 2025, indicating better revenue generation as trading activities are now in a more normal phase post-pandemic. The ratio of asset turnover rose from close to 0.60 times in 2021 to 1.03 times in 2025.</w:t>
      </w:r>
    </w:p>
    <w:p w14:paraId="3834F891" w14:textId="44562542" w:rsidR="00344C61" w:rsidRPr="008778AA" w:rsidRDefault="00344C61" w:rsidP="008778AA">
      <w:pPr>
        <w:spacing w:line="360" w:lineRule="auto"/>
        <w:jc w:val="both"/>
        <w:rPr>
          <w:rFonts w:ascii="Times New Roman" w:hAnsi="Times New Roman" w:cs="Times New Roman"/>
        </w:rPr>
      </w:pPr>
      <w:r w:rsidRPr="008778AA">
        <w:rPr>
          <w:rFonts w:ascii="Times New Roman" w:hAnsi="Times New Roman" w:cs="Times New Roman"/>
        </w:rPr>
        <w:lastRenderedPageBreak/>
        <w:t>Ratio of asset turnover= Total revenue/Average total assets</w:t>
      </w:r>
    </w:p>
    <w:p w14:paraId="4F19B714" w14:textId="143EA980" w:rsidR="007B781F"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The number of days taken to payables was brought down from around 66 days to 47 days using average trade and other payables to revenue. This could suggest increased settlement discipline, however this should be viewed with caution, as the flows of IHG are supplier- and owner-related, which makes them more complicated than a traditional inventory company. Working capital turnover is of little value since the net working capital is around or below zero</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29177B" w:rsidRPr="008778AA">
        <w:rPr>
          <w:rFonts w:ascii="Times New Roman" w:hAnsi="Times New Roman" w:cs="Times New Roman"/>
        </w:rPr>
        <w:instrText>ADDIN CSL_CITATION {"citationItems":[{"id":"ITEM-1","itemData":{"ISSN":"24546186","abstract":"This study aims to introduce another perspective to better understand working capital turnover ratio – a financial ratio that has been widely used in assessing working capital efficiency of a company. Using a true experimental and a simulation design method like simple business transactions, we find that this formula gives different figures. Management, therefore, may need to aware that the working capital turnover might be beneficial for analysts, but it may be not for financial managers. It provides different meaning as well as its relevancy for money management.","author":[{"dropping-particle":"","family":"Kabu","given":"Enos","non-dropping-particle":"","parse-names":false,"suffix":""},{"dropping-particle":"","family":"Y. Sahetapy Engle","given":"Stella","non-dropping-particle":"","parse-names":false,"suffix":""},{"dropping-particle":"","family":"C.B. Manteiro","given":"Maria","non-dropping-particle":"","parse-names":false,"suffix":""},{"dropping-particle":"","family":"Sakke Tira","given":"Deviarbi","non-dropping-particle":"","parse-names":false,"suffix":""}],"container-title":"International Journal of Research and Innovation in Social Science","id":"ITEM-1","issue":"IV","issued":{"date-parts":[["2024"]]},"page":"2042-2045","title":"Working Capital Turnover Ratio: A Managerial Perspective","type":"article-journal","volume":"VIII"},"uris":["http://www.mendeley.com/documents/?uuid=c9bca8a2-91c2-4983-9f52-a95be9c1c9f7"]}],"mendeley":{"formattedCitation":"(Kabu &lt;i&gt;et al.&lt;/i&gt;, 2024)","plainTextFormattedCitation":"(Kabu et al., 2024)","previouslyFormattedCitation":"(Kabu &lt;i&gt;et al.&lt;/i&gt;, 2024)"},"properties":{"noteIndex":0},"schema":"https://github.com/citation-style-language/schema/raw/master/csl-citation.json"}</w:instrText>
      </w:r>
      <w:r w:rsidR="0029177B" w:rsidRPr="008778AA">
        <w:rPr>
          <w:rFonts w:ascii="Times New Roman" w:hAnsi="Times New Roman" w:cs="Times New Roman"/>
        </w:rPr>
        <w:fldChar w:fldCharType="separate"/>
      </w:r>
      <w:r w:rsidR="0029177B" w:rsidRPr="008778AA">
        <w:rPr>
          <w:rFonts w:ascii="Times New Roman" w:hAnsi="Times New Roman" w:cs="Times New Roman"/>
          <w:noProof/>
        </w:rPr>
        <w:t xml:space="preserve">(Kabu </w:t>
      </w:r>
      <w:r w:rsidR="0029177B" w:rsidRPr="008778AA">
        <w:rPr>
          <w:rFonts w:ascii="Times New Roman" w:hAnsi="Times New Roman" w:cs="Times New Roman"/>
          <w:i/>
          <w:noProof/>
        </w:rPr>
        <w:t>et al.</w:t>
      </w:r>
      <w:r w:rsidR="0029177B" w:rsidRPr="008778AA">
        <w:rPr>
          <w:rFonts w:ascii="Times New Roman" w:hAnsi="Times New Roman" w:cs="Times New Roman"/>
          <w:noProof/>
        </w:rPr>
        <w:t>, 2024)</w:t>
      </w:r>
      <w:r w:rsidR="0029177B" w:rsidRPr="008778AA">
        <w:rPr>
          <w:rFonts w:ascii="Times New Roman" w:hAnsi="Times New Roman" w:cs="Times New Roman"/>
        </w:rPr>
        <w:fldChar w:fldCharType="end"/>
      </w:r>
      <w:r w:rsidRPr="008778AA">
        <w:rPr>
          <w:rFonts w:ascii="Times New Roman" w:hAnsi="Times New Roman" w:cs="Times New Roman"/>
        </w:rPr>
        <w:t xml:space="preserve">. The franchise system, </w:t>
      </w:r>
      <w:proofErr w:type="spellStart"/>
      <w:r w:rsidRPr="008778AA">
        <w:rPr>
          <w:rFonts w:ascii="Times New Roman" w:hAnsi="Times New Roman" w:cs="Times New Roman"/>
        </w:rPr>
        <w:t>centralised</w:t>
      </w:r>
      <w:proofErr w:type="spellEnd"/>
      <w:r w:rsidRPr="008778AA">
        <w:rPr>
          <w:rFonts w:ascii="Times New Roman" w:hAnsi="Times New Roman" w:cs="Times New Roman"/>
        </w:rPr>
        <w:t xml:space="preserve"> systems, IHG's loyalty </w:t>
      </w:r>
      <w:proofErr w:type="spellStart"/>
      <w:r w:rsidRPr="008778AA">
        <w:rPr>
          <w:rFonts w:ascii="Times New Roman" w:hAnsi="Times New Roman" w:cs="Times New Roman"/>
        </w:rPr>
        <w:t>programme</w:t>
      </w:r>
      <w:proofErr w:type="spellEnd"/>
      <w:r w:rsidRPr="008778AA">
        <w:rPr>
          <w:rFonts w:ascii="Times New Roman" w:hAnsi="Times New Roman" w:cs="Times New Roman"/>
        </w:rPr>
        <w:t xml:space="preserve"> and digital channels, such as the 81% enterprise contribution achieved in 2024, all bolster efficiency.</w:t>
      </w:r>
    </w:p>
    <w:p w14:paraId="53C95F13" w14:textId="14CB7471" w:rsidR="007B781F" w:rsidRPr="008778AA" w:rsidRDefault="007B781F" w:rsidP="00AF2BDF">
      <w:pPr>
        <w:pStyle w:val="Heading2"/>
      </w:pPr>
      <w:bookmarkStart w:id="15" w:name="_Toc233392952"/>
      <w:bookmarkStart w:id="16" w:name="_Toc233884798"/>
      <w:r w:rsidRPr="00AF2BDF">
        <w:t>Gearing</w:t>
      </w:r>
      <w:r w:rsidRPr="008778AA">
        <w:t xml:space="preserve"> and solvency ratio analysis</w:t>
      </w:r>
      <w:bookmarkEnd w:id="15"/>
      <w:bookmarkEnd w:id="16"/>
    </w:p>
    <w:p w14:paraId="03019C0A" w14:textId="77777777" w:rsidR="009C63C4"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 xml:space="preserve">Gearing was evaluated based on the debt to equity, debt to assets, interest cover and net debt. Solvency is better evaluated using debt-to-assets, net debt and covenant headroom as there was negative equity for the Group in 2021-2025, making debt-to-equity an irrelevant measurement for IHG. Using loans and other borrowings divided by total assets, IHG’s debt-to-assets ratio moved from approximately 60.3% in 2021 to 56.8% in 2022, then rose to 65.8% in 2023, 68.9% in 2024 and 78.6% in 2025. </w:t>
      </w:r>
    </w:p>
    <w:p w14:paraId="1B8174F0" w14:textId="1A028901" w:rsidR="007B781F"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Interest cover was 3.36 times in 2021 but rose to 11.71 times in 2023 before falling back to 5.13 times in 2024, and improving to 5.93 times in 2025. IHG's covenants were easily met on a leverage basis, with the 2024 ratio at 2.35 compared to the maximum of 4.0, and interest cover at 9.72 against a minimum of 3.5. Net debt increased from $2,272 million in 2023 to $2,782 million in 2024 and $3,333 million in 2025. The solvency situation is reasonable, but as debt rises, so should buybacks and dividends as long as they do not deplete capital for reinvestment in technology, brand-building and ESG resiliency</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29177B" w:rsidRPr="008778AA">
        <w:rPr>
          <w:rFonts w:ascii="Times New Roman" w:hAnsi="Times New Roman" w:cs="Times New Roman"/>
        </w:rPr>
        <w:instrText>ADDIN CSL_CITATION {"citationItems":[{"id":"ITEM-1","itemData":{"author":[{"dropping-particle":"","family":"Ajike","given":"Precious","non-dropping-particle":"","parse-names":false,"suffix":""}],"id":"ITEM-1","issued":{"date-parts":[["2025"]]},"title":"Assessing the Impact of Debt Ratio Variability on Corporate Solvency, Credit Risk Exposure, and Investment Decision- Making Efficiency","type":"article-journal"},"uris":["http://www.mendeley.com/documents/?uuid=2b500206-b14f-4063-ac78-3a38a87102f5"]}],"mendeley":{"formattedCitation":"(Ajike, 2025)","plainTextFormattedCitation":"(Ajike, 2025)","previouslyFormattedCitation":"(Ajike, 2025)"},"properties":{"noteIndex":0},"schema":"https://github.com/citation-style-language/schema/raw/master/csl-citation.json"}</w:instrText>
      </w:r>
      <w:r w:rsidR="0029177B" w:rsidRPr="008778AA">
        <w:rPr>
          <w:rFonts w:ascii="Times New Roman" w:hAnsi="Times New Roman" w:cs="Times New Roman"/>
        </w:rPr>
        <w:fldChar w:fldCharType="separate"/>
      </w:r>
      <w:r w:rsidR="0029177B" w:rsidRPr="008778AA">
        <w:rPr>
          <w:rFonts w:ascii="Times New Roman" w:hAnsi="Times New Roman" w:cs="Times New Roman"/>
          <w:noProof/>
        </w:rPr>
        <w:t>(Ajike, 2025)</w:t>
      </w:r>
      <w:r w:rsidR="0029177B" w:rsidRPr="008778AA">
        <w:rPr>
          <w:rFonts w:ascii="Times New Roman" w:hAnsi="Times New Roman" w:cs="Times New Roman"/>
        </w:rPr>
        <w:fldChar w:fldCharType="end"/>
      </w:r>
      <w:r w:rsidRPr="008778AA">
        <w:rPr>
          <w:rFonts w:ascii="Times New Roman" w:hAnsi="Times New Roman" w:cs="Times New Roman"/>
        </w:rPr>
        <w:t>.</w:t>
      </w:r>
    </w:p>
    <w:p w14:paraId="4DF4449E" w14:textId="786A6659" w:rsidR="00011E8A" w:rsidRPr="008778AA" w:rsidRDefault="00011E8A" w:rsidP="00AF2BDF">
      <w:pPr>
        <w:pStyle w:val="Heading2"/>
      </w:pPr>
      <w:bookmarkStart w:id="17" w:name="_Toc233392953"/>
      <w:bookmarkStart w:id="18" w:name="_Toc233884799"/>
      <w:r w:rsidRPr="008778AA">
        <w:t>Investment and shareholder ratio analysis</w:t>
      </w:r>
      <w:bookmarkEnd w:id="17"/>
      <w:bookmarkEnd w:id="18"/>
    </w:p>
    <w:p w14:paraId="2EF93C37" w14:textId="7A50E7ED" w:rsidR="00011E8A"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The investment performance was evaluated by means of simple EPS, dividend per share, dividend cover and share buyback activity. Basic EPS is defined as profit after tax, excluding preference dividend, attributable to the ordinary shareholders divided by the weighted average number of ordinary shares outstanding and dividend cover is defined as basic EPS divided by total dividend per share</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29177B" w:rsidRPr="008778AA">
        <w:rPr>
          <w:rFonts w:ascii="Times New Roman" w:hAnsi="Times New Roman" w:cs="Times New Roman"/>
        </w:rPr>
        <w:instrText>ADDIN CSL_CITATION {"citationItems":[{"id":"ITEM-1","itemData":{"author":[{"dropping-particle":"","family":"Kelly","given":"Gerard","non-dropping-particle":"","parse-names":false,"suffix":""}],"id":"ITEM-1","issued":{"date-parts":[["2020"]]},"title":"Earnings Per Share (Basic EPS)","type":"article-journal"},"uris":["http://www.mendeley.com/documents/?uuid=96b5ec8c-634b-440c-b154-ff5786c3fc58"]}],"mendeley":{"formattedCitation":"(Kelly, 2020)","plainTextFormattedCitation":"(Kelly, 2020)","previouslyFormattedCitation":"(Kelly, 2020)"},"properties":{"noteIndex":0},"schema":"https://github.com/citation-style-language/schema/raw/master/csl-citation.json"}</w:instrText>
      </w:r>
      <w:r w:rsidR="0029177B" w:rsidRPr="008778AA">
        <w:rPr>
          <w:rFonts w:ascii="Times New Roman" w:hAnsi="Times New Roman" w:cs="Times New Roman"/>
        </w:rPr>
        <w:fldChar w:fldCharType="separate"/>
      </w:r>
      <w:r w:rsidR="0029177B" w:rsidRPr="008778AA">
        <w:rPr>
          <w:rFonts w:ascii="Times New Roman" w:hAnsi="Times New Roman" w:cs="Times New Roman"/>
          <w:noProof/>
        </w:rPr>
        <w:t>(Kelly, 2020)</w:t>
      </w:r>
      <w:r w:rsidR="0029177B" w:rsidRPr="008778AA">
        <w:rPr>
          <w:rFonts w:ascii="Times New Roman" w:hAnsi="Times New Roman" w:cs="Times New Roman"/>
        </w:rPr>
        <w:fldChar w:fldCharType="end"/>
      </w:r>
      <w:r w:rsidRPr="008778AA">
        <w:rPr>
          <w:rFonts w:ascii="Times New Roman" w:hAnsi="Times New Roman" w:cs="Times New Roman"/>
        </w:rPr>
        <w:t xml:space="preserve">. IHG’s EPS increased from 145.4 cents in 2021 to 207.2 cents in 2022 and 443.8 cents in 2023, before declining to 389.6 cents in 2024 and rising to 490.9 cents in 2025. </w:t>
      </w:r>
      <w:r w:rsidRPr="008778AA">
        <w:rPr>
          <w:rFonts w:ascii="Times New Roman" w:hAnsi="Times New Roman" w:cs="Times New Roman"/>
        </w:rPr>
        <w:lastRenderedPageBreak/>
        <w:t xml:space="preserve">Dividend per share also increased consistently, from 85.9 cents proposed for 2021 to 184.5 cents for 2025, giving dividend cover of approximately 1.7 times in 2021, 1.5 times in 2022, 2.9 times in 2023, 2.3 times in 2024 and 2.7 times in 2025. Shareholder distributions were bolstered by $500 million, $750 million, $800 million and $900 million of buybacks in 2022–25. </w:t>
      </w:r>
    </w:p>
    <w:p w14:paraId="68AD9D5E" w14:textId="17D5B7C9" w:rsidR="00011E8A" w:rsidRPr="008778AA" w:rsidRDefault="00011E8A" w:rsidP="00AF2BDF">
      <w:pPr>
        <w:pStyle w:val="Heading2"/>
      </w:pPr>
      <w:bookmarkStart w:id="19" w:name="_Toc233392954"/>
      <w:bookmarkStart w:id="20" w:name="_Toc233884800"/>
      <w:r w:rsidRPr="008778AA">
        <w:t xml:space="preserve">Cash </w:t>
      </w:r>
      <w:r w:rsidRPr="00AF2BDF">
        <w:t>flow</w:t>
      </w:r>
      <w:r w:rsidRPr="008778AA">
        <w:t xml:space="preserve"> analysis, strengths and threats</w:t>
      </w:r>
      <w:bookmarkEnd w:id="19"/>
      <w:bookmarkEnd w:id="20"/>
    </w:p>
    <w:p w14:paraId="677B117D" w14:textId="6FF940C0" w:rsidR="00011E8A"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Operating cash flow margin, cash conversion, cash free flow margin and operating cash flow to debt were used to evaluate cash-flow performance. Operating cash flow margin, calculated as net cash from operating activities divided by total revenue, was 21.9% in 2021, 16.6% in 2022, 19.3% in 2023, 14.7% in 2024 and 17.3% in 2025. The ratio of cash conversion (net cash from operating activities/operating profit) was positive, but it was lower for 2025 at 75.0% compared with 2021 at 128.7%. This is not a sign of cash weakness, but rather it reflects the increasing absorption of higher profit by cash flows arising from tax and interest, working capital and investments.</w:t>
      </w:r>
    </w:p>
    <w:p w14:paraId="37E760FF" w14:textId="77777777" w:rsidR="000A14F3" w:rsidRPr="008778AA" w:rsidRDefault="000A14F3" w:rsidP="008778AA">
      <w:pPr>
        <w:keepNext/>
        <w:spacing w:line="360" w:lineRule="auto"/>
        <w:jc w:val="center"/>
        <w:rPr>
          <w:rFonts w:ascii="Times New Roman" w:hAnsi="Times New Roman" w:cs="Times New Roman"/>
        </w:rPr>
      </w:pPr>
      <w:r w:rsidRPr="008778AA">
        <w:rPr>
          <w:rFonts w:ascii="Times New Roman" w:hAnsi="Times New Roman" w:cs="Times New Roman"/>
          <w:noProof/>
        </w:rPr>
        <w:drawing>
          <wp:inline distT="0" distB="0" distL="0" distR="0" wp14:anchorId="71640327" wp14:editId="24D9DD04">
            <wp:extent cx="5291138" cy="3119438"/>
            <wp:effectExtent l="0" t="0" r="5080" b="5080"/>
            <wp:docPr id="436633095" name="Chart 1">
              <a:extLst xmlns:a="http://schemas.openxmlformats.org/drawingml/2006/main">
                <a:ext uri="{FF2B5EF4-FFF2-40B4-BE49-F238E27FC236}">
                  <a16:creationId xmlns:a16="http://schemas.microsoft.com/office/drawing/2014/main" id="{60D1CC75-805D-553F-C05C-EFD3C6929A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D52A685" w14:textId="709AA5DB" w:rsidR="000A14F3" w:rsidRPr="008778AA" w:rsidRDefault="000A14F3" w:rsidP="008778AA">
      <w:pPr>
        <w:pStyle w:val="Caption"/>
        <w:spacing w:line="360" w:lineRule="auto"/>
        <w:jc w:val="center"/>
        <w:rPr>
          <w:rFonts w:ascii="Times New Roman" w:hAnsi="Times New Roman" w:cs="Times New Roman"/>
        </w:rPr>
      </w:pPr>
      <w:r w:rsidRPr="008778AA">
        <w:rPr>
          <w:rFonts w:ascii="Times New Roman" w:hAnsi="Times New Roman" w:cs="Times New Roman"/>
        </w:rPr>
        <w:t xml:space="preserve">Figure </w:t>
      </w:r>
      <w:r w:rsidRPr="008778AA">
        <w:rPr>
          <w:rFonts w:ascii="Times New Roman" w:hAnsi="Times New Roman" w:cs="Times New Roman"/>
        </w:rPr>
        <w:fldChar w:fldCharType="begin"/>
      </w:r>
      <w:r w:rsidRPr="008778AA">
        <w:rPr>
          <w:rFonts w:ascii="Times New Roman" w:hAnsi="Times New Roman" w:cs="Times New Roman"/>
        </w:rPr>
        <w:instrText xml:space="preserve"> SEQ Figure \* ARABIC </w:instrText>
      </w:r>
      <w:r w:rsidRPr="008778AA">
        <w:rPr>
          <w:rFonts w:ascii="Times New Roman" w:hAnsi="Times New Roman" w:cs="Times New Roman"/>
        </w:rPr>
        <w:fldChar w:fldCharType="separate"/>
      </w:r>
      <w:r w:rsidR="00B34136" w:rsidRPr="008778AA">
        <w:rPr>
          <w:rFonts w:ascii="Times New Roman" w:hAnsi="Times New Roman" w:cs="Times New Roman"/>
          <w:noProof/>
        </w:rPr>
        <w:t>4</w:t>
      </w:r>
      <w:r w:rsidRPr="008778AA">
        <w:rPr>
          <w:rFonts w:ascii="Times New Roman" w:hAnsi="Times New Roman" w:cs="Times New Roman"/>
        </w:rPr>
        <w:fldChar w:fldCharType="end"/>
      </w:r>
      <w:r w:rsidRPr="008778AA">
        <w:rPr>
          <w:rFonts w:ascii="Times New Roman" w:hAnsi="Times New Roman" w:cs="Times New Roman"/>
        </w:rPr>
        <w:t>- Operating cash flow and adjusted free cash flow trend, 2021–2025</w:t>
      </w:r>
    </w:p>
    <w:p w14:paraId="2828D90D" w14:textId="77777777" w:rsidR="009C63C4"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 xml:space="preserve">IHG's free cash flow is also proving to be resilient. On the latest re-presented basis, it moved from $615 million in 2021 to $589 million in 2022, $837 million in 2023, $655 million in 2024 and $893 million in 2025. This is confirming that IHG is still very much cash generative, but there is </w:t>
      </w:r>
      <w:r w:rsidRPr="008778AA">
        <w:rPr>
          <w:rFonts w:ascii="Times New Roman" w:hAnsi="Times New Roman" w:cs="Times New Roman"/>
        </w:rPr>
        <w:lastRenderedPageBreak/>
        <w:t>a bit of sensitivity here related to System Fund movements as well as contract acquisition cost, tax and interest payments for the year of 2024.</w:t>
      </w:r>
    </w:p>
    <w:p w14:paraId="70E916C3" w14:textId="19F3840B" w:rsidR="00011E8A" w:rsidRPr="008778AA" w:rsidRDefault="009C63C4" w:rsidP="008778AA">
      <w:pPr>
        <w:pStyle w:val="NoSpacing"/>
        <w:spacing w:line="360" w:lineRule="auto"/>
        <w:jc w:val="both"/>
        <w:rPr>
          <w:rFonts w:ascii="Times New Roman" w:hAnsi="Times New Roman" w:cs="Times New Roman"/>
        </w:rPr>
      </w:pPr>
      <w:r w:rsidRPr="008778AA">
        <w:rPr>
          <w:rFonts w:ascii="Times New Roman" w:hAnsi="Times New Roman" w:cs="Times New Roman"/>
        </w:rPr>
        <w:t>Overall, IHG's financial strength is robust: with a scale-driven model and being asset-light, IHG's growth and digital distribution and positive cash generation provide resilience</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29177B" w:rsidRPr="008778AA">
        <w:rPr>
          <w:rFonts w:ascii="Times New Roman" w:hAnsi="Times New Roman" w:cs="Times New Roman"/>
        </w:rPr>
        <w:instrText>ADDIN CSL_CITATION {"citationItems":[{"id":"ITEM-1","itemData":{"author":[{"dropping-particle":"","family":"IHG","given":"","non-dropping-particle":"","parse-names":false,"suffix":""}],"id":"ITEM-1","issued":{"date-parts":[["2021"]]},"title":"On a journey towards a better future","type":"article-journal"},"uris":["http://www.mendeley.com/documents/?uuid=585b1e86-65ea-4699-ac12-eeb28787d583"]}],"mendeley":{"formattedCitation":"(IHG, 2021)","plainTextFormattedCitation":"(IHG, 2021)","previouslyFormattedCitation":"(IHG, 2021)"},"properties":{"noteIndex":0},"schema":"https://github.com/citation-style-language/schema/raw/master/csl-citation.json"}</w:instrText>
      </w:r>
      <w:r w:rsidR="0029177B" w:rsidRPr="008778AA">
        <w:rPr>
          <w:rFonts w:ascii="Times New Roman" w:hAnsi="Times New Roman" w:cs="Times New Roman"/>
        </w:rPr>
        <w:fldChar w:fldCharType="separate"/>
      </w:r>
      <w:r w:rsidR="0029177B" w:rsidRPr="008778AA">
        <w:rPr>
          <w:rFonts w:ascii="Times New Roman" w:hAnsi="Times New Roman" w:cs="Times New Roman"/>
          <w:noProof/>
        </w:rPr>
        <w:t>(IHG, 2021)</w:t>
      </w:r>
      <w:r w:rsidR="0029177B" w:rsidRPr="008778AA">
        <w:rPr>
          <w:rFonts w:ascii="Times New Roman" w:hAnsi="Times New Roman" w:cs="Times New Roman"/>
        </w:rPr>
        <w:fldChar w:fldCharType="end"/>
      </w:r>
      <w:r w:rsidRPr="008778AA">
        <w:rPr>
          <w:rFonts w:ascii="Times New Roman" w:hAnsi="Times New Roman" w:cs="Times New Roman"/>
        </w:rPr>
        <w:t xml:space="preserve">. But the primary risks include: debt escalation, interest rates, foreign exchange risk, pressure of owner financing, geopolitical risks, cyber and data dangers, climate duties, inflation and fierce rivalry for guest loyalty. </w:t>
      </w:r>
      <w:r w:rsidR="00011E8A" w:rsidRPr="008778AA">
        <w:rPr>
          <w:rFonts w:ascii="Times New Roman" w:hAnsi="Times New Roman" w:cs="Times New Roman"/>
        </w:rPr>
        <w:t xml:space="preserve"> </w:t>
      </w:r>
    </w:p>
    <w:p w14:paraId="602BC6E3" w14:textId="6B8BE150" w:rsidR="00011E8A" w:rsidRPr="008778AA" w:rsidRDefault="00011E8A" w:rsidP="00622A00">
      <w:pPr>
        <w:pStyle w:val="Heading1"/>
        <w:numPr>
          <w:ilvl w:val="0"/>
          <w:numId w:val="9"/>
        </w:numPr>
      </w:pPr>
      <w:bookmarkStart w:id="21" w:name="_Toc233392955"/>
      <w:bookmarkStart w:id="22" w:name="_Toc233884801"/>
      <w:r w:rsidRPr="008778AA">
        <w:t>Working Capital Management Analysis</w:t>
      </w:r>
      <w:bookmarkEnd w:id="21"/>
      <w:bookmarkEnd w:id="22"/>
    </w:p>
    <w:p w14:paraId="0A79DB25" w14:textId="74DBD3A5" w:rsidR="00011E8A" w:rsidRPr="008778AA" w:rsidRDefault="00011E8A" w:rsidP="00AF2BDF">
      <w:pPr>
        <w:pStyle w:val="Heading2"/>
      </w:pPr>
      <w:bookmarkStart w:id="23" w:name="_Toc233392956"/>
      <w:bookmarkStart w:id="24" w:name="_Toc233884802"/>
      <w:r w:rsidRPr="008778AA">
        <w:t xml:space="preserve">Cash </w:t>
      </w:r>
      <w:r w:rsidRPr="00AF2BDF">
        <w:t>operating</w:t>
      </w:r>
      <w:r w:rsidRPr="008778AA">
        <w:t xml:space="preserve"> cycle assessment</w:t>
      </w:r>
      <w:bookmarkEnd w:id="23"/>
      <w:bookmarkEnd w:id="24"/>
    </w:p>
    <w:p w14:paraId="4F896DD1" w14:textId="194A59C7" w:rsidR="00182BC3"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IHG's cash operating cycle was evaluated as the receivables days plus inventory days minus the payables days</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29177B" w:rsidRPr="008778AA">
        <w:rPr>
          <w:rFonts w:ascii="Times New Roman" w:hAnsi="Times New Roman" w:cs="Times New Roman"/>
        </w:rPr>
        <w:instrText>ADDIN CSL_CITATION {"citationItems":[{"id":"ITEM-1","itemData":{"author":[{"dropping-particle":"","family":"Schmidt","given":"Jeff","non-dropping-particle":"","parse-names":false,"suffix":""}],"id":"ITEM-1","issued":{"date-parts":[["2019"]]},"title":"Working Capital Cycle","type":"article-journal"},"uris":["http://www.mendeley.com/documents/?uuid=91c5ac39-1b9d-44b3-bdf8-35d4fac93541"]}],"mendeley":{"formattedCitation":"(Schmidt, 2019)","plainTextFormattedCitation":"(Schmidt, 2019)","previouslyFormattedCitation":"(Schmidt, 2019)"},"properties":{"noteIndex":0},"schema":"https://github.com/citation-style-language/schema/raw/master/csl-citation.json"}</w:instrText>
      </w:r>
      <w:r w:rsidR="0029177B" w:rsidRPr="008778AA">
        <w:rPr>
          <w:rFonts w:ascii="Times New Roman" w:hAnsi="Times New Roman" w:cs="Times New Roman"/>
        </w:rPr>
        <w:fldChar w:fldCharType="separate"/>
      </w:r>
      <w:r w:rsidR="0029177B" w:rsidRPr="008778AA">
        <w:rPr>
          <w:rFonts w:ascii="Times New Roman" w:hAnsi="Times New Roman" w:cs="Times New Roman"/>
          <w:noProof/>
        </w:rPr>
        <w:t>(Schmidt, 2019)</w:t>
      </w:r>
      <w:r w:rsidR="0029177B" w:rsidRPr="008778AA">
        <w:rPr>
          <w:rFonts w:ascii="Times New Roman" w:hAnsi="Times New Roman" w:cs="Times New Roman"/>
        </w:rPr>
        <w:fldChar w:fldCharType="end"/>
      </w:r>
      <w:r w:rsidRPr="008778AA">
        <w:rPr>
          <w:rFonts w:ascii="Times New Roman" w:hAnsi="Times New Roman" w:cs="Times New Roman"/>
        </w:rPr>
        <w:t xml:space="preserve">. </w:t>
      </w:r>
      <w:r w:rsidR="005B748B" w:rsidRPr="005B748B">
        <w:rPr>
          <w:rFonts w:ascii="Times New Roman" w:hAnsi="Times New Roman" w:cs="Times New Roman"/>
        </w:rPr>
        <w:t>Receivables days defined as average trade and other receivables/ Revenue × 365, average inventories / Revenue × 365, and average trade and other payables / Revenue × 365, respectively</w:t>
      </w:r>
      <w:r w:rsidR="005B748B">
        <w:rPr>
          <w:rFonts w:ascii="Times New Roman" w:hAnsi="Times New Roman" w:cs="Times New Roman"/>
        </w:rPr>
        <w:t xml:space="preserve"> </w:t>
      </w:r>
      <w:r w:rsidRPr="008778AA">
        <w:rPr>
          <w:rFonts w:ascii="Times New Roman" w:hAnsi="Times New Roman" w:cs="Times New Roman"/>
        </w:rPr>
        <w:t xml:space="preserve">365, respectively. It's primary working capital is represented by the franchise fees, management fees, reimbursable revenues, owner payments, supplier accruals, deferred revenue and </w:t>
      </w:r>
      <w:proofErr w:type="spellStart"/>
      <w:r w:rsidRPr="008778AA">
        <w:rPr>
          <w:rFonts w:ascii="Times New Roman" w:hAnsi="Times New Roman" w:cs="Times New Roman"/>
        </w:rPr>
        <w:t>centralised</w:t>
      </w:r>
      <w:proofErr w:type="spellEnd"/>
      <w:r w:rsidRPr="008778AA">
        <w:rPr>
          <w:rFonts w:ascii="Times New Roman" w:hAnsi="Times New Roman" w:cs="Times New Roman"/>
        </w:rPr>
        <w:t xml:space="preserve"> corporate costs, not physical inventory.</w:t>
      </w:r>
    </w:p>
    <w:p w14:paraId="4E9FA949" w14:textId="71C0BD58" w:rsidR="0016378B" w:rsidRPr="008778AA" w:rsidRDefault="0016378B" w:rsidP="008778AA">
      <w:pPr>
        <w:pStyle w:val="Caption"/>
        <w:keepNext/>
        <w:spacing w:line="360" w:lineRule="auto"/>
        <w:jc w:val="center"/>
        <w:rPr>
          <w:rFonts w:ascii="Times New Roman" w:hAnsi="Times New Roman" w:cs="Times New Roman"/>
        </w:rPr>
      </w:pPr>
      <w:r w:rsidRPr="008778AA">
        <w:rPr>
          <w:rFonts w:ascii="Times New Roman" w:hAnsi="Times New Roman" w:cs="Times New Roman"/>
        </w:rPr>
        <w:t xml:space="preserve">Table </w:t>
      </w:r>
      <w:r w:rsidRPr="008778AA">
        <w:rPr>
          <w:rFonts w:ascii="Times New Roman" w:hAnsi="Times New Roman" w:cs="Times New Roman"/>
        </w:rPr>
        <w:fldChar w:fldCharType="begin"/>
      </w:r>
      <w:r w:rsidRPr="008778AA">
        <w:rPr>
          <w:rFonts w:ascii="Times New Roman" w:hAnsi="Times New Roman" w:cs="Times New Roman"/>
        </w:rPr>
        <w:instrText xml:space="preserve"> SEQ Table \* ARABIC </w:instrText>
      </w:r>
      <w:r w:rsidRPr="008778AA">
        <w:rPr>
          <w:rFonts w:ascii="Times New Roman" w:hAnsi="Times New Roman" w:cs="Times New Roman"/>
        </w:rPr>
        <w:fldChar w:fldCharType="separate"/>
      </w:r>
      <w:r w:rsidRPr="008778AA">
        <w:rPr>
          <w:rFonts w:ascii="Times New Roman" w:hAnsi="Times New Roman" w:cs="Times New Roman"/>
          <w:noProof/>
        </w:rPr>
        <w:t>1</w:t>
      </w:r>
      <w:r w:rsidRPr="008778AA">
        <w:rPr>
          <w:rFonts w:ascii="Times New Roman" w:hAnsi="Times New Roman" w:cs="Times New Roman"/>
        </w:rPr>
        <w:fldChar w:fldCharType="end"/>
      </w:r>
      <w:r w:rsidRPr="008778AA">
        <w:rPr>
          <w:rFonts w:ascii="Times New Roman" w:hAnsi="Times New Roman" w:cs="Times New Roman"/>
        </w:rPr>
        <w:t>- IHG cash operating cycle, 2021–2025</w:t>
      </w:r>
    </w:p>
    <w:tbl>
      <w:tblPr>
        <w:tblStyle w:val="TableGrid"/>
        <w:tblW w:w="9202" w:type="dxa"/>
        <w:tblLook w:val="04A0" w:firstRow="1" w:lastRow="0" w:firstColumn="1" w:lastColumn="0" w:noHBand="0" w:noVBand="1"/>
      </w:tblPr>
      <w:tblGrid>
        <w:gridCol w:w="762"/>
        <w:gridCol w:w="2130"/>
        <w:gridCol w:w="1926"/>
        <w:gridCol w:w="1808"/>
        <w:gridCol w:w="2576"/>
      </w:tblGrid>
      <w:tr w:rsidR="00182BC3" w:rsidRPr="008778AA" w14:paraId="75C3B53B" w14:textId="77777777" w:rsidTr="00A5335F">
        <w:trPr>
          <w:trHeight w:val="739"/>
        </w:trPr>
        <w:tc>
          <w:tcPr>
            <w:tcW w:w="0" w:type="auto"/>
            <w:hideMark/>
          </w:tcPr>
          <w:p w14:paraId="6646D8D6" w14:textId="77777777" w:rsidR="00182BC3" w:rsidRPr="008778AA" w:rsidRDefault="00182BC3" w:rsidP="008778AA">
            <w:pPr>
              <w:spacing w:after="160" w:line="360" w:lineRule="auto"/>
              <w:jc w:val="center"/>
              <w:rPr>
                <w:rFonts w:ascii="Times New Roman" w:hAnsi="Times New Roman" w:cs="Times New Roman"/>
                <w:b/>
                <w:bCs/>
              </w:rPr>
            </w:pPr>
            <w:r w:rsidRPr="008778AA">
              <w:rPr>
                <w:rFonts w:ascii="Times New Roman" w:hAnsi="Times New Roman" w:cs="Times New Roman"/>
                <w:b/>
                <w:bCs/>
              </w:rPr>
              <w:t>Year</w:t>
            </w:r>
          </w:p>
        </w:tc>
        <w:tc>
          <w:tcPr>
            <w:tcW w:w="0" w:type="auto"/>
            <w:hideMark/>
          </w:tcPr>
          <w:p w14:paraId="46F988BF" w14:textId="77777777" w:rsidR="00182BC3" w:rsidRPr="008778AA" w:rsidRDefault="00182BC3" w:rsidP="008778AA">
            <w:pPr>
              <w:spacing w:after="160" w:line="360" w:lineRule="auto"/>
              <w:jc w:val="center"/>
              <w:rPr>
                <w:rFonts w:ascii="Times New Roman" w:hAnsi="Times New Roman" w:cs="Times New Roman"/>
                <w:b/>
                <w:bCs/>
              </w:rPr>
            </w:pPr>
            <w:r w:rsidRPr="008778AA">
              <w:rPr>
                <w:rFonts w:ascii="Times New Roman" w:hAnsi="Times New Roman" w:cs="Times New Roman"/>
                <w:b/>
                <w:bCs/>
              </w:rPr>
              <w:t>Receivables days</w:t>
            </w:r>
          </w:p>
        </w:tc>
        <w:tc>
          <w:tcPr>
            <w:tcW w:w="0" w:type="auto"/>
            <w:hideMark/>
          </w:tcPr>
          <w:p w14:paraId="6DFFDCA7" w14:textId="77777777" w:rsidR="00182BC3" w:rsidRPr="008778AA" w:rsidRDefault="00182BC3" w:rsidP="008778AA">
            <w:pPr>
              <w:spacing w:after="160" w:line="360" w:lineRule="auto"/>
              <w:jc w:val="center"/>
              <w:rPr>
                <w:rFonts w:ascii="Times New Roman" w:hAnsi="Times New Roman" w:cs="Times New Roman"/>
                <w:b/>
                <w:bCs/>
              </w:rPr>
            </w:pPr>
            <w:r w:rsidRPr="008778AA">
              <w:rPr>
                <w:rFonts w:ascii="Times New Roman" w:hAnsi="Times New Roman" w:cs="Times New Roman"/>
                <w:b/>
                <w:bCs/>
              </w:rPr>
              <w:t>Inventory days</w:t>
            </w:r>
          </w:p>
        </w:tc>
        <w:tc>
          <w:tcPr>
            <w:tcW w:w="0" w:type="auto"/>
            <w:hideMark/>
          </w:tcPr>
          <w:p w14:paraId="0BC0E7A2" w14:textId="77777777" w:rsidR="00182BC3" w:rsidRPr="008778AA" w:rsidRDefault="00182BC3" w:rsidP="008778AA">
            <w:pPr>
              <w:spacing w:after="160" w:line="360" w:lineRule="auto"/>
              <w:jc w:val="center"/>
              <w:rPr>
                <w:rFonts w:ascii="Times New Roman" w:hAnsi="Times New Roman" w:cs="Times New Roman"/>
                <w:b/>
                <w:bCs/>
              </w:rPr>
            </w:pPr>
            <w:r w:rsidRPr="008778AA">
              <w:rPr>
                <w:rFonts w:ascii="Times New Roman" w:hAnsi="Times New Roman" w:cs="Times New Roman"/>
                <w:b/>
                <w:bCs/>
              </w:rPr>
              <w:t>Payables days</w:t>
            </w:r>
          </w:p>
        </w:tc>
        <w:tc>
          <w:tcPr>
            <w:tcW w:w="0" w:type="auto"/>
            <w:hideMark/>
          </w:tcPr>
          <w:p w14:paraId="0282FA29" w14:textId="77777777" w:rsidR="00182BC3" w:rsidRPr="008778AA" w:rsidRDefault="00182BC3" w:rsidP="008778AA">
            <w:pPr>
              <w:spacing w:after="160" w:line="360" w:lineRule="auto"/>
              <w:jc w:val="center"/>
              <w:rPr>
                <w:rFonts w:ascii="Times New Roman" w:hAnsi="Times New Roman" w:cs="Times New Roman"/>
                <w:b/>
                <w:bCs/>
              </w:rPr>
            </w:pPr>
            <w:r w:rsidRPr="008778AA">
              <w:rPr>
                <w:rFonts w:ascii="Times New Roman" w:hAnsi="Times New Roman" w:cs="Times New Roman"/>
                <w:b/>
                <w:bCs/>
              </w:rPr>
              <w:t>Cash operating cycle</w:t>
            </w:r>
          </w:p>
        </w:tc>
      </w:tr>
      <w:tr w:rsidR="00182BC3" w:rsidRPr="008778AA" w14:paraId="0AA64868" w14:textId="77777777" w:rsidTr="00A5335F">
        <w:trPr>
          <w:trHeight w:val="751"/>
        </w:trPr>
        <w:tc>
          <w:tcPr>
            <w:tcW w:w="0" w:type="auto"/>
            <w:hideMark/>
          </w:tcPr>
          <w:p w14:paraId="700C9D6E"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2021</w:t>
            </w:r>
          </w:p>
        </w:tc>
        <w:tc>
          <w:tcPr>
            <w:tcW w:w="0" w:type="auto"/>
            <w:hideMark/>
          </w:tcPr>
          <w:p w14:paraId="2F00859D"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68.3</w:t>
            </w:r>
          </w:p>
        </w:tc>
        <w:tc>
          <w:tcPr>
            <w:tcW w:w="0" w:type="auto"/>
            <w:hideMark/>
          </w:tcPr>
          <w:p w14:paraId="4212AD3B"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0.6</w:t>
            </w:r>
          </w:p>
        </w:tc>
        <w:tc>
          <w:tcPr>
            <w:tcW w:w="0" w:type="auto"/>
            <w:hideMark/>
          </w:tcPr>
          <w:p w14:paraId="618C7810"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65.6</w:t>
            </w:r>
          </w:p>
        </w:tc>
        <w:tc>
          <w:tcPr>
            <w:tcW w:w="0" w:type="auto"/>
            <w:hideMark/>
          </w:tcPr>
          <w:p w14:paraId="64E6F087"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3.3 days</w:t>
            </w:r>
          </w:p>
        </w:tc>
      </w:tr>
      <w:tr w:rsidR="00182BC3" w:rsidRPr="008778AA" w14:paraId="49F875CA" w14:textId="77777777" w:rsidTr="00A5335F">
        <w:trPr>
          <w:trHeight w:val="739"/>
        </w:trPr>
        <w:tc>
          <w:tcPr>
            <w:tcW w:w="0" w:type="auto"/>
            <w:hideMark/>
          </w:tcPr>
          <w:p w14:paraId="28347DB2"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2022</w:t>
            </w:r>
          </w:p>
        </w:tc>
        <w:tc>
          <w:tcPr>
            <w:tcW w:w="0" w:type="auto"/>
            <w:hideMark/>
          </w:tcPr>
          <w:p w14:paraId="00C6ED2F"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57.2</w:t>
            </w:r>
          </w:p>
        </w:tc>
        <w:tc>
          <w:tcPr>
            <w:tcW w:w="0" w:type="auto"/>
            <w:hideMark/>
          </w:tcPr>
          <w:p w14:paraId="6A85DD8B"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0.4</w:t>
            </w:r>
          </w:p>
        </w:tc>
        <w:tc>
          <w:tcPr>
            <w:tcW w:w="0" w:type="auto"/>
            <w:hideMark/>
          </w:tcPr>
          <w:p w14:paraId="2C91038D"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59.8</w:t>
            </w:r>
          </w:p>
        </w:tc>
        <w:tc>
          <w:tcPr>
            <w:tcW w:w="0" w:type="auto"/>
            <w:hideMark/>
          </w:tcPr>
          <w:p w14:paraId="5242064C"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-2.3 days</w:t>
            </w:r>
          </w:p>
        </w:tc>
      </w:tr>
      <w:tr w:rsidR="00182BC3" w:rsidRPr="008778AA" w14:paraId="0C518BCB" w14:textId="77777777" w:rsidTr="00A5335F">
        <w:trPr>
          <w:trHeight w:val="739"/>
        </w:trPr>
        <w:tc>
          <w:tcPr>
            <w:tcW w:w="0" w:type="auto"/>
            <w:hideMark/>
          </w:tcPr>
          <w:p w14:paraId="5BCB9A9A"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2023</w:t>
            </w:r>
          </w:p>
        </w:tc>
        <w:tc>
          <w:tcPr>
            <w:tcW w:w="0" w:type="auto"/>
            <w:hideMark/>
          </w:tcPr>
          <w:p w14:paraId="2CF6E614"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54.7</w:t>
            </w:r>
          </w:p>
        </w:tc>
        <w:tc>
          <w:tcPr>
            <w:tcW w:w="0" w:type="auto"/>
            <w:hideMark/>
          </w:tcPr>
          <w:p w14:paraId="16E568D5"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0.4</w:t>
            </w:r>
          </w:p>
        </w:tc>
        <w:tc>
          <w:tcPr>
            <w:tcW w:w="0" w:type="auto"/>
            <w:hideMark/>
          </w:tcPr>
          <w:p w14:paraId="79F36581"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55.6</w:t>
            </w:r>
          </w:p>
        </w:tc>
        <w:tc>
          <w:tcPr>
            <w:tcW w:w="0" w:type="auto"/>
            <w:hideMark/>
          </w:tcPr>
          <w:p w14:paraId="0989F390"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-0.5 days</w:t>
            </w:r>
          </w:p>
        </w:tc>
      </w:tr>
      <w:tr w:rsidR="00182BC3" w:rsidRPr="008778AA" w14:paraId="0F84F3AB" w14:textId="77777777" w:rsidTr="00A5335F">
        <w:trPr>
          <w:trHeight w:val="751"/>
        </w:trPr>
        <w:tc>
          <w:tcPr>
            <w:tcW w:w="0" w:type="auto"/>
            <w:hideMark/>
          </w:tcPr>
          <w:p w14:paraId="2F6CB23B"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2024</w:t>
            </w:r>
          </w:p>
        </w:tc>
        <w:tc>
          <w:tcPr>
            <w:tcW w:w="0" w:type="auto"/>
            <w:hideMark/>
          </w:tcPr>
          <w:p w14:paraId="77FE3FD9"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56.5</w:t>
            </w:r>
          </w:p>
        </w:tc>
        <w:tc>
          <w:tcPr>
            <w:tcW w:w="0" w:type="auto"/>
            <w:hideMark/>
          </w:tcPr>
          <w:p w14:paraId="6FE44D6F"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0.3</w:t>
            </w:r>
          </w:p>
        </w:tc>
        <w:tc>
          <w:tcPr>
            <w:tcW w:w="0" w:type="auto"/>
            <w:hideMark/>
          </w:tcPr>
          <w:p w14:paraId="247B80DB"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50.5</w:t>
            </w:r>
          </w:p>
        </w:tc>
        <w:tc>
          <w:tcPr>
            <w:tcW w:w="0" w:type="auto"/>
            <w:hideMark/>
          </w:tcPr>
          <w:p w14:paraId="310B09D5"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6.4 days</w:t>
            </w:r>
          </w:p>
        </w:tc>
      </w:tr>
      <w:tr w:rsidR="00182BC3" w:rsidRPr="008778AA" w14:paraId="7FD09938" w14:textId="77777777" w:rsidTr="00A5335F">
        <w:trPr>
          <w:trHeight w:val="739"/>
        </w:trPr>
        <w:tc>
          <w:tcPr>
            <w:tcW w:w="0" w:type="auto"/>
            <w:hideMark/>
          </w:tcPr>
          <w:p w14:paraId="7A849EF0"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2025</w:t>
            </w:r>
          </w:p>
        </w:tc>
        <w:tc>
          <w:tcPr>
            <w:tcW w:w="0" w:type="auto"/>
            <w:hideMark/>
          </w:tcPr>
          <w:p w14:paraId="4CD269C1"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56.9</w:t>
            </w:r>
          </w:p>
        </w:tc>
        <w:tc>
          <w:tcPr>
            <w:tcW w:w="0" w:type="auto"/>
            <w:hideMark/>
          </w:tcPr>
          <w:p w14:paraId="3F2FE1A9"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0.3</w:t>
            </w:r>
          </w:p>
        </w:tc>
        <w:tc>
          <w:tcPr>
            <w:tcW w:w="0" w:type="auto"/>
            <w:hideMark/>
          </w:tcPr>
          <w:p w14:paraId="2AF0F45A"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46.6</w:t>
            </w:r>
          </w:p>
        </w:tc>
        <w:tc>
          <w:tcPr>
            <w:tcW w:w="0" w:type="auto"/>
            <w:hideMark/>
          </w:tcPr>
          <w:p w14:paraId="78DAE002"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10.6 days</w:t>
            </w:r>
          </w:p>
        </w:tc>
      </w:tr>
    </w:tbl>
    <w:p w14:paraId="39F37278" w14:textId="6D1066FD" w:rsidR="00011E8A"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lastRenderedPageBreak/>
        <w:t>The results indicate that IHG's cash operating cycle is brief and reflects its asset-light and fee-based business model. Inventory days don't matter because IHG is not a traditional inventory holding business. Thus, the primary working capital problem is not the control of inventories but the timing of franchise, management and owner settlements, reimbursable revenues, supplier payments and deferred revenue</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29177B" w:rsidRPr="008778AA">
        <w:rPr>
          <w:rFonts w:ascii="Times New Roman" w:hAnsi="Times New Roman" w:cs="Times New Roman"/>
        </w:rPr>
        <w:instrText>ADDIN CSL_CITATION {"citationItems":[{"id":"ITEM-1","itemData":{"ISSN":"24546186","abstract":"Businesses must manage their working capital well since it affects their resilience and profitability. Liquidity and profitability must be balanced. Sustaining sufficient operating capital guarantees operational stability and on-time payment of debts. Shortening the cash conversion cycle and increasing efficiency maximizes cash flow. This approach provides advantageous lending terms and increases credibility with stakeholders. Conversely, poor working capital management can lead to cash flow issues, increased costs, and missed opportunities. Overtrading brought on by low liquidity might jeopardize financial stability. To secure a business’s long-term success in the face of changeable market conditions, regular assessments and adaptable plans are essential. Thus, this study focuses on the effects of poor working capital management resulting to business failure.","author":[{"dropping-particle":"","family":"Alade","given":"Tesleem Adelodun","non-dropping-particle":"","parse-names":false,"suffix":""}],"container-title":"International Journal of Research and Innovation in Social Science","id":"ITEM-1","issue":"I","issued":{"date-parts":[["2024"]]},"page":"1120-1124","title":"Poor Working Capital Management Remain Major Cause of Business Failure","type":"article-journal","volume":"VIII"},"uris":["http://www.mendeley.com/documents/?uuid=19224ac0-9434-4326-9eed-1d5d1e62042c"]}],"mendeley":{"formattedCitation":"(Alade, 2024)","plainTextFormattedCitation":"(Alade, 2024)","previouslyFormattedCitation":"(Alade, 2024)"},"properties":{"noteIndex":0},"schema":"https://github.com/citation-style-language/schema/raw/master/csl-citation.json"}</w:instrText>
      </w:r>
      <w:r w:rsidR="0029177B" w:rsidRPr="008778AA">
        <w:rPr>
          <w:rFonts w:ascii="Times New Roman" w:hAnsi="Times New Roman" w:cs="Times New Roman"/>
        </w:rPr>
        <w:fldChar w:fldCharType="separate"/>
      </w:r>
      <w:r w:rsidR="0029177B" w:rsidRPr="008778AA">
        <w:rPr>
          <w:rFonts w:ascii="Times New Roman" w:hAnsi="Times New Roman" w:cs="Times New Roman"/>
          <w:noProof/>
        </w:rPr>
        <w:t>(Alade, 2024)</w:t>
      </w:r>
      <w:r w:rsidR="0029177B" w:rsidRPr="008778AA">
        <w:rPr>
          <w:rFonts w:ascii="Times New Roman" w:hAnsi="Times New Roman" w:cs="Times New Roman"/>
        </w:rPr>
        <w:fldChar w:fldCharType="end"/>
      </w:r>
      <w:r w:rsidRPr="008778AA">
        <w:rPr>
          <w:rFonts w:ascii="Times New Roman" w:hAnsi="Times New Roman" w:cs="Times New Roman"/>
        </w:rPr>
        <w:t xml:space="preserve">. The negative cycle in 2022 and 2023 is a positive working capital timing that is followed by the decrease to 10.6 days in 2025, which means that the short-term cash efficiency will have declined. </w:t>
      </w:r>
      <w:r w:rsidR="00182BC3" w:rsidRPr="008778AA">
        <w:rPr>
          <w:rFonts w:ascii="Times New Roman" w:hAnsi="Times New Roman" w:cs="Times New Roman"/>
        </w:rPr>
        <w:t xml:space="preserve"> </w:t>
      </w:r>
    </w:p>
    <w:p w14:paraId="4B7B3159" w14:textId="0B0D38B0" w:rsidR="00011E8A" w:rsidRPr="008778AA" w:rsidRDefault="00011E8A" w:rsidP="00AF2BDF">
      <w:pPr>
        <w:pStyle w:val="Heading2"/>
      </w:pPr>
      <w:bookmarkStart w:id="25" w:name="_Toc233392957"/>
      <w:bookmarkStart w:id="26" w:name="_Toc233884803"/>
      <w:r w:rsidRPr="008778AA">
        <w:t xml:space="preserve">Working capital reforms to improve </w:t>
      </w:r>
      <w:r w:rsidRPr="00AF2BDF">
        <w:t>liquidity</w:t>
      </w:r>
      <w:bookmarkEnd w:id="25"/>
      <w:bookmarkEnd w:id="26"/>
    </w:p>
    <w:p w14:paraId="44B29887" w14:textId="60B56424" w:rsidR="009C63C4"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The first reform has to be on the governance of receivables. IHG should classify receivables by region, owner type, brand/age profile and implement more stringent escalation policies for delinquent amounts. This is especially critical as IHG's model involves third party owners and franchisees paying timely fees. The CFO function should enhance the risk scoring and tie credit terms to owner payment history, market risk and currency volatility, as credit checks are already a part of IHG's process</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{"citationItems":[{"id":"ITEM-1","itemData":{"author":[{"dropping-particle":"","family":"IHG","given":"","non-dropping-particle":"","parse-names":false,"suffix":""}],"id":"ITEM-1","issued":{"date-parts":[["2024"]]},"title":"Chief Financial Officer’s review","type":"article-journal"},"uris":["http://www.mendeley.com/documents/?uuid=59c5af91-6820-4a7a-8b3d-491aae417eb4"]}],"mendeley":{"formattedCitation":"(IHG, 2024a)","plainTextFormattedCitation":"(IHG, 2024a)","previouslyFormattedCitation":"(IHG, 2024a)"},"properties":{"noteIndex":0},"schema":"https://github.com/citation-style-language/schema/raw/master/csl-citation.json"}</w:instrText>
      </w:r>
      <w:r w:rsidR="0029177B" w:rsidRPr="008778AA">
        <w:rPr>
          <w:rFonts w:ascii="Times New Roman" w:hAnsi="Times New Roman" w:cs="Times New Roman"/>
        </w:rPr>
        <w:fldChar w:fldCharType="separate"/>
      </w:r>
      <w:r w:rsidR="00D77976" w:rsidRPr="008778AA">
        <w:rPr>
          <w:rFonts w:ascii="Times New Roman" w:hAnsi="Times New Roman" w:cs="Times New Roman"/>
          <w:noProof/>
        </w:rPr>
        <w:t>(IHG, 2024a)</w:t>
      </w:r>
      <w:r w:rsidR="0029177B" w:rsidRPr="008778AA">
        <w:rPr>
          <w:rFonts w:ascii="Times New Roman" w:hAnsi="Times New Roman" w:cs="Times New Roman"/>
        </w:rPr>
        <w:fldChar w:fldCharType="end"/>
      </w:r>
      <w:r w:rsidRPr="008778AA">
        <w:rPr>
          <w:rFonts w:ascii="Times New Roman" w:hAnsi="Times New Roman" w:cs="Times New Roman"/>
        </w:rPr>
        <w:t>.</w:t>
      </w:r>
    </w:p>
    <w:p w14:paraId="12923A9A" w14:textId="41D4EAF0" w:rsidR="009C63C4"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 xml:space="preserve">Second, IHG needs to speed up the automated billing and digital settlement. It already relies on a managed channel, reservation system, loyalty platforms and digital distribution to a great degree for its commercial engine. The same should apply to working capital, with the ability to incorporate invoicing, fee calculation, owner statements and payment reminders into a more automated treasury dashboard. </w:t>
      </w:r>
    </w:p>
    <w:p w14:paraId="0EDEEB55" w14:textId="2B845B40" w:rsidR="009C63C4"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Thirdly, IHG need to enhance the rolling cash-flow forecasting. Regional forecasts should be created and stress tested against the RevPAR weakness, late owner payments, currency fluctuations, wage inflation and higher interest expenses</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29177B" w:rsidRPr="008778AA">
        <w:rPr>
          <w:rFonts w:ascii="Times New Roman" w:hAnsi="Times New Roman" w:cs="Times New Roman"/>
        </w:rPr>
        <w:instrText>ADDIN CSL_CITATION {"citationItems":[{"id":"ITEM-1","itemData":{"author":[{"dropping-particle":"","family":"Mahmoud","given":"Ahmed Ragab","non-dropping-particle":"","parse-names":false,"suffix":""}],"id":"ITEM-1","issued":{"date-parts":[["2025"]]},"title":"Exchange Rate Fluctuations and Their Effect on National Economies","type":"article-journal"},"uris":["http://www.mendeley.com/documents/?uuid=07172524-4566-4a91-a37d-e395af6312e7"]}],"mendeley":{"formattedCitation":"(Mahmoud, 2025)","plainTextFormattedCitation":"(Mahmoud, 2025)","previouslyFormattedCitation":"(Mahmoud, 2025)"},"properties":{"noteIndex":0},"schema":"https://github.com/citation-style-language/schema/raw/master/csl-citation.json"}</w:instrText>
      </w:r>
      <w:r w:rsidR="0029177B" w:rsidRPr="008778AA">
        <w:rPr>
          <w:rFonts w:ascii="Times New Roman" w:hAnsi="Times New Roman" w:cs="Times New Roman"/>
        </w:rPr>
        <w:fldChar w:fldCharType="separate"/>
      </w:r>
      <w:r w:rsidR="0029177B" w:rsidRPr="008778AA">
        <w:rPr>
          <w:rFonts w:ascii="Times New Roman" w:hAnsi="Times New Roman" w:cs="Times New Roman"/>
          <w:noProof/>
        </w:rPr>
        <w:t>(Mahmoud, 2025)</w:t>
      </w:r>
      <w:r w:rsidR="0029177B" w:rsidRPr="008778AA">
        <w:rPr>
          <w:rFonts w:ascii="Times New Roman" w:hAnsi="Times New Roman" w:cs="Times New Roman"/>
        </w:rPr>
        <w:fldChar w:fldCharType="end"/>
      </w:r>
      <w:r w:rsidRPr="008778AA">
        <w:rPr>
          <w:rFonts w:ascii="Times New Roman" w:hAnsi="Times New Roman" w:cs="Times New Roman"/>
        </w:rPr>
        <w:t>. This would enable the Group to maintain liquidity reserves in markets vulnerable to geopolitical or regulatory risk without holding an excess of cash.</w:t>
      </w:r>
    </w:p>
    <w:p w14:paraId="18F6D700" w14:textId="77777777" w:rsidR="009C63C4"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 xml:space="preserve">Fourth, </w:t>
      </w:r>
      <w:proofErr w:type="spellStart"/>
      <w:r w:rsidRPr="008778AA">
        <w:rPr>
          <w:rFonts w:ascii="Times New Roman" w:hAnsi="Times New Roman" w:cs="Times New Roman"/>
        </w:rPr>
        <w:t>centralised</w:t>
      </w:r>
      <w:proofErr w:type="spellEnd"/>
      <w:r w:rsidRPr="008778AA">
        <w:rPr>
          <w:rFonts w:ascii="Times New Roman" w:hAnsi="Times New Roman" w:cs="Times New Roman"/>
        </w:rPr>
        <w:t xml:space="preserve"> treasury and cash pooling are important tools to keep. By pooling cash, the excess cash in some subsidiaries can be used to offset short-term overdrafts in the others, thereby increasing interest efficiency and the ability to control daily cash flow. </w:t>
      </w:r>
    </w:p>
    <w:p w14:paraId="6264105B" w14:textId="38EC9E9A" w:rsidR="00011E8A"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 xml:space="preserve">Last but not least, IHG must not boost liquidity with heavy supplier payment delay. Payables extension can affect resilience of suppliers, hotel services and ESG credibility, but can help boost </w:t>
      </w:r>
      <w:r w:rsidRPr="008778AA">
        <w:rPr>
          <w:rFonts w:ascii="Times New Roman" w:hAnsi="Times New Roman" w:cs="Times New Roman"/>
        </w:rPr>
        <w:lastRenderedPageBreak/>
        <w:t>ratios in the short run</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ISSN":"02784319","author":[{"dropping-particle":"","family":"He","given":"Yueying","non-dropping-particle":"","parse-names":false,"suffix":""},{"dropping-particle":"","family":"Qi","given":"Rui","non-dropping-particle":"","parse-names":false,"suffix":""},{"dropping-particle":"","family":"So","given":"Kevin Kam Fung","non-dropping-particle":"","parse-names":false,"suffix":""},{"dropping-particle":"","family":"Li","given":"Yangen","non-dropping-particle":"","parse-names":false,"suffix":""}],"container-title":"International Journal of Hospitality Management","id":"ITEM-1","issued":{"date-parts":[["2024","9"]]},"page":"103866","title":"Which ESG dimensions matter in the hotel industry? Evidence from the cost of debt","type":"article-journal","volume":"122"},"uris":["http://www.mendeley.com/documents/?uuid=f9dd449c-491f-4f11-be86-19c727005112"]}],"mendeley":{"formattedCitation":"(He &lt;i&gt;et al.&lt;/i&gt;, 2024)","plainTextFormattedCitation":"(He et al., 2024)","previouslyFormattedCitation":"(He &lt;i&gt;et al.&lt;/i&gt;, 2024)"},"properties":{"noteIndex":0},"schema":"https://github.com/citation-style-language/schema/raw/master/csl-citation.json"}</w:instrText>
      </w:r>
      <w:r w:rsidR="0029177B" w:rsidRPr="008778AA">
        <w:rPr>
          <w:rFonts w:ascii="Times New Roman" w:hAnsi="Times New Roman" w:cs="Times New Roman"/>
        </w:rPr>
        <w:fldChar w:fldCharType="separate"/>
      </w:r>
      <w:r w:rsidR="0029177B" w:rsidRPr="008778AA">
        <w:rPr>
          <w:rFonts w:ascii="Times New Roman" w:hAnsi="Times New Roman" w:cs="Times New Roman"/>
          <w:noProof/>
        </w:rPr>
        <w:t xml:space="preserve">(He </w:t>
      </w:r>
      <w:r w:rsidR="0029177B" w:rsidRPr="008778AA">
        <w:rPr>
          <w:rFonts w:ascii="Times New Roman" w:hAnsi="Times New Roman" w:cs="Times New Roman"/>
          <w:i/>
          <w:noProof/>
        </w:rPr>
        <w:t>et al.</w:t>
      </w:r>
      <w:r w:rsidR="0029177B" w:rsidRPr="008778AA">
        <w:rPr>
          <w:rFonts w:ascii="Times New Roman" w:hAnsi="Times New Roman" w:cs="Times New Roman"/>
          <w:noProof/>
        </w:rPr>
        <w:t>, 2024)</w:t>
      </w:r>
      <w:r w:rsidR="0029177B" w:rsidRPr="008778AA">
        <w:rPr>
          <w:rFonts w:ascii="Times New Roman" w:hAnsi="Times New Roman" w:cs="Times New Roman"/>
        </w:rPr>
        <w:fldChar w:fldCharType="end"/>
      </w:r>
      <w:r w:rsidRPr="008778AA">
        <w:rPr>
          <w:rFonts w:ascii="Times New Roman" w:hAnsi="Times New Roman" w:cs="Times New Roman"/>
        </w:rPr>
        <w:t>. Therefore, the recommended position for CFOs is disciplined, but ethical, working capital management: collect whenever contractually necessary, pay suppliers appropriately, adopt technology to enhance accuracy and maintain liquidity without passing undue risks of financial stress to weaker stakeholders.</w:t>
      </w:r>
    </w:p>
    <w:p w14:paraId="33D44D0C" w14:textId="125D1905" w:rsidR="00011E8A" w:rsidRPr="008778AA" w:rsidRDefault="00011E8A" w:rsidP="00AF2BDF">
      <w:pPr>
        <w:pStyle w:val="Heading2"/>
      </w:pPr>
      <w:bookmarkStart w:id="27" w:name="_Toc233392958"/>
      <w:bookmarkStart w:id="28" w:name="_Toc233884804"/>
      <w:r w:rsidRPr="008778AA">
        <w:t>Short-</w:t>
      </w:r>
      <w:r w:rsidRPr="00AF2BDF">
        <w:t>term</w:t>
      </w:r>
      <w:r w:rsidRPr="008778AA">
        <w:t xml:space="preserve"> versus long-term financing options</w:t>
      </w:r>
      <w:bookmarkEnd w:id="27"/>
      <w:bookmarkEnd w:id="28"/>
    </w:p>
    <w:p w14:paraId="0A8FBB63" w14:textId="77777777" w:rsidR="005B748B" w:rsidRPr="005B748B" w:rsidRDefault="009C63C4" w:rsidP="005B748B">
      <w:pPr>
        <w:spacing w:line="360" w:lineRule="auto"/>
        <w:jc w:val="both"/>
        <w:rPr>
          <w:rFonts w:ascii="Times New Roman" w:hAnsi="Times New Roman" w:cs="Times New Roman"/>
        </w:rPr>
      </w:pPr>
      <w:r w:rsidRPr="008778AA">
        <w:rPr>
          <w:rFonts w:ascii="Times New Roman" w:hAnsi="Times New Roman" w:cs="Times New Roman"/>
        </w:rPr>
        <w:t xml:space="preserve">Only use short-term financing for liquidity flexibility not structural financing. The revolving credit facility offered by IHG fits this need because it offers committed liquidity to support temporary cash requirements, seasonality and unexpected shocks. In 2025, IHG signed a fresh $1.5 billion revolving credit facility, which was to expire in 2030, but not drawn at year end. This provides the Group with good contingency capability. </w:t>
      </w:r>
      <w:r w:rsidR="005B748B" w:rsidRPr="005B748B">
        <w:rPr>
          <w:rFonts w:ascii="Times New Roman" w:hAnsi="Times New Roman" w:cs="Times New Roman"/>
        </w:rPr>
        <w:t>Other short-term alternatives include overdrafts, trade credit and commercial paper which are best used with caution as they may also be costly in market declines and also add the refinancing risk.</w:t>
      </w:r>
    </w:p>
    <w:p w14:paraId="65910C92" w14:textId="09668333" w:rsidR="00011E8A" w:rsidRPr="008778AA" w:rsidRDefault="005B748B" w:rsidP="005B748B">
      <w:pPr>
        <w:spacing w:line="360" w:lineRule="auto"/>
        <w:jc w:val="both"/>
        <w:rPr>
          <w:rFonts w:ascii="Times New Roman" w:hAnsi="Times New Roman" w:cs="Times New Roman"/>
        </w:rPr>
      </w:pPr>
      <w:r w:rsidRPr="005B748B">
        <w:rPr>
          <w:rFonts w:ascii="Times New Roman" w:hAnsi="Times New Roman" w:cs="Times New Roman"/>
        </w:rPr>
        <w:t>Strategic investment, acquisition, technology transformation &amp; capital requirements related to ESG should be financed for the long-term</w:t>
      </w:r>
      <w:r>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ISSN":"22148450","author":[{"dropping-particle":"","family":"Yu","given":"Zhichao","non-dropping-particle":"","parse-names":false,"suffix":""},{"dropping-particle":"","family":"Farooq","given":"Umar","non-dropping-particle":"","parse-names":false,"suffix":""},{"dropping-particle":"","family":"Alam","given":"Mohammad Mahtab","non-dropping-particle":"","parse-names":false,"suffix":""},{"dropping-particle":"","family":"Dai","given":"Jiapeng","non-dropping-particle":"","parse-names":false,"suffix":""}],"container-title":"Borsa Istanbul Review","id":"ITEM-1","issue":"3","issued":{"date-parts":[["2024","5"]]},"page":"520-529","title":"How does environmental, social, and governance (ESG) performance determine investment mix? New empirical evidence from BRICS","type":"article-journal","volume":"24"},"uris":["http://www.mendeley.com/documents/?uuid=3e047797-426d-40d8-bbb1-c58d93d6d00b"]}],"mendeley":{"formattedCitation":"(Yu &lt;i&gt;et al.&lt;/i&gt;, 2024)","plainTextFormattedCitation":"(Yu et al., 2024)","previouslyFormattedCitation":"(Yu &lt;i&gt;et al.&lt;/i&gt;, 2024)"},"properties":{"noteIndex":0},"schema":"https://github.com/citation-style-language/schema/raw/master/csl-citation.json"}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 xml:space="preserve">(Yu </w:t>
      </w:r>
      <w:r w:rsidR="00D77976" w:rsidRPr="008778AA">
        <w:rPr>
          <w:rFonts w:ascii="Times New Roman" w:hAnsi="Times New Roman" w:cs="Times New Roman"/>
          <w:i/>
          <w:noProof/>
        </w:rPr>
        <w:t>et al.</w:t>
      </w:r>
      <w:r w:rsidR="00D77976" w:rsidRPr="008778AA">
        <w:rPr>
          <w:rFonts w:ascii="Times New Roman" w:hAnsi="Times New Roman" w:cs="Times New Roman"/>
          <w:noProof/>
        </w:rPr>
        <w:t>, 2024)</w:t>
      </w:r>
      <w:r w:rsidR="00D77976" w:rsidRPr="008778AA">
        <w:rPr>
          <w:rFonts w:ascii="Times New Roman" w:hAnsi="Times New Roman" w:cs="Times New Roman"/>
        </w:rPr>
        <w:fldChar w:fldCharType="end"/>
      </w:r>
      <w:r w:rsidR="009C63C4" w:rsidRPr="008778AA">
        <w:rPr>
          <w:rFonts w:ascii="Times New Roman" w:hAnsi="Times New Roman" w:cs="Times New Roman"/>
        </w:rPr>
        <w:t xml:space="preserve">. </w:t>
      </w:r>
      <w:r w:rsidRPr="005B748B">
        <w:rPr>
          <w:rFonts w:ascii="Times New Roman" w:hAnsi="Times New Roman" w:cs="Times New Roman"/>
        </w:rPr>
        <w:t>IHG already have bond financing in sterling and euro markets and maturities are staggered over the coming years. There is some time and security with bonds, but the more borrowing that occurs, and the higher the interest expense, the more debt that needs to be associated with projects that increase fee income and cash generation in the future. Where this is not the case, other options without as much risk are retained earnings and selective asset disposals, which do not add leverage, but are equity and hybrid finance for larger strategic opportunities or balance sheet protection</w:t>
      </w:r>
      <w:r w:rsidR="009C63C4" w:rsidRPr="008778AA">
        <w:rPr>
          <w:rFonts w:ascii="Times New Roman" w:hAnsi="Times New Roman" w:cs="Times New Roman"/>
        </w:rPr>
        <w:t>.</w:t>
      </w:r>
    </w:p>
    <w:p w14:paraId="3E4965F6" w14:textId="130133BB" w:rsidR="00011E8A" w:rsidRPr="008778AA" w:rsidRDefault="00011E8A" w:rsidP="00622A00">
      <w:pPr>
        <w:pStyle w:val="Heading1"/>
        <w:numPr>
          <w:ilvl w:val="0"/>
          <w:numId w:val="9"/>
        </w:numPr>
      </w:pPr>
      <w:bookmarkStart w:id="29" w:name="_Toc233392959"/>
      <w:bookmarkStart w:id="30" w:name="_Toc233884805"/>
      <w:r w:rsidRPr="008778AA">
        <w:t>Strategic Financial Restructuring Plan</w:t>
      </w:r>
      <w:bookmarkEnd w:id="29"/>
      <w:bookmarkEnd w:id="30"/>
    </w:p>
    <w:p w14:paraId="20D968CF" w14:textId="1D6762D3" w:rsidR="00011E8A" w:rsidRPr="008778AA" w:rsidRDefault="00011E8A" w:rsidP="00AF2BDF">
      <w:pPr>
        <w:pStyle w:val="Heading2"/>
      </w:pPr>
      <w:bookmarkStart w:id="31" w:name="_Toc233392960"/>
      <w:bookmarkStart w:id="32" w:name="_Toc233884806"/>
      <w:r w:rsidRPr="008778AA">
        <w:t xml:space="preserve">Core </w:t>
      </w:r>
      <w:r w:rsidRPr="00AF2BDF">
        <w:t>financial</w:t>
      </w:r>
      <w:r w:rsidRPr="008778AA">
        <w:t xml:space="preserve"> problems requiring CFO attention</w:t>
      </w:r>
      <w:bookmarkEnd w:id="31"/>
      <w:bookmarkEnd w:id="32"/>
    </w:p>
    <w:p w14:paraId="4F9689E4" w14:textId="7C9AB8A8" w:rsidR="00011E8A" w:rsidRPr="008778AA" w:rsidRDefault="005B748B" w:rsidP="008778AA">
      <w:pPr>
        <w:spacing w:line="360" w:lineRule="auto"/>
        <w:jc w:val="both"/>
        <w:rPr>
          <w:rFonts w:ascii="Times New Roman" w:hAnsi="Times New Roman" w:cs="Times New Roman"/>
        </w:rPr>
      </w:pPr>
      <w:r w:rsidRPr="005B748B">
        <w:rPr>
          <w:rFonts w:ascii="Times New Roman" w:hAnsi="Times New Roman" w:cs="Times New Roman"/>
        </w:rPr>
        <w:t xml:space="preserve">IHG is not in crisis and is recovering, making profit and generating good cash. The Group, however, is subject to financial and strategic pressures, which if not managed through proactive restructuring plans, may limit future ability to be flexible. The first one is Capital Allocation. IHG distributed over $1.1 billion to its shareholders in 2025 via dividends and repurchases, and over $3.3 billion during three years ending 2025. This certainly fosters trust amongst investors but also takes them away from investing in technology, cyber security, loyalty, brand building and ESG </w:t>
      </w:r>
      <w:r w:rsidRPr="005B748B">
        <w:rPr>
          <w:rFonts w:ascii="Times New Roman" w:hAnsi="Times New Roman" w:cs="Times New Roman"/>
        </w:rPr>
        <w:lastRenderedPageBreak/>
        <w:t>compliance</w:t>
      </w:r>
      <w:r>
        <w:rPr>
          <w:rFonts w:ascii="Times New Roman" w:hAnsi="Times New Roman" w:cs="Times New Roman"/>
        </w:rPr>
        <w:t xml:space="preserve"> </w:t>
      </w:r>
      <w:proofErr w:type="spellStart"/>
      <w:r w:rsidR="00A5335F" w:rsidRPr="008778AA">
        <w:rPr>
          <w:rFonts w:ascii="Times New Roman" w:hAnsi="Times New Roman" w:cs="Times New Roman"/>
        </w:rPr>
        <w:t>mitments</w:t>
      </w:r>
      <w:proofErr w:type="spellEnd"/>
      <w:r w:rsidR="00A5335F" w:rsidRPr="008778AA">
        <w:rPr>
          <w:rFonts w:ascii="Times New Roman" w:hAnsi="Times New Roman" w:cs="Times New Roman"/>
        </w:rPr>
        <w:t>. The second one is the exposure to debt. Net debt has risen while covenant headroom has remained generous, but with rates rising, discipline is key when refinancing</w:t>
      </w:r>
      <w:r w:rsidR="00D77976" w:rsidRPr="008778AA">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author":[{"dropping-particle":"","family":"Achleitner","given":"Ann-Kristin","non-dropping-particle":"","parse-names":false,"suffix":""},{"dropping-particle":"","family":"Braun","given":"Reiner","non-dropping-particle":"","parse-names":false,"suffix":""},{"dropping-particle":"","family":"Hinterramskogler","given":"Bastian","non-dropping-particle":"","parse-names":false,"suffix":""},{"dropping-particle":"","family":"Tappeiner","given":"Florian","non-dropping-particle":"","parse-names":false,"suffix":""}],"id":"ITEM-1","issued":{"date-parts":[["2010"]]},"title":"Structure and Determinants of Financial Covenants in Leveraged Buyouts","type":"article-journal"},"uris":["http://www.mendeley.com/documents/?uuid=983cb8f3-0628-4e01-9f0e-91cb90b81837"]}],"mendeley":{"formattedCitation":"(Achleitner &lt;i&gt;et al.&lt;/i&gt;, 2010)","plainTextFormattedCitation":"(Achleitner et al., 2010)","previouslyFormattedCitation":"(Achleitner &lt;i&gt;et al.&lt;/i&gt;, 2010)"},"properties":{"noteIndex":0},"schema":"https://github.com/citation-style-language/schema/raw/master/csl-citation.json"}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 xml:space="preserve">(Achleitner </w:t>
      </w:r>
      <w:r w:rsidR="00D77976" w:rsidRPr="008778AA">
        <w:rPr>
          <w:rFonts w:ascii="Times New Roman" w:hAnsi="Times New Roman" w:cs="Times New Roman"/>
          <w:i/>
          <w:noProof/>
        </w:rPr>
        <w:t>et al.</w:t>
      </w:r>
      <w:r w:rsidR="00D77976" w:rsidRPr="008778AA">
        <w:rPr>
          <w:rFonts w:ascii="Times New Roman" w:hAnsi="Times New Roman" w:cs="Times New Roman"/>
          <w:noProof/>
        </w:rPr>
        <w:t>, 2010)</w:t>
      </w:r>
      <w:r w:rsidR="00D77976" w:rsidRPr="008778AA">
        <w:rPr>
          <w:rFonts w:ascii="Times New Roman" w:hAnsi="Times New Roman" w:cs="Times New Roman"/>
        </w:rPr>
        <w:fldChar w:fldCharType="end"/>
      </w:r>
      <w:r w:rsidR="00A5335F" w:rsidRPr="008778AA">
        <w:rPr>
          <w:rFonts w:ascii="Times New Roman" w:hAnsi="Times New Roman" w:cs="Times New Roman"/>
        </w:rPr>
        <w:t xml:space="preserve">. Third, IHG is subject to currency fluctuations, inflation, geopolitical instability and stress from owner financing at a global level. </w:t>
      </w:r>
      <w:r w:rsidR="00011E8A" w:rsidRPr="008778AA">
        <w:rPr>
          <w:rFonts w:ascii="Times New Roman" w:hAnsi="Times New Roman" w:cs="Times New Roman"/>
        </w:rPr>
        <w:t xml:space="preserve"> </w:t>
      </w:r>
    </w:p>
    <w:p w14:paraId="5D34CE9C" w14:textId="66E45698" w:rsidR="00011E8A" w:rsidRPr="008778AA" w:rsidRDefault="00011E8A" w:rsidP="00AF2BDF">
      <w:pPr>
        <w:pStyle w:val="Heading2"/>
      </w:pPr>
      <w:bookmarkStart w:id="33" w:name="_Toc233392961"/>
      <w:bookmarkStart w:id="34" w:name="_Toc233884807"/>
      <w:r w:rsidRPr="008778AA">
        <w:t xml:space="preserve">Recommended restructuring </w:t>
      </w:r>
      <w:r w:rsidRPr="00AF2BDF">
        <w:t>options</w:t>
      </w:r>
      <w:bookmarkEnd w:id="33"/>
      <w:bookmarkEnd w:id="34"/>
    </w:p>
    <w:p w14:paraId="33E0C1A3" w14:textId="66B40E13" w:rsidR="00A5335F" w:rsidRPr="008778AA" w:rsidRDefault="00A5335F" w:rsidP="008778AA">
      <w:pPr>
        <w:spacing w:line="360" w:lineRule="auto"/>
        <w:jc w:val="both"/>
        <w:rPr>
          <w:rFonts w:ascii="Times New Roman" w:hAnsi="Times New Roman" w:cs="Times New Roman"/>
        </w:rPr>
      </w:pPr>
      <w:r w:rsidRPr="008778AA">
        <w:rPr>
          <w:rFonts w:ascii="Times New Roman" w:hAnsi="Times New Roman" w:cs="Times New Roman"/>
        </w:rPr>
        <w:t>Selective divestiture and additional asset-light reinforcement is the first choice. IHG should maintain a strategy to sell non-core or lower margin owned and leased assets where strategic control is not fundamental</w:t>
      </w:r>
      <w:r w:rsidR="00D77976" w:rsidRPr="008778AA">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ISSN":"02784319","author":[{"dropping-particle":"","family":"Lussi","given":"Sonja","non-dropping-particle":"","parse-names":false,"suffix":""},{"dropping-particle":"","family":"Masset","given":"Philippe","non-dropping-particle":"","parse-names":false,"suffix":""},{"dropping-particle":"","family":"Weisskopf","given":"Jean-Philippe","non-dropping-particle":"","parse-names":false,"suffix":""},{"dropping-particle":"","family":"Blal","given":"Inès","non-dropping-particle":"","parse-names":false,"suffix":""}],"container-title":"International Journal of Hospitality Management","id":"ITEM-1","issued":{"date-parts":[["2023","2"]]},"page":"103391","title":"Cross-dimensional measures of asset lightness and fee orientation in lodging groups","type":"article-journal","volume":"109"},"uris":["http://www.mendeley.com/documents/?uuid=75301c7d-fcdf-4261-8225-4d5c7eb15a5f"]}],"mendeley":{"formattedCitation":"(Lussi &lt;i&gt;et al.&lt;/i&gt;, 2023)","plainTextFormattedCitation":"(Lussi et al., 2023)","previouslyFormattedCitation":"(Lussi &lt;i&gt;et al.&lt;/i&gt;, 2023)"},"properties":{"noteIndex":0},"schema":"https://github.com/citation-style-language/schema/raw/master/csl-citation.json"}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 xml:space="preserve">(Lussi </w:t>
      </w:r>
      <w:r w:rsidR="00D77976" w:rsidRPr="008778AA">
        <w:rPr>
          <w:rFonts w:ascii="Times New Roman" w:hAnsi="Times New Roman" w:cs="Times New Roman"/>
          <w:i/>
          <w:noProof/>
        </w:rPr>
        <w:t>et al.</w:t>
      </w:r>
      <w:r w:rsidR="00D77976" w:rsidRPr="008778AA">
        <w:rPr>
          <w:rFonts w:ascii="Times New Roman" w:hAnsi="Times New Roman" w:cs="Times New Roman"/>
          <w:noProof/>
        </w:rPr>
        <w:t>, 2023)</w:t>
      </w:r>
      <w:r w:rsidR="00D77976" w:rsidRPr="008778AA">
        <w:rPr>
          <w:rFonts w:ascii="Times New Roman" w:hAnsi="Times New Roman" w:cs="Times New Roman"/>
        </w:rPr>
        <w:fldChar w:fldCharType="end"/>
      </w:r>
      <w:r w:rsidRPr="008778AA">
        <w:rPr>
          <w:rFonts w:ascii="Times New Roman" w:hAnsi="Times New Roman" w:cs="Times New Roman"/>
        </w:rPr>
        <w:t xml:space="preserve">. This is not the same as losing ownership completely as certain investments can be used to develop a brand in prime locations. Investments, however, should be seen as recyclable investments: put to use to promote brand presence, to be divested when the brand platform can be extended through franchise or management contracts. This would enable the protection of returns on capital and </w:t>
      </w:r>
      <w:proofErr w:type="spellStart"/>
      <w:r w:rsidRPr="008778AA">
        <w:rPr>
          <w:rFonts w:ascii="Times New Roman" w:hAnsi="Times New Roman" w:cs="Times New Roman"/>
        </w:rPr>
        <w:t>minimise</w:t>
      </w:r>
      <w:proofErr w:type="spellEnd"/>
      <w:r w:rsidRPr="008778AA">
        <w:rPr>
          <w:rFonts w:ascii="Times New Roman" w:hAnsi="Times New Roman" w:cs="Times New Roman"/>
        </w:rPr>
        <w:t xml:space="preserve"> balance-sheet intensity.</w:t>
      </w:r>
    </w:p>
    <w:p w14:paraId="50715092" w14:textId="4B251747" w:rsidR="00A5335F" w:rsidRPr="008778AA" w:rsidRDefault="00A5335F" w:rsidP="008778AA">
      <w:pPr>
        <w:spacing w:line="360" w:lineRule="auto"/>
        <w:jc w:val="both"/>
        <w:rPr>
          <w:rFonts w:ascii="Times New Roman" w:hAnsi="Times New Roman" w:cs="Times New Roman"/>
        </w:rPr>
      </w:pPr>
      <w:r w:rsidRPr="008778AA">
        <w:rPr>
          <w:rFonts w:ascii="Times New Roman" w:hAnsi="Times New Roman" w:cs="Times New Roman"/>
        </w:rPr>
        <w:t>Debt refinancing and maturity restructuring are the second choice. The CFO priority is to maintain the investment grade credit quality, the maturity profile and eliminate excessive concentration of refinancing in the bond market</w:t>
      </w:r>
      <w:r w:rsidR="00D77976" w:rsidRPr="008778AA">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ISSN":"24058440","author":[{"dropping-particle":"","family":"Huo","given":"Yan","non-dropping-particle":"","parse-names":false,"suffix":""},{"dropping-particle":"","family":"Gong","given":"Bangming","non-dropping-particle":"","parse-names":false,"suffix":""}],"container-title":"Heliyon","id":"ITEM-1","issue":"12","issued":{"date-parts":[["2022","12"]]},"page":"e11884","title":"Credit rating in dynamic response to the nature of firms and the business model of rating agencies: evidence from the Chinese bond market","type":"article-journal","volume":"8"},"uris":["http://www.mendeley.com/documents/?uuid=bcb86b21-31d1-4d90-9559-49a22c693485"]}],"mendeley":{"formattedCitation":"(Huo and Gong, 2022)","plainTextFormattedCitation":"(Huo and Gong, 2022)","previouslyFormattedCitation":"(Huo and Gong, 2022)"},"properties":{"noteIndex":0},"schema":"https://github.com/citation-style-language/schema/raw/master/csl-citation.json"}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(Huo and Gong, 2022)</w:t>
      </w:r>
      <w:r w:rsidR="00D77976" w:rsidRPr="008778AA">
        <w:rPr>
          <w:rFonts w:ascii="Times New Roman" w:hAnsi="Times New Roman" w:cs="Times New Roman"/>
        </w:rPr>
        <w:fldChar w:fldCharType="end"/>
      </w:r>
      <w:r w:rsidRPr="008778AA">
        <w:rPr>
          <w:rFonts w:ascii="Times New Roman" w:hAnsi="Times New Roman" w:cs="Times New Roman"/>
        </w:rPr>
        <w:t>. It is advisable to keep the Group's revolving credit facility as a liquidity backstop and not as a regular funding source. If market conditions are favorable, refinancing should aim to have a longer maturity, fixed rates and matching the currency to minimize interest rate and exchange rate risk.</w:t>
      </w:r>
    </w:p>
    <w:p w14:paraId="343F3A07" w14:textId="77777777" w:rsidR="00CE5697" w:rsidRDefault="00A5335F" w:rsidP="005B748B">
      <w:pPr>
        <w:spacing w:line="360" w:lineRule="auto"/>
        <w:jc w:val="both"/>
        <w:rPr>
          <w:rFonts w:ascii="Times New Roman" w:hAnsi="Times New Roman" w:cs="Times New Roman"/>
        </w:rPr>
      </w:pPr>
      <w:r w:rsidRPr="008778AA">
        <w:rPr>
          <w:rFonts w:ascii="Times New Roman" w:hAnsi="Times New Roman" w:cs="Times New Roman"/>
        </w:rPr>
        <w:t xml:space="preserve">Targeted partnership, acquisition and brand expansion is the third choice. IHG should avoid those that would increase capital intensity based on fee income generation and truncate the horizon. The 2025 acquisition of Ruby, which brought the brand count to 20, is an example of brand-led growth which broadened market coverage but not necessarily made the Group an asset-heavy operator. </w:t>
      </w:r>
      <w:r w:rsidR="00CE5697" w:rsidRPr="00CE5697">
        <w:rPr>
          <w:rFonts w:ascii="Times New Roman" w:hAnsi="Times New Roman" w:cs="Times New Roman"/>
        </w:rPr>
        <w:t>All of these tests are worth considering in regards to future deals: The incremental fee potential, loyalty contribution, owner demand, digital integration, ESG compatibility and payback discipline.</w:t>
      </w:r>
    </w:p>
    <w:p w14:paraId="3DE846A8" w14:textId="13C3ACA2" w:rsidR="00011E8A" w:rsidRPr="008778AA" w:rsidRDefault="00CE5697" w:rsidP="005B748B">
      <w:pPr>
        <w:spacing w:line="360" w:lineRule="auto"/>
        <w:jc w:val="both"/>
        <w:rPr>
          <w:rFonts w:ascii="Times New Roman" w:hAnsi="Times New Roman" w:cs="Times New Roman"/>
        </w:rPr>
      </w:pPr>
      <w:r w:rsidRPr="00CE5697">
        <w:rPr>
          <w:rFonts w:ascii="Times New Roman" w:hAnsi="Times New Roman" w:cs="Times New Roman"/>
        </w:rPr>
        <w:t>It is selective restructuring, so it's not a radical restructuring.</w:t>
      </w:r>
      <w:r w:rsidR="005B748B" w:rsidRPr="005B748B">
        <w:rPr>
          <w:rFonts w:ascii="Times New Roman" w:hAnsi="Times New Roman" w:cs="Times New Roman"/>
        </w:rPr>
        <w:t xml:space="preserve"> IHG needs to continue to operate an asset-light business, leverage assets with lower-yielding returns, sensibly refinance its debt load and only pursue brand and technology-based expansion when it can support its recurring fee stream</w:t>
      </w:r>
      <w:r w:rsidR="005B748B">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{"citationItems":[{"id":"ITEM-1","itemData":{"author":[{"dropping-particle":"","family":"IHG","given":"","non-dropping-particle":"","parse-names":false,"suffix":""}],"id":"ITEM-1","issued":{"date-parts":[["2024"]]},"title":"Our business model","type":"article-journal"},"uris":["http://www.mendeley.com/documents/?uuid=92a46e5c-7b3a-4562-ae14-a4ce82dce7c2"]}],"mendeley":{"formattedCitation":"(IHG, 2024b)","plainTextFormattedCitation":"(IHG, 2024b)","previouslyFormattedCitation":"(IHG, 2024b)"},"properties":{"noteIndex":0},"schema":"https://github.com/citation-style-language/schema/raw/master/csl-citation.json"}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(IHG, 2024b)</w:t>
      </w:r>
      <w:r w:rsidR="00D77976" w:rsidRPr="008778AA">
        <w:rPr>
          <w:rFonts w:ascii="Times New Roman" w:hAnsi="Times New Roman" w:cs="Times New Roman"/>
        </w:rPr>
        <w:fldChar w:fldCharType="end"/>
      </w:r>
      <w:r w:rsidR="00A5335F" w:rsidRPr="008778AA">
        <w:rPr>
          <w:rFonts w:ascii="Times New Roman" w:hAnsi="Times New Roman" w:cs="Times New Roman"/>
        </w:rPr>
        <w:t>.</w:t>
      </w:r>
    </w:p>
    <w:p w14:paraId="12EB7C37" w14:textId="09AACD51" w:rsidR="00011E8A" w:rsidRPr="008778AA" w:rsidRDefault="00011E8A" w:rsidP="00AF2BDF">
      <w:pPr>
        <w:pStyle w:val="Heading2"/>
      </w:pPr>
      <w:bookmarkStart w:id="35" w:name="_Toc233392962"/>
      <w:bookmarkStart w:id="36" w:name="_Toc233884808"/>
      <w:r w:rsidRPr="008778AA">
        <w:lastRenderedPageBreak/>
        <w:t xml:space="preserve">Impact on </w:t>
      </w:r>
      <w:r w:rsidRPr="00AF2BDF">
        <w:t>shareholder</w:t>
      </w:r>
      <w:r w:rsidRPr="008778AA">
        <w:t xml:space="preserve"> value, debt structure and operational flexibility</w:t>
      </w:r>
      <w:bookmarkEnd w:id="35"/>
      <w:bookmarkEnd w:id="36"/>
    </w:p>
    <w:p w14:paraId="4B3F3560" w14:textId="0C7AEF5D" w:rsidR="00A5335F" w:rsidRPr="008778AA" w:rsidRDefault="005B748B" w:rsidP="008778AA">
      <w:pPr>
        <w:pStyle w:val="NoSpacing"/>
        <w:spacing w:line="360" w:lineRule="auto"/>
        <w:jc w:val="both"/>
        <w:rPr>
          <w:rFonts w:ascii="Times New Roman" w:hAnsi="Times New Roman" w:cs="Times New Roman"/>
        </w:rPr>
      </w:pPr>
      <w:r w:rsidRPr="005B748B">
        <w:rPr>
          <w:rFonts w:ascii="Times New Roman" w:hAnsi="Times New Roman" w:cs="Times New Roman"/>
        </w:rPr>
        <w:t>The plan should increase the quality and sustainability of returns, rather than foremost financial engineering, and enhance the value of the shareholders</w:t>
      </w:r>
      <w:r>
        <w:rPr>
          <w:rFonts w:ascii="Times New Roman" w:hAnsi="Times New Roman" w:cs="Times New Roman"/>
        </w:rPr>
        <w:t xml:space="preserve"> </w:t>
      </w:r>
      <w:r w:rsidR="00A5335F" w:rsidRPr="008778AA">
        <w:rPr>
          <w:rFonts w:ascii="Times New Roman" w:hAnsi="Times New Roman" w:cs="Times New Roman"/>
        </w:rPr>
        <w:t>Consolidation of assets and divesting can enhance return on capital and free cash for greater-value purposes. Debt refinance can help lower refinancing risk, stabilize interest cover and safeguard IHG's credit profile</w:t>
      </w:r>
      <w:r w:rsidR="00D77976" w:rsidRPr="008778AA">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{"citationItems":[{"id":"ITEM-1","itemData":{"author":[{"dropping-particle":"","family":"Liew","given":"Christopher","non-dropping-particle":"","parse-names":false,"suffix":""}],"id":"ITEM-1","issued":{"date-parts":[["2025"]]},"title":"Christopher Liew: Thinking of refinancing your debt? The benefits, drawbacks, and credit impact","type":"article-journal"},"uris":["http://www.mendeley.com/documents/?uuid=37b923f8-64ba-42f8-afd8-0c2b6bc8d4ce"]}],"mendeley":{"formattedCitation":"(Liew, 2025)","plainTextFormattedCitation":"(Liew, 2025)","previouslyFormattedCitation":"(Liew, 2025)"},"properties":{"noteIndex":0},"schema":"https://github.com/citation-style-language/schema/raw/master/csl-citation.json"}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(Liew, 2025)</w:t>
      </w:r>
      <w:r w:rsidR="00D77976" w:rsidRPr="008778AA">
        <w:rPr>
          <w:rFonts w:ascii="Times New Roman" w:hAnsi="Times New Roman" w:cs="Times New Roman"/>
        </w:rPr>
        <w:fldChar w:fldCharType="end"/>
      </w:r>
      <w:r w:rsidR="00A5335F" w:rsidRPr="008778AA">
        <w:rPr>
          <w:rFonts w:ascii="Times New Roman" w:hAnsi="Times New Roman" w:cs="Times New Roman"/>
        </w:rPr>
        <w:t>. Specific brand and digital investments can boost future RevPAR, loyalty penetration and fee margins.</w:t>
      </w:r>
    </w:p>
    <w:p w14:paraId="4A517C40" w14:textId="16C6E012" w:rsidR="00011E8A" w:rsidRPr="008778AA" w:rsidRDefault="00A5335F" w:rsidP="008778AA">
      <w:pPr>
        <w:spacing w:line="360" w:lineRule="auto"/>
        <w:jc w:val="both"/>
        <w:rPr>
          <w:rFonts w:ascii="Times New Roman" w:hAnsi="Times New Roman" w:cs="Times New Roman"/>
        </w:rPr>
      </w:pPr>
      <w:r w:rsidRPr="008778AA">
        <w:rPr>
          <w:rFonts w:ascii="Times New Roman" w:hAnsi="Times New Roman" w:cs="Times New Roman"/>
        </w:rPr>
        <w:t xml:space="preserve">But, the returns on shares must be more disciplined. Buybacks can generate EPS growth by decreasing the number of shares outstanding, and can be used when cash is generated that is not needed for reinvestment. But over-buybacks may lessen the flexibility in case of economic slowdowns or IHG has to speed up its investment in cybersecurity, AI governance, property-management systems, loyalty platforms, </w:t>
      </w:r>
      <w:proofErr w:type="spellStart"/>
      <w:r w:rsidRPr="008778AA">
        <w:rPr>
          <w:rFonts w:ascii="Times New Roman" w:hAnsi="Times New Roman" w:cs="Times New Roman"/>
        </w:rPr>
        <w:t>decarbonisation</w:t>
      </w:r>
      <w:proofErr w:type="spellEnd"/>
      <w:r w:rsidRPr="008778AA">
        <w:rPr>
          <w:rFonts w:ascii="Times New Roman" w:hAnsi="Times New Roman" w:cs="Times New Roman"/>
        </w:rPr>
        <w:t xml:space="preserve"> and brand standards. The CFO recommendation thus is to only approve buybacks with leverage, liquidity, investment pipeline and risk consideration. Dividends are to continue to be progressive and sustainable and surplus cash is to be invested first in strategic resilience and value accretive growth</w:t>
      </w:r>
      <w:r w:rsidR="00D77976" w:rsidRPr="008778AA">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{"citationItems":[{"id":"ITEM-1","itemData":{"ISSN":"2310-8770","abstract":"Many industries in Indonesia do not share profits in the form of dividends with investors, which affects the value of the company. This condition really determines the investor's decision to invest in the future as a reaction to the company's dividend policy. The study is aimed at analyzing the dividend policy in relation to investor behaviour and its impact on the value of a firm with financial stability as a moderate variable. This study uses 360 IDX-listed businesses from 2018 to 2022 for properties. Smart PLS was used to test the model. The study shows that the dividend policy affects the value of the company, but does not affect the behaviour of investors. However, financial stability has a negative impact on the dividend policy and the value of the company. In addition, financial stability cannot mitigate the relationship between the dividend policy and the value of the firm; Conversely, economic resilience can mitigate investor behavior and affect a firm's value. The article emphasizes that managers who develop dividend policy, that managers who develop dividend policy should pay attention to the behaviour of investors, as this can be a positive signal for the future value of the company.","author":[{"dropping-particle":"","family":"Murtadho","given":"Muis","non-dropping-particle":"","parse-names":false,"suffix":""},{"dropping-particle":"","family":"Ratnawati","given":"Tri","non-dropping-particle":"","parse-names":false,"suffix":""},{"dropping-particle":"","family":"Pristiana","given":"Ulfi","non-dropping-particle":"","parse-names":false,"suffix":""}],"container-title":"Financial and credit activity problems of theory and practice","id":"ITEM-1","issue":"59","issued":{"date-parts":[["2024","12","31"]]},"page":"283-292","title":"DIVIDEND POLICY TO IMPROVE FIRM VALUE, FINANCIAL SUSTAINABILITY MODERATING VARIABLE","type":"article-journal","volume":"6"},"uris":["http://www.mendeley.com/documents/?uuid=48fc5119-95ed-4f8a-8c8d-ee35a8b77e16"]}],"mendeley":{"formattedCitation":"(Murtadho, Ratnawati and Pristiana, 2024)","plainTextFormattedCitation":"(Murtadho, Ratnawati and Pristiana, 2024)","previouslyFormattedCitation":"(Murtadho, Ratnawati and Pristiana, 2024)"},"properties":{"noteIndex":0},"schema":"https://github.com/citation-style-language/schema/raw/master/csl-citation.json"}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(Murtadho, Ratnawati and Pristiana, 2024)</w:t>
      </w:r>
      <w:r w:rsidR="00D77976" w:rsidRPr="008778AA">
        <w:rPr>
          <w:rFonts w:ascii="Times New Roman" w:hAnsi="Times New Roman" w:cs="Times New Roman"/>
        </w:rPr>
        <w:fldChar w:fldCharType="end"/>
      </w:r>
      <w:r w:rsidRPr="008778AA">
        <w:rPr>
          <w:rFonts w:ascii="Times New Roman" w:hAnsi="Times New Roman" w:cs="Times New Roman"/>
        </w:rPr>
        <w:t>.</w:t>
      </w:r>
    </w:p>
    <w:p w14:paraId="33186FE7" w14:textId="6972842A" w:rsidR="00011E8A" w:rsidRPr="008778AA" w:rsidRDefault="00011E8A" w:rsidP="00AF2BDF">
      <w:pPr>
        <w:pStyle w:val="Heading2"/>
      </w:pPr>
      <w:bookmarkStart w:id="37" w:name="_Toc233392963"/>
      <w:bookmarkStart w:id="38" w:name="_Toc233884809"/>
      <w:r w:rsidRPr="008778AA">
        <w:t>International and ethical considerations</w:t>
      </w:r>
      <w:bookmarkEnd w:id="37"/>
      <w:bookmarkEnd w:id="38"/>
    </w:p>
    <w:p w14:paraId="4B89C3CA" w14:textId="292EAB1C" w:rsidR="00011E8A" w:rsidRPr="008778AA" w:rsidRDefault="00A5335F" w:rsidP="008778AA">
      <w:pPr>
        <w:spacing w:line="360" w:lineRule="auto"/>
        <w:jc w:val="both"/>
        <w:rPr>
          <w:rFonts w:ascii="Times New Roman" w:hAnsi="Times New Roman" w:cs="Times New Roman"/>
        </w:rPr>
      </w:pPr>
      <w:r w:rsidRPr="008778AA">
        <w:rPr>
          <w:rFonts w:ascii="Times New Roman" w:hAnsi="Times New Roman" w:cs="Times New Roman"/>
        </w:rPr>
        <w:t>Debt should be matched with cash-flow currencies wherever possible and treasury policy should aim to eliminate speculative currency risk</w:t>
      </w:r>
      <w:r w:rsidR="00D77976" w:rsidRPr="008778AA">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{"citationItems":[{"id":"ITEM-1","itemData":{"ISSN":"1985-2517","author":[{"dropping-particle":"","family":"Kamau","given":"Philip","non-dropping-particle":"","parse-names":false,"suffix":""},{"dropping-particle":"","family":"Inanga","given":"Eno L.","non-dropping-particle":"","parse-names":false,"suffix":""},{"dropping-particle":"","family":"Rwegasira","given":"Kami","non-dropping-particle":"","parse-names":false,"suffix":""}],"container-title":"Journal of Financial Reporting and Accounting","id":"ITEM-1","issue":"1","issued":{"date-parts":[["2015","7","6"]]},"page":"91-118","title":"Currency risk impact on the financial performance of multilateral banks","type":"article-journal","volume":"13"},"uris":["http://www.mendeley.com/documents/?uuid=666851fb-a035-4bb4-a1ee-3b446c31c59d"]}],"mendeley":{"formattedCitation":"(Kamau, Inanga and Rwegasira, 2015)","plainTextFormattedCitation":"(Kamau, Inanga and Rwegasira, 2015)","previouslyFormattedCitation":"(Kamau, Inanga and Rwegasira, 2015)"},"properties":{"noteIndex":0},"schema":"https://github.com/citation-style-language/schema/raw/master/csl-citation.json"}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(Kamau, Inanga and Rwegasira, 2015)</w:t>
      </w:r>
      <w:r w:rsidR="00D77976" w:rsidRPr="008778AA">
        <w:rPr>
          <w:rFonts w:ascii="Times New Roman" w:hAnsi="Times New Roman" w:cs="Times New Roman"/>
        </w:rPr>
        <w:fldChar w:fldCharType="end"/>
      </w:r>
      <w:r w:rsidRPr="008778AA">
        <w:rPr>
          <w:rFonts w:ascii="Times New Roman" w:hAnsi="Times New Roman" w:cs="Times New Roman"/>
        </w:rPr>
        <w:t xml:space="preserve">. There also needs to be an ethical restructuring of the food service sector, and that means responsible franchising, where owners are not forced to pay for brand or ESG upgrades that may not be financially viable for the business or lead to a realistic implementation timeline. Payment discipline shouldn't be a form of unfair payment delay. </w:t>
      </w:r>
    </w:p>
    <w:p w14:paraId="0B0CBE6B" w14:textId="154E77C6" w:rsidR="00011E8A" w:rsidRPr="008778AA" w:rsidRDefault="00011E8A" w:rsidP="00622A00">
      <w:pPr>
        <w:pStyle w:val="Heading1"/>
        <w:numPr>
          <w:ilvl w:val="0"/>
          <w:numId w:val="9"/>
        </w:numPr>
      </w:pPr>
      <w:bookmarkStart w:id="39" w:name="_Toc233392964"/>
      <w:bookmarkStart w:id="40" w:name="_Toc233884810"/>
      <w:r w:rsidRPr="008778AA">
        <w:t>Investment Appraisal and Capital Budgeting</w:t>
      </w:r>
      <w:bookmarkEnd w:id="39"/>
      <w:bookmarkEnd w:id="40"/>
    </w:p>
    <w:p w14:paraId="02F1D0F6" w14:textId="5DD6E20C" w:rsidR="00011E8A" w:rsidRPr="008778AA" w:rsidRDefault="00011E8A" w:rsidP="00AF2BDF">
      <w:pPr>
        <w:pStyle w:val="Heading2"/>
      </w:pPr>
      <w:bookmarkStart w:id="41" w:name="_Toc233392965"/>
      <w:bookmarkStart w:id="42" w:name="_Toc233884811"/>
      <w:r w:rsidRPr="008778AA">
        <w:t xml:space="preserve">Appraisal </w:t>
      </w:r>
      <w:r w:rsidRPr="00AF2BDF">
        <w:t>assumptions</w:t>
      </w:r>
      <w:r w:rsidRPr="008778AA">
        <w:t xml:space="preserve"> and decision criteria</w:t>
      </w:r>
      <w:bookmarkEnd w:id="41"/>
      <w:bookmarkEnd w:id="42"/>
    </w:p>
    <w:p w14:paraId="59480F6B" w14:textId="77777777" w:rsidR="005B748B" w:rsidRPr="005B748B" w:rsidRDefault="00011E8A" w:rsidP="005B748B">
      <w:pPr>
        <w:spacing w:line="360" w:lineRule="auto"/>
        <w:jc w:val="both"/>
        <w:rPr>
          <w:rFonts w:ascii="Times New Roman" w:hAnsi="Times New Roman" w:cs="Times New Roman"/>
        </w:rPr>
      </w:pPr>
      <w:r w:rsidRPr="008778AA">
        <w:rPr>
          <w:rFonts w:ascii="Times New Roman" w:hAnsi="Times New Roman" w:cs="Times New Roman"/>
        </w:rPr>
        <w:t>The investment appraisal assesses three proposed projects, each requiring an initial outlay of £50 million and generating net cash inflows over five years. The appraisal uses an 8% discount rate and assumes straight-line depreciation to zero, giving annual depreciation of £10 million per project</w:t>
      </w:r>
      <w:r w:rsidR="005B748B" w:rsidRPr="005B748B">
        <w:rPr>
          <w:rFonts w:ascii="Times New Roman" w:hAnsi="Times New Roman" w:cs="Times New Roman"/>
        </w:rPr>
        <w:t>. Under capital rationing IHG can invest in only two of the three projects as the maximum investment is £100 million.</w:t>
      </w:r>
    </w:p>
    <w:p w14:paraId="5F2B826F" w14:textId="406DFA45" w:rsidR="00011E8A" w:rsidRPr="008778AA" w:rsidRDefault="005B748B" w:rsidP="005B748B">
      <w:pPr>
        <w:spacing w:line="360" w:lineRule="auto"/>
        <w:jc w:val="both"/>
        <w:rPr>
          <w:rFonts w:ascii="Times New Roman" w:hAnsi="Times New Roman" w:cs="Times New Roman"/>
        </w:rPr>
      </w:pPr>
      <w:r w:rsidRPr="005B748B">
        <w:rPr>
          <w:rFonts w:ascii="Times New Roman" w:hAnsi="Times New Roman" w:cs="Times New Roman"/>
        </w:rPr>
        <w:lastRenderedPageBreak/>
        <w:t>There are five decision criteria used. Average annual accounting profit = Accounting rate of return (A.R.R.) x Average investment, Average investment = Average annual accounting profit / Accounting rate of return (A.R.R.)</w:t>
      </w:r>
      <w:r>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{"citationItems":[{"id":"ITEM-1","itemData":{"author":[{"dropping-particle":"","family":"Ungvarsky","given":"Janine","non-dropping-particle":"","parse-names":false,"suffix":""}],"id":"ITEM-1","issued":{"date-parts":[["2023"]]},"title":"Payback period","type":"article-journal"},"uris":["http://www.mendeley.com/documents/?uuid=a2f26604-f901-4ced-a15d-0497880a14af"]}],"mendeley":{"formattedCitation":"(Ungvarsky, 2023)","plainTextFormattedCitation":"(Ungvarsky, 2023)","previouslyFormattedCitation":"(Ungvarsky, 2023)"},"properties":{"noteIndex":0},"schema":"https://github.com/citation-style-language/schema/raw/master/csl-citation.json"}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(Ungvarsky, 2023)</w:t>
      </w:r>
      <w:r w:rsidR="00D77976" w:rsidRPr="008778AA">
        <w:rPr>
          <w:rFonts w:ascii="Times New Roman" w:hAnsi="Times New Roman" w:cs="Times New Roman"/>
        </w:rPr>
        <w:fldChar w:fldCharType="end"/>
      </w:r>
      <w:r w:rsidR="00011E8A" w:rsidRPr="008778AA">
        <w:rPr>
          <w:rFonts w:ascii="Times New Roman" w:hAnsi="Times New Roman" w:cs="Times New Roman"/>
        </w:rPr>
        <w:t xml:space="preserve">. </w:t>
      </w:r>
      <w:r w:rsidRPr="005B748B">
        <w:rPr>
          <w:rFonts w:ascii="Times New Roman" w:hAnsi="Times New Roman" w:cs="Times New Roman"/>
        </w:rPr>
        <w:t>NPV adjusts future cash flows to determine shareholder value creation. Profitability Index is the value per £1 invested and Internal Rate of Return is the discount rate where NPV is zero</w:t>
      </w:r>
      <w:r>
        <w:rPr>
          <w:rFonts w:ascii="Times New Roman" w:hAnsi="Times New Roman" w:cs="Times New Roman"/>
        </w:rPr>
        <w:t>.</w:t>
      </w:r>
    </w:p>
    <w:p w14:paraId="3657AE59" w14:textId="205607A0" w:rsidR="00011E8A" w:rsidRPr="008778AA" w:rsidRDefault="00011E8A" w:rsidP="00AF2BDF">
      <w:pPr>
        <w:pStyle w:val="Heading2"/>
      </w:pPr>
      <w:bookmarkStart w:id="43" w:name="_Toc233392966"/>
      <w:bookmarkStart w:id="44" w:name="_Toc233884812"/>
      <w:r w:rsidRPr="008778AA">
        <w:t xml:space="preserve">Project A </w:t>
      </w:r>
      <w:r w:rsidRPr="00AF2BDF">
        <w:t>appraisal</w:t>
      </w:r>
      <w:bookmarkEnd w:id="43"/>
      <w:bookmarkEnd w:id="44"/>
    </w:p>
    <w:p w14:paraId="600C979F" w14:textId="77777777" w:rsidR="005B748B" w:rsidRPr="005B748B" w:rsidRDefault="005B748B" w:rsidP="005B748B">
      <w:pPr>
        <w:spacing w:line="360" w:lineRule="auto"/>
        <w:jc w:val="both"/>
        <w:rPr>
          <w:rFonts w:ascii="Times New Roman" w:hAnsi="Times New Roman" w:cs="Times New Roman"/>
        </w:rPr>
      </w:pPr>
      <w:r w:rsidRPr="005B748B">
        <w:rPr>
          <w:rFonts w:ascii="Times New Roman" w:hAnsi="Times New Roman" w:cs="Times New Roman"/>
        </w:rPr>
        <w:t xml:space="preserve">The total undiscounted cash inflows for Project A are £54 million over five years, with a £50 million initial investment. In the early and middle years, cash-flow is positive with cash inflows of £10m, £12m and £14m in years one, two and three, but becomes less positive in year four at £10m and year five at £8m. The Payback period is 4.5 years, which means that the investment is only paid back half way through the last year. </w:t>
      </w:r>
    </w:p>
    <w:p w14:paraId="0D8628DC" w14:textId="47710E65" w:rsidR="00011E8A" w:rsidRPr="008778AA" w:rsidRDefault="005B748B" w:rsidP="005B748B">
      <w:pPr>
        <w:spacing w:line="360" w:lineRule="auto"/>
        <w:jc w:val="both"/>
        <w:rPr>
          <w:rFonts w:ascii="Times New Roman" w:hAnsi="Times New Roman" w:cs="Times New Roman"/>
        </w:rPr>
      </w:pPr>
      <w:r w:rsidRPr="005B748B">
        <w:rPr>
          <w:rFonts w:ascii="Times New Roman" w:hAnsi="Times New Roman" w:cs="Times New Roman"/>
        </w:rPr>
        <w:t>The Accounting Profit is £10 million per year, using straight line depreciation method, then the average annual accounting profit of £0.8 million, and the Accounting Rate of Return is 3.2% based on the average investment of £25 million. The present value of the inflows of Project A at 8% discount rate is around £43.46 million, giving a N.P.V. of - £6.54 million and a Profitability Index of 0.87. The Internal Rate of Return (IRR) is about 2.7%, which is less than the target 8% return. Thus, Project A is not financially appealing based on value creation criteria although the project has positive nominal cash inflows</w:t>
      </w:r>
      <w:r w:rsidR="00011E8A" w:rsidRPr="008778AA">
        <w:rPr>
          <w:rFonts w:ascii="Times New Roman" w:hAnsi="Times New Roman" w:cs="Times New Roman"/>
        </w:rPr>
        <w:t>.</w:t>
      </w:r>
    </w:p>
    <w:p w14:paraId="5DEDD5C8" w14:textId="5D4D1CA8" w:rsidR="000D410D" w:rsidRPr="008778AA" w:rsidRDefault="000D410D" w:rsidP="00AF2BDF">
      <w:pPr>
        <w:pStyle w:val="Heading2"/>
      </w:pPr>
      <w:bookmarkStart w:id="45" w:name="_Toc233392967"/>
      <w:bookmarkStart w:id="46" w:name="_Toc233884813"/>
      <w:r w:rsidRPr="008778AA">
        <w:t>Project B appraisal</w:t>
      </w:r>
      <w:bookmarkEnd w:id="45"/>
      <w:bookmarkEnd w:id="46"/>
    </w:p>
    <w:p w14:paraId="16C5B19B" w14:textId="77777777" w:rsidR="00E66DDB" w:rsidRPr="00E66DDB" w:rsidRDefault="00E66DDB" w:rsidP="00E66DDB">
      <w:pPr>
        <w:spacing w:line="360" w:lineRule="auto"/>
        <w:jc w:val="both"/>
        <w:rPr>
          <w:rFonts w:ascii="Times New Roman" w:hAnsi="Times New Roman" w:cs="Times New Roman"/>
        </w:rPr>
      </w:pPr>
      <w:r w:rsidRPr="00E66DDB">
        <w:rPr>
          <w:rFonts w:ascii="Times New Roman" w:hAnsi="Times New Roman" w:cs="Times New Roman"/>
        </w:rPr>
        <w:t>The initial investment for Project B is £50 million, and the net cash inflows from the project are a constant £11 million for 5 years. This leads to £55m of undiscounted cash inflows. The Payback period is the time taken for £50 million to be recovered from the £11 million per year inflow, which is 4.55 years. The cash flows are known but the payback is long as the annual inflow is only slightly higher than annual depreciation.</w:t>
      </w:r>
    </w:p>
    <w:p w14:paraId="1835E586" w14:textId="33E5B92E" w:rsidR="000D410D" w:rsidRPr="008778AA" w:rsidRDefault="00E66DDB" w:rsidP="00342F87">
      <w:r w:rsidRPr="00E66DDB">
        <w:t xml:space="preserve">The straight-line depreciation is £10 million a year, so there is an annual accounting profit of £1 million, and an average annual accounting profit of £1 million. The Accounting rate of return is 4.0% based on an average investment of £25 million. The present value of these 5 equal inflows is about £43.92 million and the NPV and Profitability Index at 8% discount rate are -£6.08 million and 0.88 respectively. The IRR is about 3.3% less than the required IRR of 8%. Hence, </w:t>
      </w:r>
      <w:r w:rsidRPr="00E66DDB">
        <w:lastRenderedPageBreak/>
        <w:t>project B isn't financially desirable because it doesn't provide enough discounted value for the investment, but it is operationally predictable</w:t>
      </w:r>
      <w:r w:rsidR="000D410D" w:rsidRPr="008778AA">
        <w:t>.</w:t>
      </w:r>
    </w:p>
    <w:p w14:paraId="048D4427" w14:textId="727A2FA2" w:rsidR="000D410D" w:rsidRPr="008778AA" w:rsidRDefault="000D410D" w:rsidP="00AF2BDF">
      <w:pPr>
        <w:pStyle w:val="Heading2"/>
      </w:pPr>
      <w:bookmarkStart w:id="47" w:name="_Toc233392968"/>
      <w:bookmarkStart w:id="48" w:name="_Toc233884814"/>
      <w:r w:rsidRPr="008778AA">
        <w:t>Project C appraisal</w:t>
      </w:r>
      <w:bookmarkEnd w:id="47"/>
      <w:bookmarkEnd w:id="48"/>
    </w:p>
    <w:p w14:paraId="20FA9EB0" w14:textId="77777777" w:rsidR="00E66DDB" w:rsidRPr="00E66DDB" w:rsidRDefault="00E66DDB" w:rsidP="00E66DDB">
      <w:pPr>
        <w:spacing w:line="360" w:lineRule="auto"/>
        <w:jc w:val="both"/>
        <w:rPr>
          <w:rFonts w:ascii="Times New Roman" w:hAnsi="Times New Roman" w:cs="Times New Roman"/>
        </w:rPr>
      </w:pPr>
      <w:r w:rsidRPr="00E66DDB">
        <w:rPr>
          <w:rFonts w:ascii="Times New Roman" w:hAnsi="Times New Roman" w:cs="Times New Roman"/>
        </w:rPr>
        <w:t>Project C has a cash-flow that is different to that of project B, requiring the same initial investment of £50 million. It produces £5m in year one, £10m in year two, £20m in year three, £25m in year 4 and £5m in year 5. The highest of the three projects is total undiscounted inflows of £65 million. Payback period is calculated after £35 million has been recovered by the end of year three, which leaves £15 million in year four to be recovered, which is £25 million inflow / £15 million outflow = 1.67 years or £15 million is recovered after 1.67 years, or approximately 3.6 years. This is quicker than Projects A and B.</w:t>
      </w:r>
    </w:p>
    <w:p w14:paraId="498606ED" w14:textId="1494F1C6" w:rsidR="000D410D" w:rsidRPr="008778AA" w:rsidRDefault="00E66DDB" w:rsidP="00E66DDB">
      <w:pPr>
        <w:spacing w:line="360" w:lineRule="auto"/>
        <w:jc w:val="both"/>
        <w:rPr>
          <w:rFonts w:ascii="Times New Roman" w:hAnsi="Times New Roman" w:cs="Times New Roman"/>
        </w:rPr>
      </w:pPr>
      <w:r w:rsidRPr="00E66DDB">
        <w:rPr>
          <w:rFonts w:ascii="Times New Roman" w:hAnsi="Times New Roman" w:cs="Times New Roman"/>
        </w:rPr>
        <w:t>If the accounting profit is zero, £10 million per year and the depreciation is zero, the average accounting profit over 5 years is £3 million. The Accounting Rate of Return (ARR) is 12.0% when based on the average investment which is £25 million. With a 8% discount rate the present value of inflows is around £50.86 million, the NPV is £0.86 million and the Profitability Index is 1.02. Thus project C is the only project that has positive discounted values, but with back-loaded cash flows, there is a timing and execution risk</w:t>
      </w:r>
      <w:r w:rsidR="000D410D" w:rsidRPr="008778AA">
        <w:rPr>
          <w:rFonts w:ascii="Times New Roman" w:hAnsi="Times New Roman" w:cs="Times New Roman"/>
        </w:rPr>
        <w:t>.</w:t>
      </w:r>
    </w:p>
    <w:p w14:paraId="66A78D1C" w14:textId="545D0F27" w:rsidR="000D410D" w:rsidRPr="008778AA" w:rsidRDefault="000D410D" w:rsidP="00AF2BDF">
      <w:pPr>
        <w:pStyle w:val="Heading2"/>
      </w:pPr>
      <w:bookmarkStart w:id="49" w:name="_Toc233392969"/>
      <w:bookmarkStart w:id="50" w:name="_Toc233884815"/>
      <w:r w:rsidRPr="00AF2BDF">
        <w:t>Comparison</w:t>
      </w:r>
      <w:r w:rsidRPr="008778AA">
        <w:t xml:space="preserve"> and recommended single project</w:t>
      </w:r>
      <w:bookmarkEnd w:id="49"/>
      <w:bookmarkEnd w:id="50"/>
    </w:p>
    <w:p w14:paraId="76780BE7" w14:textId="0E31AA2D" w:rsidR="00B82405" w:rsidRPr="008778AA" w:rsidRDefault="00E66DDB" w:rsidP="008778AA">
      <w:pPr>
        <w:spacing w:line="360" w:lineRule="auto"/>
        <w:jc w:val="both"/>
        <w:rPr>
          <w:rFonts w:ascii="Times New Roman" w:hAnsi="Times New Roman" w:cs="Times New Roman"/>
        </w:rPr>
      </w:pPr>
      <w:r w:rsidRPr="00E66DDB">
        <w:rPr>
          <w:rFonts w:ascii="Times New Roman" w:hAnsi="Times New Roman" w:cs="Times New Roman"/>
        </w:rPr>
        <w:t>The outcome of the appraisals indicated that Project C is the best individual investment. Project A has a Payback Period of 4.5 years, an ARR of 3.2%, a NPV of -£6.54 million and a PI of 0.87 and IRR of approximately 2.7%. Project B is a little better but still weak with a Payback Period of 4.55 years, ARR of 4.0%, NPV of -£6.08 million, PI of 0.88 and IRR of about 3.3%. Both projects have a negative NPV and return of less than 8% required rate</w:t>
      </w:r>
      <w:r w:rsidR="000D410D" w:rsidRPr="008778AA">
        <w:rPr>
          <w:rFonts w:ascii="Times New Roman" w:hAnsi="Times New Roman" w:cs="Times New Roman"/>
        </w:rPr>
        <w:t xml:space="preserve">. </w:t>
      </w:r>
    </w:p>
    <w:p w14:paraId="1362EA78" w14:textId="3001606F" w:rsidR="0016378B" w:rsidRPr="008778AA" w:rsidRDefault="0016378B" w:rsidP="008778AA">
      <w:pPr>
        <w:pStyle w:val="Caption"/>
        <w:keepNext/>
        <w:spacing w:line="360" w:lineRule="auto"/>
        <w:jc w:val="center"/>
        <w:rPr>
          <w:rFonts w:ascii="Times New Roman" w:hAnsi="Times New Roman" w:cs="Times New Roman"/>
        </w:rPr>
      </w:pPr>
      <w:r w:rsidRPr="008778AA">
        <w:rPr>
          <w:rFonts w:ascii="Times New Roman" w:hAnsi="Times New Roman" w:cs="Times New Roman"/>
        </w:rPr>
        <w:t xml:space="preserve">Table </w:t>
      </w:r>
      <w:r w:rsidRPr="008778AA">
        <w:rPr>
          <w:rFonts w:ascii="Times New Roman" w:hAnsi="Times New Roman" w:cs="Times New Roman"/>
        </w:rPr>
        <w:fldChar w:fldCharType="begin"/>
      </w:r>
      <w:r w:rsidRPr="008778AA">
        <w:rPr>
          <w:rFonts w:ascii="Times New Roman" w:hAnsi="Times New Roman" w:cs="Times New Roman"/>
        </w:rPr>
        <w:instrText xml:space="preserve"> SEQ Table \* ARABIC </w:instrText>
      </w:r>
      <w:r w:rsidRPr="008778AA">
        <w:rPr>
          <w:rFonts w:ascii="Times New Roman" w:hAnsi="Times New Roman" w:cs="Times New Roman"/>
        </w:rPr>
        <w:fldChar w:fldCharType="separate"/>
      </w:r>
      <w:r w:rsidRPr="008778AA">
        <w:rPr>
          <w:rFonts w:ascii="Times New Roman" w:hAnsi="Times New Roman" w:cs="Times New Roman"/>
          <w:noProof/>
        </w:rPr>
        <w:t>2</w:t>
      </w:r>
      <w:r w:rsidRPr="008778AA">
        <w:rPr>
          <w:rFonts w:ascii="Times New Roman" w:hAnsi="Times New Roman" w:cs="Times New Roman"/>
        </w:rPr>
        <w:fldChar w:fldCharType="end"/>
      </w:r>
      <w:r w:rsidRPr="008778AA">
        <w:rPr>
          <w:rFonts w:ascii="Times New Roman" w:hAnsi="Times New Roman" w:cs="Times New Roman"/>
        </w:rPr>
        <w:t>- Investment appraisal summary for Projects A, B and C</w:t>
      </w:r>
    </w:p>
    <w:tbl>
      <w:tblPr>
        <w:tblStyle w:val="TableGrid"/>
        <w:tblW w:w="8786" w:type="dxa"/>
        <w:tblLook w:val="04A0" w:firstRow="1" w:lastRow="0" w:firstColumn="1" w:lastColumn="0" w:noHBand="0" w:noVBand="1"/>
      </w:tblPr>
      <w:tblGrid>
        <w:gridCol w:w="4529"/>
        <w:gridCol w:w="1419"/>
        <w:gridCol w:w="1419"/>
        <w:gridCol w:w="1419"/>
      </w:tblGrid>
      <w:tr w:rsidR="00B82405" w:rsidRPr="008778AA" w14:paraId="1BDD188D" w14:textId="77777777" w:rsidTr="00A5335F">
        <w:trPr>
          <w:trHeight w:val="741"/>
        </w:trPr>
        <w:tc>
          <w:tcPr>
            <w:tcW w:w="0" w:type="auto"/>
            <w:hideMark/>
          </w:tcPr>
          <w:p w14:paraId="766DA1D6" w14:textId="77777777" w:rsidR="00B82405" w:rsidRPr="008778AA" w:rsidRDefault="00B82405" w:rsidP="008778AA">
            <w:pPr>
              <w:spacing w:after="160" w:line="360" w:lineRule="auto"/>
              <w:jc w:val="center"/>
              <w:rPr>
                <w:rFonts w:ascii="Times New Roman" w:hAnsi="Times New Roman" w:cs="Times New Roman"/>
                <w:b/>
                <w:bCs/>
              </w:rPr>
            </w:pPr>
            <w:r w:rsidRPr="008778AA">
              <w:rPr>
                <w:rFonts w:ascii="Times New Roman" w:hAnsi="Times New Roman" w:cs="Times New Roman"/>
                <w:b/>
                <w:bCs/>
              </w:rPr>
              <w:t>Appraisal method</w:t>
            </w:r>
          </w:p>
        </w:tc>
        <w:tc>
          <w:tcPr>
            <w:tcW w:w="0" w:type="auto"/>
            <w:hideMark/>
          </w:tcPr>
          <w:p w14:paraId="66E697EF" w14:textId="77777777" w:rsidR="00B82405" w:rsidRPr="008778AA" w:rsidRDefault="00B82405" w:rsidP="008778AA">
            <w:pPr>
              <w:spacing w:after="160" w:line="360" w:lineRule="auto"/>
              <w:jc w:val="center"/>
              <w:rPr>
                <w:rFonts w:ascii="Times New Roman" w:hAnsi="Times New Roman" w:cs="Times New Roman"/>
                <w:b/>
                <w:bCs/>
              </w:rPr>
            </w:pPr>
            <w:r w:rsidRPr="008778AA">
              <w:rPr>
                <w:rFonts w:ascii="Times New Roman" w:hAnsi="Times New Roman" w:cs="Times New Roman"/>
                <w:b/>
                <w:bCs/>
              </w:rPr>
              <w:t>Project A</w:t>
            </w:r>
          </w:p>
        </w:tc>
        <w:tc>
          <w:tcPr>
            <w:tcW w:w="0" w:type="auto"/>
            <w:hideMark/>
          </w:tcPr>
          <w:p w14:paraId="375F9C25" w14:textId="77777777" w:rsidR="00B82405" w:rsidRPr="008778AA" w:rsidRDefault="00B82405" w:rsidP="008778AA">
            <w:pPr>
              <w:spacing w:after="160" w:line="360" w:lineRule="auto"/>
              <w:jc w:val="center"/>
              <w:rPr>
                <w:rFonts w:ascii="Times New Roman" w:hAnsi="Times New Roman" w:cs="Times New Roman"/>
                <w:b/>
                <w:bCs/>
              </w:rPr>
            </w:pPr>
            <w:r w:rsidRPr="008778AA">
              <w:rPr>
                <w:rFonts w:ascii="Times New Roman" w:hAnsi="Times New Roman" w:cs="Times New Roman"/>
                <w:b/>
                <w:bCs/>
              </w:rPr>
              <w:t>Project B</w:t>
            </w:r>
          </w:p>
        </w:tc>
        <w:tc>
          <w:tcPr>
            <w:tcW w:w="0" w:type="auto"/>
            <w:hideMark/>
          </w:tcPr>
          <w:p w14:paraId="69F5F5A1" w14:textId="77777777" w:rsidR="00B82405" w:rsidRPr="008778AA" w:rsidRDefault="00B82405" w:rsidP="008778AA">
            <w:pPr>
              <w:spacing w:after="160" w:line="360" w:lineRule="auto"/>
              <w:jc w:val="center"/>
              <w:rPr>
                <w:rFonts w:ascii="Times New Roman" w:hAnsi="Times New Roman" w:cs="Times New Roman"/>
                <w:b/>
                <w:bCs/>
              </w:rPr>
            </w:pPr>
            <w:r w:rsidRPr="008778AA">
              <w:rPr>
                <w:rFonts w:ascii="Times New Roman" w:hAnsi="Times New Roman" w:cs="Times New Roman"/>
                <w:b/>
                <w:bCs/>
              </w:rPr>
              <w:t>Project C</w:t>
            </w:r>
          </w:p>
        </w:tc>
      </w:tr>
      <w:tr w:rsidR="00B82405" w:rsidRPr="008778AA" w14:paraId="64645649" w14:textId="77777777" w:rsidTr="00A5335F">
        <w:trPr>
          <w:trHeight w:val="753"/>
        </w:trPr>
        <w:tc>
          <w:tcPr>
            <w:tcW w:w="0" w:type="auto"/>
            <w:hideMark/>
          </w:tcPr>
          <w:p w14:paraId="0C03A4C1"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Initial investment (£m)</w:t>
            </w:r>
          </w:p>
        </w:tc>
        <w:tc>
          <w:tcPr>
            <w:tcW w:w="0" w:type="auto"/>
            <w:hideMark/>
          </w:tcPr>
          <w:p w14:paraId="02D43731"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50.00</w:t>
            </w:r>
          </w:p>
        </w:tc>
        <w:tc>
          <w:tcPr>
            <w:tcW w:w="0" w:type="auto"/>
            <w:hideMark/>
          </w:tcPr>
          <w:p w14:paraId="2255F352"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50.00</w:t>
            </w:r>
          </w:p>
        </w:tc>
        <w:tc>
          <w:tcPr>
            <w:tcW w:w="0" w:type="auto"/>
            <w:hideMark/>
          </w:tcPr>
          <w:p w14:paraId="56646430"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50.00</w:t>
            </w:r>
          </w:p>
        </w:tc>
      </w:tr>
      <w:tr w:rsidR="00B82405" w:rsidRPr="008778AA" w14:paraId="4BD95ADA" w14:textId="77777777" w:rsidTr="00A5335F">
        <w:trPr>
          <w:trHeight w:val="741"/>
        </w:trPr>
        <w:tc>
          <w:tcPr>
            <w:tcW w:w="0" w:type="auto"/>
            <w:hideMark/>
          </w:tcPr>
          <w:p w14:paraId="784F07FB"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Total undiscounted cash inflows (£m)</w:t>
            </w:r>
          </w:p>
        </w:tc>
        <w:tc>
          <w:tcPr>
            <w:tcW w:w="0" w:type="auto"/>
            <w:hideMark/>
          </w:tcPr>
          <w:p w14:paraId="0AF223BE"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54.00</w:t>
            </w:r>
          </w:p>
        </w:tc>
        <w:tc>
          <w:tcPr>
            <w:tcW w:w="0" w:type="auto"/>
            <w:hideMark/>
          </w:tcPr>
          <w:p w14:paraId="0651F7BC"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55.00</w:t>
            </w:r>
          </w:p>
        </w:tc>
        <w:tc>
          <w:tcPr>
            <w:tcW w:w="0" w:type="auto"/>
            <w:hideMark/>
          </w:tcPr>
          <w:p w14:paraId="11999442"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65.00</w:t>
            </w:r>
          </w:p>
        </w:tc>
      </w:tr>
      <w:tr w:rsidR="00B82405" w:rsidRPr="008778AA" w14:paraId="7CAB2208" w14:textId="77777777" w:rsidTr="00A5335F">
        <w:trPr>
          <w:trHeight w:val="741"/>
        </w:trPr>
        <w:tc>
          <w:tcPr>
            <w:tcW w:w="0" w:type="auto"/>
            <w:hideMark/>
          </w:tcPr>
          <w:p w14:paraId="6C7F43D8"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lastRenderedPageBreak/>
              <w:t>Payback Period</w:t>
            </w:r>
          </w:p>
        </w:tc>
        <w:tc>
          <w:tcPr>
            <w:tcW w:w="0" w:type="auto"/>
            <w:hideMark/>
          </w:tcPr>
          <w:p w14:paraId="695AAFD3"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4.50 years</w:t>
            </w:r>
          </w:p>
        </w:tc>
        <w:tc>
          <w:tcPr>
            <w:tcW w:w="0" w:type="auto"/>
            <w:hideMark/>
          </w:tcPr>
          <w:p w14:paraId="57182351"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4.55 years</w:t>
            </w:r>
          </w:p>
        </w:tc>
        <w:tc>
          <w:tcPr>
            <w:tcW w:w="0" w:type="auto"/>
            <w:hideMark/>
          </w:tcPr>
          <w:p w14:paraId="540FC952"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3.60 years</w:t>
            </w:r>
          </w:p>
        </w:tc>
      </w:tr>
      <w:tr w:rsidR="00B82405" w:rsidRPr="008778AA" w14:paraId="1B866EB2" w14:textId="77777777" w:rsidTr="00A5335F">
        <w:trPr>
          <w:trHeight w:val="753"/>
        </w:trPr>
        <w:tc>
          <w:tcPr>
            <w:tcW w:w="0" w:type="auto"/>
            <w:hideMark/>
          </w:tcPr>
          <w:p w14:paraId="4C45858A"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Accounting Rate of Return (ARR)</w:t>
            </w:r>
          </w:p>
        </w:tc>
        <w:tc>
          <w:tcPr>
            <w:tcW w:w="0" w:type="auto"/>
            <w:hideMark/>
          </w:tcPr>
          <w:p w14:paraId="2220EA0F"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3.20%</w:t>
            </w:r>
          </w:p>
        </w:tc>
        <w:tc>
          <w:tcPr>
            <w:tcW w:w="0" w:type="auto"/>
            <w:hideMark/>
          </w:tcPr>
          <w:p w14:paraId="63BFFCA4"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4.00%</w:t>
            </w:r>
          </w:p>
        </w:tc>
        <w:tc>
          <w:tcPr>
            <w:tcW w:w="0" w:type="auto"/>
            <w:hideMark/>
          </w:tcPr>
          <w:p w14:paraId="574C0C73"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12.00%</w:t>
            </w:r>
          </w:p>
        </w:tc>
      </w:tr>
      <w:tr w:rsidR="00B82405" w:rsidRPr="008778AA" w14:paraId="6412FAED" w14:textId="77777777" w:rsidTr="00A5335F">
        <w:trPr>
          <w:trHeight w:val="741"/>
        </w:trPr>
        <w:tc>
          <w:tcPr>
            <w:tcW w:w="0" w:type="auto"/>
            <w:hideMark/>
          </w:tcPr>
          <w:p w14:paraId="0F51711E"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Present value of cash inflows (£m)</w:t>
            </w:r>
          </w:p>
        </w:tc>
        <w:tc>
          <w:tcPr>
            <w:tcW w:w="0" w:type="auto"/>
            <w:hideMark/>
          </w:tcPr>
          <w:p w14:paraId="426D4631"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43.46</w:t>
            </w:r>
          </w:p>
        </w:tc>
        <w:tc>
          <w:tcPr>
            <w:tcW w:w="0" w:type="auto"/>
            <w:hideMark/>
          </w:tcPr>
          <w:p w14:paraId="752AABC6"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43.92</w:t>
            </w:r>
          </w:p>
        </w:tc>
        <w:tc>
          <w:tcPr>
            <w:tcW w:w="0" w:type="auto"/>
            <w:hideMark/>
          </w:tcPr>
          <w:p w14:paraId="010CD34E"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50.86</w:t>
            </w:r>
          </w:p>
        </w:tc>
      </w:tr>
      <w:tr w:rsidR="00B82405" w:rsidRPr="008778AA" w14:paraId="2C3A3E6D" w14:textId="77777777" w:rsidTr="00A5335F">
        <w:trPr>
          <w:trHeight w:val="753"/>
        </w:trPr>
        <w:tc>
          <w:tcPr>
            <w:tcW w:w="0" w:type="auto"/>
            <w:hideMark/>
          </w:tcPr>
          <w:p w14:paraId="47313AA7"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Net Present Value (NPV) (£m)</w:t>
            </w:r>
          </w:p>
        </w:tc>
        <w:tc>
          <w:tcPr>
            <w:tcW w:w="0" w:type="auto"/>
            <w:hideMark/>
          </w:tcPr>
          <w:p w14:paraId="46A3F4D4"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(6.54)</w:t>
            </w:r>
          </w:p>
        </w:tc>
        <w:tc>
          <w:tcPr>
            <w:tcW w:w="0" w:type="auto"/>
            <w:hideMark/>
          </w:tcPr>
          <w:p w14:paraId="1AF452E4"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(6.08)</w:t>
            </w:r>
          </w:p>
        </w:tc>
        <w:tc>
          <w:tcPr>
            <w:tcW w:w="0" w:type="auto"/>
            <w:hideMark/>
          </w:tcPr>
          <w:p w14:paraId="2A1CC18E"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0.86</w:t>
            </w:r>
          </w:p>
        </w:tc>
      </w:tr>
      <w:tr w:rsidR="00B82405" w:rsidRPr="008778AA" w14:paraId="3035CBEB" w14:textId="77777777" w:rsidTr="00A5335F">
        <w:trPr>
          <w:trHeight w:val="741"/>
        </w:trPr>
        <w:tc>
          <w:tcPr>
            <w:tcW w:w="0" w:type="auto"/>
            <w:hideMark/>
          </w:tcPr>
          <w:p w14:paraId="5179AD45"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Profitability Index (PI)</w:t>
            </w:r>
          </w:p>
        </w:tc>
        <w:tc>
          <w:tcPr>
            <w:tcW w:w="0" w:type="auto"/>
            <w:hideMark/>
          </w:tcPr>
          <w:p w14:paraId="43F90975"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0.87</w:t>
            </w:r>
          </w:p>
        </w:tc>
        <w:tc>
          <w:tcPr>
            <w:tcW w:w="0" w:type="auto"/>
            <w:hideMark/>
          </w:tcPr>
          <w:p w14:paraId="43EC9BBB"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0.88</w:t>
            </w:r>
          </w:p>
        </w:tc>
        <w:tc>
          <w:tcPr>
            <w:tcW w:w="0" w:type="auto"/>
            <w:hideMark/>
          </w:tcPr>
          <w:p w14:paraId="671F20AF"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1.02</w:t>
            </w:r>
          </w:p>
        </w:tc>
      </w:tr>
      <w:tr w:rsidR="00B82405" w:rsidRPr="008778AA" w14:paraId="45805C8B" w14:textId="77777777" w:rsidTr="00A5335F">
        <w:trPr>
          <w:trHeight w:val="741"/>
        </w:trPr>
        <w:tc>
          <w:tcPr>
            <w:tcW w:w="0" w:type="auto"/>
            <w:hideMark/>
          </w:tcPr>
          <w:p w14:paraId="1ADCB0E5"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Internal Rate of Return (IRR)</w:t>
            </w:r>
          </w:p>
        </w:tc>
        <w:tc>
          <w:tcPr>
            <w:tcW w:w="0" w:type="auto"/>
            <w:hideMark/>
          </w:tcPr>
          <w:p w14:paraId="1F7AEF59"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2.72%</w:t>
            </w:r>
          </w:p>
        </w:tc>
        <w:tc>
          <w:tcPr>
            <w:tcW w:w="0" w:type="auto"/>
            <w:hideMark/>
          </w:tcPr>
          <w:p w14:paraId="4A3CFEFA"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3.26%</w:t>
            </w:r>
          </w:p>
        </w:tc>
        <w:tc>
          <w:tcPr>
            <w:tcW w:w="0" w:type="auto"/>
            <w:hideMark/>
          </w:tcPr>
          <w:p w14:paraId="210E87E7"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8.59%</w:t>
            </w:r>
          </w:p>
        </w:tc>
      </w:tr>
      <w:tr w:rsidR="00B82405" w:rsidRPr="008778AA" w14:paraId="7B83F00F" w14:textId="77777777" w:rsidTr="00A5335F">
        <w:trPr>
          <w:trHeight w:val="741"/>
        </w:trPr>
        <w:tc>
          <w:tcPr>
            <w:tcW w:w="0" w:type="auto"/>
            <w:hideMark/>
          </w:tcPr>
          <w:p w14:paraId="686B201A"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Decision</w:t>
            </w:r>
          </w:p>
        </w:tc>
        <w:tc>
          <w:tcPr>
            <w:tcW w:w="0" w:type="auto"/>
            <w:hideMark/>
          </w:tcPr>
          <w:p w14:paraId="70BB7CF4"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Reject</w:t>
            </w:r>
          </w:p>
        </w:tc>
        <w:tc>
          <w:tcPr>
            <w:tcW w:w="0" w:type="auto"/>
            <w:hideMark/>
          </w:tcPr>
          <w:p w14:paraId="63B591FA"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Reject</w:t>
            </w:r>
          </w:p>
        </w:tc>
        <w:tc>
          <w:tcPr>
            <w:tcW w:w="0" w:type="auto"/>
            <w:hideMark/>
          </w:tcPr>
          <w:p w14:paraId="47AE0F0B"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Accept</w:t>
            </w:r>
          </w:p>
        </w:tc>
      </w:tr>
    </w:tbl>
    <w:p w14:paraId="7D822649" w14:textId="77777777" w:rsidR="00E66DDB" w:rsidRPr="00E66DDB" w:rsidRDefault="000D410D" w:rsidP="00E66DDB">
      <w:pPr>
        <w:spacing w:line="360" w:lineRule="auto"/>
        <w:jc w:val="both"/>
        <w:rPr>
          <w:rFonts w:ascii="Times New Roman" w:hAnsi="Times New Roman" w:cs="Times New Roman"/>
        </w:rPr>
      </w:pPr>
      <w:r w:rsidRPr="008778AA">
        <w:rPr>
          <w:rFonts w:ascii="Times New Roman" w:hAnsi="Times New Roman" w:cs="Times New Roman"/>
        </w:rPr>
        <w:t xml:space="preserve">Project C has the best results across most criteria, with a Payback Period of 3.6 years, ARR of 12.0%, NPV of £0.86 million, PI of 1.02 and IRR of approximately 8.8%. </w:t>
      </w:r>
      <w:r w:rsidR="00E66DDB" w:rsidRPr="00E66DDB">
        <w:rPr>
          <w:rFonts w:ascii="Times New Roman" w:hAnsi="Times New Roman" w:cs="Times New Roman"/>
        </w:rPr>
        <w:t>Positive NPV implies that the project will be value adding after accounting for cost of capital, while the PI value &gt; 1.00 verifies the present value of inflows is higher than the original investment. In the light of a CFO, Project C, accordingly, should be recommended as the most preferable single project.</w:t>
      </w:r>
    </w:p>
    <w:p w14:paraId="220FA40D" w14:textId="39A30890" w:rsidR="000D410D" w:rsidRPr="008778AA" w:rsidRDefault="00E66DDB" w:rsidP="00E66DDB">
      <w:pPr>
        <w:spacing w:line="360" w:lineRule="auto"/>
        <w:jc w:val="both"/>
        <w:rPr>
          <w:rFonts w:ascii="Times New Roman" w:hAnsi="Times New Roman" w:cs="Times New Roman"/>
        </w:rPr>
      </w:pPr>
      <w:r w:rsidRPr="00E66DDB">
        <w:rPr>
          <w:rFonts w:ascii="Times New Roman" w:hAnsi="Times New Roman" w:cs="Times New Roman"/>
        </w:rPr>
        <w:t>It's the same recommendation that IHG's own financial profile would suggest. IHG's asset light business, positive cash flows and robust brand platform allows for a certain amount of timing risk with the project, as it will enhance the long-term profit generation of the Group</w:t>
      </w:r>
      <w:r>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{"citationItems":[{"id":"ITEM-1","itemData":{"author":[{"dropping-particle":"","family":"IHG","given":"","non-dropping-particle":"","parse-names":false,"suffix":""}],"id":"ITEM-1","issued":{"date-parts":[["2023"]]},"title":"True Hospitality for Good","type":"article-journal"},"uris":["http://www.mendeley.com/documents/?uuid=6e8123cf-86fb-41a8-9e81-ca9b11385f7a"]}],"mendeley":{"formattedCitation":"(IHG, 2023)","plainTextFormattedCitation":"(IHG, 2023)","previouslyFormattedCitation":"(IHG, 2023)"},"properties":{"noteIndex":0},"schema":"https://github.com/citation-style-language/schema/raw/master/csl-citation.json"}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(IHG, 2023)</w:t>
      </w:r>
      <w:r w:rsidR="00D77976" w:rsidRPr="008778AA">
        <w:rPr>
          <w:rFonts w:ascii="Times New Roman" w:hAnsi="Times New Roman" w:cs="Times New Roman"/>
        </w:rPr>
        <w:fldChar w:fldCharType="end"/>
      </w:r>
      <w:r w:rsidR="000D410D" w:rsidRPr="008778AA">
        <w:rPr>
          <w:rFonts w:ascii="Times New Roman" w:hAnsi="Times New Roman" w:cs="Times New Roman"/>
        </w:rPr>
        <w:t xml:space="preserve">. </w:t>
      </w:r>
      <w:r w:rsidRPr="00E66DDB">
        <w:rPr>
          <w:rFonts w:ascii="Times New Roman" w:hAnsi="Times New Roman" w:cs="Times New Roman"/>
        </w:rPr>
        <w:t>The cash flow for Project C is back loaded, however, and has to be tightly controlled: any delay in year 3 or 4 would rapidly consume the small NPV advantage. Therefore the approval should be contingent upon a strong risk management framework, milestone tracking and strategic integration with IHG's brands and owner network</w:t>
      </w:r>
      <w:r w:rsidR="000D410D" w:rsidRPr="008778AA">
        <w:rPr>
          <w:rFonts w:ascii="Times New Roman" w:hAnsi="Times New Roman" w:cs="Times New Roman"/>
        </w:rPr>
        <w:t>.</w:t>
      </w:r>
    </w:p>
    <w:p w14:paraId="79863067" w14:textId="3FDD4E4D" w:rsidR="000D410D" w:rsidRPr="008778AA" w:rsidRDefault="000D410D" w:rsidP="00AF2BDF">
      <w:pPr>
        <w:pStyle w:val="Heading2"/>
      </w:pPr>
      <w:bookmarkStart w:id="51" w:name="_Toc233392970"/>
      <w:bookmarkStart w:id="52" w:name="_Toc233884816"/>
      <w:r w:rsidRPr="008778AA">
        <w:t xml:space="preserve">Non-financial risk </w:t>
      </w:r>
      <w:r w:rsidRPr="00AF2BDF">
        <w:t>assessment</w:t>
      </w:r>
      <w:bookmarkEnd w:id="51"/>
      <w:bookmarkEnd w:id="52"/>
    </w:p>
    <w:p w14:paraId="4CE0084E" w14:textId="77777777" w:rsidR="00E66DDB" w:rsidRPr="00E66DDB" w:rsidRDefault="00E66DDB" w:rsidP="00342F87">
      <w:r w:rsidRPr="00E66DDB">
        <w:t xml:space="preserve">The final investment decision for Project C should not be made based on the appraisal outputs alone as it is the most preferred option financially. Hospitality investments are subject to non-financial risks which may have a material adverse effect on cash flows. Political and regulatory risk could slow approvals, limit ownership or lead to higher local regulatory compliance costs. Development costs may be higher due to construction inflation, </w:t>
      </w:r>
      <w:proofErr w:type="spellStart"/>
      <w:r w:rsidRPr="00E66DDB">
        <w:t>labour</w:t>
      </w:r>
      <w:proofErr w:type="spellEnd"/>
      <w:r w:rsidRPr="00E66DDB">
        <w:t xml:space="preserve"> shortages, which may </w:t>
      </w:r>
      <w:r w:rsidRPr="00E66DDB">
        <w:lastRenderedPageBreak/>
        <w:t>offset the small positive NPV</w:t>
      </w:r>
      <w:r>
        <w:t xml:space="preserve"> </w:t>
      </w:r>
      <w:r w:rsidR="00D77976" w:rsidRPr="008778AA">
        <w:fldChar w:fldCharType="begin" w:fldLock="1"/>
      </w:r>
      <w:r w:rsidR="00D77976" w:rsidRPr="008778AA">
        <w:instrText>ADDIN CSL_CITATION {"citationItems":[{"id":"ITEM-1","itemData":{"ISSN":"20904479","author":[{"dropping-particle":"","family":"Musarat","given":"Muhammad Ali","non-dropping-particle":"","parse-names":false,"suffix":""},{"dropping-particle":"","family":"Alaloul","given":"Wesam Salah","non-dropping-particle":"","parse-names":false,"suffix":""},{"dropping-particle":"","family":"Liew","given":"M.S.","non-dropping-particle":"","parse-names":false,"suffix":""}],"container-title":"Ain Shams Engineering Journal","id":"ITEM-1","issue":"1","issued":{"date-parts":[["2021","3"]]},"page":"407-414","title":"Impact of inflation rate on construction projects budget: A review","type":"article-journal","volume":"12"},"uris":["http://www.mendeley.com/documents/?uuid=af1f5a26-22be-4202-bf41-2269d373abb7"]}],"mendeley":{"formattedCitation":"(Musarat, Alaloul and Liew, 2021)","plainTextFormattedCitation":"(Musarat, Alaloul and Liew, 2021)","previouslyFormattedCitation":"(Musarat, Alaloul and Liew, 2021)"},"properties":{"noteIndex":0},"schema":"https://github.com/citation-style-language/schema/raw/master/csl-citation.json"}</w:instrText>
      </w:r>
      <w:r w:rsidR="00D77976" w:rsidRPr="008778AA">
        <w:fldChar w:fldCharType="separate"/>
      </w:r>
      <w:r w:rsidR="00D77976" w:rsidRPr="008778AA">
        <w:rPr>
          <w:noProof/>
        </w:rPr>
        <w:t>(Musarat, Alaloul and Liew, 2021)</w:t>
      </w:r>
      <w:r w:rsidR="00D77976" w:rsidRPr="008778AA">
        <w:fldChar w:fldCharType="end"/>
      </w:r>
      <w:r w:rsidR="000D410D" w:rsidRPr="008778AA">
        <w:t xml:space="preserve">. </w:t>
      </w:r>
      <w:r w:rsidRPr="00E66DDB">
        <w:t>Loyalty of the customers and fit of the brand are also essential. Even with a financial model that seems to make sense, a project may not succeed in boosting IHG One Rewards participation, owner returns or brand differentiation.</w:t>
      </w:r>
    </w:p>
    <w:p w14:paraId="767442E3" w14:textId="2165E97A" w:rsidR="000D410D" w:rsidRPr="008778AA" w:rsidRDefault="00E66DDB" w:rsidP="00342F87">
      <w:r w:rsidRPr="00E66DDB">
        <w:t xml:space="preserve">CFOs should also be focusing on ESG and reputational risks. A project that is not environmentally sound, has poor </w:t>
      </w:r>
      <w:proofErr w:type="spellStart"/>
      <w:r w:rsidRPr="00E66DDB">
        <w:t>labour</w:t>
      </w:r>
      <w:proofErr w:type="spellEnd"/>
      <w:r w:rsidRPr="00E66DDB">
        <w:t xml:space="preserve"> standards or is highly controversial in the community may have a negative impact on IHG's responsible business brand and compliance expenses in the future. A third risk is the integration of technology solutions, which will need to integrate well with IHG's reservation systems, loyalty platform and cybersecurity controls and must involve new investments</w:t>
      </w:r>
      <w:r>
        <w:t xml:space="preserve"> </w:t>
      </w:r>
      <w:r w:rsidR="00D77976" w:rsidRPr="008778AA">
        <w:fldChar w:fldCharType="begin" w:fldLock="1"/>
      </w:r>
      <w:r w:rsidR="00D77976" w:rsidRPr="008778AA">
        <w:instrText>ADDIN CSL_CITATION {"citationItems":[{"id":"ITEM-1","itemData":{"ISSN":"2821-4366","abstract":"This article critically examines the role of innovation in the hospitality sector, focusing on how hotels can enhance efficiency and customer satisfaction through digital advancements. It stresses the need for adapting to technological trends and consumer expectations. Also, it highlights the necessity for hotels to adapt to technological trends and evolving consumer expectations to maintain market relevance. The analysis highlights the integration of strategic planning, innovation management, cultural shifts, and technological adoption as key to fostering sustainable innovation. The importance of balancing traditional hospitality values with modern solutions to create competitive service offerings in the hotel industry is underscored. Key areas discussed include digital transformation in hotels, different tiers of innovation, and the challenges and strategies for implementing transformative innovations. The article concludes by emphasizing the necessity for hotels to combine operational efficiency, customer satisfaction, and game-changing innovation strategies, highlighting the potential of technologies like AI and robotics in revolutionizing the guest experience. It underscores the importance of balancing traditional hospitality values with modern technological solutions to create a unique and competitive service offering in the hotel industry.","author":[{"dropping-particle":"","family":"Giannoukou","given":"Ioanna","non-dropping-particle":"","parse-names":false,"suffix":""}],"container-title":"Technium Business and Management","id":"ITEM-1","issued":{"date-parts":[["2024","1","30"]]},"page":"24-39","title":"Revolutionizing Hospitality: Strategic Integration of Innovation Management Embracing Technological Innovation for Enhanced Customer Experiences","type":"article-journal","volume":"7"},"uris":["http://www.mendeley.com/documents/?uuid=97a1a5af-5062-43c3-9336-2e5adb11df53"]}],"mendeley":{"formattedCitation":"(Giannoukou, 2024)","plainTextFormattedCitation":"(Giannoukou, 2024)","previouslyFormattedCitation":"(Giannoukou, 2024)"},"properties":{"noteIndex":0},"schema":"https://github.com/citation-style-language/schema/raw/master/csl-citation.json"}</w:instrText>
      </w:r>
      <w:r w:rsidR="00D77976" w:rsidRPr="008778AA">
        <w:fldChar w:fldCharType="separate"/>
      </w:r>
      <w:r w:rsidR="00D77976" w:rsidRPr="008778AA">
        <w:rPr>
          <w:noProof/>
        </w:rPr>
        <w:t>(Giannoukou, 2024)</w:t>
      </w:r>
      <w:r w:rsidR="00D77976" w:rsidRPr="008778AA">
        <w:fldChar w:fldCharType="end"/>
      </w:r>
      <w:r w:rsidR="000D410D" w:rsidRPr="008778AA">
        <w:t>. Therefore, Project C should proceed only if due diligence confirms political feasibility, ESG compliance, brand alignment and operational deliverability.</w:t>
      </w:r>
    </w:p>
    <w:p w14:paraId="2F787F54" w14:textId="5F1A414A" w:rsidR="000D410D" w:rsidRPr="00E66DDB" w:rsidRDefault="000D410D" w:rsidP="00AF2BDF">
      <w:pPr>
        <w:pStyle w:val="Heading2"/>
        <w:rPr>
          <w:b w:val="0"/>
          <w:bCs/>
        </w:rPr>
      </w:pPr>
      <w:bookmarkStart w:id="53" w:name="_Toc233392971"/>
      <w:bookmarkStart w:id="54" w:name="_Toc233884817"/>
      <w:r w:rsidRPr="00E66DDB">
        <w:rPr>
          <w:bCs/>
        </w:rPr>
        <w:t>Capital rationing decision under the £100 million limit</w:t>
      </w:r>
      <w:bookmarkEnd w:id="53"/>
      <w:bookmarkEnd w:id="54"/>
    </w:p>
    <w:p w14:paraId="572A6907" w14:textId="79984EE3" w:rsidR="00E66DDB" w:rsidRPr="00E66DDB" w:rsidRDefault="00E66DDB" w:rsidP="00E66DDB">
      <w:bookmarkStart w:id="55" w:name="_Toc233392972"/>
      <w:r w:rsidRPr="00E66DDB">
        <w:t xml:space="preserve">Capital rationing is where the goal isn't to spend all the £100 million, but rather to get the most out of the £100 million. Each project is worth £50 million and IHG may choose two projects. The overall results indicate that, however, only project C contributes positively on its own. The NPVs of Projects A, B and C are: -£6.54 million, -£6.08 million and £0.86 million respectively. </w:t>
      </w:r>
      <w:r w:rsidR="00A80675" w:rsidRPr="00A80675">
        <w:t>So the value-</w:t>
      </w:r>
      <w:proofErr w:type="spellStart"/>
      <w:r w:rsidR="00A80675" w:rsidRPr="00A80675">
        <w:t>maximising</w:t>
      </w:r>
      <w:proofErr w:type="spellEnd"/>
      <w:r w:rsidR="00A80675" w:rsidRPr="00A80675">
        <w:t xml:space="preserve"> decision is to implement only Project C and leave the rest of the £50 million until we can find a project that has a positive NPV that we can do.</w:t>
      </w:r>
    </w:p>
    <w:p w14:paraId="3E0A82DF" w14:textId="68EB6DF3" w:rsidR="00E66DDB" w:rsidRPr="00E66DDB" w:rsidRDefault="00A80675" w:rsidP="00342F87">
      <w:pPr>
        <w:rPr>
          <w:rFonts w:eastAsiaTheme="majorEastAsia"/>
          <w:b/>
          <w:color w:val="2F5496" w:themeColor="accent1" w:themeShade="BF"/>
          <w:sz w:val="32"/>
          <w:szCs w:val="40"/>
        </w:rPr>
      </w:pPr>
      <w:r w:rsidRPr="00A80675">
        <w:t>If the Board would like to put in the full £100 million then the best way to destroy value is to go with either Project B or C, or both, as their NPV combined is -£5.22 million, while that for A+C is -£5.68 million, and for A+B is -£12.62 million. However, to the CFO, it would be a bad combination to take on a negative-NPV combination would be a violation of disciplined capital budgeting. Hence, the advised capital rationing choice is to accept only the Project C, which might be helped through the implementation of stringently risk control measures and maintaining financial flexibility.</w:t>
      </w:r>
    </w:p>
    <w:p w14:paraId="3F6733BC" w14:textId="74A90A1E" w:rsidR="000D410D" w:rsidRPr="00E66DDB" w:rsidRDefault="000D410D" w:rsidP="00E66DDB">
      <w:pPr>
        <w:pStyle w:val="Heading1"/>
        <w:numPr>
          <w:ilvl w:val="0"/>
          <w:numId w:val="9"/>
        </w:numPr>
      </w:pPr>
      <w:bookmarkStart w:id="56" w:name="_Toc233884818"/>
      <w:r w:rsidRPr="00E66DDB">
        <w:t>Critical Reflection on AI Usage</w:t>
      </w:r>
      <w:bookmarkEnd w:id="55"/>
      <w:bookmarkEnd w:id="56"/>
    </w:p>
    <w:p w14:paraId="753892AD" w14:textId="4C188962" w:rsidR="000D410D" w:rsidRPr="008778AA" w:rsidRDefault="000D410D" w:rsidP="00AF2BDF">
      <w:pPr>
        <w:pStyle w:val="Heading2"/>
      </w:pPr>
      <w:bookmarkStart w:id="57" w:name="_Toc233392973"/>
      <w:bookmarkStart w:id="58" w:name="_Toc233884819"/>
      <w:r w:rsidRPr="008778AA">
        <w:t xml:space="preserve">Tool </w:t>
      </w:r>
      <w:r w:rsidRPr="00AF2BDF">
        <w:t>disclosure</w:t>
      </w:r>
      <w:bookmarkEnd w:id="57"/>
      <w:bookmarkEnd w:id="58"/>
    </w:p>
    <w:p w14:paraId="3BB152C8" w14:textId="1E1460D9" w:rsidR="00E66DDB" w:rsidRDefault="00A80675" w:rsidP="00342F87">
      <w:bookmarkStart w:id="59" w:name="_Toc233392974"/>
      <w:r w:rsidRPr="00A80675">
        <w:t>This report has been enhanced using the help of Artificial Intelligence.</w:t>
      </w:r>
      <w:r>
        <w:t xml:space="preserve"> </w:t>
      </w:r>
      <w:r w:rsidR="00E66DDB" w:rsidRPr="00E66DDB">
        <w:t xml:space="preserve">The primary AI support that was provided was in structuring the report, in </w:t>
      </w:r>
      <w:proofErr w:type="spellStart"/>
      <w:r w:rsidR="00E66DDB" w:rsidRPr="00E66DDB">
        <w:t>organising</w:t>
      </w:r>
      <w:proofErr w:type="spellEnd"/>
      <w:r w:rsidR="00E66DDB" w:rsidRPr="00E66DDB">
        <w:t xml:space="preserve"> the assessment requirements into relevant sections, in helping with academic expression, checking the clarity of argument and in assisting with the design of the calculation layouts for ratios and investment appraisal. The financial findings were also given AI insights for possible ways to connect them with strategic </w:t>
      </w:r>
      <w:r w:rsidR="00E66DDB" w:rsidRPr="00E66DDB">
        <w:lastRenderedPageBreak/>
        <w:t>recommendations from the CFO. But AI was not regarded as a reliable investment tool. IHG's annual reports, audited financial statements, Excel calculations and credible academic or professional sources provided the authoritative evidence.</w:t>
      </w:r>
    </w:p>
    <w:p w14:paraId="7BE5D043" w14:textId="6EF4AD82" w:rsidR="000D410D" w:rsidRPr="008778AA" w:rsidRDefault="000D410D" w:rsidP="00AF2BDF">
      <w:pPr>
        <w:pStyle w:val="Heading2"/>
      </w:pPr>
      <w:bookmarkStart w:id="60" w:name="_Toc233884820"/>
      <w:r w:rsidRPr="008778AA">
        <w:t xml:space="preserve">Critical evaluation and </w:t>
      </w:r>
      <w:r w:rsidRPr="00AF2BDF">
        <w:t>verification</w:t>
      </w:r>
      <w:r w:rsidRPr="008778AA">
        <w:t xml:space="preserve"> of AI output</w:t>
      </w:r>
      <w:bookmarkEnd w:id="59"/>
      <w:bookmarkEnd w:id="60"/>
    </w:p>
    <w:p w14:paraId="1541426E" w14:textId="77777777" w:rsidR="00E66DDB" w:rsidRPr="00E66DDB" w:rsidRDefault="00E66DDB" w:rsidP="00342F87">
      <w:r w:rsidRPr="00E66DDB">
        <w:t>Any material created by AI was verified for inclusion. The first verification approach was to compare with IHG's annual reports and audited financial statements. Revenue, operating profit, net profit, cash flow, debt, dividends and shareholder returns were compared with the original company reports before being used in the analysis. The second approach was to recalculate in excel. Only formulas that were checked manually were rejected as output, and they were used consistently over the 5-year period. Investment appraisal calculations of the payback period, ARR, NPV, PI and IRR were also recalculated to ensure that the project recommendations were mathematically valid.</w:t>
      </w:r>
    </w:p>
    <w:p w14:paraId="7CA6DEB9" w14:textId="67604B92" w:rsidR="000D410D" w:rsidRPr="008778AA" w:rsidRDefault="00E66DDB" w:rsidP="00342F87">
      <w:r w:rsidRPr="00E66DDB">
        <w:t>Theoretical checking was another verification method used. The ratio interpretations and capital budgeting conclusions were compared to the principles of financial management. This was not a trivial point, since AI can come out with statements, even if they're false, with confidence. This helped to ensure that the risk of hallucination, especially if the AI exaggerated IHG's capabilities, was mitigated, as was the risk of overlooking the negative equity of their limitations or of assuming they could benchmark against a range of industry benchmarks with little justification</w:t>
      </w:r>
      <w:r w:rsidR="000D410D" w:rsidRPr="008778AA">
        <w:t>.</w:t>
      </w:r>
    </w:p>
    <w:p w14:paraId="28BB693A" w14:textId="24F91150" w:rsidR="000D410D" w:rsidRPr="008778AA" w:rsidRDefault="000D410D" w:rsidP="00AF2BDF">
      <w:pPr>
        <w:pStyle w:val="Heading2"/>
      </w:pPr>
      <w:bookmarkStart w:id="61" w:name="_Toc233392975"/>
      <w:bookmarkStart w:id="62" w:name="_Toc233884821"/>
      <w:r w:rsidRPr="00AF2BDF">
        <w:t>Contribution</w:t>
      </w:r>
      <w:r w:rsidRPr="008778AA">
        <w:t xml:space="preserve"> analysis</w:t>
      </w:r>
      <w:bookmarkEnd w:id="61"/>
      <w:bookmarkEnd w:id="62"/>
    </w:p>
    <w:p w14:paraId="2F32D5A9" w14:textId="77777777" w:rsidR="00E66DDB" w:rsidRPr="00E66DDB" w:rsidRDefault="00E66DDB" w:rsidP="00342F87">
      <w:r w:rsidRPr="00E66DDB">
        <w:t xml:space="preserve">The role of the AI was primarily procedural and editorial. It assisted with structuring the task brief into a report, provided section headings, helped with the writing of academic paragraphs and assisted in </w:t>
      </w:r>
      <w:proofErr w:type="spellStart"/>
      <w:r w:rsidRPr="00E66DDB">
        <w:t>organising</w:t>
      </w:r>
      <w:proofErr w:type="spellEnd"/>
      <w:r w:rsidRPr="00E66DDB">
        <w:t xml:space="preserve"> the Excel calculation requirements. </w:t>
      </w:r>
    </w:p>
    <w:p w14:paraId="50C7EABC" w14:textId="2222F89C" w:rsidR="000D410D" w:rsidRPr="008778AA" w:rsidRDefault="00E66DDB" w:rsidP="00342F87">
      <w:r w:rsidRPr="00E66DDB">
        <w:t>For my part, it was the critical evaluation of the material that I contributed. This involved determining the reliability of source data, verifying financial data, analyzing ratio trends, determining if IHG's asset-light business model altered the significance of typical ratios, and determining the final investment recommendation. The strategic synthesis and the ethical evaluation/recommendations at CFO level were also made with my own opinion, based on the evidence presented. Hence, the use of AI for communication and organization, but the final analysis would be done by the student(s)</w:t>
      </w:r>
      <w:r w:rsidR="000D410D" w:rsidRPr="008778AA">
        <w:t>.</w:t>
      </w:r>
    </w:p>
    <w:p w14:paraId="2084FEFF" w14:textId="5AA6FCB7" w:rsidR="000D410D" w:rsidRPr="008778AA" w:rsidRDefault="000D410D" w:rsidP="00AF2BDF">
      <w:pPr>
        <w:pStyle w:val="Heading2"/>
      </w:pPr>
      <w:bookmarkStart w:id="63" w:name="_Toc233392976"/>
      <w:bookmarkStart w:id="64" w:name="_Toc233884822"/>
      <w:r w:rsidRPr="008778AA">
        <w:t>Ethical and professional reflection</w:t>
      </w:r>
      <w:bookmarkEnd w:id="63"/>
      <w:bookmarkEnd w:id="64"/>
    </w:p>
    <w:p w14:paraId="48D850B1" w14:textId="673F289C" w:rsidR="000D410D" w:rsidRPr="008778AA" w:rsidRDefault="00E66DDB" w:rsidP="00342F87">
      <w:r w:rsidRPr="00E66DDB">
        <w:t xml:space="preserve">There are ethical and professional concerns associated with the application of AI in financial tasks. Transparency is crucial as it allows people using the financial analysis to understand the report was prepared with the help of AI. The confidentiality of data is also a factor: sensitive financial data should only be included in AI systems if there are relevant permissions and </w:t>
      </w:r>
      <w:r w:rsidRPr="00E66DDB">
        <w:lastRenderedPageBreak/>
        <w:t>controls</w:t>
      </w:r>
      <w:r>
        <w:t xml:space="preserve"> </w:t>
      </w:r>
      <w:r w:rsidR="00D77976" w:rsidRPr="008778AA">
        <w:fldChar w:fldCharType="begin" w:fldLock="1"/>
      </w:r>
      <w:r w:rsidR="008778AA">
        <w:instrText>ADDIN CSL_CITATION {"citationItems":[{"id":"ITEM-1","itemData":{"author":[{"dropping-particle":"","family":"Himansha","given":"Ravindu","non-dropping-particle":"","parse-names":false,"suffix":""}],"container-title":"2026","id":"ITEM-1","issued":{"date-parts":[["0"]]},"title":"Data Privacy in AI Systems: Compliance and Implementation","type":"article-journal"},"uris":["http://www.mendeley.com/documents/?uuid=70f41e32-8a75-4d49-bc16-e2826f2f5527"]}],"mendeley":{"formattedCitation":"(Himansha, no date)","plainTextFormattedCitation":"(Himansha, no date)","previouslyFormattedCitation":"(Himansha, no date)"},"properties":{"noteIndex":0},"schema":"https://github.com/citation-style-language/schema/raw/master/csl-citation.json"}</w:instrText>
      </w:r>
      <w:r w:rsidR="00D77976" w:rsidRPr="008778AA">
        <w:fldChar w:fldCharType="separate"/>
      </w:r>
      <w:r w:rsidR="00D77976" w:rsidRPr="008778AA">
        <w:rPr>
          <w:noProof/>
        </w:rPr>
        <w:t>(Himansha, no date)</w:t>
      </w:r>
      <w:r w:rsidR="00D77976" w:rsidRPr="008778AA">
        <w:fldChar w:fldCharType="end"/>
      </w:r>
      <w:r w:rsidR="000D410D" w:rsidRPr="008778AA">
        <w:t xml:space="preserve">. </w:t>
      </w:r>
      <w:r w:rsidRPr="00E66DDB">
        <w:t xml:space="preserve">This report does not include information that is not publicly available either in the company's reports or from the assignment </w:t>
      </w:r>
      <w:proofErr w:type="spellStart"/>
      <w:r w:rsidRPr="00E66DDB">
        <w:t>information.There</w:t>
      </w:r>
      <w:proofErr w:type="spellEnd"/>
      <w:r w:rsidRPr="00E66DDB">
        <w:t xml:space="preserve"> is also a potential for over-reliance. The outputs of AI, as part of a CFO role, might affect the decision to borrow or restructure, or to invest, but all of these decisions impact shareholders, employees, owners, suppliers, and communities. So AI shouldn't be used to supersede the need for the professional </w:t>
      </w:r>
      <w:proofErr w:type="spellStart"/>
      <w:r w:rsidRPr="00E66DDB">
        <w:t>scepticism</w:t>
      </w:r>
      <w:proofErr w:type="spellEnd"/>
      <w:r w:rsidRPr="00E66DDB">
        <w:t>, audit trails or accountability of humans</w:t>
      </w:r>
      <w:r w:rsidR="000D410D" w:rsidRPr="008778AA">
        <w:t xml:space="preserve">. </w:t>
      </w:r>
    </w:p>
    <w:p w14:paraId="32DA0119" w14:textId="2797444C" w:rsidR="000D410D" w:rsidRPr="008778AA" w:rsidRDefault="000D410D" w:rsidP="00E66DDB">
      <w:pPr>
        <w:pStyle w:val="Heading1"/>
        <w:numPr>
          <w:ilvl w:val="0"/>
          <w:numId w:val="9"/>
        </w:numPr>
      </w:pPr>
      <w:bookmarkStart w:id="65" w:name="_Toc233392977"/>
      <w:bookmarkStart w:id="66" w:name="_Toc233884823"/>
      <w:r w:rsidRPr="008778AA">
        <w:t>Conclusion</w:t>
      </w:r>
      <w:bookmarkEnd w:id="65"/>
      <w:bookmarkEnd w:id="66"/>
    </w:p>
    <w:bookmarkEnd w:id="2"/>
    <w:p w14:paraId="19512410" w14:textId="77777777" w:rsidR="00E66DDB" w:rsidRPr="00E66DDB" w:rsidRDefault="00E66DDB" w:rsidP="00E66DDB">
      <w:pPr>
        <w:spacing w:line="360" w:lineRule="auto"/>
        <w:jc w:val="both"/>
        <w:rPr>
          <w:rFonts w:ascii="Times New Roman" w:hAnsi="Times New Roman" w:cs="Times New Roman"/>
        </w:rPr>
      </w:pPr>
      <w:r w:rsidRPr="00E66DDB">
        <w:rPr>
          <w:rFonts w:ascii="Times New Roman" w:hAnsi="Times New Roman" w:cs="Times New Roman"/>
        </w:rPr>
        <w:t>IHG from a CFO point of view, looks well-positioned and seems to be on the right side of things with its asset-light, fee-based and globally scalable business model. Five-year analysis reveals bounce back from post-pandemic phase, bolstered profitability, positive operating cash flows and ongoing investor confidence. But, resilience should not be equated with risk-free. Despite the recovery, IHG must continue to manage liquidity and debt prudently as well as balancing its investment portfolio and remain vigilant against inflation, interest rates, currency fluctuations, geopolitical risks, cyber risk and increasing ESG requirements.</w:t>
      </w:r>
    </w:p>
    <w:p w14:paraId="21E6B2E3" w14:textId="58E133CE" w:rsidR="00AF2BDF" w:rsidRDefault="00E66DDB" w:rsidP="00E66DDB">
      <w:pPr>
        <w:spacing w:line="360" w:lineRule="auto"/>
        <w:jc w:val="both"/>
        <w:rPr>
          <w:rFonts w:ascii="Times New Roman" w:hAnsi="Times New Roman" w:cs="Times New Roman"/>
        </w:rPr>
      </w:pPr>
      <w:r w:rsidRPr="00E66DDB">
        <w:rPr>
          <w:rFonts w:ascii="Times New Roman" w:hAnsi="Times New Roman" w:cs="Times New Roman"/>
        </w:rPr>
        <w:t>The preferred approach to restructure is selective, rather than radical, and involves protecting the asset-light model, recycling capital from lower-return assets, prudently refinance debt, and investing in capabilities around brand, technology, loyalty and ESG. When evaluating investment projects, Project C would be the only project that is financially feasible because it has a positive NPV and IRR greater than the 8% return on investment. With capital rationing, IHG would only invest in project C and would not invest in project B, as long as project B does not have a positive-NPV opportunity that comes along.</w:t>
      </w:r>
    </w:p>
    <w:p w14:paraId="0944652F" w14:textId="77777777" w:rsidR="00AF2BDF" w:rsidRDefault="00AF2BDF" w:rsidP="008778AA">
      <w:pPr>
        <w:spacing w:line="360" w:lineRule="auto"/>
        <w:jc w:val="both"/>
        <w:rPr>
          <w:rFonts w:ascii="Times New Roman" w:hAnsi="Times New Roman" w:cs="Times New Roman"/>
        </w:rPr>
      </w:pPr>
    </w:p>
    <w:p w14:paraId="7E731527" w14:textId="77777777" w:rsidR="00AF2BDF" w:rsidRDefault="00AF2BDF" w:rsidP="008778AA">
      <w:pPr>
        <w:spacing w:line="360" w:lineRule="auto"/>
        <w:jc w:val="both"/>
        <w:rPr>
          <w:rFonts w:ascii="Times New Roman" w:hAnsi="Times New Roman" w:cs="Times New Roman"/>
        </w:rPr>
      </w:pPr>
    </w:p>
    <w:p w14:paraId="24F19981" w14:textId="77777777" w:rsidR="00AF2BDF" w:rsidRDefault="00AF2BDF" w:rsidP="008778AA">
      <w:pPr>
        <w:spacing w:line="360" w:lineRule="auto"/>
        <w:jc w:val="both"/>
        <w:rPr>
          <w:rFonts w:ascii="Times New Roman" w:hAnsi="Times New Roman" w:cs="Times New Roman"/>
        </w:rPr>
      </w:pPr>
    </w:p>
    <w:p w14:paraId="3E20E02C" w14:textId="77777777" w:rsidR="00622A00" w:rsidRDefault="00622A00" w:rsidP="008778AA">
      <w:pPr>
        <w:spacing w:line="360" w:lineRule="auto"/>
        <w:jc w:val="both"/>
        <w:rPr>
          <w:rFonts w:ascii="Times New Roman" w:hAnsi="Times New Roman" w:cs="Times New Roman"/>
        </w:rPr>
      </w:pPr>
    </w:p>
    <w:p w14:paraId="42E271CA" w14:textId="77777777" w:rsidR="003F3DB9" w:rsidRDefault="003F3DB9" w:rsidP="008778AA">
      <w:pPr>
        <w:spacing w:line="360" w:lineRule="auto"/>
        <w:jc w:val="both"/>
        <w:rPr>
          <w:rFonts w:ascii="Times New Roman" w:hAnsi="Times New Roman" w:cs="Times New Roman"/>
        </w:rPr>
      </w:pPr>
    </w:p>
    <w:p w14:paraId="35361FEB" w14:textId="5B1E82AF" w:rsidR="008778AA" w:rsidRPr="00AF2BDF" w:rsidRDefault="00AF2BDF" w:rsidP="00E66DDB">
      <w:pPr>
        <w:pStyle w:val="Heading1"/>
        <w:numPr>
          <w:ilvl w:val="0"/>
          <w:numId w:val="9"/>
        </w:numPr>
      </w:pPr>
      <w:r>
        <w:lastRenderedPageBreak/>
        <w:t xml:space="preserve"> </w:t>
      </w:r>
      <w:bookmarkStart w:id="67" w:name="_Toc233884824"/>
      <w:proofErr w:type="spellStart"/>
      <w:r w:rsidR="008778AA" w:rsidRPr="00AF2BDF">
        <w:t>Referennces</w:t>
      </w:r>
      <w:bookmarkEnd w:id="67"/>
      <w:proofErr w:type="spellEnd"/>
    </w:p>
    <w:p w14:paraId="0EF5FC4C" w14:textId="711B54DC" w:rsidR="009C7F74" w:rsidRPr="009C7F74" w:rsidRDefault="008778AA" w:rsidP="00AF2BDF">
      <w:pPr>
        <w:widowControl w:val="0"/>
        <w:autoSpaceDE w:val="0"/>
        <w:autoSpaceDN w:val="0"/>
        <w:adjustRightInd w:val="0"/>
        <w:spacing w:line="240" w:lineRule="auto"/>
        <w:rPr>
          <w:rFonts w:ascii="Times New Roman" w:hAnsi="Times New Roman" w:cs="Times New Roman"/>
          <w:noProof/>
          <w:kern w:val="0"/>
        </w:rPr>
      </w:pPr>
      <w:r>
        <w:rPr>
          <w:rFonts w:ascii="Times New Roman" w:hAnsi="Times New Roman" w:cs="Times New Roman"/>
        </w:rPr>
        <w:fldChar w:fldCharType="begin" w:fldLock="1"/>
      </w:r>
      <w:r>
        <w:rPr>
          <w:rFonts w:ascii="Times New Roman" w:hAnsi="Times New Roman" w:cs="Times New Roman"/>
        </w:rPr>
        <w:instrText xml:space="preserve">ADDIN Mendeley Bibliography CSL_BIBLIOGRAPHY </w:instrText>
      </w:r>
      <w:r>
        <w:rPr>
          <w:rFonts w:ascii="Times New Roman" w:hAnsi="Times New Roman" w:cs="Times New Roman"/>
        </w:rPr>
        <w:fldChar w:fldCharType="separate"/>
      </w:r>
      <w:r w:rsidR="009C7F74" w:rsidRPr="009C7F74">
        <w:rPr>
          <w:rFonts w:ascii="Times New Roman" w:hAnsi="Times New Roman" w:cs="Times New Roman"/>
          <w:noProof/>
          <w:kern w:val="0"/>
        </w:rPr>
        <w:t xml:space="preserve">Achleitner, A.-K. </w:t>
      </w:r>
      <w:r w:rsidR="009C7F74" w:rsidRPr="009C7F74">
        <w:rPr>
          <w:rFonts w:ascii="Times New Roman" w:hAnsi="Times New Roman" w:cs="Times New Roman"/>
          <w:i/>
          <w:iCs/>
          <w:noProof/>
          <w:kern w:val="0"/>
        </w:rPr>
        <w:t>et al.</w:t>
      </w:r>
      <w:r w:rsidR="009C7F74" w:rsidRPr="009C7F74">
        <w:rPr>
          <w:rFonts w:ascii="Times New Roman" w:hAnsi="Times New Roman" w:cs="Times New Roman"/>
          <w:noProof/>
          <w:kern w:val="0"/>
        </w:rPr>
        <w:t xml:space="preserve"> (2010) “Structure and Determinants of Financial Covenants in Leveraged Buyouts.” Available at: </w:t>
      </w:r>
      <w:hyperlink r:id="rId14" w:history="1">
        <w:r w:rsidR="009C7F74" w:rsidRPr="00AF2BDF">
          <w:rPr>
            <w:rStyle w:val="Hyperlink"/>
            <w:rFonts w:ascii="Times New Roman" w:hAnsi="Times New Roman" w:cs="Times New Roman"/>
            <w:noProof/>
            <w:kern w:val="0"/>
          </w:rPr>
          <w:t>https://www.researchgate.net/publication/228206742_Structure_and_Determinants_of_Financial_Covenants_in_Leveraged_Buyouts</w:t>
        </w:r>
      </w:hyperlink>
    </w:p>
    <w:p w14:paraId="0DDCAB1B" w14:textId="6677C087"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Ajike, P. (2025) “Assessing the Impact of Debt Ratio Variability on Corporate Solvency, Credit Risk Exposure, and Investment Decision- Making Efficiency.” Available at: </w:t>
      </w:r>
      <w:hyperlink r:id="rId15" w:history="1">
        <w:r w:rsidRPr="00AF2BDF">
          <w:rPr>
            <w:rStyle w:val="Hyperlink"/>
            <w:rFonts w:ascii="Times New Roman" w:hAnsi="Times New Roman" w:cs="Times New Roman"/>
            <w:noProof/>
            <w:kern w:val="0"/>
          </w:rPr>
          <w:t>https://www.researchgate.net/publication/396649395_Assessing_the_Impact_of_Debt_Ratio_Variability_on_Corporate_Solvency_Credit_Risk_Exposure_and_Investment_Decision-_Making_Efficiency</w:t>
        </w:r>
      </w:hyperlink>
    </w:p>
    <w:p w14:paraId="659CE6D3" w14:textId="6BF058E4"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Alade, T.A. (2024) “Poor Working Capital Management Remain Major Cause of Business Failure,” </w:t>
      </w:r>
      <w:r w:rsidRPr="009C7F74">
        <w:rPr>
          <w:rFonts w:ascii="Times New Roman" w:hAnsi="Times New Roman" w:cs="Times New Roman"/>
          <w:i/>
          <w:iCs/>
          <w:noProof/>
          <w:kern w:val="0"/>
        </w:rPr>
        <w:t>International Journal of Research and Innovation in Social Science</w:t>
      </w:r>
      <w:r w:rsidRPr="009C7F74">
        <w:rPr>
          <w:rFonts w:ascii="Times New Roman" w:hAnsi="Times New Roman" w:cs="Times New Roman"/>
          <w:noProof/>
          <w:kern w:val="0"/>
        </w:rPr>
        <w:t xml:space="preserve">, VIII(I), pp. 1120–1124. Available at: </w:t>
      </w:r>
      <w:hyperlink r:id="rId16" w:history="1">
        <w:r w:rsidRPr="00AF2BDF">
          <w:rPr>
            <w:rStyle w:val="Hyperlink"/>
            <w:rFonts w:ascii="Times New Roman" w:hAnsi="Times New Roman" w:cs="Times New Roman"/>
            <w:noProof/>
            <w:kern w:val="0"/>
          </w:rPr>
          <w:t>https://www.researchgate.net/publication/378004593_Poor_Working_Capital_Management_Remain_Major_Cause_of_Business_Failure</w:t>
        </w:r>
      </w:hyperlink>
    </w:p>
    <w:p w14:paraId="4F501973" w14:textId="64CD6A6B"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Alshehadeh, A.R. </w:t>
      </w:r>
      <w:r w:rsidRPr="009C7F74">
        <w:rPr>
          <w:rFonts w:ascii="Times New Roman" w:hAnsi="Times New Roman" w:cs="Times New Roman"/>
          <w:i/>
          <w:iCs/>
          <w:noProof/>
          <w:kern w:val="0"/>
        </w:rPr>
        <w:t>et al.</w:t>
      </w:r>
      <w:r w:rsidRPr="009C7F74">
        <w:rPr>
          <w:rFonts w:ascii="Times New Roman" w:hAnsi="Times New Roman" w:cs="Times New Roman"/>
          <w:noProof/>
          <w:kern w:val="0"/>
        </w:rPr>
        <w:t xml:space="preserve"> (2024) “Impact of profitability on investment opportunities and its effect on profit sustainability,” </w:t>
      </w:r>
      <w:r w:rsidRPr="009C7F74">
        <w:rPr>
          <w:rFonts w:ascii="Times New Roman" w:hAnsi="Times New Roman" w:cs="Times New Roman"/>
          <w:i/>
          <w:iCs/>
          <w:noProof/>
          <w:kern w:val="0"/>
        </w:rPr>
        <w:t>Uncertain Supply Chain Management</w:t>
      </w:r>
      <w:r w:rsidRPr="009C7F74">
        <w:rPr>
          <w:rFonts w:ascii="Times New Roman" w:hAnsi="Times New Roman" w:cs="Times New Roman"/>
          <w:noProof/>
          <w:kern w:val="0"/>
        </w:rPr>
        <w:t xml:space="preserve">, 12(2), pp. 871–882. Available at: </w:t>
      </w:r>
      <w:hyperlink r:id="rId17" w:history="1">
        <w:r w:rsidRPr="00AF2BDF">
          <w:rPr>
            <w:rStyle w:val="Hyperlink"/>
            <w:rFonts w:ascii="Times New Roman" w:hAnsi="Times New Roman" w:cs="Times New Roman"/>
            <w:noProof/>
            <w:kern w:val="0"/>
          </w:rPr>
          <w:t>https://www.researchgate.net/publication/377586056_Impact_of_profitability_on_investment_opportunities_and_its_effect_on_profit_sustainability</w:t>
        </w:r>
      </w:hyperlink>
    </w:p>
    <w:p w14:paraId="4EED20BA" w14:textId="494CB742"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Ameri, M.H. Al </w:t>
      </w:r>
      <w:r w:rsidRPr="009C7F74">
        <w:rPr>
          <w:rFonts w:ascii="Times New Roman" w:hAnsi="Times New Roman" w:cs="Times New Roman"/>
          <w:i/>
          <w:iCs/>
          <w:noProof/>
          <w:kern w:val="0"/>
        </w:rPr>
        <w:t>et al.</w:t>
      </w:r>
      <w:r w:rsidRPr="009C7F74">
        <w:rPr>
          <w:rFonts w:ascii="Times New Roman" w:hAnsi="Times New Roman" w:cs="Times New Roman"/>
          <w:noProof/>
          <w:kern w:val="0"/>
        </w:rPr>
        <w:t xml:space="preserve"> (2021) “Financial Analysis of InterContinental Hotels Group.” Available at: </w:t>
      </w:r>
      <w:hyperlink r:id="rId18" w:history="1">
        <w:r w:rsidRPr="00AF2BDF">
          <w:rPr>
            <w:rStyle w:val="Hyperlink"/>
            <w:rFonts w:ascii="Times New Roman" w:hAnsi="Times New Roman" w:cs="Times New Roman"/>
            <w:noProof/>
            <w:kern w:val="0"/>
          </w:rPr>
          <w:t>https://www.researchgate.net/publication/355169612_Financial_Analysis_of_InterContinental_Hotels_Group</w:t>
        </w:r>
      </w:hyperlink>
    </w:p>
    <w:p w14:paraId="7A0D5223" w14:textId="2EF2797D"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Giannoukou, I. (2024) “Revolutionizing Hospitality: Strategic Integration of Innovation Management Embracing Technological Innovation for Enhanced Customer Experiences,” </w:t>
      </w:r>
      <w:r w:rsidRPr="009C7F74">
        <w:rPr>
          <w:rFonts w:ascii="Times New Roman" w:hAnsi="Times New Roman" w:cs="Times New Roman"/>
          <w:i/>
          <w:iCs/>
          <w:noProof/>
          <w:kern w:val="0"/>
        </w:rPr>
        <w:t>Technium Business and Management</w:t>
      </w:r>
      <w:r w:rsidRPr="009C7F74">
        <w:rPr>
          <w:rFonts w:ascii="Times New Roman" w:hAnsi="Times New Roman" w:cs="Times New Roman"/>
          <w:noProof/>
          <w:kern w:val="0"/>
        </w:rPr>
        <w:t xml:space="preserve">, 7, pp. 24–39. Available at: </w:t>
      </w:r>
      <w:hyperlink r:id="rId19" w:history="1">
        <w:r w:rsidRPr="00AF2BDF">
          <w:rPr>
            <w:rStyle w:val="Hyperlink"/>
            <w:rFonts w:ascii="Times New Roman" w:hAnsi="Times New Roman" w:cs="Times New Roman"/>
            <w:noProof/>
            <w:kern w:val="0"/>
          </w:rPr>
          <w:t>https://www.researchgate.net/publication/377837380_Revolutionizing_Hospitality_Strategic_Integration_of_Innovation_Management_Embracing_Technological_Innovation_for_Enhanced_Customer_Experiences</w:t>
        </w:r>
      </w:hyperlink>
    </w:p>
    <w:p w14:paraId="6C150F5C" w14:textId="1A3AA4F6"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Gupta, N. (2024) “Beyond the Balance Sheet: The Strategic Role of Today’s CFO.” Available at: </w:t>
      </w:r>
      <w:hyperlink r:id="rId20" w:history="1">
        <w:r w:rsidRPr="00AF2BDF">
          <w:rPr>
            <w:rStyle w:val="Hyperlink"/>
            <w:rFonts w:ascii="Times New Roman" w:hAnsi="Times New Roman" w:cs="Times New Roman"/>
            <w:noProof/>
            <w:kern w:val="0"/>
          </w:rPr>
          <w:t>https://www.financialprofessionals.org/training-resources/resources/articles/Details/beyond-the-balance-sheet-the-strategic-role-of-today-s-cfo</w:t>
        </w:r>
      </w:hyperlink>
    </w:p>
    <w:p w14:paraId="7EFB25FE" w14:textId="336F885C"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He, Y. </w:t>
      </w:r>
      <w:r w:rsidRPr="009C7F74">
        <w:rPr>
          <w:rFonts w:ascii="Times New Roman" w:hAnsi="Times New Roman" w:cs="Times New Roman"/>
          <w:i/>
          <w:iCs/>
          <w:noProof/>
          <w:kern w:val="0"/>
        </w:rPr>
        <w:t>et al.</w:t>
      </w:r>
      <w:r w:rsidRPr="009C7F74">
        <w:rPr>
          <w:rFonts w:ascii="Times New Roman" w:hAnsi="Times New Roman" w:cs="Times New Roman"/>
          <w:noProof/>
          <w:kern w:val="0"/>
        </w:rPr>
        <w:t xml:space="preserve"> (2024) “Which ESG dimensions matter in the hotel industry? Evidence from the cost of debt,” </w:t>
      </w:r>
      <w:r w:rsidRPr="009C7F74">
        <w:rPr>
          <w:rFonts w:ascii="Times New Roman" w:hAnsi="Times New Roman" w:cs="Times New Roman"/>
          <w:i/>
          <w:iCs/>
          <w:noProof/>
          <w:kern w:val="0"/>
        </w:rPr>
        <w:t>International Journal of Hospitality Management</w:t>
      </w:r>
      <w:r w:rsidRPr="009C7F74">
        <w:rPr>
          <w:rFonts w:ascii="Times New Roman" w:hAnsi="Times New Roman" w:cs="Times New Roman"/>
          <w:noProof/>
          <w:kern w:val="0"/>
        </w:rPr>
        <w:t xml:space="preserve">, 122, p. 103866. Available at: </w:t>
      </w:r>
      <w:hyperlink r:id="rId21" w:history="1">
        <w:r w:rsidRPr="00AF2BDF">
          <w:rPr>
            <w:rStyle w:val="Hyperlink"/>
            <w:rFonts w:ascii="Times New Roman" w:hAnsi="Times New Roman" w:cs="Times New Roman"/>
            <w:noProof/>
            <w:kern w:val="0"/>
          </w:rPr>
          <w:t>https://www.researchgate.net/publication/383179365_Which_ESG_dimensions_matter_in_the_hotel_industry_Evidence_from_the_cost_of_debt</w:t>
        </w:r>
      </w:hyperlink>
    </w:p>
    <w:p w14:paraId="03ED7EEF" w14:textId="514CD0D6"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Himansha, R. (no date) “Data Privacy in AI Systems: Compliance and Implementation,” </w:t>
      </w:r>
      <w:r w:rsidRPr="009C7F74">
        <w:rPr>
          <w:rFonts w:ascii="Times New Roman" w:hAnsi="Times New Roman" w:cs="Times New Roman"/>
          <w:i/>
          <w:iCs/>
          <w:noProof/>
          <w:kern w:val="0"/>
        </w:rPr>
        <w:t>2026</w:t>
      </w:r>
      <w:r w:rsidRPr="009C7F74">
        <w:rPr>
          <w:rFonts w:ascii="Times New Roman" w:hAnsi="Times New Roman" w:cs="Times New Roman"/>
          <w:noProof/>
          <w:kern w:val="0"/>
        </w:rPr>
        <w:t xml:space="preserve"> [Preprint]. Available at: </w:t>
      </w:r>
      <w:hyperlink r:id="rId22" w:history="1">
        <w:r w:rsidRPr="00AF2BDF">
          <w:rPr>
            <w:rStyle w:val="Hyperlink"/>
            <w:rFonts w:ascii="Times New Roman" w:hAnsi="Times New Roman" w:cs="Times New Roman"/>
            <w:noProof/>
            <w:kern w:val="0"/>
          </w:rPr>
          <w:t>https://medium.com/activated-thinker/data-privacy-in-ai-systems-compliance-and-implementation-59d07852c1f5</w:t>
        </w:r>
      </w:hyperlink>
    </w:p>
    <w:p w14:paraId="492B3B77" w14:textId="0BD2A4B2"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Huo, Y. and Gong, B. (2022) “Credit rating in dynamic response to the nature of firms and the </w:t>
      </w:r>
      <w:r w:rsidRPr="009C7F74">
        <w:rPr>
          <w:rFonts w:ascii="Times New Roman" w:hAnsi="Times New Roman" w:cs="Times New Roman"/>
          <w:noProof/>
          <w:kern w:val="0"/>
        </w:rPr>
        <w:lastRenderedPageBreak/>
        <w:t xml:space="preserve">business model of rating agencies: evidence from the Chinese bond market,” </w:t>
      </w:r>
      <w:r w:rsidRPr="009C7F74">
        <w:rPr>
          <w:rFonts w:ascii="Times New Roman" w:hAnsi="Times New Roman" w:cs="Times New Roman"/>
          <w:i/>
          <w:iCs/>
          <w:noProof/>
          <w:kern w:val="0"/>
        </w:rPr>
        <w:t>Heliyon</w:t>
      </w:r>
      <w:r w:rsidRPr="009C7F74">
        <w:rPr>
          <w:rFonts w:ascii="Times New Roman" w:hAnsi="Times New Roman" w:cs="Times New Roman"/>
          <w:noProof/>
          <w:kern w:val="0"/>
        </w:rPr>
        <w:t xml:space="preserve">, 8(12), p. e11884. Available at: </w:t>
      </w:r>
      <w:hyperlink r:id="rId23" w:history="1">
        <w:r w:rsidRPr="00AF2BDF">
          <w:rPr>
            <w:rStyle w:val="Hyperlink"/>
            <w:rFonts w:ascii="Times New Roman" w:hAnsi="Times New Roman" w:cs="Times New Roman"/>
            <w:noProof/>
            <w:kern w:val="0"/>
          </w:rPr>
          <w:t>https://pmc.ncbi.nlm.nih.gov/articles/PMC9718966/</w:t>
        </w:r>
      </w:hyperlink>
    </w:p>
    <w:p w14:paraId="1A951741" w14:textId="755559AD"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IHG (2021) “On a journey towards a better future.” Available at: </w:t>
      </w:r>
      <w:hyperlink r:id="rId24" w:history="1">
        <w:r w:rsidRPr="00AF2BDF">
          <w:rPr>
            <w:rStyle w:val="Hyperlink"/>
            <w:rFonts w:ascii="Times New Roman" w:hAnsi="Times New Roman" w:cs="Times New Roman"/>
            <w:noProof/>
            <w:kern w:val="0"/>
          </w:rPr>
          <w:t>https://development.ihg.com/sites/ihgplc/files/IHG/A sustainable business/I-H-G-R-B-R-Interactive-280222.pdf</w:t>
        </w:r>
      </w:hyperlink>
    </w:p>
    <w:p w14:paraId="64A9D5FA" w14:textId="0AA1DAC2"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IHG (2023) “True Hospitality for Good.” Available at: </w:t>
      </w:r>
      <w:hyperlink r:id="rId25" w:history="1">
        <w:r w:rsidRPr="00AF2BDF">
          <w:rPr>
            <w:rStyle w:val="Hyperlink"/>
            <w:rFonts w:ascii="Times New Roman" w:hAnsi="Times New Roman" w:cs="Times New Roman"/>
            <w:noProof/>
            <w:kern w:val="0"/>
          </w:rPr>
          <w:t>https://www.ihgplc.com/~/media/Files/I/Ihg-Plc/investors/annual-report/2023/annual-report-2023.pdf</w:t>
        </w:r>
      </w:hyperlink>
    </w:p>
    <w:p w14:paraId="6282CEF4" w14:textId="4AC0BEDD"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IHG (2024a) “Chief Financial Officer’s review.” Available at: </w:t>
      </w:r>
      <w:hyperlink r:id="rId26" w:history="1">
        <w:r w:rsidRPr="00AF2BDF">
          <w:rPr>
            <w:rStyle w:val="Hyperlink"/>
            <w:rFonts w:ascii="Times New Roman" w:hAnsi="Times New Roman" w:cs="Times New Roman"/>
            <w:noProof/>
            <w:kern w:val="0"/>
          </w:rPr>
          <w:t>https://www.ihgplc.com/~/media/Files/I/Ihg-Plc/investors/annual-report/2024/cfo-review-performance_p81108.pdf</w:t>
        </w:r>
      </w:hyperlink>
    </w:p>
    <w:p w14:paraId="4F4A5F80" w14:textId="7B8075BF"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IHG (2024b) “Our business model.” Available at:</w:t>
      </w:r>
      <w:hyperlink r:id="rId27" w:history="1">
        <w:r w:rsidRPr="00AF2BDF">
          <w:rPr>
            <w:rStyle w:val="Hyperlink"/>
            <w:rFonts w:ascii="Times New Roman" w:hAnsi="Times New Roman" w:cs="Times New Roman"/>
            <w:noProof/>
            <w:kern w:val="0"/>
          </w:rPr>
          <w:t xml:space="preserve"> https://www.ihgplc.com/~/media/Files/I/Ihg-Plc/investors/annual-report/2024/business-model_p2227.pdf</w:t>
        </w:r>
      </w:hyperlink>
    </w:p>
    <w:p w14:paraId="733E8AD0" w14:textId="26F4CAEC"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IHG (2026) “nterContinental Hotels Group PLC Full Year Results to 31 December 2025.” Available at: </w:t>
      </w:r>
      <w:hyperlink r:id="rId28" w:history="1">
        <w:r w:rsidRPr="00AF2BDF">
          <w:rPr>
            <w:rStyle w:val="Hyperlink"/>
            <w:rFonts w:ascii="Times New Roman" w:hAnsi="Times New Roman" w:cs="Times New Roman"/>
            <w:noProof/>
            <w:kern w:val="0"/>
          </w:rPr>
          <w:t>https://www.ihgplc.com/~/media/Files/I/Ihg-Plc/results/2026/full-year-2025/full-year-results-for-the-year-to-31-dec-2025.pdf</w:t>
        </w:r>
      </w:hyperlink>
    </w:p>
    <w:p w14:paraId="41603B2F" w14:textId="47893F47"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InterContinental Hotels (2026) “Developing a new hotel or converting an existing property can be a complex process, but IHG helps you take care of every detail.” Available at: </w:t>
      </w:r>
      <w:hyperlink r:id="rId29" w:history="1">
        <w:r w:rsidRPr="00AF2BDF">
          <w:rPr>
            <w:rStyle w:val="Hyperlink"/>
            <w:rFonts w:ascii="Times New Roman" w:hAnsi="Times New Roman" w:cs="Times New Roman"/>
            <w:noProof/>
            <w:kern w:val="0"/>
          </w:rPr>
          <w:t>https://development.ihg.com/hotel-development/getting-started</w:t>
        </w:r>
      </w:hyperlink>
    </w:p>
    <w:p w14:paraId="23CB4A06" w14:textId="336B507B"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Kabu, E. </w:t>
      </w:r>
      <w:r w:rsidRPr="009C7F74">
        <w:rPr>
          <w:rFonts w:ascii="Times New Roman" w:hAnsi="Times New Roman" w:cs="Times New Roman"/>
          <w:i/>
          <w:iCs/>
          <w:noProof/>
          <w:kern w:val="0"/>
        </w:rPr>
        <w:t>et al.</w:t>
      </w:r>
      <w:r w:rsidRPr="009C7F74">
        <w:rPr>
          <w:rFonts w:ascii="Times New Roman" w:hAnsi="Times New Roman" w:cs="Times New Roman"/>
          <w:noProof/>
          <w:kern w:val="0"/>
        </w:rPr>
        <w:t xml:space="preserve"> (2024) “Working Capital Turnover Ratio: A Managerial Perspective,” </w:t>
      </w:r>
      <w:r w:rsidRPr="009C7F74">
        <w:rPr>
          <w:rFonts w:ascii="Times New Roman" w:hAnsi="Times New Roman" w:cs="Times New Roman"/>
          <w:i/>
          <w:iCs/>
          <w:noProof/>
          <w:kern w:val="0"/>
        </w:rPr>
        <w:t>International Journal of Research and Innovation in Social Science</w:t>
      </w:r>
      <w:r w:rsidRPr="009C7F74">
        <w:rPr>
          <w:rFonts w:ascii="Times New Roman" w:hAnsi="Times New Roman" w:cs="Times New Roman"/>
          <w:noProof/>
          <w:kern w:val="0"/>
        </w:rPr>
        <w:t xml:space="preserve">, VIII(IV), pp. 2042–2045. Available at: </w:t>
      </w:r>
      <w:hyperlink r:id="rId30" w:history="1">
        <w:r w:rsidRPr="00AF2BDF">
          <w:rPr>
            <w:rStyle w:val="Hyperlink"/>
            <w:rFonts w:ascii="Times New Roman" w:hAnsi="Times New Roman" w:cs="Times New Roman"/>
            <w:noProof/>
            <w:kern w:val="0"/>
          </w:rPr>
          <w:t>https://rsisinternational.org/journals/ijriss/articles/working-capital-turnover-ratio-a-managerial-perspective/</w:t>
        </w:r>
      </w:hyperlink>
    </w:p>
    <w:p w14:paraId="48E39AC0" w14:textId="238DE58F"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Kamau, P., Inanga, E.L. and Rwegasira, K. (2015) “Currency risk impact on the financial performance of multilateral banks,” </w:t>
      </w:r>
      <w:r w:rsidRPr="009C7F74">
        <w:rPr>
          <w:rFonts w:ascii="Times New Roman" w:hAnsi="Times New Roman" w:cs="Times New Roman"/>
          <w:i/>
          <w:iCs/>
          <w:noProof/>
          <w:kern w:val="0"/>
        </w:rPr>
        <w:t>Journal of Financial Reporting and Accounting</w:t>
      </w:r>
      <w:r w:rsidRPr="009C7F74">
        <w:rPr>
          <w:rFonts w:ascii="Times New Roman" w:hAnsi="Times New Roman" w:cs="Times New Roman"/>
          <w:noProof/>
          <w:kern w:val="0"/>
        </w:rPr>
        <w:t xml:space="preserve">, 13(1), pp. 91–118. Available at: </w:t>
      </w:r>
      <w:hyperlink r:id="rId31" w:history="1">
        <w:r w:rsidRPr="00AF2BDF">
          <w:rPr>
            <w:rStyle w:val="Hyperlink"/>
            <w:rFonts w:ascii="Times New Roman" w:hAnsi="Times New Roman" w:cs="Times New Roman"/>
            <w:noProof/>
            <w:kern w:val="0"/>
          </w:rPr>
          <w:t>https://www.emerald.com/jfra/article-abstract/13/1/91/226386/Currency-risk-impact-on-the-financial-performance?redirectedFrom=fulltext</w:t>
        </w:r>
      </w:hyperlink>
    </w:p>
    <w:p w14:paraId="5EB49808" w14:textId="123A45E3"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Kelly, G. (2020) “Earnings Per Share (Basic EPS).” Available at: </w:t>
      </w:r>
      <w:hyperlink r:id="rId32" w:history="1">
        <w:r w:rsidRPr="00AF2BDF">
          <w:rPr>
            <w:rStyle w:val="Hyperlink"/>
            <w:rFonts w:ascii="Times New Roman" w:hAnsi="Times New Roman" w:cs="Times New Roman"/>
            <w:noProof/>
            <w:kern w:val="0"/>
          </w:rPr>
          <w:t>https://www.fe.training/free-resources/accounting/basic-earnings-per-share-eps/</w:t>
        </w:r>
      </w:hyperlink>
    </w:p>
    <w:p w14:paraId="51395468" w14:textId="7073B4B4"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Liew, C. (2025) “Christopher Liew: Thinking of refinancing your debt? The benefits, drawbacks, and credit impact.” Available at: </w:t>
      </w:r>
      <w:hyperlink r:id="rId33" w:history="1">
        <w:r w:rsidRPr="00AF2BDF">
          <w:rPr>
            <w:rStyle w:val="Hyperlink"/>
            <w:rFonts w:ascii="Times New Roman" w:hAnsi="Times New Roman" w:cs="Times New Roman"/>
            <w:noProof/>
            <w:kern w:val="0"/>
          </w:rPr>
          <w:t>https://www.ctvnews.ca/business/article/christopher-liew-thinking-of-refinancing-your-debt-the-benefits-drawbacks-and-credit-impact/</w:t>
        </w:r>
      </w:hyperlink>
    </w:p>
    <w:p w14:paraId="1F67EA08" w14:textId="2C7461C1"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Ljunggren, P. (2025) “Accounts Receivable.” Available at: </w:t>
      </w:r>
      <w:hyperlink r:id="rId34" w:history="1">
        <w:r w:rsidRPr="00AF2BDF">
          <w:rPr>
            <w:rStyle w:val="Hyperlink"/>
            <w:rFonts w:ascii="Times New Roman" w:hAnsi="Times New Roman" w:cs="Times New Roman"/>
            <w:noProof/>
            <w:kern w:val="0"/>
          </w:rPr>
          <w:t>https://www.fe.training/free-resources/accounting/the-balance-sheet-assets-accounts-receivable-net/</w:t>
        </w:r>
      </w:hyperlink>
    </w:p>
    <w:p w14:paraId="7089FCFC" w14:textId="64504E5C"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Lussi, S. </w:t>
      </w:r>
      <w:r w:rsidRPr="009C7F74">
        <w:rPr>
          <w:rFonts w:ascii="Times New Roman" w:hAnsi="Times New Roman" w:cs="Times New Roman"/>
          <w:i/>
          <w:iCs/>
          <w:noProof/>
          <w:kern w:val="0"/>
        </w:rPr>
        <w:t>et al.</w:t>
      </w:r>
      <w:r w:rsidRPr="009C7F74">
        <w:rPr>
          <w:rFonts w:ascii="Times New Roman" w:hAnsi="Times New Roman" w:cs="Times New Roman"/>
          <w:noProof/>
          <w:kern w:val="0"/>
        </w:rPr>
        <w:t xml:space="preserve"> (2023) “Cross-dimensional measures of asset lightness and fee orientation in lodging groups,” </w:t>
      </w:r>
      <w:r w:rsidRPr="009C7F74">
        <w:rPr>
          <w:rFonts w:ascii="Times New Roman" w:hAnsi="Times New Roman" w:cs="Times New Roman"/>
          <w:i/>
          <w:iCs/>
          <w:noProof/>
          <w:kern w:val="0"/>
        </w:rPr>
        <w:t>International Journal of Hospitality Management</w:t>
      </w:r>
      <w:r w:rsidRPr="009C7F74">
        <w:rPr>
          <w:rFonts w:ascii="Times New Roman" w:hAnsi="Times New Roman" w:cs="Times New Roman"/>
          <w:noProof/>
          <w:kern w:val="0"/>
        </w:rPr>
        <w:t xml:space="preserve">, 109, p. 103391. Available at: </w:t>
      </w:r>
      <w:hyperlink r:id="rId35" w:history="1">
        <w:r w:rsidRPr="00AF2BDF">
          <w:rPr>
            <w:rStyle w:val="Hyperlink"/>
            <w:rFonts w:ascii="Times New Roman" w:hAnsi="Times New Roman" w:cs="Times New Roman"/>
            <w:noProof/>
            <w:kern w:val="0"/>
          </w:rPr>
          <w:t>https://www.sciencedirect.com/science/article/pii/S0278431922002572</w:t>
        </w:r>
      </w:hyperlink>
    </w:p>
    <w:p w14:paraId="0C1C80D4" w14:textId="77777777" w:rsidR="00AF2BDF" w:rsidRDefault="00AF2BDF" w:rsidP="00AF2BDF">
      <w:pPr>
        <w:widowControl w:val="0"/>
        <w:autoSpaceDE w:val="0"/>
        <w:autoSpaceDN w:val="0"/>
        <w:adjustRightInd w:val="0"/>
        <w:spacing w:line="240" w:lineRule="auto"/>
        <w:rPr>
          <w:rFonts w:ascii="Times New Roman" w:hAnsi="Times New Roman" w:cs="Times New Roman"/>
          <w:noProof/>
          <w:kern w:val="0"/>
        </w:rPr>
      </w:pPr>
    </w:p>
    <w:p w14:paraId="78BB45B5" w14:textId="3ADE114E"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lastRenderedPageBreak/>
        <w:t xml:space="preserve">Mahmoud, A.R. (2025) “Exchange Rate Fluctuations and Their Effect on National Economies.” Available at: </w:t>
      </w:r>
      <w:hyperlink r:id="rId36" w:history="1">
        <w:r w:rsidRPr="00AF2BDF">
          <w:rPr>
            <w:rStyle w:val="Hyperlink"/>
            <w:rFonts w:ascii="Times New Roman" w:hAnsi="Times New Roman" w:cs="Times New Roman"/>
            <w:noProof/>
            <w:kern w:val="0"/>
          </w:rPr>
          <w:t>https://www.researchgate.net/publication/397670244_Exchange_Rate_Fluctuations_and_Their_Effect_on_National_Economies</w:t>
        </w:r>
      </w:hyperlink>
    </w:p>
    <w:p w14:paraId="436E1BD4" w14:textId="4A297D9B"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Mizdraković, V. </w:t>
      </w:r>
      <w:r w:rsidRPr="009C7F74">
        <w:rPr>
          <w:rFonts w:ascii="Times New Roman" w:hAnsi="Times New Roman" w:cs="Times New Roman"/>
          <w:i/>
          <w:iCs/>
          <w:noProof/>
          <w:kern w:val="0"/>
        </w:rPr>
        <w:t>et al.</w:t>
      </w:r>
      <w:r w:rsidRPr="009C7F74">
        <w:rPr>
          <w:rFonts w:ascii="Times New Roman" w:hAnsi="Times New Roman" w:cs="Times New Roman"/>
          <w:noProof/>
          <w:kern w:val="0"/>
        </w:rPr>
        <w:t xml:space="preserve"> (2025) “Asset-heavy or asset-light? Financial performance implications in the luxury hotel industry,” </w:t>
      </w:r>
      <w:r w:rsidRPr="009C7F74">
        <w:rPr>
          <w:rFonts w:ascii="Times New Roman" w:hAnsi="Times New Roman" w:cs="Times New Roman"/>
          <w:i/>
          <w:iCs/>
          <w:noProof/>
          <w:kern w:val="0"/>
        </w:rPr>
        <w:t>Tourism for People, Planet and Prosperity - What Needs to Happen by 2030? Book of Proceedings</w:t>
      </w:r>
      <w:r w:rsidRPr="009C7F74">
        <w:rPr>
          <w:rFonts w:ascii="Times New Roman" w:hAnsi="Times New Roman" w:cs="Times New Roman"/>
          <w:noProof/>
          <w:kern w:val="0"/>
        </w:rPr>
        <w:t xml:space="preserve">. Belgrade, Serbia: Singidunum University, pp. 23–28. Available at: </w:t>
      </w:r>
      <w:hyperlink r:id="rId37" w:history="1">
        <w:r w:rsidRPr="00AF2BDF">
          <w:rPr>
            <w:rStyle w:val="Hyperlink"/>
            <w:rFonts w:ascii="Times New Roman" w:hAnsi="Times New Roman" w:cs="Times New Roman"/>
            <w:noProof/>
            <w:kern w:val="0"/>
          </w:rPr>
          <w:t>https://www.researchgate.net/publication/398994597_Asset-heavy_or_asset-light_Financial_performance_implications_in_the_luxury_hotel_industry</w:t>
        </w:r>
      </w:hyperlink>
    </w:p>
    <w:p w14:paraId="722E5D38" w14:textId="053D8E51"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Murtadho, M., Ratnawati, T. and Pristiana, U. (2024) “DIVIDEND POLICY TO IMPROVE FIRM VALUE, FINANCIAL SUSTAINABILITY MODERATING VARIABLE,” </w:t>
      </w:r>
      <w:r w:rsidRPr="009C7F74">
        <w:rPr>
          <w:rFonts w:ascii="Times New Roman" w:hAnsi="Times New Roman" w:cs="Times New Roman"/>
          <w:i/>
          <w:iCs/>
          <w:noProof/>
          <w:kern w:val="0"/>
        </w:rPr>
        <w:t>Financial and credit activity problems of theory and practice</w:t>
      </w:r>
      <w:r w:rsidRPr="009C7F74">
        <w:rPr>
          <w:rFonts w:ascii="Times New Roman" w:hAnsi="Times New Roman" w:cs="Times New Roman"/>
          <w:noProof/>
          <w:kern w:val="0"/>
        </w:rPr>
        <w:t xml:space="preserve">, 6(59), pp. 283–292. Available at: </w:t>
      </w:r>
      <w:hyperlink r:id="rId38" w:history="1">
        <w:r w:rsidRPr="00AF2BDF">
          <w:rPr>
            <w:rStyle w:val="Hyperlink"/>
            <w:rFonts w:ascii="Times New Roman" w:hAnsi="Times New Roman" w:cs="Times New Roman"/>
            <w:noProof/>
            <w:kern w:val="0"/>
          </w:rPr>
          <w:t>https://www.researchgate.net/publication/387570774_DIVIDEND_POLICY_TO_IMPROVE_FIRM_VALUE_FINANCIAL_SUSTAINABILITY_MODERATING_VARIABLE</w:t>
        </w:r>
      </w:hyperlink>
    </w:p>
    <w:p w14:paraId="77BB18F0" w14:textId="0A601BEE"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Musarat, M.A., Alaloul, W.S. and Liew, M.S. (2021) “Impact of inflation rate on construction projects budget: A review,” </w:t>
      </w:r>
      <w:r w:rsidRPr="009C7F74">
        <w:rPr>
          <w:rFonts w:ascii="Times New Roman" w:hAnsi="Times New Roman" w:cs="Times New Roman"/>
          <w:i/>
          <w:iCs/>
          <w:noProof/>
          <w:kern w:val="0"/>
        </w:rPr>
        <w:t>Ain Shams Engineering Journal</w:t>
      </w:r>
      <w:r w:rsidRPr="009C7F74">
        <w:rPr>
          <w:rFonts w:ascii="Times New Roman" w:hAnsi="Times New Roman" w:cs="Times New Roman"/>
          <w:noProof/>
          <w:kern w:val="0"/>
        </w:rPr>
        <w:t xml:space="preserve">, 12(1), pp. 407–414. Available at: </w:t>
      </w:r>
      <w:hyperlink r:id="rId39" w:history="1">
        <w:r w:rsidRPr="00AF2BDF">
          <w:rPr>
            <w:rStyle w:val="Hyperlink"/>
            <w:rFonts w:ascii="Times New Roman" w:hAnsi="Times New Roman" w:cs="Times New Roman"/>
            <w:noProof/>
            <w:kern w:val="0"/>
          </w:rPr>
          <w:t>https://www.researchgate.net/publication/342190090_Impact_of_inflation_rate_on_construction_projects_budget_A_review</w:t>
        </w:r>
      </w:hyperlink>
    </w:p>
    <w:p w14:paraId="5FB8A918" w14:textId="6DB0DFE4"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Schmidt, J. (2019) “Working Capital Cycle.” Available at: </w:t>
      </w:r>
      <w:hyperlink r:id="rId40" w:history="1">
        <w:r w:rsidRPr="00AF2BDF">
          <w:rPr>
            <w:rStyle w:val="Hyperlink"/>
            <w:rFonts w:ascii="Times New Roman" w:hAnsi="Times New Roman" w:cs="Times New Roman"/>
            <w:noProof/>
            <w:kern w:val="0"/>
          </w:rPr>
          <w:t>https://corporatefinanceinstitute.com/resources/accounting/working-capital-cycle/</w:t>
        </w:r>
      </w:hyperlink>
    </w:p>
    <w:p w14:paraId="4A3BEBF0" w14:textId="2C429D1B"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Ungvarsky, J. (2023) “Payback period.” Available at: </w:t>
      </w:r>
      <w:hyperlink r:id="rId41" w:history="1">
        <w:r w:rsidRPr="00AF2BDF">
          <w:rPr>
            <w:rStyle w:val="Hyperlink"/>
            <w:rFonts w:ascii="Times New Roman" w:hAnsi="Times New Roman" w:cs="Times New Roman"/>
            <w:noProof/>
            <w:kern w:val="0"/>
          </w:rPr>
          <w:t>https://www.ebsco.com/research-starters/business-and-management/payback-period</w:t>
        </w:r>
      </w:hyperlink>
    </w:p>
    <w:p w14:paraId="77D73771" w14:textId="538F3FDB"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Yan, Y. (2024) “The Impact of ESG Standards and Investment : Global Trends and Practices,” </w:t>
      </w:r>
      <w:r w:rsidRPr="009C7F74">
        <w:rPr>
          <w:rFonts w:ascii="Times New Roman" w:hAnsi="Times New Roman" w:cs="Times New Roman"/>
          <w:i/>
          <w:iCs/>
          <w:noProof/>
          <w:kern w:val="0"/>
        </w:rPr>
        <w:t>Advances in Economics, Management and Political Sciences</w:t>
      </w:r>
      <w:r w:rsidRPr="009C7F74">
        <w:rPr>
          <w:rFonts w:ascii="Times New Roman" w:hAnsi="Times New Roman" w:cs="Times New Roman"/>
          <w:noProof/>
          <w:kern w:val="0"/>
        </w:rPr>
        <w:t xml:space="preserve">, 121(1), pp. 14–22. Available at: </w:t>
      </w:r>
      <w:hyperlink r:id="rId42" w:history="1">
        <w:r w:rsidRPr="009C7F74">
          <w:rPr>
            <w:rStyle w:val="Hyperlink"/>
            <w:rFonts w:ascii="Times New Roman" w:hAnsi="Times New Roman" w:cs="Times New Roman"/>
            <w:noProof/>
            <w:kern w:val="0"/>
          </w:rPr>
          <w:t>https://aemps.ewapub.com/article/view/16162</w:t>
        </w:r>
      </w:hyperlink>
    </w:p>
    <w:p w14:paraId="1676E16A" w14:textId="6F899108"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Yu, Z. </w:t>
      </w:r>
      <w:r w:rsidRPr="009C7F74">
        <w:rPr>
          <w:rFonts w:ascii="Times New Roman" w:hAnsi="Times New Roman" w:cs="Times New Roman"/>
          <w:i/>
          <w:iCs/>
          <w:noProof/>
          <w:kern w:val="0"/>
        </w:rPr>
        <w:t>et al.</w:t>
      </w:r>
      <w:r w:rsidRPr="009C7F74">
        <w:rPr>
          <w:rFonts w:ascii="Times New Roman" w:hAnsi="Times New Roman" w:cs="Times New Roman"/>
          <w:noProof/>
          <w:kern w:val="0"/>
        </w:rPr>
        <w:t xml:space="preserve"> (2024) “How does environmental, social, and governance (ESG) performance determine investment mix? New empirical evidence from BRICS,” </w:t>
      </w:r>
      <w:r w:rsidRPr="009C7F74">
        <w:rPr>
          <w:rFonts w:ascii="Times New Roman" w:hAnsi="Times New Roman" w:cs="Times New Roman"/>
          <w:i/>
          <w:iCs/>
          <w:noProof/>
          <w:kern w:val="0"/>
        </w:rPr>
        <w:t>Borsa Istanbul Review</w:t>
      </w:r>
      <w:r w:rsidRPr="009C7F74">
        <w:rPr>
          <w:rFonts w:ascii="Times New Roman" w:hAnsi="Times New Roman" w:cs="Times New Roman"/>
          <w:noProof/>
          <w:kern w:val="0"/>
        </w:rPr>
        <w:t xml:space="preserve">, 24(3), pp. 520–529. Available at: </w:t>
      </w:r>
      <w:hyperlink r:id="rId43" w:history="1">
        <w:r w:rsidRPr="009C7F74">
          <w:rPr>
            <w:rStyle w:val="Hyperlink"/>
            <w:rFonts w:ascii="Times New Roman" w:hAnsi="Times New Roman" w:cs="Times New Roman"/>
            <w:noProof/>
            <w:kern w:val="0"/>
          </w:rPr>
          <w:t>https://www.sciencedirect.com/science/article/pii/S2214845024000279</w:t>
        </w:r>
      </w:hyperlink>
    </w:p>
    <w:p w14:paraId="69B2609E" w14:textId="2F057033" w:rsidR="009C7F74" w:rsidRPr="009C7F74" w:rsidRDefault="009C7F74" w:rsidP="00AF2BDF">
      <w:pPr>
        <w:widowControl w:val="0"/>
        <w:autoSpaceDE w:val="0"/>
        <w:autoSpaceDN w:val="0"/>
        <w:adjustRightInd w:val="0"/>
        <w:spacing w:line="240" w:lineRule="auto"/>
        <w:rPr>
          <w:rFonts w:ascii="Times New Roman" w:hAnsi="Times New Roman" w:cs="Times New Roman"/>
          <w:noProof/>
        </w:rPr>
      </w:pPr>
      <w:r w:rsidRPr="009C7F74">
        <w:rPr>
          <w:rFonts w:ascii="Times New Roman" w:hAnsi="Times New Roman" w:cs="Times New Roman"/>
          <w:noProof/>
          <w:kern w:val="0"/>
        </w:rPr>
        <w:t xml:space="preserve">Zhao, Y. (2020) “Report on Hotel Revenue and IHG’s Improvement Plan during COVID-19,” </w:t>
      </w:r>
      <w:r w:rsidRPr="009C7F74">
        <w:rPr>
          <w:rFonts w:ascii="Times New Roman" w:hAnsi="Times New Roman" w:cs="Times New Roman"/>
          <w:i/>
          <w:iCs/>
          <w:noProof/>
          <w:kern w:val="0"/>
        </w:rPr>
        <w:t>Research in Economics and Management</w:t>
      </w:r>
      <w:r w:rsidRPr="009C7F74">
        <w:rPr>
          <w:rFonts w:ascii="Times New Roman" w:hAnsi="Times New Roman" w:cs="Times New Roman"/>
          <w:noProof/>
          <w:kern w:val="0"/>
        </w:rPr>
        <w:t xml:space="preserve">, 5(4), p. p164. Available at: </w:t>
      </w:r>
      <w:hyperlink r:id="rId44" w:history="1">
        <w:r w:rsidRPr="009C7F74">
          <w:rPr>
            <w:rStyle w:val="Hyperlink"/>
            <w:rFonts w:ascii="Times New Roman" w:hAnsi="Times New Roman" w:cs="Times New Roman"/>
            <w:noProof/>
            <w:kern w:val="0"/>
          </w:rPr>
          <w:t>https://www.researchgate.net/publication/347068746_Report_on_Hotel_Revenue_and_IHG’s_Improvement_Plan_during_COVID-19</w:t>
        </w:r>
      </w:hyperlink>
    </w:p>
    <w:p w14:paraId="616DB01A" w14:textId="2A05EBC6" w:rsidR="008778AA" w:rsidRPr="008778AA" w:rsidRDefault="008778AA" w:rsidP="00AF2BDF">
      <w:pPr>
        <w:pStyle w:val="ListParagraph"/>
        <w:rPr>
          <w:rFonts w:ascii="Times New Roman" w:hAnsi="Times New Roman" w:cs="Times New Roman"/>
        </w:rPr>
      </w:pPr>
      <w:r>
        <w:rPr>
          <w:rFonts w:ascii="Times New Roman" w:hAnsi="Times New Roman" w:cs="Times New Roman"/>
        </w:rPr>
        <w:fldChar w:fldCharType="end"/>
      </w:r>
      <w:r w:rsidRPr="008778AA">
        <w:rPr>
          <w:rFonts w:ascii="Times New Roman" w:hAnsi="Times New Roman" w:cs="Times New Roman"/>
        </w:rPr>
        <w:br w:type="page"/>
      </w:r>
      <w:bookmarkStart w:id="68" w:name="_Toc233392978"/>
    </w:p>
    <w:p w14:paraId="5BCF7575" w14:textId="6AFEF316" w:rsidR="003F3DB9" w:rsidRDefault="003F3DB9" w:rsidP="003F3DB9">
      <w:pPr>
        <w:pStyle w:val="Heading1"/>
        <w:numPr>
          <w:ilvl w:val="0"/>
          <w:numId w:val="9"/>
        </w:numPr>
      </w:pPr>
      <w:bookmarkStart w:id="69" w:name="_Toc233884825"/>
      <w:r>
        <w:lastRenderedPageBreak/>
        <w:t>Appendices:</w:t>
      </w:r>
      <w:bookmarkEnd w:id="69"/>
    </w:p>
    <w:p w14:paraId="1E003C3C" w14:textId="60DEBB97" w:rsidR="00851F6E" w:rsidRPr="003F3DB9" w:rsidRDefault="00851F6E" w:rsidP="003F3DB9">
      <w:pPr>
        <w:rPr>
          <w:b/>
          <w:bCs/>
        </w:rPr>
      </w:pPr>
      <w:r w:rsidRPr="003F3DB9">
        <w:rPr>
          <w:b/>
          <w:bCs/>
        </w:rPr>
        <w:t>Appendix A: Five-Year Financial Statement Extract</w:t>
      </w:r>
      <w:bookmarkEnd w:id="68"/>
    </w:p>
    <w:tbl>
      <w:tblPr>
        <w:tblStyle w:val="TableGrid"/>
        <w:tblW w:w="0" w:type="auto"/>
        <w:tblLook w:val="04A0" w:firstRow="1" w:lastRow="0" w:firstColumn="1" w:lastColumn="0" w:noHBand="0" w:noVBand="1"/>
      </w:tblPr>
      <w:tblGrid>
        <w:gridCol w:w="3469"/>
        <w:gridCol w:w="916"/>
        <w:gridCol w:w="916"/>
        <w:gridCol w:w="916"/>
        <w:gridCol w:w="916"/>
        <w:gridCol w:w="916"/>
      </w:tblGrid>
      <w:tr w:rsidR="00851F6E" w:rsidRPr="008778AA" w14:paraId="56ED8861" w14:textId="77777777" w:rsidTr="00851F6E">
        <w:tc>
          <w:tcPr>
            <w:tcW w:w="0" w:type="auto"/>
            <w:hideMark/>
          </w:tcPr>
          <w:p w14:paraId="0A138EE2" w14:textId="77777777" w:rsidR="00851F6E" w:rsidRPr="008778AA" w:rsidRDefault="00851F6E" w:rsidP="008778AA">
            <w:pPr>
              <w:spacing w:after="160" w:line="360" w:lineRule="auto"/>
              <w:jc w:val="both"/>
              <w:rPr>
                <w:rFonts w:ascii="Times New Roman" w:hAnsi="Times New Roman" w:cs="Times New Roman"/>
                <w:b/>
                <w:bCs/>
              </w:rPr>
            </w:pPr>
            <w:r w:rsidRPr="008778AA">
              <w:rPr>
                <w:rFonts w:ascii="Times New Roman" w:hAnsi="Times New Roman" w:cs="Times New Roman"/>
                <w:b/>
                <w:bCs/>
              </w:rPr>
              <w:t>Financial measure</w:t>
            </w:r>
          </w:p>
        </w:tc>
        <w:tc>
          <w:tcPr>
            <w:tcW w:w="0" w:type="auto"/>
            <w:hideMark/>
          </w:tcPr>
          <w:p w14:paraId="2B5D39B6" w14:textId="77777777" w:rsidR="00851F6E" w:rsidRPr="008778AA" w:rsidRDefault="00851F6E" w:rsidP="008778AA">
            <w:pPr>
              <w:spacing w:after="160" w:line="360" w:lineRule="auto"/>
              <w:jc w:val="both"/>
              <w:rPr>
                <w:rFonts w:ascii="Times New Roman" w:hAnsi="Times New Roman" w:cs="Times New Roman"/>
                <w:b/>
                <w:bCs/>
              </w:rPr>
            </w:pPr>
            <w:r w:rsidRPr="008778AA">
              <w:rPr>
                <w:rFonts w:ascii="Times New Roman" w:hAnsi="Times New Roman" w:cs="Times New Roman"/>
                <w:b/>
                <w:bCs/>
              </w:rPr>
              <w:t>2021</w:t>
            </w:r>
          </w:p>
        </w:tc>
        <w:tc>
          <w:tcPr>
            <w:tcW w:w="0" w:type="auto"/>
            <w:hideMark/>
          </w:tcPr>
          <w:p w14:paraId="327BCB24" w14:textId="77777777" w:rsidR="00851F6E" w:rsidRPr="008778AA" w:rsidRDefault="00851F6E" w:rsidP="008778AA">
            <w:pPr>
              <w:spacing w:after="160" w:line="360" w:lineRule="auto"/>
              <w:jc w:val="both"/>
              <w:rPr>
                <w:rFonts w:ascii="Times New Roman" w:hAnsi="Times New Roman" w:cs="Times New Roman"/>
                <w:b/>
                <w:bCs/>
              </w:rPr>
            </w:pPr>
            <w:r w:rsidRPr="008778AA">
              <w:rPr>
                <w:rFonts w:ascii="Times New Roman" w:hAnsi="Times New Roman" w:cs="Times New Roman"/>
                <w:b/>
                <w:bCs/>
              </w:rPr>
              <w:t>2022</w:t>
            </w:r>
          </w:p>
        </w:tc>
        <w:tc>
          <w:tcPr>
            <w:tcW w:w="0" w:type="auto"/>
            <w:hideMark/>
          </w:tcPr>
          <w:p w14:paraId="522CFD9E" w14:textId="77777777" w:rsidR="00851F6E" w:rsidRPr="008778AA" w:rsidRDefault="00851F6E" w:rsidP="008778AA">
            <w:pPr>
              <w:spacing w:after="160" w:line="360" w:lineRule="auto"/>
              <w:jc w:val="both"/>
              <w:rPr>
                <w:rFonts w:ascii="Times New Roman" w:hAnsi="Times New Roman" w:cs="Times New Roman"/>
                <w:b/>
                <w:bCs/>
              </w:rPr>
            </w:pPr>
            <w:r w:rsidRPr="008778AA">
              <w:rPr>
                <w:rFonts w:ascii="Times New Roman" w:hAnsi="Times New Roman" w:cs="Times New Roman"/>
                <w:b/>
                <w:bCs/>
              </w:rPr>
              <w:t>2023</w:t>
            </w:r>
          </w:p>
        </w:tc>
        <w:tc>
          <w:tcPr>
            <w:tcW w:w="0" w:type="auto"/>
            <w:hideMark/>
          </w:tcPr>
          <w:p w14:paraId="230A7290" w14:textId="77777777" w:rsidR="00851F6E" w:rsidRPr="008778AA" w:rsidRDefault="00851F6E" w:rsidP="008778AA">
            <w:pPr>
              <w:spacing w:after="160" w:line="360" w:lineRule="auto"/>
              <w:jc w:val="both"/>
              <w:rPr>
                <w:rFonts w:ascii="Times New Roman" w:hAnsi="Times New Roman" w:cs="Times New Roman"/>
                <w:b/>
                <w:bCs/>
              </w:rPr>
            </w:pPr>
            <w:r w:rsidRPr="008778AA">
              <w:rPr>
                <w:rFonts w:ascii="Times New Roman" w:hAnsi="Times New Roman" w:cs="Times New Roman"/>
                <w:b/>
                <w:bCs/>
              </w:rPr>
              <w:t>2024</w:t>
            </w:r>
          </w:p>
        </w:tc>
        <w:tc>
          <w:tcPr>
            <w:tcW w:w="0" w:type="auto"/>
            <w:hideMark/>
          </w:tcPr>
          <w:p w14:paraId="62D9C1D2" w14:textId="77777777" w:rsidR="00851F6E" w:rsidRPr="008778AA" w:rsidRDefault="00851F6E" w:rsidP="008778AA">
            <w:pPr>
              <w:spacing w:after="160" w:line="360" w:lineRule="auto"/>
              <w:jc w:val="both"/>
              <w:rPr>
                <w:rFonts w:ascii="Times New Roman" w:hAnsi="Times New Roman" w:cs="Times New Roman"/>
                <w:b/>
                <w:bCs/>
              </w:rPr>
            </w:pPr>
            <w:r w:rsidRPr="008778AA">
              <w:rPr>
                <w:rFonts w:ascii="Times New Roman" w:hAnsi="Times New Roman" w:cs="Times New Roman"/>
                <w:b/>
                <w:bCs/>
              </w:rPr>
              <w:t>2025</w:t>
            </w:r>
          </w:p>
        </w:tc>
      </w:tr>
      <w:tr w:rsidR="00851F6E" w:rsidRPr="008778AA" w14:paraId="7A8C443B" w14:textId="77777777" w:rsidTr="00851F6E">
        <w:tc>
          <w:tcPr>
            <w:tcW w:w="0" w:type="auto"/>
            <w:hideMark/>
          </w:tcPr>
          <w:p w14:paraId="7195CB13"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Total revenue</w:t>
            </w:r>
          </w:p>
        </w:tc>
        <w:tc>
          <w:tcPr>
            <w:tcW w:w="0" w:type="auto"/>
            <w:hideMark/>
          </w:tcPr>
          <w:p w14:paraId="1A9C8FF1"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2,907</w:t>
            </w:r>
          </w:p>
        </w:tc>
        <w:tc>
          <w:tcPr>
            <w:tcW w:w="0" w:type="auto"/>
            <w:hideMark/>
          </w:tcPr>
          <w:p w14:paraId="034AC3BB"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3,892</w:t>
            </w:r>
          </w:p>
        </w:tc>
        <w:tc>
          <w:tcPr>
            <w:tcW w:w="0" w:type="auto"/>
            <w:hideMark/>
          </w:tcPr>
          <w:p w14:paraId="664392BB"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4,624</w:t>
            </w:r>
          </w:p>
        </w:tc>
        <w:tc>
          <w:tcPr>
            <w:tcW w:w="0" w:type="auto"/>
            <w:hideMark/>
          </w:tcPr>
          <w:p w14:paraId="4960F9CF"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4,923</w:t>
            </w:r>
          </w:p>
        </w:tc>
        <w:tc>
          <w:tcPr>
            <w:tcW w:w="0" w:type="auto"/>
            <w:hideMark/>
          </w:tcPr>
          <w:p w14:paraId="285C5DEE"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5,189</w:t>
            </w:r>
          </w:p>
        </w:tc>
      </w:tr>
      <w:tr w:rsidR="00851F6E" w:rsidRPr="008778AA" w14:paraId="036E862D" w14:textId="77777777" w:rsidTr="00851F6E">
        <w:tc>
          <w:tcPr>
            <w:tcW w:w="0" w:type="auto"/>
            <w:hideMark/>
          </w:tcPr>
          <w:p w14:paraId="7222844A"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Operating profit</w:t>
            </w:r>
          </w:p>
        </w:tc>
        <w:tc>
          <w:tcPr>
            <w:tcW w:w="0" w:type="auto"/>
            <w:hideMark/>
          </w:tcPr>
          <w:p w14:paraId="313A0AA3"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494</w:t>
            </w:r>
          </w:p>
        </w:tc>
        <w:tc>
          <w:tcPr>
            <w:tcW w:w="0" w:type="auto"/>
            <w:hideMark/>
          </w:tcPr>
          <w:p w14:paraId="1AB6DD84"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628</w:t>
            </w:r>
          </w:p>
        </w:tc>
        <w:tc>
          <w:tcPr>
            <w:tcW w:w="0" w:type="auto"/>
            <w:hideMark/>
          </w:tcPr>
          <w:p w14:paraId="745CE3AC"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1,066</w:t>
            </w:r>
          </w:p>
        </w:tc>
        <w:tc>
          <w:tcPr>
            <w:tcW w:w="0" w:type="auto"/>
            <w:hideMark/>
          </w:tcPr>
          <w:p w14:paraId="2A972BB5"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1,041</w:t>
            </w:r>
          </w:p>
        </w:tc>
        <w:tc>
          <w:tcPr>
            <w:tcW w:w="0" w:type="auto"/>
            <w:hideMark/>
          </w:tcPr>
          <w:p w14:paraId="047479BA"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1,198</w:t>
            </w:r>
          </w:p>
        </w:tc>
      </w:tr>
      <w:tr w:rsidR="00851F6E" w:rsidRPr="008778AA" w14:paraId="5B752750" w14:textId="77777777" w:rsidTr="00851F6E">
        <w:tc>
          <w:tcPr>
            <w:tcW w:w="0" w:type="auto"/>
            <w:hideMark/>
          </w:tcPr>
          <w:p w14:paraId="421E2944"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Profit before tax</w:t>
            </w:r>
          </w:p>
        </w:tc>
        <w:tc>
          <w:tcPr>
            <w:tcW w:w="0" w:type="auto"/>
            <w:hideMark/>
          </w:tcPr>
          <w:p w14:paraId="1A21E308"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361</w:t>
            </w:r>
          </w:p>
        </w:tc>
        <w:tc>
          <w:tcPr>
            <w:tcW w:w="0" w:type="auto"/>
            <w:hideMark/>
          </w:tcPr>
          <w:p w14:paraId="210F6EC4"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540</w:t>
            </w:r>
          </w:p>
        </w:tc>
        <w:tc>
          <w:tcPr>
            <w:tcW w:w="0" w:type="auto"/>
            <w:hideMark/>
          </w:tcPr>
          <w:p w14:paraId="68192C45"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1,010</w:t>
            </w:r>
          </w:p>
        </w:tc>
        <w:tc>
          <w:tcPr>
            <w:tcW w:w="0" w:type="auto"/>
            <w:hideMark/>
          </w:tcPr>
          <w:p w14:paraId="28C42F74"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897</w:t>
            </w:r>
          </w:p>
        </w:tc>
        <w:tc>
          <w:tcPr>
            <w:tcW w:w="0" w:type="auto"/>
            <w:hideMark/>
          </w:tcPr>
          <w:p w14:paraId="095D4D8F"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1,074</w:t>
            </w:r>
          </w:p>
        </w:tc>
      </w:tr>
      <w:tr w:rsidR="00851F6E" w:rsidRPr="008778AA" w14:paraId="17BB2A20" w14:textId="77777777" w:rsidTr="00851F6E">
        <w:tc>
          <w:tcPr>
            <w:tcW w:w="0" w:type="auto"/>
            <w:hideMark/>
          </w:tcPr>
          <w:p w14:paraId="38720307"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Profit for the year</w:t>
            </w:r>
          </w:p>
        </w:tc>
        <w:tc>
          <w:tcPr>
            <w:tcW w:w="0" w:type="auto"/>
            <w:hideMark/>
          </w:tcPr>
          <w:p w14:paraId="08EAEAA7"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265</w:t>
            </w:r>
          </w:p>
        </w:tc>
        <w:tc>
          <w:tcPr>
            <w:tcW w:w="0" w:type="auto"/>
            <w:hideMark/>
          </w:tcPr>
          <w:p w14:paraId="3738CA9B"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376</w:t>
            </w:r>
          </w:p>
        </w:tc>
        <w:tc>
          <w:tcPr>
            <w:tcW w:w="0" w:type="auto"/>
            <w:hideMark/>
          </w:tcPr>
          <w:p w14:paraId="18C17028"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750</w:t>
            </w:r>
          </w:p>
        </w:tc>
        <w:tc>
          <w:tcPr>
            <w:tcW w:w="0" w:type="auto"/>
            <w:hideMark/>
          </w:tcPr>
          <w:p w14:paraId="4FF86BD2"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628</w:t>
            </w:r>
          </w:p>
        </w:tc>
        <w:tc>
          <w:tcPr>
            <w:tcW w:w="0" w:type="auto"/>
            <w:hideMark/>
          </w:tcPr>
          <w:p w14:paraId="084D4776"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759</w:t>
            </w:r>
          </w:p>
        </w:tc>
      </w:tr>
      <w:tr w:rsidR="00851F6E" w:rsidRPr="008778AA" w14:paraId="1A719A13" w14:textId="77777777" w:rsidTr="00851F6E">
        <w:tc>
          <w:tcPr>
            <w:tcW w:w="0" w:type="auto"/>
            <w:hideMark/>
          </w:tcPr>
          <w:p w14:paraId="024BC035"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Total current assets</w:t>
            </w:r>
          </w:p>
        </w:tc>
        <w:tc>
          <w:tcPr>
            <w:tcW w:w="0" w:type="auto"/>
            <w:hideMark/>
          </w:tcPr>
          <w:p w14:paraId="2F1955AC"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2,066</w:t>
            </w:r>
          </w:p>
        </w:tc>
        <w:tc>
          <w:tcPr>
            <w:tcW w:w="0" w:type="auto"/>
            <w:hideMark/>
          </w:tcPr>
          <w:p w14:paraId="79F86599"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1,678</w:t>
            </w:r>
          </w:p>
        </w:tc>
        <w:tc>
          <w:tcPr>
            <w:tcW w:w="0" w:type="auto"/>
            <w:hideMark/>
          </w:tcPr>
          <w:p w14:paraId="495EA5AD"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2,129</w:t>
            </w:r>
          </w:p>
        </w:tc>
        <w:tc>
          <w:tcPr>
            <w:tcW w:w="0" w:type="auto"/>
            <w:hideMark/>
          </w:tcPr>
          <w:p w14:paraId="4F06CADE"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1,869</w:t>
            </w:r>
          </w:p>
        </w:tc>
        <w:tc>
          <w:tcPr>
            <w:tcW w:w="0" w:type="auto"/>
            <w:hideMark/>
          </w:tcPr>
          <w:p w14:paraId="52A18B80"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2,049</w:t>
            </w:r>
          </w:p>
        </w:tc>
      </w:tr>
      <w:tr w:rsidR="00851F6E" w:rsidRPr="008778AA" w14:paraId="75D2FF64" w14:textId="77777777" w:rsidTr="00851F6E">
        <w:tc>
          <w:tcPr>
            <w:tcW w:w="0" w:type="auto"/>
            <w:hideMark/>
          </w:tcPr>
          <w:p w14:paraId="133085F3"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Total assets</w:t>
            </w:r>
          </w:p>
        </w:tc>
        <w:tc>
          <w:tcPr>
            <w:tcW w:w="0" w:type="auto"/>
            <w:hideMark/>
          </w:tcPr>
          <w:p w14:paraId="478F73D9"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4,716</w:t>
            </w:r>
          </w:p>
        </w:tc>
        <w:tc>
          <w:tcPr>
            <w:tcW w:w="0" w:type="auto"/>
            <w:hideMark/>
          </w:tcPr>
          <w:p w14:paraId="655C2AFD"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4,216</w:t>
            </w:r>
          </w:p>
        </w:tc>
        <w:tc>
          <w:tcPr>
            <w:tcW w:w="0" w:type="auto"/>
            <w:hideMark/>
          </w:tcPr>
          <w:p w14:paraId="1BEA1FFA"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4,813</w:t>
            </w:r>
          </w:p>
        </w:tc>
        <w:tc>
          <w:tcPr>
            <w:tcW w:w="0" w:type="auto"/>
            <w:hideMark/>
          </w:tcPr>
          <w:p w14:paraId="7FD97B27"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4,748</w:t>
            </w:r>
          </w:p>
        </w:tc>
        <w:tc>
          <w:tcPr>
            <w:tcW w:w="0" w:type="auto"/>
            <w:hideMark/>
          </w:tcPr>
          <w:p w14:paraId="5556965B"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5,345</w:t>
            </w:r>
          </w:p>
        </w:tc>
      </w:tr>
      <w:tr w:rsidR="00851F6E" w:rsidRPr="008778AA" w14:paraId="1124C97A" w14:textId="77777777" w:rsidTr="00851F6E">
        <w:tc>
          <w:tcPr>
            <w:tcW w:w="0" w:type="auto"/>
            <w:hideMark/>
          </w:tcPr>
          <w:p w14:paraId="3A9C9378"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Total current liabilities</w:t>
            </w:r>
          </w:p>
        </w:tc>
        <w:tc>
          <w:tcPr>
            <w:tcW w:w="0" w:type="auto"/>
            <w:hideMark/>
          </w:tcPr>
          <w:p w14:paraId="23D22B0D"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1,624</w:t>
            </w:r>
          </w:p>
        </w:tc>
        <w:tc>
          <w:tcPr>
            <w:tcW w:w="0" w:type="auto"/>
            <w:hideMark/>
          </w:tcPr>
          <w:p w14:paraId="50CA5E00"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1,544</w:t>
            </w:r>
          </w:p>
        </w:tc>
        <w:tc>
          <w:tcPr>
            <w:tcW w:w="0" w:type="auto"/>
            <w:hideMark/>
          </w:tcPr>
          <w:p w14:paraId="7E84FC64"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2,190</w:t>
            </w:r>
          </w:p>
        </w:tc>
        <w:tc>
          <w:tcPr>
            <w:tcW w:w="0" w:type="auto"/>
            <w:hideMark/>
          </w:tcPr>
          <w:p w14:paraId="4ED372BA"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1,928</w:t>
            </w:r>
          </w:p>
        </w:tc>
        <w:tc>
          <w:tcPr>
            <w:tcW w:w="0" w:type="auto"/>
            <w:hideMark/>
          </w:tcPr>
          <w:p w14:paraId="20E520B7"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2,100</w:t>
            </w:r>
          </w:p>
        </w:tc>
      </w:tr>
      <w:tr w:rsidR="00851F6E" w:rsidRPr="008778AA" w14:paraId="0D7750BE" w14:textId="77777777" w:rsidTr="00851F6E">
        <w:tc>
          <w:tcPr>
            <w:tcW w:w="0" w:type="auto"/>
            <w:hideMark/>
          </w:tcPr>
          <w:p w14:paraId="4B51FB40"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Total liabilities</w:t>
            </w:r>
          </w:p>
        </w:tc>
        <w:tc>
          <w:tcPr>
            <w:tcW w:w="0" w:type="auto"/>
            <w:hideMark/>
          </w:tcPr>
          <w:p w14:paraId="2320AD5A"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6,190</w:t>
            </w:r>
          </w:p>
        </w:tc>
        <w:tc>
          <w:tcPr>
            <w:tcW w:w="0" w:type="auto"/>
            <w:hideMark/>
          </w:tcPr>
          <w:p w14:paraId="37A72D23"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5,824</w:t>
            </w:r>
          </w:p>
        </w:tc>
        <w:tc>
          <w:tcPr>
            <w:tcW w:w="0" w:type="auto"/>
            <w:hideMark/>
          </w:tcPr>
          <w:p w14:paraId="237B7095"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6,759</w:t>
            </w:r>
          </w:p>
        </w:tc>
        <w:tc>
          <w:tcPr>
            <w:tcW w:w="0" w:type="auto"/>
            <w:hideMark/>
          </w:tcPr>
          <w:p w14:paraId="519AC7F0"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7,056</w:t>
            </w:r>
          </w:p>
        </w:tc>
        <w:tc>
          <w:tcPr>
            <w:tcW w:w="0" w:type="auto"/>
            <w:hideMark/>
          </w:tcPr>
          <w:p w14:paraId="39F52ACA"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8,081</w:t>
            </w:r>
          </w:p>
        </w:tc>
      </w:tr>
      <w:tr w:rsidR="00851F6E" w:rsidRPr="008778AA" w14:paraId="07C32301" w14:textId="77777777" w:rsidTr="00851F6E">
        <w:tc>
          <w:tcPr>
            <w:tcW w:w="0" w:type="auto"/>
            <w:hideMark/>
          </w:tcPr>
          <w:p w14:paraId="356135D5"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Net liabilities / total equity</w:t>
            </w:r>
          </w:p>
        </w:tc>
        <w:tc>
          <w:tcPr>
            <w:tcW w:w="0" w:type="auto"/>
            <w:hideMark/>
          </w:tcPr>
          <w:p w14:paraId="6D5AF7AE"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(1,474)</w:t>
            </w:r>
          </w:p>
        </w:tc>
        <w:tc>
          <w:tcPr>
            <w:tcW w:w="0" w:type="auto"/>
            <w:hideMark/>
          </w:tcPr>
          <w:p w14:paraId="55DCBD1B"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(1,608)</w:t>
            </w:r>
          </w:p>
        </w:tc>
        <w:tc>
          <w:tcPr>
            <w:tcW w:w="0" w:type="auto"/>
            <w:hideMark/>
          </w:tcPr>
          <w:p w14:paraId="104F880F"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(1,946)</w:t>
            </w:r>
          </w:p>
        </w:tc>
        <w:tc>
          <w:tcPr>
            <w:tcW w:w="0" w:type="auto"/>
            <w:hideMark/>
          </w:tcPr>
          <w:p w14:paraId="5623535B"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(2,308)</w:t>
            </w:r>
          </w:p>
        </w:tc>
        <w:tc>
          <w:tcPr>
            <w:tcW w:w="0" w:type="auto"/>
            <w:hideMark/>
          </w:tcPr>
          <w:p w14:paraId="2441B4D5"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(2,736)</w:t>
            </w:r>
          </w:p>
        </w:tc>
      </w:tr>
      <w:tr w:rsidR="00851F6E" w:rsidRPr="008778AA" w14:paraId="7495C661" w14:textId="77777777" w:rsidTr="00851F6E">
        <w:tc>
          <w:tcPr>
            <w:tcW w:w="0" w:type="auto"/>
            <w:hideMark/>
          </w:tcPr>
          <w:p w14:paraId="642285BF"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Net cash from operating activities</w:t>
            </w:r>
          </w:p>
        </w:tc>
        <w:tc>
          <w:tcPr>
            <w:tcW w:w="0" w:type="auto"/>
            <w:hideMark/>
          </w:tcPr>
          <w:p w14:paraId="1B71ECEC"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636</w:t>
            </w:r>
          </w:p>
        </w:tc>
        <w:tc>
          <w:tcPr>
            <w:tcW w:w="0" w:type="auto"/>
            <w:hideMark/>
          </w:tcPr>
          <w:p w14:paraId="7C9AC8DC"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646</w:t>
            </w:r>
          </w:p>
        </w:tc>
        <w:tc>
          <w:tcPr>
            <w:tcW w:w="0" w:type="auto"/>
            <w:hideMark/>
          </w:tcPr>
          <w:p w14:paraId="5918A9CA"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893</w:t>
            </w:r>
          </w:p>
        </w:tc>
        <w:tc>
          <w:tcPr>
            <w:tcW w:w="0" w:type="auto"/>
            <w:hideMark/>
          </w:tcPr>
          <w:p w14:paraId="22368C9E"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724</w:t>
            </w:r>
          </w:p>
        </w:tc>
        <w:tc>
          <w:tcPr>
            <w:tcW w:w="0" w:type="auto"/>
            <w:hideMark/>
          </w:tcPr>
          <w:p w14:paraId="21BD41E6"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898</w:t>
            </w:r>
          </w:p>
        </w:tc>
      </w:tr>
      <w:tr w:rsidR="00851F6E" w:rsidRPr="008778AA" w14:paraId="7B9B31C0" w14:textId="77777777" w:rsidTr="00851F6E">
        <w:tc>
          <w:tcPr>
            <w:tcW w:w="0" w:type="auto"/>
            <w:hideMark/>
          </w:tcPr>
          <w:p w14:paraId="30E86F6D"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Basic EPS, cents</w:t>
            </w:r>
          </w:p>
        </w:tc>
        <w:tc>
          <w:tcPr>
            <w:tcW w:w="0" w:type="auto"/>
            <w:hideMark/>
          </w:tcPr>
          <w:p w14:paraId="6007698F"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145.4</w:t>
            </w:r>
          </w:p>
        </w:tc>
        <w:tc>
          <w:tcPr>
            <w:tcW w:w="0" w:type="auto"/>
            <w:hideMark/>
          </w:tcPr>
          <w:p w14:paraId="17697F4C"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207.2</w:t>
            </w:r>
          </w:p>
        </w:tc>
        <w:tc>
          <w:tcPr>
            <w:tcW w:w="0" w:type="auto"/>
            <w:hideMark/>
          </w:tcPr>
          <w:p w14:paraId="4545531C"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443.8</w:t>
            </w:r>
          </w:p>
        </w:tc>
        <w:tc>
          <w:tcPr>
            <w:tcW w:w="0" w:type="auto"/>
            <w:hideMark/>
          </w:tcPr>
          <w:p w14:paraId="0F924479"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389.6</w:t>
            </w:r>
          </w:p>
        </w:tc>
        <w:tc>
          <w:tcPr>
            <w:tcW w:w="0" w:type="auto"/>
            <w:hideMark/>
          </w:tcPr>
          <w:p w14:paraId="79598DA0"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490.9</w:t>
            </w:r>
          </w:p>
        </w:tc>
      </w:tr>
      <w:tr w:rsidR="00851F6E" w:rsidRPr="008778AA" w14:paraId="16C8E321" w14:textId="77777777" w:rsidTr="00851F6E">
        <w:tc>
          <w:tcPr>
            <w:tcW w:w="0" w:type="auto"/>
            <w:hideMark/>
          </w:tcPr>
          <w:p w14:paraId="0BD0920F"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Total dividend per share, cents</w:t>
            </w:r>
          </w:p>
        </w:tc>
        <w:tc>
          <w:tcPr>
            <w:tcW w:w="0" w:type="auto"/>
            <w:hideMark/>
          </w:tcPr>
          <w:p w14:paraId="5B7FEDF0"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85.9</w:t>
            </w:r>
          </w:p>
        </w:tc>
        <w:tc>
          <w:tcPr>
            <w:tcW w:w="0" w:type="auto"/>
            <w:hideMark/>
          </w:tcPr>
          <w:p w14:paraId="55D7FBA2"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138.4</w:t>
            </w:r>
          </w:p>
        </w:tc>
        <w:tc>
          <w:tcPr>
            <w:tcW w:w="0" w:type="auto"/>
            <w:hideMark/>
          </w:tcPr>
          <w:p w14:paraId="59DD61D2"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152.3</w:t>
            </w:r>
          </w:p>
        </w:tc>
        <w:tc>
          <w:tcPr>
            <w:tcW w:w="0" w:type="auto"/>
            <w:hideMark/>
          </w:tcPr>
          <w:p w14:paraId="1CFEABAE"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167.6</w:t>
            </w:r>
          </w:p>
        </w:tc>
        <w:tc>
          <w:tcPr>
            <w:tcW w:w="0" w:type="auto"/>
            <w:hideMark/>
          </w:tcPr>
          <w:p w14:paraId="710CE562"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184.5</w:t>
            </w:r>
          </w:p>
        </w:tc>
      </w:tr>
      <w:tr w:rsidR="00851F6E" w:rsidRPr="008778AA" w14:paraId="27D9A13B" w14:textId="77777777" w:rsidTr="00851F6E">
        <w:tc>
          <w:tcPr>
            <w:tcW w:w="0" w:type="auto"/>
            <w:hideMark/>
          </w:tcPr>
          <w:p w14:paraId="33BE2CA6"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Share buyback completed</w:t>
            </w:r>
          </w:p>
        </w:tc>
        <w:tc>
          <w:tcPr>
            <w:tcW w:w="0" w:type="auto"/>
            <w:hideMark/>
          </w:tcPr>
          <w:p w14:paraId="21C3B6F8"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w:t>
            </w:r>
          </w:p>
        </w:tc>
        <w:tc>
          <w:tcPr>
            <w:tcW w:w="0" w:type="auto"/>
            <w:hideMark/>
          </w:tcPr>
          <w:p w14:paraId="6C4F19B0"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500</w:t>
            </w:r>
          </w:p>
        </w:tc>
        <w:tc>
          <w:tcPr>
            <w:tcW w:w="0" w:type="auto"/>
            <w:hideMark/>
          </w:tcPr>
          <w:p w14:paraId="31996DB9"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750</w:t>
            </w:r>
          </w:p>
        </w:tc>
        <w:tc>
          <w:tcPr>
            <w:tcW w:w="0" w:type="auto"/>
            <w:hideMark/>
          </w:tcPr>
          <w:p w14:paraId="6613248D"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800</w:t>
            </w:r>
          </w:p>
        </w:tc>
        <w:tc>
          <w:tcPr>
            <w:tcW w:w="0" w:type="auto"/>
            <w:hideMark/>
          </w:tcPr>
          <w:p w14:paraId="076E26F8"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900</w:t>
            </w:r>
          </w:p>
        </w:tc>
      </w:tr>
    </w:tbl>
    <w:p w14:paraId="630B238E" w14:textId="067BF603" w:rsidR="00851F6E" w:rsidRPr="008778AA" w:rsidRDefault="00851F6E" w:rsidP="008778AA">
      <w:pPr>
        <w:spacing w:line="360" w:lineRule="auto"/>
        <w:jc w:val="both"/>
        <w:rPr>
          <w:rFonts w:ascii="Times New Roman" w:hAnsi="Times New Roman" w:cs="Times New Roman"/>
          <w:b/>
          <w:bCs/>
        </w:rPr>
      </w:pPr>
    </w:p>
    <w:p w14:paraId="4ABB95A5" w14:textId="77777777" w:rsidR="003F3DB9" w:rsidRDefault="003F3DB9">
      <w:pPr>
        <w:rPr>
          <w:b/>
          <w:bCs/>
        </w:rPr>
      </w:pPr>
      <w:bookmarkStart w:id="70" w:name="_Toc233392979"/>
      <w:r>
        <w:rPr>
          <w:b/>
          <w:bCs/>
        </w:rPr>
        <w:br w:type="page"/>
      </w:r>
    </w:p>
    <w:p w14:paraId="40203436" w14:textId="44F37425" w:rsidR="00B34136" w:rsidRPr="003F3DB9" w:rsidRDefault="00AF3D07" w:rsidP="003F3DB9">
      <w:pPr>
        <w:rPr>
          <w:b/>
          <w:bCs/>
        </w:rPr>
      </w:pPr>
      <w:r w:rsidRPr="003F3DB9">
        <w:rPr>
          <w:b/>
          <w:bCs/>
        </w:rPr>
        <w:lastRenderedPageBreak/>
        <w:t>Appendix B: Ratio calculation Table</w:t>
      </w:r>
      <w:bookmarkEnd w:id="70"/>
    </w:p>
    <w:p w14:paraId="06F5B212" w14:textId="7EA5F7CB" w:rsidR="00851F6E" w:rsidRPr="008778AA" w:rsidRDefault="00AF3D07" w:rsidP="008778AA">
      <w:pPr>
        <w:spacing w:line="360" w:lineRule="auto"/>
        <w:jc w:val="both"/>
        <w:rPr>
          <w:rFonts w:ascii="Times New Roman" w:hAnsi="Times New Roman" w:cs="Times New Roman"/>
        </w:rPr>
      </w:pPr>
      <w:r w:rsidRPr="008778AA">
        <w:rPr>
          <w:rFonts w:ascii="Times New Roman" w:hAnsi="Times New Roman" w:cs="Times New Roman"/>
          <w:noProof/>
        </w:rPr>
        <w:drawing>
          <wp:inline distT="0" distB="0" distL="0" distR="0" wp14:anchorId="718BD3EC" wp14:editId="382EF7BD">
            <wp:extent cx="5429885" cy="4691270"/>
            <wp:effectExtent l="0" t="0" r="0" b="0"/>
            <wp:docPr id="2133626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626675" name=""/>
                    <pic:cNvPicPr/>
                  </pic:nvPicPr>
                  <pic:blipFill rotWithShape="1">
                    <a:blip r:embed="rId45"/>
                    <a:srcRect b="3815"/>
                    <a:stretch>
                      <a:fillRect/>
                    </a:stretch>
                  </pic:blipFill>
                  <pic:spPr bwMode="auto">
                    <a:xfrm>
                      <a:off x="0" y="0"/>
                      <a:ext cx="5430008" cy="4691376"/>
                    </a:xfrm>
                    <a:prstGeom prst="rect">
                      <a:avLst/>
                    </a:prstGeom>
                    <a:ln>
                      <a:noFill/>
                    </a:ln>
                    <a:extLst>
                      <a:ext uri="{53640926-AAD7-44D8-BBD7-CCE9431645EC}">
                        <a14:shadowObscured xmlns:a14="http://schemas.microsoft.com/office/drawing/2010/main"/>
                      </a:ext>
                    </a:extLst>
                  </pic:spPr>
                </pic:pic>
              </a:graphicData>
            </a:graphic>
          </wp:inline>
        </w:drawing>
      </w:r>
    </w:p>
    <w:p w14:paraId="7BC854CA" w14:textId="55BED8D6" w:rsidR="007B781F" w:rsidRPr="003F3DB9" w:rsidRDefault="005A6E39" w:rsidP="003F3DB9">
      <w:pPr>
        <w:rPr>
          <w:b/>
          <w:bCs/>
        </w:rPr>
      </w:pPr>
      <w:bookmarkStart w:id="71" w:name="_Toc233392980"/>
      <w:r w:rsidRPr="003F3DB9">
        <w:rPr>
          <w:b/>
          <w:bCs/>
        </w:rPr>
        <w:t>Appendix C: Ratio Charts and Financial Trend Figures</w:t>
      </w:r>
      <w:bookmarkEnd w:id="71"/>
    </w:p>
    <w:p w14:paraId="237C7435" w14:textId="3B81A386"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drawing>
          <wp:inline distT="0" distB="0" distL="0" distR="0" wp14:anchorId="776B151B" wp14:editId="03859F2E">
            <wp:extent cx="6239402" cy="1133224"/>
            <wp:effectExtent l="0" t="0" r="0" b="0"/>
            <wp:docPr id="1003529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529839" name=""/>
                    <pic:cNvPicPr/>
                  </pic:nvPicPr>
                  <pic:blipFill>
                    <a:blip r:embed="rId46"/>
                    <a:stretch>
                      <a:fillRect/>
                    </a:stretch>
                  </pic:blipFill>
                  <pic:spPr>
                    <a:xfrm>
                      <a:off x="0" y="0"/>
                      <a:ext cx="6288140" cy="1142076"/>
                    </a:xfrm>
                    <a:prstGeom prst="rect">
                      <a:avLst/>
                    </a:prstGeom>
                  </pic:spPr>
                </pic:pic>
              </a:graphicData>
            </a:graphic>
          </wp:inline>
        </w:drawing>
      </w:r>
    </w:p>
    <w:p w14:paraId="63E41F8F" w14:textId="26DB0E1B"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lastRenderedPageBreak/>
        <w:drawing>
          <wp:inline distT="0" distB="0" distL="0" distR="0" wp14:anchorId="3CB8F8A7" wp14:editId="1F27E627">
            <wp:extent cx="5305426" cy="3424238"/>
            <wp:effectExtent l="0" t="0" r="9525" b="5080"/>
            <wp:docPr id="1932857052" name="Chart 1">
              <a:extLst xmlns:a="http://schemas.openxmlformats.org/drawingml/2006/main">
                <a:ext uri="{FF2B5EF4-FFF2-40B4-BE49-F238E27FC236}">
                  <a16:creationId xmlns:a16="http://schemas.microsoft.com/office/drawing/2014/main" id="{C8045007-9940-DD5E-DBF1-1AE9D348C9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0D2D6616" w14:textId="4E407284"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drawing>
          <wp:inline distT="0" distB="0" distL="0" distR="0" wp14:anchorId="1976099F" wp14:editId="605BE02B">
            <wp:extent cx="5653088" cy="3443288"/>
            <wp:effectExtent l="0" t="0" r="5080" b="5080"/>
            <wp:docPr id="1107870257" name="Chart 1">
              <a:extLst xmlns:a="http://schemas.openxmlformats.org/drawingml/2006/main">
                <a:ext uri="{FF2B5EF4-FFF2-40B4-BE49-F238E27FC236}">
                  <a16:creationId xmlns:a16="http://schemas.microsoft.com/office/drawing/2014/main" id="{C7A5BB92-278A-96B2-823B-CF3768F32D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1EA79944" w14:textId="4423226A"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lastRenderedPageBreak/>
        <w:drawing>
          <wp:inline distT="0" distB="0" distL="0" distR="0" wp14:anchorId="12EC027E" wp14:editId="03286847">
            <wp:extent cx="5291138" cy="3081338"/>
            <wp:effectExtent l="0" t="0" r="5080" b="5080"/>
            <wp:docPr id="631312134" name="Chart 1">
              <a:extLst xmlns:a="http://schemas.openxmlformats.org/drawingml/2006/main">
                <a:ext uri="{FF2B5EF4-FFF2-40B4-BE49-F238E27FC236}">
                  <a16:creationId xmlns:a16="http://schemas.microsoft.com/office/drawing/2014/main" id="{31B03F68-6896-6FED-3C8D-CAE249A38B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59ED6652" w14:textId="11AE3136"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drawing>
          <wp:inline distT="0" distB="0" distL="0" distR="0" wp14:anchorId="62A29AA4" wp14:editId="13135DFF">
            <wp:extent cx="5653088" cy="2976563"/>
            <wp:effectExtent l="0" t="0" r="5080" b="14605"/>
            <wp:docPr id="1223271256" name="Chart 1">
              <a:extLst xmlns:a="http://schemas.openxmlformats.org/drawingml/2006/main">
                <a:ext uri="{FF2B5EF4-FFF2-40B4-BE49-F238E27FC236}">
                  <a16:creationId xmlns:a16="http://schemas.microsoft.com/office/drawing/2014/main" id="{C5148F2E-AE1E-8CFA-9EDF-C9147742BD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6F898C04" w14:textId="67D0F7A6"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lastRenderedPageBreak/>
        <w:drawing>
          <wp:inline distT="0" distB="0" distL="0" distR="0" wp14:anchorId="56B99A15" wp14:editId="2958FE5B">
            <wp:extent cx="5291138" cy="3119438"/>
            <wp:effectExtent l="0" t="0" r="5080" b="5080"/>
            <wp:docPr id="1500123139" name="Chart 1">
              <a:extLst xmlns:a="http://schemas.openxmlformats.org/drawingml/2006/main">
                <a:ext uri="{FF2B5EF4-FFF2-40B4-BE49-F238E27FC236}">
                  <a16:creationId xmlns:a16="http://schemas.microsoft.com/office/drawing/2014/main" id="{60D1CC75-805D-553F-C05C-EFD3C6929A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74D929D3" w14:textId="6F1C7686"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drawing>
          <wp:inline distT="0" distB="0" distL="0" distR="0" wp14:anchorId="31FBED7D" wp14:editId="28D2A329">
            <wp:extent cx="5672138" cy="3081338"/>
            <wp:effectExtent l="0" t="0" r="5080" b="5080"/>
            <wp:docPr id="1951655568" name="Chart 1">
              <a:extLst xmlns:a="http://schemas.openxmlformats.org/drawingml/2006/main">
                <a:ext uri="{FF2B5EF4-FFF2-40B4-BE49-F238E27FC236}">
                  <a16:creationId xmlns:a16="http://schemas.microsoft.com/office/drawing/2014/main" id="{8A764F8D-7A7F-6953-9FC5-C19622F6AA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32F8840E" w14:textId="77777777" w:rsidR="003F3DB9" w:rsidRDefault="003F3DB9">
      <w:pPr>
        <w:rPr>
          <w:b/>
          <w:bCs/>
        </w:rPr>
      </w:pPr>
      <w:bookmarkStart w:id="72" w:name="_Toc233392981"/>
      <w:r>
        <w:rPr>
          <w:b/>
          <w:bCs/>
        </w:rPr>
        <w:br w:type="page"/>
      </w:r>
    </w:p>
    <w:p w14:paraId="03C01B58" w14:textId="5F0A8E0D" w:rsidR="005A6E39" w:rsidRPr="003F3DB9" w:rsidRDefault="005A6E39" w:rsidP="003F3DB9">
      <w:pPr>
        <w:rPr>
          <w:b/>
          <w:bCs/>
        </w:rPr>
      </w:pPr>
      <w:r w:rsidRPr="003F3DB9">
        <w:rPr>
          <w:b/>
          <w:bCs/>
        </w:rPr>
        <w:lastRenderedPageBreak/>
        <w:t xml:space="preserve">Appendix </w:t>
      </w:r>
      <w:r w:rsidR="00B34136" w:rsidRPr="003F3DB9">
        <w:rPr>
          <w:b/>
          <w:bCs/>
        </w:rPr>
        <w:t>D</w:t>
      </w:r>
      <w:r w:rsidRPr="003F3DB9">
        <w:rPr>
          <w:b/>
          <w:bCs/>
        </w:rPr>
        <w:t>: Investment Appraisal Calculations</w:t>
      </w:r>
      <w:bookmarkEnd w:id="72"/>
    </w:p>
    <w:p w14:paraId="35365AFC" w14:textId="70267CBA"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drawing>
          <wp:inline distT="0" distB="0" distL="0" distR="0" wp14:anchorId="0F8BDD64" wp14:editId="438D4CA4">
            <wp:extent cx="5943600" cy="3545205"/>
            <wp:effectExtent l="0" t="0" r="0" b="0"/>
            <wp:docPr id="2072476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476416" name=""/>
                    <pic:cNvPicPr/>
                  </pic:nvPicPr>
                  <pic:blipFill>
                    <a:blip r:embed="rId53"/>
                    <a:stretch>
                      <a:fillRect/>
                    </a:stretch>
                  </pic:blipFill>
                  <pic:spPr>
                    <a:xfrm>
                      <a:off x="0" y="0"/>
                      <a:ext cx="5943600" cy="3545205"/>
                    </a:xfrm>
                    <a:prstGeom prst="rect">
                      <a:avLst/>
                    </a:prstGeom>
                  </pic:spPr>
                </pic:pic>
              </a:graphicData>
            </a:graphic>
          </wp:inline>
        </w:drawing>
      </w:r>
    </w:p>
    <w:p w14:paraId="167FAD92" w14:textId="73A8BE9D"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drawing>
          <wp:inline distT="0" distB="0" distL="0" distR="0" wp14:anchorId="2BA57C01" wp14:editId="06930CA8">
            <wp:extent cx="4667901" cy="2781688"/>
            <wp:effectExtent l="0" t="0" r="0" b="0"/>
            <wp:docPr id="1683453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453844" name=""/>
                    <pic:cNvPicPr/>
                  </pic:nvPicPr>
                  <pic:blipFill>
                    <a:blip r:embed="rId54"/>
                    <a:stretch>
                      <a:fillRect/>
                    </a:stretch>
                  </pic:blipFill>
                  <pic:spPr>
                    <a:xfrm>
                      <a:off x="0" y="0"/>
                      <a:ext cx="4667901" cy="2781688"/>
                    </a:xfrm>
                    <a:prstGeom prst="rect">
                      <a:avLst/>
                    </a:prstGeom>
                  </pic:spPr>
                </pic:pic>
              </a:graphicData>
            </a:graphic>
          </wp:inline>
        </w:drawing>
      </w:r>
    </w:p>
    <w:p w14:paraId="78A204AF" w14:textId="77777777" w:rsidR="003F3DB9" w:rsidRDefault="003F3DB9">
      <w:pPr>
        <w:rPr>
          <w:b/>
          <w:bCs/>
        </w:rPr>
      </w:pPr>
      <w:bookmarkStart w:id="73" w:name="_Toc233392982"/>
      <w:r>
        <w:rPr>
          <w:b/>
          <w:bCs/>
        </w:rPr>
        <w:br w:type="page"/>
      </w:r>
    </w:p>
    <w:p w14:paraId="43BE010C" w14:textId="552146B2" w:rsidR="005A6E39" w:rsidRPr="003F3DB9" w:rsidRDefault="005A6E39" w:rsidP="003F3DB9">
      <w:pPr>
        <w:rPr>
          <w:b/>
          <w:bCs/>
        </w:rPr>
      </w:pPr>
      <w:r w:rsidRPr="003F3DB9">
        <w:rPr>
          <w:b/>
          <w:bCs/>
        </w:rPr>
        <w:lastRenderedPageBreak/>
        <w:t>Appendix E: Capital Rationing Calculations</w:t>
      </w:r>
      <w:bookmarkEnd w:id="73"/>
    </w:p>
    <w:p w14:paraId="73973F41" w14:textId="72DD89E8"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drawing>
          <wp:inline distT="0" distB="0" distL="0" distR="0" wp14:anchorId="38008F2E" wp14:editId="0E19E0EF">
            <wp:extent cx="5943600" cy="3513455"/>
            <wp:effectExtent l="0" t="0" r="0" b="0"/>
            <wp:docPr id="284042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042094" name=""/>
                    <pic:cNvPicPr/>
                  </pic:nvPicPr>
                  <pic:blipFill>
                    <a:blip r:embed="rId55"/>
                    <a:stretch>
                      <a:fillRect/>
                    </a:stretch>
                  </pic:blipFill>
                  <pic:spPr>
                    <a:xfrm>
                      <a:off x="0" y="0"/>
                      <a:ext cx="5943600" cy="3513455"/>
                    </a:xfrm>
                    <a:prstGeom prst="rect">
                      <a:avLst/>
                    </a:prstGeom>
                  </pic:spPr>
                </pic:pic>
              </a:graphicData>
            </a:graphic>
          </wp:inline>
        </w:drawing>
      </w:r>
    </w:p>
    <w:p w14:paraId="08730D2E" w14:textId="77777777" w:rsidR="005A6E39" w:rsidRPr="008778AA" w:rsidRDefault="005A6E39" w:rsidP="008778AA">
      <w:pPr>
        <w:spacing w:line="360" w:lineRule="auto"/>
        <w:jc w:val="both"/>
        <w:rPr>
          <w:rFonts w:ascii="Times New Roman" w:hAnsi="Times New Roman" w:cs="Times New Roman"/>
        </w:rPr>
      </w:pPr>
    </w:p>
    <w:sectPr w:rsidR="005A6E39" w:rsidRPr="008778AA" w:rsidSect="00AF2BDF">
      <w:footerReference w:type="default" r:id="rId5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36D862" w14:textId="77777777" w:rsidR="00AC7A3E" w:rsidRDefault="00AC7A3E" w:rsidP="009B4AC9">
      <w:pPr>
        <w:spacing w:after="0" w:line="240" w:lineRule="auto"/>
      </w:pPr>
      <w:r>
        <w:separator/>
      </w:r>
    </w:p>
  </w:endnote>
  <w:endnote w:type="continuationSeparator" w:id="0">
    <w:p w14:paraId="30563EC7" w14:textId="77777777" w:rsidR="00AC7A3E" w:rsidRDefault="00AC7A3E" w:rsidP="009B4A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0008FB" w14:textId="2B095C8E" w:rsidR="00E66DDB" w:rsidRDefault="00E66DDB">
    <w:pPr>
      <w:pStyle w:val="Footer"/>
      <w:jc w:val="right"/>
    </w:pPr>
  </w:p>
  <w:p w14:paraId="0446E001" w14:textId="77777777" w:rsidR="00AF2BDF" w:rsidRDefault="00AF2B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D557FD" w14:textId="74BFB638" w:rsidR="00E66DDB" w:rsidRDefault="00E66DDB">
    <w:pPr>
      <w:pStyle w:val="Footer"/>
      <w:jc w:val="right"/>
    </w:pPr>
  </w:p>
  <w:p w14:paraId="7A9D43EC" w14:textId="77777777" w:rsidR="00E66DDB" w:rsidRDefault="00E66D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9017496"/>
      <w:docPartObj>
        <w:docPartGallery w:val="Page Numbers (Bottom of Page)"/>
        <w:docPartUnique/>
      </w:docPartObj>
    </w:sdtPr>
    <w:sdtEndPr>
      <w:rPr>
        <w:noProof/>
      </w:rPr>
    </w:sdtEndPr>
    <w:sdtContent>
      <w:p w14:paraId="63E8CE39" w14:textId="77777777" w:rsidR="00AF2BDF" w:rsidRDefault="00AF2B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3C59A3" w14:textId="77777777" w:rsidR="00AF2BDF" w:rsidRDefault="00AF2B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2EB922" w14:textId="77777777" w:rsidR="00AC7A3E" w:rsidRDefault="00AC7A3E" w:rsidP="009B4AC9">
      <w:pPr>
        <w:spacing w:after="0" w:line="240" w:lineRule="auto"/>
      </w:pPr>
      <w:r>
        <w:separator/>
      </w:r>
    </w:p>
  </w:footnote>
  <w:footnote w:type="continuationSeparator" w:id="0">
    <w:p w14:paraId="22F13BB8" w14:textId="77777777" w:rsidR="00AC7A3E" w:rsidRDefault="00AC7A3E" w:rsidP="009B4A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B7117"/>
    <w:multiLevelType w:val="multilevel"/>
    <w:tmpl w:val="B960424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A137822"/>
    <w:multiLevelType w:val="hybridMultilevel"/>
    <w:tmpl w:val="8EA2770A"/>
    <w:lvl w:ilvl="0" w:tplc="3EC8E52C">
      <w:start w:val="6"/>
      <w:numFmt w:val="decimal"/>
      <w:pStyle w:val="Heading1"/>
      <w:lvlText w:val="%1."/>
      <w:lvlJc w:val="left"/>
      <w:pPr>
        <w:ind w:left="1080" w:hanging="360"/>
      </w:pPr>
      <w:rPr>
        <w:rFonts w:eastAsiaTheme="minorHAnsi" w:hint="default"/>
        <w:b w:val="0"/>
        <w:color w:val="auto"/>
        <w:sz w:val="24"/>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D661BA5"/>
    <w:multiLevelType w:val="multilevel"/>
    <w:tmpl w:val="B960424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22891896"/>
    <w:multiLevelType w:val="multilevel"/>
    <w:tmpl w:val="B960424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343474CD"/>
    <w:multiLevelType w:val="hybridMultilevel"/>
    <w:tmpl w:val="095EC7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BBE1C43"/>
    <w:multiLevelType w:val="multilevel"/>
    <w:tmpl w:val="B960424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3C554B2B"/>
    <w:multiLevelType w:val="hybridMultilevel"/>
    <w:tmpl w:val="5A4C76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5DD49B8"/>
    <w:multiLevelType w:val="multilevel"/>
    <w:tmpl w:val="DD849998"/>
    <w:styleLink w:val="CurrentList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59501FB0"/>
    <w:multiLevelType w:val="hybridMultilevel"/>
    <w:tmpl w:val="14EC07DE"/>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B782F47"/>
    <w:multiLevelType w:val="multilevel"/>
    <w:tmpl w:val="B960424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7F721123"/>
    <w:multiLevelType w:val="multilevel"/>
    <w:tmpl w:val="B960424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1460412847">
    <w:abstractNumId w:val="10"/>
  </w:num>
  <w:num w:numId="2" w16cid:durableId="1493791722">
    <w:abstractNumId w:val="3"/>
  </w:num>
  <w:num w:numId="3" w16cid:durableId="1823698391">
    <w:abstractNumId w:val="0"/>
  </w:num>
  <w:num w:numId="4" w16cid:durableId="1401247578">
    <w:abstractNumId w:val="9"/>
  </w:num>
  <w:num w:numId="5" w16cid:durableId="51855475">
    <w:abstractNumId w:val="5"/>
  </w:num>
  <w:num w:numId="6" w16cid:durableId="66542405">
    <w:abstractNumId w:val="2"/>
  </w:num>
  <w:num w:numId="7" w16cid:durableId="2002193708">
    <w:abstractNumId w:val="4"/>
  </w:num>
  <w:num w:numId="8" w16cid:durableId="774249464">
    <w:abstractNumId w:val="6"/>
  </w:num>
  <w:num w:numId="9" w16cid:durableId="606814838">
    <w:abstractNumId w:val="8"/>
  </w:num>
  <w:num w:numId="10" w16cid:durableId="1315064074">
    <w:abstractNumId w:val="7"/>
  </w:num>
  <w:num w:numId="11" w16cid:durableId="10469496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81F"/>
    <w:rsid w:val="00011E8A"/>
    <w:rsid w:val="000A14F3"/>
    <w:rsid w:val="000D410D"/>
    <w:rsid w:val="001034F6"/>
    <w:rsid w:val="0016378B"/>
    <w:rsid w:val="00182BC3"/>
    <w:rsid w:val="001B10C8"/>
    <w:rsid w:val="001E4B73"/>
    <w:rsid w:val="0029177B"/>
    <w:rsid w:val="00342F87"/>
    <w:rsid w:val="00344C61"/>
    <w:rsid w:val="003515F4"/>
    <w:rsid w:val="003651D4"/>
    <w:rsid w:val="003F3DB9"/>
    <w:rsid w:val="00411F36"/>
    <w:rsid w:val="005A6E39"/>
    <w:rsid w:val="005B748B"/>
    <w:rsid w:val="005F5A27"/>
    <w:rsid w:val="00622A00"/>
    <w:rsid w:val="00634562"/>
    <w:rsid w:val="006E5717"/>
    <w:rsid w:val="00754B49"/>
    <w:rsid w:val="007636AA"/>
    <w:rsid w:val="007B781F"/>
    <w:rsid w:val="00851F6E"/>
    <w:rsid w:val="008778AA"/>
    <w:rsid w:val="00892988"/>
    <w:rsid w:val="008C26EC"/>
    <w:rsid w:val="00926236"/>
    <w:rsid w:val="009B4AC9"/>
    <w:rsid w:val="009C63C4"/>
    <w:rsid w:val="009C7F74"/>
    <w:rsid w:val="00A36DF8"/>
    <w:rsid w:val="00A45502"/>
    <w:rsid w:val="00A5335F"/>
    <w:rsid w:val="00A56E79"/>
    <w:rsid w:val="00A80675"/>
    <w:rsid w:val="00A84841"/>
    <w:rsid w:val="00AB2629"/>
    <w:rsid w:val="00AC7A3E"/>
    <w:rsid w:val="00AF2BDF"/>
    <w:rsid w:val="00AF3D07"/>
    <w:rsid w:val="00B04DD5"/>
    <w:rsid w:val="00B34136"/>
    <w:rsid w:val="00B82405"/>
    <w:rsid w:val="00CE5697"/>
    <w:rsid w:val="00D00CFF"/>
    <w:rsid w:val="00D77976"/>
    <w:rsid w:val="00D96F59"/>
    <w:rsid w:val="00E66DDB"/>
    <w:rsid w:val="00F04AD1"/>
    <w:rsid w:val="00F27A9C"/>
    <w:rsid w:val="00F312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F750A7"/>
  <w15:chartTrackingRefBased/>
  <w15:docId w15:val="{3FAF4AE4-6CCA-4E04-94CF-C2BDCCB5D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6DDB"/>
    <w:pPr>
      <w:keepNext/>
      <w:keepLines/>
      <w:numPr>
        <w:numId w:val="11"/>
      </w:numPr>
      <w:spacing w:before="360" w:after="80" w:line="360" w:lineRule="auto"/>
      <w:jc w:val="both"/>
      <w:outlineLvl w:val="0"/>
    </w:pPr>
    <w:rPr>
      <w:rFonts w:ascii="Times New Roman" w:eastAsiaTheme="majorEastAsia" w:hAnsi="Times New Roman" w:cs="Times New Roman"/>
      <w:b/>
      <w:color w:val="2F5496" w:themeColor="accent1" w:themeShade="BF"/>
      <w:sz w:val="32"/>
      <w:szCs w:val="40"/>
    </w:rPr>
  </w:style>
  <w:style w:type="paragraph" w:styleId="Heading2">
    <w:name w:val="heading 2"/>
    <w:basedOn w:val="Normal"/>
    <w:next w:val="Normal"/>
    <w:link w:val="Heading2Char"/>
    <w:autoRedefine/>
    <w:uiPriority w:val="9"/>
    <w:unhideWhenUsed/>
    <w:qFormat/>
    <w:rsid w:val="003F3DB9"/>
    <w:pPr>
      <w:keepNext/>
      <w:keepLines/>
      <w:spacing w:before="160" w:after="80"/>
      <w:outlineLvl w:val="1"/>
    </w:pPr>
    <w:rPr>
      <w:rFonts w:asciiTheme="majorHAnsi" w:eastAsiaTheme="majorEastAsia" w:hAnsiTheme="majorHAnsi" w:cstheme="majorBidi"/>
      <w:b/>
      <w:color w:val="2F5496" w:themeColor="accent1" w:themeShade="BF"/>
      <w:sz w:val="28"/>
      <w:szCs w:val="32"/>
    </w:rPr>
  </w:style>
  <w:style w:type="paragraph" w:styleId="Heading3">
    <w:name w:val="heading 3"/>
    <w:basedOn w:val="Normal"/>
    <w:next w:val="Normal"/>
    <w:link w:val="Heading3Char"/>
    <w:uiPriority w:val="9"/>
    <w:unhideWhenUsed/>
    <w:qFormat/>
    <w:rsid w:val="007B781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B781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B781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B78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78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78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78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DDB"/>
    <w:rPr>
      <w:rFonts w:ascii="Times New Roman" w:eastAsiaTheme="majorEastAsia" w:hAnsi="Times New Roman" w:cs="Times New Roman"/>
      <w:b/>
      <w:color w:val="2F5496" w:themeColor="accent1" w:themeShade="BF"/>
      <w:sz w:val="32"/>
      <w:szCs w:val="40"/>
    </w:rPr>
  </w:style>
  <w:style w:type="character" w:customStyle="1" w:styleId="Heading2Char">
    <w:name w:val="Heading 2 Char"/>
    <w:basedOn w:val="DefaultParagraphFont"/>
    <w:link w:val="Heading2"/>
    <w:uiPriority w:val="9"/>
    <w:rsid w:val="003F3DB9"/>
    <w:rPr>
      <w:rFonts w:asciiTheme="majorHAnsi" w:eastAsiaTheme="majorEastAsia" w:hAnsiTheme="majorHAnsi" w:cstheme="majorBidi"/>
      <w:b/>
      <w:color w:val="2F5496" w:themeColor="accent1" w:themeShade="BF"/>
      <w:sz w:val="28"/>
      <w:szCs w:val="32"/>
    </w:rPr>
  </w:style>
  <w:style w:type="character" w:customStyle="1" w:styleId="Heading3Char">
    <w:name w:val="Heading 3 Char"/>
    <w:basedOn w:val="DefaultParagraphFont"/>
    <w:link w:val="Heading3"/>
    <w:uiPriority w:val="9"/>
    <w:rsid w:val="007B781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B781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B781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B78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78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78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781F"/>
    <w:rPr>
      <w:rFonts w:eastAsiaTheme="majorEastAsia" w:cstheme="majorBidi"/>
      <w:color w:val="272727" w:themeColor="text1" w:themeTint="D8"/>
    </w:rPr>
  </w:style>
  <w:style w:type="paragraph" w:styleId="Title">
    <w:name w:val="Title"/>
    <w:basedOn w:val="Normal"/>
    <w:next w:val="Normal"/>
    <w:link w:val="TitleChar"/>
    <w:uiPriority w:val="10"/>
    <w:qFormat/>
    <w:rsid w:val="007B78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78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78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78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781F"/>
    <w:pPr>
      <w:spacing w:before="160"/>
      <w:jc w:val="center"/>
    </w:pPr>
    <w:rPr>
      <w:i/>
      <w:iCs/>
      <w:color w:val="404040" w:themeColor="text1" w:themeTint="BF"/>
    </w:rPr>
  </w:style>
  <w:style w:type="character" w:customStyle="1" w:styleId="QuoteChar">
    <w:name w:val="Quote Char"/>
    <w:basedOn w:val="DefaultParagraphFont"/>
    <w:link w:val="Quote"/>
    <w:uiPriority w:val="29"/>
    <w:rsid w:val="007B781F"/>
    <w:rPr>
      <w:i/>
      <w:iCs/>
      <w:color w:val="404040" w:themeColor="text1" w:themeTint="BF"/>
    </w:rPr>
  </w:style>
  <w:style w:type="paragraph" w:styleId="ListParagraph">
    <w:name w:val="List Paragraph"/>
    <w:basedOn w:val="Normal"/>
    <w:uiPriority w:val="34"/>
    <w:qFormat/>
    <w:rsid w:val="007B781F"/>
    <w:pPr>
      <w:ind w:left="720"/>
      <w:contextualSpacing/>
    </w:pPr>
  </w:style>
  <w:style w:type="character" w:styleId="IntenseEmphasis">
    <w:name w:val="Intense Emphasis"/>
    <w:basedOn w:val="DefaultParagraphFont"/>
    <w:uiPriority w:val="21"/>
    <w:qFormat/>
    <w:rsid w:val="007B781F"/>
    <w:rPr>
      <w:i/>
      <w:iCs/>
      <w:color w:val="2F5496" w:themeColor="accent1" w:themeShade="BF"/>
    </w:rPr>
  </w:style>
  <w:style w:type="paragraph" w:styleId="IntenseQuote">
    <w:name w:val="Intense Quote"/>
    <w:basedOn w:val="Normal"/>
    <w:next w:val="Normal"/>
    <w:link w:val="IntenseQuoteChar"/>
    <w:uiPriority w:val="30"/>
    <w:qFormat/>
    <w:rsid w:val="007B781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B781F"/>
    <w:rPr>
      <w:i/>
      <w:iCs/>
      <w:color w:val="2F5496" w:themeColor="accent1" w:themeShade="BF"/>
    </w:rPr>
  </w:style>
  <w:style w:type="character" w:styleId="IntenseReference">
    <w:name w:val="Intense Reference"/>
    <w:basedOn w:val="DefaultParagraphFont"/>
    <w:uiPriority w:val="32"/>
    <w:qFormat/>
    <w:rsid w:val="007B781F"/>
    <w:rPr>
      <w:b/>
      <w:bCs/>
      <w:smallCaps/>
      <w:color w:val="2F5496" w:themeColor="accent1" w:themeShade="BF"/>
      <w:spacing w:val="5"/>
    </w:rPr>
  </w:style>
  <w:style w:type="table" w:styleId="TableGrid">
    <w:name w:val="Table Grid"/>
    <w:basedOn w:val="TableNormal"/>
    <w:uiPriority w:val="39"/>
    <w:rsid w:val="00B824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6378B"/>
    <w:pPr>
      <w:spacing w:after="200" w:line="240" w:lineRule="auto"/>
    </w:pPr>
    <w:rPr>
      <w:i/>
      <w:iCs/>
      <w:color w:val="44546A" w:themeColor="text2"/>
      <w:sz w:val="18"/>
      <w:szCs w:val="18"/>
    </w:rPr>
  </w:style>
  <w:style w:type="character" w:styleId="Hyperlink">
    <w:name w:val="Hyperlink"/>
    <w:basedOn w:val="DefaultParagraphFont"/>
    <w:uiPriority w:val="99"/>
    <w:unhideWhenUsed/>
    <w:rsid w:val="009B4AC9"/>
    <w:rPr>
      <w:color w:val="0563C1" w:themeColor="hyperlink"/>
      <w:u w:val="single"/>
    </w:rPr>
  </w:style>
  <w:style w:type="character" w:styleId="UnresolvedMention">
    <w:name w:val="Unresolved Mention"/>
    <w:basedOn w:val="DefaultParagraphFont"/>
    <w:uiPriority w:val="99"/>
    <w:semiHidden/>
    <w:unhideWhenUsed/>
    <w:rsid w:val="009B4AC9"/>
    <w:rPr>
      <w:color w:val="605E5C"/>
      <w:shd w:val="clear" w:color="auto" w:fill="E1DFDD"/>
    </w:rPr>
  </w:style>
  <w:style w:type="paragraph" w:styleId="FootnoteText">
    <w:name w:val="footnote text"/>
    <w:basedOn w:val="Normal"/>
    <w:link w:val="FootnoteTextChar"/>
    <w:uiPriority w:val="99"/>
    <w:semiHidden/>
    <w:unhideWhenUsed/>
    <w:rsid w:val="009B4AC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B4AC9"/>
    <w:rPr>
      <w:sz w:val="20"/>
      <w:szCs w:val="20"/>
    </w:rPr>
  </w:style>
  <w:style w:type="character" w:styleId="FootnoteReference">
    <w:name w:val="footnote reference"/>
    <w:basedOn w:val="DefaultParagraphFont"/>
    <w:uiPriority w:val="99"/>
    <w:semiHidden/>
    <w:unhideWhenUsed/>
    <w:rsid w:val="009B4AC9"/>
    <w:rPr>
      <w:vertAlign w:val="superscript"/>
    </w:rPr>
  </w:style>
  <w:style w:type="paragraph" w:styleId="TOCHeading">
    <w:name w:val="TOC Heading"/>
    <w:basedOn w:val="Heading1"/>
    <w:next w:val="Normal"/>
    <w:uiPriority w:val="39"/>
    <w:unhideWhenUsed/>
    <w:qFormat/>
    <w:rsid w:val="00B34136"/>
    <w:pPr>
      <w:spacing w:before="240" w:after="0" w:line="259" w:lineRule="auto"/>
      <w:outlineLvl w:val="9"/>
    </w:pPr>
    <w:rPr>
      <w:kern w:val="0"/>
      <w:szCs w:val="32"/>
      <w14:ligatures w14:val="none"/>
    </w:rPr>
  </w:style>
  <w:style w:type="paragraph" w:styleId="TOC1">
    <w:name w:val="toc 1"/>
    <w:basedOn w:val="Normal"/>
    <w:next w:val="Normal"/>
    <w:autoRedefine/>
    <w:uiPriority w:val="39"/>
    <w:unhideWhenUsed/>
    <w:rsid w:val="00AF2BDF"/>
    <w:pPr>
      <w:tabs>
        <w:tab w:val="left" w:pos="480"/>
        <w:tab w:val="right" w:leader="dot" w:pos="9350"/>
      </w:tabs>
      <w:spacing w:after="100" w:line="360" w:lineRule="auto"/>
      <w:jc w:val="both"/>
    </w:pPr>
    <w:rPr>
      <w:rFonts w:ascii="Times New Roman" w:hAnsi="Times New Roman" w:cs="Times New Roman"/>
      <w:b/>
      <w:bCs/>
      <w:noProof/>
    </w:rPr>
  </w:style>
  <w:style w:type="paragraph" w:styleId="TOC2">
    <w:name w:val="toc 2"/>
    <w:basedOn w:val="Normal"/>
    <w:next w:val="Normal"/>
    <w:autoRedefine/>
    <w:uiPriority w:val="39"/>
    <w:unhideWhenUsed/>
    <w:rsid w:val="00B34136"/>
    <w:pPr>
      <w:spacing w:after="100"/>
      <w:ind w:left="240"/>
    </w:pPr>
  </w:style>
  <w:style w:type="character" w:styleId="FollowedHyperlink">
    <w:name w:val="FollowedHyperlink"/>
    <w:basedOn w:val="DefaultParagraphFont"/>
    <w:uiPriority w:val="99"/>
    <w:semiHidden/>
    <w:unhideWhenUsed/>
    <w:rsid w:val="00A45502"/>
    <w:rPr>
      <w:color w:val="954F72" w:themeColor="followedHyperlink"/>
      <w:u w:val="single"/>
    </w:rPr>
  </w:style>
  <w:style w:type="paragraph" w:styleId="NoSpacing">
    <w:name w:val="No Spacing"/>
    <w:uiPriority w:val="1"/>
    <w:qFormat/>
    <w:rsid w:val="00D77976"/>
    <w:pPr>
      <w:spacing w:after="0" w:line="240" w:lineRule="auto"/>
    </w:pPr>
  </w:style>
  <w:style w:type="numbering" w:customStyle="1" w:styleId="CurrentList1">
    <w:name w:val="Current List1"/>
    <w:uiPriority w:val="99"/>
    <w:rsid w:val="00AF2BDF"/>
    <w:pPr>
      <w:numPr>
        <w:numId w:val="10"/>
      </w:numPr>
    </w:pPr>
  </w:style>
  <w:style w:type="paragraph" w:styleId="Header">
    <w:name w:val="header"/>
    <w:basedOn w:val="Normal"/>
    <w:link w:val="HeaderChar"/>
    <w:uiPriority w:val="99"/>
    <w:unhideWhenUsed/>
    <w:rsid w:val="00AF2B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2BDF"/>
  </w:style>
  <w:style w:type="paragraph" w:styleId="Footer">
    <w:name w:val="footer"/>
    <w:basedOn w:val="Normal"/>
    <w:link w:val="FooterChar"/>
    <w:uiPriority w:val="99"/>
    <w:unhideWhenUsed/>
    <w:rsid w:val="00AF2B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2B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hyperlink" Target="https://www.researchgate.net/publication/355169612_Financial_Analysis_of_InterContinental_Hotels_Group" TargetMode="External"/><Relationship Id="rId26" Type="http://schemas.openxmlformats.org/officeDocument/2006/relationships/hyperlink" Target="https://www.ihgplc.com/~/media/Files/I/Ihg-Plc/investors/annual-report/2024/cfo-review-performance_p81108.pdf" TargetMode="External"/><Relationship Id="rId39" Type="http://schemas.openxmlformats.org/officeDocument/2006/relationships/hyperlink" Target="https://www.researchgate.net/publication/342190090_Impact_of_inflation_rate_on_construction_projects_budget_A_review" TargetMode="External"/><Relationship Id="rId21" Type="http://schemas.openxmlformats.org/officeDocument/2006/relationships/hyperlink" Target="https://www.researchgate.net/publication/383179365_Which_ESG_dimensions_matter_in_the_hotel_industry_Evidence_from_the_cost_of_debt" TargetMode="External"/><Relationship Id="rId34" Type="http://schemas.openxmlformats.org/officeDocument/2006/relationships/hyperlink" Target="https://www.fe.training/free-resources/accounting/the-balance-sheet-assets-accounts-receivable-net/" TargetMode="External"/><Relationship Id="rId42" Type="http://schemas.openxmlformats.org/officeDocument/2006/relationships/hyperlink" Target="https://aemps.ewapub.com/article/view/16162" TargetMode="External"/><Relationship Id="rId47" Type="http://schemas.openxmlformats.org/officeDocument/2006/relationships/chart" Target="charts/chart4.xml"/><Relationship Id="rId50" Type="http://schemas.openxmlformats.org/officeDocument/2006/relationships/chart" Target="charts/chart7.xml"/><Relationship Id="rId55"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hyperlink" Target="https://www.researchgate.net/publication/377586056_Impact_of_profitability_on_investment_opportunities_and_its_effect_on_profit_sustainability" TargetMode="External"/><Relationship Id="rId25" Type="http://schemas.openxmlformats.org/officeDocument/2006/relationships/hyperlink" Target="https://www.ihgplc.com/~/media/Files/I/Ihg-Plc/investors/annual-report/2023/annual-report-2023.pdf" TargetMode="External"/><Relationship Id="rId33" Type="http://schemas.openxmlformats.org/officeDocument/2006/relationships/hyperlink" Target="https://www.ctvnews.ca/business/article/christopher-liew-thinking-of-refinancing-your-debt-the-benefits-drawbacks-and-credit-impact/" TargetMode="External"/><Relationship Id="rId38" Type="http://schemas.openxmlformats.org/officeDocument/2006/relationships/hyperlink" Target="https://www.researchgate.net/publication/387570774_DIVIDEND_POLICY_TO_IMPROVE_FIRM_VALUE_FINANCIAL_SUSTAINABILITY_MODERATING_VARIABLE" TargetMode="External"/><Relationship Id="rId46"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www.researchgate.net/publication/378004593_Poor_Working_Capital_Management_Remain_Major_Cause_of_Business_Failure" TargetMode="External"/><Relationship Id="rId20" Type="http://schemas.openxmlformats.org/officeDocument/2006/relationships/hyperlink" Target="https://www.financialprofessionals.org/training-resources/resources/articles/Details/beyond-the-balance-sheet-the-strategic-role-of-today-s-cfo" TargetMode="External"/><Relationship Id="rId29" Type="http://schemas.openxmlformats.org/officeDocument/2006/relationships/hyperlink" Target="https://development.ihg.com/hotel-development/getting-started" TargetMode="External"/><Relationship Id="rId41" Type="http://schemas.openxmlformats.org/officeDocument/2006/relationships/hyperlink" Target="https://www.ebsco.com/research-starters/business-and-management/payback-period" TargetMode="External"/><Relationship Id="rId54"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yperlink" Target="https://development.ihg.com/sites/ihgplc/files/IHG/A%20sustainable%20business/I-H-G-R-B-R-Interactive-280222.pdf" TargetMode="External"/><Relationship Id="rId32" Type="http://schemas.openxmlformats.org/officeDocument/2006/relationships/hyperlink" Target="https://www.fe.training/free-resources/accounting/basic-earnings-per-share-eps/" TargetMode="External"/><Relationship Id="rId37" Type="http://schemas.openxmlformats.org/officeDocument/2006/relationships/hyperlink" Target="https://www.researchgate.net/publication/398994597_Asset-heavy_or_asset-light_Financial_performance_implications_in_the_luxury_hotel_industry" TargetMode="External"/><Relationship Id="rId40" Type="http://schemas.openxmlformats.org/officeDocument/2006/relationships/hyperlink" Target="https://corporatefinanceinstitute.com/resources/accounting/working-capital-cycle/" TargetMode="External"/><Relationship Id="rId45" Type="http://schemas.openxmlformats.org/officeDocument/2006/relationships/image" Target="media/image2.png"/><Relationship Id="rId53" Type="http://schemas.openxmlformats.org/officeDocument/2006/relationships/image" Target="media/image4.png"/><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searchgate.net/publication/396649395_Assessing_the_Impact_of_Debt_Ratio_Variability_on_Corporate_Solvency_Credit_Risk_Exposure_and_Investment_Decision-_Making_Efficiency" TargetMode="External"/><Relationship Id="rId23" Type="http://schemas.openxmlformats.org/officeDocument/2006/relationships/hyperlink" Target="https://pmc.ncbi.nlm.nih.gov/articles/PMC9718966/" TargetMode="External"/><Relationship Id="rId28" Type="http://schemas.openxmlformats.org/officeDocument/2006/relationships/hyperlink" Target="https://www.ihgplc.com/~/media/Files/I/Ihg-Plc/results/2026/full-year-2025/full-year-results-for-the-year-to-31-dec-2025.pdf" TargetMode="External"/><Relationship Id="rId36" Type="http://schemas.openxmlformats.org/officeDocument/2006/relationships/hyperlink" Target="https://www.researchgate.net/publication/397670244_Exchange_Rate_Fluctuations_and_Their_Effect_on_National_Economies" TargetMode="External"/><Relationship Id="rId49" Type="http://schemas.openxmlformats.org/officeDocument/2006/relationships/chart" Target="charts/chart6.xml"/><Relationship Id="rId57"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s://www.researchgate.net/publication/377837380_Revolutionizing_Hospitality_Strategic_Integration_of_Innovation_Management_Embracing_Technological_Innovation_for_Enhanced_Customer_Experiences" TargetMode="External"/><Relationship Id="rId31" Type="http://schemas.openxmlformats.org/officeDocument/2006/relationships/hyperlink" Target="https://www.emerald.com/jfra/article-abstract/13/1/91/226386/Currency-risk-impact-on-the-financial-performance?redirectedFrom=fulltext" TargetMode="External"/><Relationship Id="rId44" Type="http://schemas.openxmlformats.org/officeDocument/2006/relationships/hyperlink" Target="https://www.researchgate.net/publication/347068746_Report_on_Hotel_Revenue_and_IHG&#8217;s_Improvement_Plan_during_COVID-19" TargetMode="External"/><Relationship Id="rId52" Type="http://schemas.openxmlformats.org/officeDocument/2006/relationships/chart" Target="charts/chart9.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researchgate.net/publication/228206742_Structure_and_Determinants_of_Financial_Covenants_in_Leveraged_Buyouts" TargetMode="External"/><Relationship Id="rId22" Type="http://schemas.openxmlformats.org/officeDocument/2006/relationships/hyperlink" Target="https://medium.com/activated-thinker/data-privacy-in-ai-systems-compliance-and-implementation-59d07852c1f5" TargetMode="External"/><Relationship Id="rId27" Type="http://schemas.openxmlformats.org/officeDocument/2006/relationships/hyperlink" Target="%20https:/www.ihgplc.com/~/media/Files/I/Ihg-Plc/investors/annual-report/2024/business-model_p2227.pdf" TargetMode="External"/><Relationship Id="rId30" Type="http://schemas.openxmlformats.org/officeDocument/2006/relationships/hyperlink" Target="https://rsisinternational.org/journals/ijriss/articles/working-capital-turnover-ratio-a-managerial-perspective/" TargetMode="External"/><Relationship Id="rId35" Type="http://schemas.openxmlformats.org/officeDocument/2006/relationships/hyperlink" Target="https://www.sciencedirect.com/science/article/pii/S0278431922002572" TargetMode="External"/><Relationship Id="rId43" Type="http://schemas.openxmlformats.org/officeDocument/2006/relationships/hyperlink" Target="https://www.sciencedirect.com/science/article/pii/S2214845024000279" TargetMode="External"/><Relationship Id="rId48" Type="http://schemas.openxmlformats.org/officeDocument/2006/relationships/chart" Target="charts/chart5.xml"/><Relationship Id="rId56" Type="http://schemas.openxmlformats.org/officeDocument/2006/relationships/footer" Target="footer3.xml"/><Relationship Id="rId8" Type="http://schemas.openxmlformats.org/officeDocument/2006/relationships/image" Target="media/image1.png"/><Relationship Id="rId51" Type="http://schemas.openxmlformats.org/officeDocument/2006/relationships/chart" Target="charts/chart8.xm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DMIN\Downloads\Rpn_104\Rpn_104.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DMIN\Downloads\Rpn_104\Rpn_104.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DMIN\Downloads\Rpn_104\Rpn_104.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DMIN\Downloads\Rpn_104\Rpn_104.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DMIN\Downloads\Rpn_104\Rpn_104.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DMIN\Downloads\Rpn_104\Rpn_104.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DMIN\Downloads\Rpn_104\Rpn_104.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ADMIN\Downloads\Rpn_104\Rpn_104.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ADMIN\Downloads\Rpn_104\Rpn_104.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Revenue and Operating profit (($m)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Charts'!$D$2</c:f>
              <c:strCache>
                <c:ptCount val="1"/>
                <c:pt idx="0">
                  <c:v>Revenue ($m)</c:v>
                </c:pt>
              </c:strCache>
            </c:strRef>
          </c:tx>
          <c:spPr>
            <a:solidFill>
              <a:schemeClr val="accent1"/>
            </a:solidFill>
            <a:ln>
              <a:noFill/>
            </a:ln>
            <a:effectLst/>
          </c:spPr>
          <c:invertIfNegative val="0"/>
          <c:cat>
            <c:numRef>
              <c:f>'Ratio Charts'!$C$3:$C$7</c:f>
              <c:numCache>
                <c:formatCode>General</c:formatCode>
                <c:ptCount val="5"/>
                <c:pt idx="0">
                  <c:v>2021</c:v>
                </c:pt>
                <c:pt idx="1">
                  <c:v>2022</c:v>
                </c:pt>
                <c:pt idx="2">
                  <c:v>2023</c:v>
                </c:pt>
                <c:pt idx="3">
                  <c:v>2024</c:v>
                </c:pt>
                <c:pt idx="4">
                  <c:v>2025</c:v>
                </c:pt>
              </c:numCache>
            </c:numRef>
          </c:cat>
          <c:val>
            <c:numRef>
              <c:f>'Ratio Charts'!$D$3:$D$7</c:f>
              <c:numCache>
                <c:formatCode>#,##0</c:formatCode>
                <c:ptCount val="5"/>
                <c:pt idx="0">
                  <c:v>2907</c:v>
                </c:pt>
                <c:pt idx="1">
                  <c:v>3892</c:v>
                </c:pt>
                <c:pt idx="2">
                  <c:v>4624</c:v>
                </c:pt>
                <c:pt idx="3">
                  <c:v>4923</c:v>
                </c:pt>
                <c:pt idx="4">
                  <c:v>5189</c:v>
                </c:pt>
              </c:numCache>
            </c:numRef>
          </c:val>
          <c:extLst>
            <c:ext xmlns:c16="http://schemas.microsoft.com/office/drawing/2014/chart" uri="{C3380CC4-5D6E-409C-BE32-E72D297353CC}">
              <c16:uniqueId val="{00000000-9BB8-406F-A976-145AB9994C7B}"/>
            </c:ext>
          </c:extLst>
        </c:ser>
        <c:ser>
          <c:idx val="1"/>
          <c:order val="1"/>
          <c:tx>
            <c:strRef>
              <c:f>'Ratio Charts'!$E$2</c:f>
              <c:strCache>
                <c:ptCount val="1"/>
                <c:pt idx="0">
                  <c:v>Operating profit ($m)</c:v>
                </c:pt>
              </c:strCache>
            </c:strRef>
          </c:tx>
          <c:spPr>
            <a:solidFill>
              <a:schemeClr val="accent2"/>
            </a:solidFill>
            <a:ln>
              <a:noFill/>
            </a:ln>
            <a:effectLst/>
          </c:spPr>
          <c:invertIfNegative val="0"/>
          <c:cat>
            <c:numRef>
              <c:f>'Ratio Charts'!$C$3:$C$7</c:f>
              <c:numCache>
                <c:formatCode>General</c:formatCode>
                <c:ptCount val="5"/>
                <c:pt idx="0">
                  <c:v>2021</c:v>
                </c:pt>
                <c:pt idx="1">
                  <c:v>2022</c:v>
                </c:pt>
                <c:pt idx="2">
                  <c:v>2023</c:v>
                </c:pt>
                <c:pt idx="3">
                  <c:v>2024</c:v>
                </c:pt>
                <c:pt idx="4">
                  <c:v>2025</c:v>
                </c:pt>
              </c:numCache>
            </c:numRef>
          </c:cat>
          <c:val>
            <c:numRef>
              <c:f>'Ratio Charts'!$E$3:$E$7</c:f>
              <c:numCache>
                <c:formatCode>General</c:formatCode>
                <c:ptCount val="5"/>
                <c:pt idx="0">
                  <c:v>494</c:v>
                </c:pt>
                <c:pt idx="1">
                  <c:v>628</c:v>
                </c:pt>
                <c:pt idx="2" formatCode="#,##0">
                  <c:v>1066</c:v>
                </c:pt>
                <c:pt idx="3" formatCode="#,##0">
                  <c:v>1041</c:v>
                </c:pt>
                <c:pt idx="4" formatCode="#,##0">
                  <c:v>1198</c:v>
                </c:pt>
              </c:numCache>
            </c:numRef>
          </c:val>
          <c:extLst>
            <c:ext xmlns:c16="http://schemas.microsoft.com/office/drawing/2014/chart" uri="{C3380CC4-5D6E-409C-BE32-E72D297353CC}">
              <c16:uniqueId val="{00000001-9BB8-406F-A976-145AB9994C7B}"/>
            </c:ext>
          </c:extLst>
        </c:ser>
        <c:dLbls>
          <c:showLegendKey val="0"/>
          <c:showVal val="0"/>
          <c:showCatName val="0"/>
          <c:showSerName val="0"/>
          <c:showPercent val="0"/>
          <c:showBubbleSize val="0"/>
        </c:dLbls>
        <c:gapWidth val="219"/>
        <c:axId val="359680280"/>
        <c:axId val="359680640"/>
      </c:barChart>
      <c:catAx>
        <c:axId val="359680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680640"/>
        <c:crosses val="autoZero"/>
        <c:auto val="1"/>
        <c:lblAlgn val="ctr"/>
        <c:lblOffset val="100"/>
        <c:noMultiLvlLbl val="0"/>
      </c:catAx>
      <c:valAx>
        <c:axId val="3596806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680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Liquidity ratio trend, 2021–2025</a:t>
            </a:r>
            <a:endParaRPr lang="en-US"/>
          </a:p>
        </c:rich>
      </c:tx>
      <c:layout>
        <c:manualLayout>
          <c:xMode val="edge"/>
          <c:yMode val="edge"/>
          <c:x val="0.27297942473945436"/>
          <c:y val="3.709420906063576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 Charts'!$H$2</c:f>
              <c:strCache>
                <c:ptCount val="1"/>
                <c:pt idx="0">
                  <c:v>Current ratio (times)</c:v>
                </c:pt>
              </c:strCache>
            </c:strRef>
          </c:tx>
          <c:spPr>
            <a:ln w="28575" cap="rnd">
              <a:solidFill>
                <a:schemeClr val="accent1"/>
              </a:solidFill>
              <a:round/>
            </a:ln>
            <a:effectLst/>
          </c:spPr>
          <c:marker>
            <c:symbol val="none"/>
          </c:marker>
          <c:val>
            <c:numRef>
              <c:f>'Ratio Charts'!$H$3:$H$7</c:f>
              <c:numCache>
                <c:formatCode>General</c:formatCode>
                <c:ptCount val="5"/>
                <c:pt idx="0">
                  <c:v>1.27</c:v>
                </c:pt>
                <c:pt idx="1">
                  <c:v>1.0900000000000001</c:v>
                </c:pt>
                <c:pt idx="2">
                  <c:v>0.97</c:v>
                </c:pt>
                <c:pt idx="3">
                  <c:v>0.97</c:v>
                </c:pt>
                <c:pt idx="4">
                  <c:v>0.98</c:v>
                </c:pt>
              </c:numCache>
            </c:numRef>
          </c:val>
          <c:smooth val="0"/>
          <c:extLst>
            <c:ext xmlns:c16="http://schemas.microsoft.com/office/drawing/2014/chart" uri="{C3380CC4-5D6E-409C-BE32-E72D297353CC}">
              <c16:uniqueId val="{00000000-2963-4C22-A2DA-65D582006E92}"/>
            </c:ext>
          </c:extLst>
        </c:ser>
        <c:ser>
          <c:idx val="1"/>
          <c:order val="1"/>
          <c:tx>
            <c:strRef>
              <c:f>'Ratio Charts'!$I$2</c:f>
              <c:strCache>
                <c:ptCount val="1"/>
                <c:pt idx="0">
                  <c:v>Quick ratio (times)</c:v>
                </c:pt>
              </c:strCache>
            </c:strRef>
          </c:tx>
          <c:spPr>
            <a:ln w="28575" cap="rnd">
              <a:solidFill>
                <a:schemeClr val="accent2"/>
              </a:solidFill>
              <a:round/>
            </a:ln>
            <a:effectLst/>
          </c:spPr>
          <c:marker>
            <c:symbol val="none"/>
          </c:marker>
          <c:val>
            <c:numRef>
              <c:f>'Ratio Charts'!$I$3:$I$7</c:f>
              <c:numCache>
                <c:formatCode>General</c:formatCode>
                <c:ptCount val="5"/>
                <c:pt idx="0">
                  <c:v>1.27</c:v>
                </c:pt>
                <c:pt idx="1">
                  <c:v>1.08</c:v>
                </c:pt>
                <c:pt idx="2">
                  <c:v>0.97</c:v>
                </c:pt>
                <c:pt idx="3">
                  <c:v>0.97</c:v>
                </c:pt>
                <c:pt idx="4">
                  <c:v>0.97</c:v>
                </c:pt>
              </c:numCache>
            </c:numRef>
          </c:val>
          <c:smooth val="0"/>
          <c:extLst>
            <c:ext xmlns:c16="http://schemas.microsoft.com/office/drawing/2014/chart" uri="{C3380CC4-5D6E-409C-BE32-E72D297353CC}">
              <c16:uniqueId val="{00000001-2963-4C22-A2DA-65D582006E92}"/>
            </c:ext>
          </c:extLst>
        </c:ser>
        <c:ser>
          <c:idx val="2"/>
          <c:order val="2"/>
          <c:tx>
            <c:strRef>
              <c:f>'Ratio Charts'!$J$2</c:f>
              <c:strCache>
                <c:ptCount val="1"/>
                <c:pt idx="0">
                  <c:v>Cash ratio (times)</c:v>
                </c:pt>
              </c:strCache>
            </c:strRef>
          </c:tx>
          <c:spPr>
            <a:ln w="28575" cap="rnd">
              <a:solidFill>
                <a:schemeClr val="accent3"/>
              </a:solidFill>
              <a:round/>
            </a:ln>
            <a:effectLst/>
          </c:spPr>
          <c:marker>
            <c:symbol val="none"/>
          </c:marker>
          <c:val>
            <c:numRef>
              <c:f>'Ratio Charts'!$J$3:$J$7</c:f>
              <c:numCache>
                <c:formatCode>General</c:formatCode>
                <c:ptCount val="5"/>
                <c:pt idx="0">
                  <c:v>0.89</c:v>
                </c:pt>
                <c:pt idx="1">
                  <c:v>0.63</c:v>
                </c:pt>
                <c:pt idx="2">
                  <c:v>0.6</c:v>
                </c:pt>
                <c:pt idx="3">
                  <c:v>0.52</c:v>
                </c:pt>
                <c:pt idx="4">
                  <c:v>0.54</c:v>
                </c:pt>
              </c:numCache>
            </c:numRef>
          </c:val>
          <c:smooth val="0"/>
          <c:extLst>
            <c:ext xmlns:c16="http://schemas.microsoft.com/office/drawing/2014/chart" uri="{C3380CC4-5D6E-409C-BE32-E72D297353CC}">
              <c16:uniqueId val="{00000002-2963-4C22-A2DA-65D582006E92}"/>
            </c:ext>
          </c:extLst>
        </c:ser>
        <c:dLbls>
          <c:showLegendKey val="0"/>
          <c:showVal val="0"/>
          <c:showCatName val="0"/>
          <c:showSerName val="0"/>
          <c:showPercent val="0"/>
          <c:showBubbleSize val="0"/>
        </c:dLbls>
        <c:smooth val="0"/>
        <c:axId val="428311264"/>
        <c:axId val="428311624"/>
      </c:lineChart>
      <c:catAx>
        <c:axId val="428311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311624"/>
        <c:crosses val="autoZero"/>
        <c:auto val="1"/>
        <c:lblAlgn val="ctr"/>
        <c:lblOffset val="100"/>
        <c:noMultiLvlLbl val="0"/>
      </c:catAx>
      <c:valAx>
        <c:axId val="428311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311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Cash flow trend, 2021–2025</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 Charts'!$M$2</c:f>
              <c:strCache>
                <c:ptCount val="1"/>
                <c:pt idx="0">
                  <c:v>Operating cash flow ($m)</c:v>
                </c:pt>
              </c:strCache>
            </c:strRef>
          </c:tx>
          <c:spPr>
            <a:ln w="28575" cap="rnd">
              <a:solidFill>
                <a:schemeClr val="accent1"/>
              </a:solidFill>
              <a:round/>
            </a:ln>
            <a:effectLst/>
          </c:spPr>
          <c:marker>
            <c:symbol val="none"/>
          </c:marker>
          <c:val>
            <c:numRef>
              <c:f>'Ratio Charts'!$M$3:$M$7</c:f>
              <c:numCache>
                <c:formatCode>General</c:formatCode>
                <c:ptCount val="5"/>
                <c:pt idx="0">
                  <c:v>636</c:v>
                </c:pt>
                <c:pt idx="1">
                  <c:v>646</c:v>
                </c:pt>
                <c:pt idx="2">
                  <c:v>893</c:v>
                </c:pt>
                <c:pt idx="3">
                  <c:v>724</c:v>
                </c:pt>
                <c:pt idx="4">
                  <c:v>898</c:v>
                </c:pt>
              </c:numCache>
            </c:numRef>
          </c:val>
          <c:smooth val="0"/>
          <c:extLst>
            <c:ext xmlns:c16="http://schemas.microsoft.com/office/drawing/2014/chart" uri="{C3380CC4-5D6E-409C-BE32-E72D297353CC}">
              <c16:uniqueId val="{00000000-7EDC-456E-B972-593D1BC76BC8}"/>
            </c:ext>
          </c:extLst>
        </c:ser>
        <c:ser>
          <c:idx val="1"/>
          <c:order val="1"/>
          <c:tx>
            <c:strRef>
              <c:f>'Ratio Charts'!$N$2</c:f>
              <c:strCache>
                <c:ptCount val="1"/>
                <c:pt idx="0">
                  <c:v>Adjusted free cash flow ($m)</c:v>
                </c:pt>
              </c:strCache>
            </c:strRef>
          </c:tx>
          <c:spPr>
            <a:ln w="28575" cap="rnd">
              <a:solidFill>
                <a:schemeClr val="accent2"/>
              </a:solidFill>
              <a:round/>
            </a:ln>
            <a:effectLst/>
          </c:spPr>
          <c:marker>
            <c:symbol val="none"/>
          </c:marker>
          <c:val>
            <c:numRef>
              <c:f>'Ratio Charts'!$N$3:$N$7</c:f>
              <c:numCache>
                <c:formatCode>General</c:formatCode>
                <c:ptCount val="5"/>
                <c:pt idx="0">
                  <c:v>615</c:v>
                </c:pt>
                <c:pt idx="1">
                  <c:v>589</c:v>
                </c:pt>
                <c:pt idx="2">
                  <c:v>837</c:v>
                </c:pt>
                <c:pt idx="3">
                  <c:v>655</c:v>
                </c:pt>
                <c:pt idx="4">
                  <c:v>893</c:v>
                </c:pt>
              </c:numCache>
            </c:numRef>
          </c:val>
          <c:smooth val="0"/>
          <c:extLst>
            <c:ext xmlns:c16="http://schemas.microsoft.com/office/drawing/2014/chart" uri="{C3380CC4-5D6E-409C-BE32-E72D297353CC}">
              <c16:uniqueId val="{00000001-7EDC-456E-B972-593D1BC76BC8}"/>
            </c:ext>
          </c:extLst>
        </c:ser>
        <c:dLbls>
          <c:showLegendKey val="0"/>
          <c:showVal val="0"/>
          <c:showCatName val="0"/>
          <c:showSerName val="0"/>
          <c:showPercent val="0"/>
          <c:showBubbleSize val="0"/>
        </c:dLbls>
        <c:smooth val="0"/>
        <c:axId val="495161992"/>
        <c:axId val="495167032"/>
      </c:lineChart>
      <c:catAx>
        <c:axId val="495161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167032"/>
        <c:crosses val="autoZero"/>
        <c:auto val="1"/>
        <c:lblAlgn val="ctr"/>
        <c:lblOffset val="100"/>
        <c:noMultiLvlLbl val="0"/>
      </c:catAx>
      <c:valAx>
        <c:axId val="4951670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161992"/>
        <c:crosses val="autoZero"/>
        <c:crossBetween val="between"/>
      </c:valAx>
      <c:spPr>
        <a:noFill/>
        <a:ln>
          <a:noFill/>
        </a:ln>
        <a:effectLst/>
      </c:spPr>
    </c:plotArea>
    <c:legend>
      <c:legendPos val="b"/>
      <c:layout>
        <c:manualLayout>
          <c:xMode val="edge"/>
          <c:yMode val="edge"/>
          <c:x val="0.12146237970253718"/>
          <c:y val="0.92187445319335082"/>
          <c:w val="0.70698363943635567"/>
          <c:h val="6.87027599202164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Revenue and Operating profit (($m)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Charts'!$D$2</c:f>
              <c:strCache>
                <c:ptCount val="1"/>
                <c:pt idx="0">
                  <c:v>Revenue ($m)</c:v>
                </c:pt>
              </c:strCache>
            </c:strRef>
          </c:tx>
          <c:spPr>
            <a:solidFill>
              <a:schemeClr val="accent1"/>
            </a:solidFill>
            <a:ln>
              <a:noFill/>
            </a:ln>
            <a:effectLst/>
          </c:spPr>
          <c:invertIfNegative val="0"/>
          <c:cat>
            <c:numRef>
              <c:f>'Ratio Charts'!$C$3:$C$7</c:f>
              <c:numCache>
                <c:formatCode>General</c:formatCode>
                <c:ptCount val="5"/>
                <c:pt idx="0">
                  <c:v>2021</c:v>
                </c:pt>
                <c:pt idx="1">
                  <c:v>2022</c:v>
                </c:pt>
                <c:pt idx="2">
                  <c:v>2023</c:v>
                </c:pt>
                <c:pt idx="3">
                  <c:v>2024</c:v>
                </c:pt>
                <c:pt idx="4">
                  <c:v>2025</c:v>
                </c:pt>
              </c:numCache>
            </c:numRef>
          </c:cat>
          <c:val>
            <c:numRef>
              <c:f>'Ratio Charts'!$D$3:$D$7</c:f>
              <c:numCache>
                <c:formatCode>#,##0</c:formatCode>
                <c:ptCount val="5"/>
                <c:pt idx="0">
                  <c:v>2907</c:v>
                </c:pt>
                <c:pt idx="1">
                  <c:v>3892</c:v>
                </c:pt>
                <c:pt idx="2">
                  <c:v>4624</c:v>
                </c:pt>
                <c:pt idx="3">
                  <c:v>4923</c:v>
                </c:pt>
                <c:pt idx="4">
                  <c:v>5189</c:v>
                </c:pt>
              </c:numCache>
            </c:numRef>
          </c:val>
          <c:extLst>
            <c:ext xmlns:c16="http://schemas.microsoft.com/office/drawing/2014/chart" uri="{C3380CC4-5D6E-409C-BE32-E72D297353CC}">
              <c16:uniqueId val="{00000000-5E1D-4599-AF2A-1D40353769DC}"/>
            </c:ext>
          </c:extLst>
        </c:ser>
        <c:ser>
          <c:idx val="1"/>
          <c:order val="1"/>
          <c:tx>
            <c:strRef>
              <c:f>'Ratio Charts'!$E$2</c:f>
              <c:strCache>
                <c:ptCount val="1"/>
                <c:pt idx="0">
                  <c:v>Operating profit ($m)</c:v>
                </c:pt>
              </c:strCache>
            </c:strRef>
          </c:tx>
          <c:spPr>
            <a:solidFill>
              <a:schemeClr val="accent2"/>
            </a:solidFill>
            <a:ln>
              <a:noFill/>
            </a:ln>
            <a:effectLst/>
          </c:spPr>
          <c:invertIfNegative val="0"/>
          <c:cat>
            <c:numRef>
              <c:f>'Ratio Charts'!$C$3:$C$7</c:f>
              <c:numCache>
                <c:formatCode>General</c:formatCode>
                <c:ptCount val="5"/>
                <c:pt idx="0">
                  <c:v>2021</c:v>
                </c:pt>
                <c:pt idx="1">
                  <c:v>2022</c:v>
                </c:pt>
                <c:pt idx="2">
                  <c:v>2023</c:v>
                </c:pt>
                <c:pt idx="3">
                  <c:v>2024</c:v>
                </c:pt>
                <c:pt idx="4">
                  <c:v>2025</c:v>
                </c:pt>
              </c:numCache>
            </c:numRef>
          </c:cat>
          <c:val>
            <c:numRef>
              <c:f>'Ratio Charts'!$E$3:$E$7</c:f>
              <c:numCache>
                <c:formatCode>General</c:formatCode>
                <c:ptCount val="5"/>
                <c:pt idx="0">
                  <c:v>494</c:v>
                </c:pt>
                <c:pt idx="1">
                  <c:v>628</c:v>
                </c:pt>
                <c:pt idx="2" formatCode="#,##0">
                  <c:v>1066</c:v>
                </c:pt>
                <c:pt idx="3" formatCode="#,##0">
                  <c:v>1041</c:v>
                </c:pt>
                <c:pt idx="4" formatCode="#,##0">
                  <c:v>1198</c:v>
                </c:pt>
              </c:numCache>
            </c:numRef>
          </c:val>
          <c:extLst>
            <c:ext xmlns:c16="http://schemas.microsoft.com/office/drawing/2014/chart" uri="{C3380CC4-5D6E-409C-BE32-E72D297353CC}">
              <c16:uniqueId val="{00000001-5E1D-4599-AF2A-1D40353769DC}"/>
            </c:ext>
          </c:extLst>
        </c:ser>
        <c:dLbls>
          <c:showLegendKey val="0"/>
          <c:showVal val="0"/>
          <c:showCatName val="0"/>
          <c:showSerName val="0"/>
          <c:showPercent val="0"/>
          <c:showBubbleSize val="0"/>
        </c:dLbls>
        <c:gapWidth val="219"/>
        <c:axId val="359680280"/>
        <c:axId val="359680640"/>
      </c:barChart>
      <c:catAx>
        <c:axId val="359680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680640"/>
        <c:crosses val="autoZero"/>
        <c:auto val="1"/>
        <c:lblAlgn val="ctr"/>
        <c:lblOffset val="100"/>
        <c:noMultiLvlLbl val="0"/>
      </c:catAx>
      <c:valAx>
        <c:axId val="3596806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680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Profitability margin trend, 2021–2025</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 Charts'!$F$2</c:f>
              <c:strCache>
                <c:ptCount val="1"/>
                <c:pt idx="0">
                  <c:v>Operating margin (%)</c:v>
                </c:pt>
              </c:strCache>
            </c:strRef>
          </c:tx>
          <c:spPr>
            <a:ln w="28575" cap="rnd">
              <a:solidFill>
                <a:schemeClr val="accent1"/>
              </a:solidFill>
              <a:round/>
            </a:ln>
            <a:effectLst/>
          </c:spPr>
          <c:marker>
            <c:symbol val="none"/>
          </c:marker>
          <c:val>
            <c:numRef>
              <c:f>'Ratio Charts'!$F$3:$F$7</c:f>
              <c:numCache>
                <c:formatCode>0.00%</c:formatCode>
                <c:ptCount val="5"/>
                <c:pt idx="0">
                  <c:v>0.1699</c:v>
                </c:pt>
                <c:pt idx="1">
                  <c:v>0.16139999999999999</c:v>
                </c:pt>
                <c:pt idx="2">
                  <c:v>0.23050000000000001</c:v>
                </c:pt>
                <c:pt idx="3">
                  <c:v>0.21149999999999999</c:v>
                </c:pt>
                <c:pt idx="4">
                  <c:v>0.23089999999999999</c:v>
                </c:pt>
              </c:numCache>
            </c:numRef>
          </c:val>
          <c:smooth val="0"/>
          <c:extLst>
            <c:ext xmlns:c16="http://schemas.microsoft.com/office/drawing/2014/chart" uri="{C3380CC4-5D6E-409C-BE32-E72D297353CC}">
              <c16:uniqueId val="{00000000-660E-4B26-B0D3-22EA127DD229}"/>
            </c:ext>
          </c:extLst>
        </c:ser>
        <c:ser>
          <c:idx val="1"/>
          <c:order val="1"/>
          <c:tx>
            <c:strRef>
              <c:f>'Ratio Charts'!$G$2</c:f>
              <c:strCache>
                <c:ptCount val="1"/>
                <c:pt idx="0">
                  <c:v>Net profit margin (%)</c:v>
                </c:pt>
              </c:strCache>
            </c:strRef>
          </c:tx>
          <c:spPr>
            <a:ln w="28575" cap="rnd">
              <a:solidFill>
                <a:schemeClr val="accent2"/>
              </a:solidFill>
              <a:round/>
            </a:ln>
            <a:effectLst/>
          </c:spPr>
          <c:marker>
            <c:symbol val="none"/>
          </c:marker>
          <c:val>
            <c:numRef>
              <c:f>'Ratio Charts'!$G$3:$G$7</c:f>
              <c:numCache>
                <c:formatCode>0.00%</c:formatCode>
                <c:ptCount val="5"/>
                <c:pt idx="0">
                  <c:v>9.1200000000000003E-2</c:v>
                </c:pt>
                <c:pt idx="1">
                  <c:v>9.6600000000000005E-2</c:v>
                </c:pt>
                <c:pt idx="2">
                  <c:v>0.16220000000000001</c:v>
                </c:pt>
                <c:pt idx="3">
                  <c:v>0.12759999999999999</c:v>
                </c:pt>
                <c:pt idx="4">
                  <c:v>0.14630000000000001</c:v>
                </c:pt>
              </c:numCache>
            </c:numRef>
          </c:val>
          <c:smooth val="0"/>
          <c:extLst>
            <c:ext xmlns:c16="http://schemas.microsoft.com/office/drawing/2014/chart" uri="{C3380CC4-5D6E-409C-BE32-E72D297353CC}">
              <c16:uniqueId val="{00000001-660E-4B26-B0D3-22EA127DD229}"/>
            </c:ext>
          </c:extLst>
        </c:ser>
        <c:dLbls>
          <c:showLegendKey val="0"/>
          <c:showVal val="0"/>
          <c:showCatName val="0"/>
          <c:showSerName val="0"/>
          <c:showPercent val="0"/>
          <c:showBubbleSize val="0"/>
        </c:dLbls>
        <c:smooth val="0"/>
        <c:axId val="485954824"/>
        <c:axId val="485955184"/>
      </c:lineChart>
      <c:catAx>
        <c:axId val="485954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955184"/>
        <c:crosses val="autoZero"/>
        <c:auto val="1"/>
        <c:lblAlgn val="ctr"/>
        <c:lblOffset val="100"/>
        <c:noMultiLvlLbl val="0"/>
      </c:catAx>
      <c:valAx>
        <c:axId val="48595518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9548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Liquidity ratio trend, 2021–2025</a:t>
            </a:r>
            <a:endParaRPr lang="en-US"/>
          </a:p>
        </c:rich>
      </c:tx>
      <c:layout>
        <c:manualLayout>
          <c:xMode val="edge"/>
          <c:yMode val="edge"/>
          <c:x val="0.27057903233671088"/>
          <c:y val="3.709427527911576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 Charts'!$H$2</c:f>
              <c:strCache>
                <c:ptCount val="1"/>
                <c:pt idx="0">
                  <c:v>Current ratio (times)</c:v>
                </c:pt>
              </c:strCache>
            </c:strRef>
          </c:tx>
          <c:spPr>
            <a:ln w="28575" cap="rnd">
              <a:solidFill>
                <a:schemeClr val="accent1"/>
              </a:solidFill>
              <a:round/>
            </a:ln>
            <a:effectLst/>
          </c:spPr>
          <c:marker>
            <c:symbol val="none"/>
          </c:marker>
          <c:val>
            <c:numRef>
              <c:f>'Ratio Charts'!$H$3:$H$7</c:f>
              <c:numCache>
                <c:formatCode>General</c:formatCode>
                <c:ptCount val="5"/>
                <c:pt idx="0">
                  <c:v>1.27</c:v>
                </c:pt>
                <c:pt idx="1">
                  <c:v>1.0900000000000001</c:v>
                </c:pt>
                <c:pt idx="2">
                  <c:v>0.97</c:v>
                </c:pt>
                <c:pt idx="3">
                  <c:v>0.97</c:v>
                </c:pt>
                <c:pt idx="4">
                  <c:v>0.98</c:v>
                </c:pt>
              </c:numCache>
            </c:numRef>
          </c:val>
          <c:smooth val="0"/>
          <c:extLst>
            <c:ext xmlns:c16="http://schemas.microsoft.com/office/drawing/2014/chart" uri="{C3380CC4-5D6E-409C-BE32-E72D297353CC}">
              <c16:uniqueId val="{00000000-D653-49DB-999C-A03FED2274F3}"/>
            </c:ext>
          </c:extLst>
        </c:ser>
        <c:ser>
          <c:idx val="1"/>
          <c:order val="1"/>
          <c:tx>
            <c:strRef>
              <c:f>'Ratio Charts'!$I$2</c:f>
              <c:strCache>
                <c:ptCount val="1"/>
                <c:pt idx="0">
                  <c:v>Quick ratio (times)</c:v>
                </c:pt>
              </c:strCache>
            </c:strRef>
          </c:tx>
          <c:spPr>
            <a:ln w="28575" cap="rnd">
              <a:solidFill>
                <a:schemeClr val="accent2"/>
              </a:solidFill>
              <a:round/>
            </a:ln>
            <a:effectLst/>
          </c:spPr>
          <c:marker>
            <c:symbol val="none"/>
          </c:marker>
          <c:val>
            <c:numRef>
              <c:f>'Ratio Charts'!$I$3:$I$7</c:f>
              <c:numCache>
                <c:formatCode>General</c:formatCode>
                <c:ptCount val="5"/>
                <c:pt idx="0">
                  <c:v>1.27</c:v>
                </c:pt>
                <c:pt idx="1">
                  <c:v>1.08</c:v>
                </c:pt>
                <c:pt idx="2">
                  <c:v>0.97</c:v>
                </c:pt>
                <c:pt idx="3">
                  <c:v>0.97</c:v>
                </c:pt>
                <c:pt idx="4">
                  <c:v>0.97</c:v>
                </c:pt>
              </c:numCache>
            </c:numRef>
          </c:val>
          <c:smooth val="0"/>
          <c:extLst>
            <c:ext xmlns:c16="http://schemas.microsoft.com/office/drawing/2014/chart" uri="{C3380CC4-5D6E-409C-BE32-E72D297353CC}">
              <c16:uniqueId val="{00000001-D653-49DB-999C-A03FED2274F3}"/>
            </c:ext>
          </c:extLst>
        </c:ser>
        <c:ser>
          <c:idx val="2"/>
          <c:order val="2"/>
          <c:tx>
            <c:strRef>
              <c:f>'Ratio Charts'!$J$2</c:f>
              <c:strCache>
                <c:ptCount val="1"/>
                <c:pt idx="0">
                  <c:v>Cash ratio (times)</c:v>
                </c:pt>
              </c:strCache>
            </c:strRef>
          </c:tx>
          <c:spPr>
            <a:ln w="28575" cap="rnd">
              <a:solidFill>
                <a:schemeClr val="accent3"/>
              </a:solidFill>
              <a:round/>
            </a:ln>
            <a:effectLst/>
          </c:spPr>
          <c:marker>
            <c:symbol val="none"/>
          </c:marker>
          <c:val>
            <c:numRef>
              <c:f>'Ratio Charts'!$J$3:$J$7</c:f>
              <c:numCache>
                <c:formatCode>General</c:formatCode>
                <c:ptCount val="5"/>
                <c:pt idx="0">
                  <c:v>0.89</c:v>
                </c:pt>
                <c:pt idx="1">
                  <c:v>0.63</c:v>
                </c:pt>
                <c:pt idx="2">
                  <c:v>0.6</c:v>
                </c:pt>
                <c:pt idx="3">
                  <c:v>0.52</c:v>
                </c:pt>
                <c:pt idx="4">
                  <c:v>0.54</c:v>
                </c:pt>
              </c:numCache>
            </c:numRef>
          </c:val>
          <c:smooth val="0"/>
          <c:extLst>
            <c:ext xmlns:c16="http://schemas.microsoft.com/office/drawing/2014/chart" uri="{C3380CC4-5D6E-409C-BE32-E72D297353CC}">
              <c16:uniqueId val="{00000002-D653-49DB-999C-A03FED2274F3}"/>
            </c:ext>
          </c:extLst>
        </c:ser>
        <c:dLbls>
          <c:showLegendKey val="0"/>
          <c:showVal val="0"/>
          <c:showCatName val="0"/>
          <c:showSerName val="0"/>
          <c:showPercent val="0"/>
          <c:showBubbleSize val="0"/>
        </c:dLbls>
        <c:smooth val="0"/>
        <c:axId val="428311264"/>
        <c:axId val="428311624"/>
      </c:lineChart>
      <c:catAx>
        <c:axId val="428311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311624"/>
        <c:crosses val="autoZero"/>
        <c:auto val="1"/>
        <c:lblAlgn val="ctr"/>
        <c:lblOffset val="100"/>
        <c:noMultiLvlLbl val="0"/>
      </c:catAx>
      <c:valAx>
        <c:axId val="428311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311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Gearing and solvency trend, 2021–2025</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Charts'!$K$2</c:f>
              <c:strCache>
                <c:ptCount val="1"/>
                <c:pt idx="0">
                  <c:v>Debt-to-assets (%)</c:v>
                </c:pt>
              </c:strCache>
            </c:strRef>
          </c:tx>
          <c:spPr>
            <a:solidFill>
              <a:schemeClr val="accent1"/>
            </a:solidFill>
            <a:ln>
              <a:noFill/>
            </a:ln>
            <a:effectLst/>
          </c:spPr>
          <c:invertIfNegative val="0"/>
          <c:val>
            <c:numRef>
              <c:f>'Ratio Charts'!$K$3:$K$7</c:f>
              <c:numCache>
                <c:formatCode>0.00%</c:formatCode>
                <c:ptCount val="5"/>
                <c:pt idx="0">
                  <c:v>0.60329999999999995</c:v>
                </c:pt>
                <c:pt idx="1">
                  <c:v>0.56830000000000003</c:v>
                </c:pt>
                <c:pt idx="2">
                  <c:v>0.65780000000000005</c:v>
                </c:pt>
                <c:pt idx="3">
                  <c:v>0.68959999999999999</c:v>
                </c:pt>
                <c:pt idx="4">
                  <c:v>0.78600000000000003</c:v>
                </c:pt>
              </c:numCache>
            </c:numRef>
          </c:val>
          <c:extLst>
            <c:ext xmlns:c16="http://schemas.microsoft.com/office/drawing/2014/chart" uri="{C3380CC4-5D6E-409C-BE32-E72D297353CC}">
              <c16:uniqueId val="{00000000-C673-4308-B3F2-47AB98A1EA8D}"/>
            </c:ext>
          </c:extLst>
        </c:ser>
        <c:dLbls>
          <c:showLegendKey val="0"/>
          <c:showVal val="0"/>
          <c:showCatName val="0"/>
          <c:showSerName val="0"/>
          <c:showPercent val="0"/>
          <c:showBubbleSize val="0"/>
        </c:dLbls>
        <c:gapWidth val="219"/>
        <c:overlap val="-27"/>
        <c:axId val="495165952"/>
        <c:axId val="495166312"/>
      </c:barChart>
      <c:lineChart>
        <c:grouping val="standard"/>
        <c:varyColors val="0"/>
        <c:ser>
          <c:idx val="1"/>
          <c:order val="1"/>
          <c:tx>
            <c:strRef>
              <c:f>'Ratio Charts'!$L$2</c:f>
              <c:strCache>
                <c:ptCount val="1"/>
                <c:pt idx="0">
                  <c:v>Interest cover (times)</c:v>
                </c:pt>
              </c:strCache>
            </c:strRef>
          </c:tx>
          <c:spPr>
            <a:ln w="28575" cap="rnd">
              <a:solidFill>
                <a:schemeClr val="accent2"/>
              </a:solidFill>
              <a:round/>
            </a:ln>
            <a:effectLst/>
          </c:spPr>
          <c:marker>
            <c:symbol val="none"/>
          </c:marker>
          <c:val>
            <c:numRef>
              <c:f>'Ratio Charts'!$L$3:$L$7</c:f>
              <c:numCache>
                <c:formatCode>General</c:formatCode>
                <c:ptCount val="5"/>
                <c:pt idx="0">
                  <c:v>3.36</c:v>
                </c:pt>
                <c:pt idx="1">
                  <c:v>5.32</c:v>
                </c:pt>
                <c:pt idx="2">
                  <c:v>11.71</c:v>
                </c:pt>
                <c:pt idx="3">
                  <c:v>5.13</c:v>
                </c:pt>
                <c:pt idx="4">
                  <c:v>5.93</c:v>
                </c:pt>
              </c:numCache>
            </c:numRef>
          </c:val>
          <c:smooth val="0"/>
          <c:extLst>
            <c:ext xmlns:c16="http://schemas.microsoft.com/office/drawing/2014/chart" uri="{C3380CC4-5D6E-409C-BE32-E72D297353CC}">
              <c16:uniqueId val="{00000001-C673-4308-B3F2-47AB98A1EA8D}"/>
            </c:ext>
          </c:extLst>
        </c:ser>
        <c:dLbls>
          <c:showLegendKey val="0"/>
          <c:showVal val="0"/>
          <c:showCatName val="0"/>
          <c:showSerName val="0"/>
          <c:showPercent val="0"/>
          <c:showBubbleSize val="0"/>
        </c:dLbls>
        <c:marker val="1"/>
        <c:smooth val="0"/>
        <c:axId val="495163072"/>
        <c:axId val="495167392"/>
      </c:lineChart>
      <c:catAx>
        <c:axId val="49516595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166312"/>
        <c:crosses val="autoZero"/>
        <c:auto val="1"/>
        <c:lblAlgn val="ctr"/>
        <c:lblOffset val="100"/>
        <c:noMultiLvlLbl val="0"/>
      </c:catAx>
      <c:valAx>
        <c:axId val="49516631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165952"/>
        <c:crosses val="autoZero"/>
        <c:crossBetween val="between"/>
      </c:valAx>
      <c:valAx>
        <c:axId val="495167392"/>
        <c:scaling>
          <c:orientation val="minMax"/>
        </c:scaling>
        <c:delete val="0"/>
        <c:axPos val="r"/>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163072"/>
        <c:crosses val="max"/>
        <c:crossBetween val="between"/>
      </c:valAx>
      <c:catAx>
        <c:axId val="495163072"/>
        <c:scaling>
          <c:orientation val="minMax"/>
        </c:scaling>
        <c:delete val="1"/>
        <c:axPos val="b"/>
        <c:majorTickMark val="out"/>
        <c:minorTickMark val="none"/>
        <c:tickLblPos val="nextTo"/>
        <c:crossAx val="49516739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Cash flow trend, 2021–2025</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 Charts'!$M$2</c:f>
              <c:strCache>
                <c:ptCount val="1"/>
                <c:pt idx="0">
                  <c:v>Operating cash flow ($m)</c:v>
                </c:pt>
              </c:strCache>
            </c:strRef>
          </c:tx>
          <c:spPr>
            <a:ln w="28575" cap="rnd">
              <a:solidFill>
                <a:schemeClr val="accent1"/>
              </a:solidFill>
              <a:round/>
            </a:ln>
            <a:effectLst/>
          </c:spPr>
          <c:marker>
            <c:symbol val="none"/>
          </c:marker>
          <c:val>
            <c:numRef>
              <c:f>'Ratio Charts'!$M$3:$M$7</c:f>
              <c:numCache>
                <c:formatCode>General</c:formatCode>
                <c:ptCount val="5"/>
                <c:pt idx="0">
                  <c:v>636</c:v>
                </c:pt>
                <c:pt idx="1">
                  <c:v>646</c:v>
                </c:pt>
                <c:pt idx="2">
                  <c:v>893</c:v>
                </c:pt>
                <c:pt idx="3">
                  <c:v>724</c:v>
                </c:pt>
                <c:pt idx="4">
                  <c:v>898</c:v>
                </c:pt>
              </c:numCache>
            </c:numRef>
          </c:val>
          <c:smooth val="0"/>
          <c:extLst>
            <c:ext xmlns:c16="http://schemas.microsoft.com/office/drawing/2014/chart" uri="{C3380CC4-5D6E-409C-BE32-E72D297353CC}">
              <c16:uniqueId val="{00000000-0921-4056-AA44-AA57D9D57DB5}"/>
            </c:ext>
          </c:extLst>
        </c:ser>
        <c:ser>
          <c:idx val="1"/>
          <c:order val="1"/>
          <c:tx>
            <c:strRef>
              <c:f>'Ratio Charts'!$N$2</c:f>
              <c:strCache>
                <c:ptCount val="1"/>
                <c:pt idx="0">
                  <c:v>Adjusted free cash flow ($m)</c:v>
                </c:pt>
              </c:strCache>
            </c:strRef>
          </c:tx>
          <c:spPr>
            <a:ln w="28575" cap="rnd">
              <a:solidFill>
                <a:schemeClr val="accent2"/>
              </a:solidFill>
              <a:round/>
            </a:ln>
            <a:effectLst/>
          </c:spPr>
          <c:marker>
            <c:symbol val="none"/>
          </c:marker>
          <c:val>
            <c:numRef>
              <c:f>'Ratio Charts'!$N$3:$N$7</c:f>
              <c:numCache>
                <c:formatCode>General</c:formatCode>
                <c:ptCount val="5"/>
                <c:pt idx="0">
                  <c:v>615</c:v>
                </c:pt>
                <c:pt idx="1">
                  <c:v>589</c:v>
                </c:pt>
                <c:pt idx="2">
                  <c:v>837</c:v>
                </c:pt>
                <c:pt idx="3">
                  <c:v>655</c:v>
                </c:pt>
                <c:pt idx="4">
                  <c:v>893</c:v>
                </c:pt>
              </c:numCache>
            </c:numRef>
          </c:val>
          <c:smooth val="0"/>
          <c:extLst>
            <c:ext xmlns:c16="http://schemas.microsoft.com/office/drawing/2014/chart" uri="{C3380CC4-5D6E-409C-BE32-E72D297353CC}">
              <c16:uniqueId val="{00000001-0921-4056-AA44-AA57D9D57DB5}"/>
            </c:ext>
          </c:extLst>
        </c:ser>
        <c:dLbls>
          <c:showLegendKey val="0"/>
          <c:showVal val="0"/>
          <c:showCatName val="0"/>
          <c:showSerName val="0"/>
          <c:showPercent val="0"/>
          <c:showBubbleSize val="0"/>
        </c:dLbls>
        <c:smooth val="0"/>
        <c:axId val="495161992"/>
        <c:axId val="495167032"/>
      </c:lineChart>
      <c:catAx>
        <c:axId val="495161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167032"/>
        <c:crosses val="autoZero"/>
        <c:auto val="1"/>
        <c:lblAlgn val="ctr"/>
        <c:lblOffset val="100"/>
        <c:noMultiLvlLbl val="0"/>
      </c:catAx>
      <c:valAx>
        <c:axId val="4951670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161992"/>
        <c:crosses val="autoZero"/>
        <c:crossBetween val="between"/>
      </c:valAx>
      <c:spPr>
        <a:noFill/>
        <a:ln>
          <a:noFill/>
        </a:ln>
        <a:effectLst/>
      </c:spPr>
    </c:plotArea>
    <c:legend>
      <c:legendPos val="b"/>
      <c:layout>
        <c:manualLayout>
          <c:xMode val="edge"/>
          <c:yMode val="edge"/>
          <c:x val="0.12146237970253718"/>
          <c:y val="0.92187445319335082"/>
          <c:w val="0.70698363943635567"/>
          <c:h val="6.87027599202164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EPS and dividend trend, 2021–2025</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 Charts'!$O$2</c:f>
              <c:strCache>
                <c:ptCount val="1"/>
                <c:pt idx="0">
                  <c:v>Basic EPS (cents)</c:v>
                </c:pt>
              </c:strCache>
            </c:strRef>
          </c:tx>
          <c:spPr>
            <a:solidFill>
              <a:schemeClr val="accent1"/>
            </a:solidFill>
            <a:ln>
              <a:noFill/>
            </a:ln>
            <a:effectLst/>
          </c:spPr>
          <c:invertIfNegative val="0"/>
          <c:val>
            <c:numRef>
              <c:f>'Ratio Charts'!$O$3:$O$7</c:f>
              <c:numCache>
                <c:formatCode>General</c:formatCode>
                <c:ptCount val="5"/>
                <c:pt idx="0">
                  <c:v>145.4</c:v>
                </c:pt>
                <c:pt idx="1">
                  <c:v>207.2</c:v>
                </c:pt>
                <c:pt idx="2">
                  <c:v>443.8</c:v>
                </c:pt>
                <c:pt idx="3">
                  <c:v>389.6</c:v>
                </c:pt>
                <c:pt idx="4">
                  <c:v>490.9</c:v>
                </c:pt>
              </c:numCache>
            </c:numRef>
          </c:val>
          <c:extLst>
            <c:ext xmlns:c16="http://schemas.microsoft.com/office/drawing/2014/chart" uri="{C3380CC4-5D6E-409C-BE32-E72D297353CC}">
              <c16:uniqueId val="{00000000-45A1-4E77-BE48-CBAF4BE8169E}"/>
            </c:ext>
          </c:extLst>
        </c:ser>
        <c:ser>
          <c:idx val="1"/>
          <c:order val="1"/>
          <c:tx>
            <c:strRef>
              <c:f>'Ratio Charts'!$P$2</c:f>
              <c:strCache>
                <c:ptCount val="1"/>
                <c:pt idx="0">
                  <c:v>Dividend per share (cents)</c:v>
                </c:pt>
              </c:strCache>
            </c:strRef>
          </c:tx>
          <c:spPr>
            <a:solidFill>
              <a:schemeClr val="accent2"/>
            </a:solidFill>
            <a:ln>
              <a:noFill/>
            </a:ln>
            <a:effectLst/>
          </c:spPr>
          <c:invertIfNegative val="0"/>
          <c:val>
            <c:numRef>
              <c:f>'Ratio Charts'!$P$3:$P$7</c:f>
              <c:numCache>
                <c:formatCode>General</c:formatCode>
                <c:ptCount val="5"/>
                <c:pt idx="0">
                  <c:v>85.9</c:v>
                </c:pt>
                <c:pt idx="1">
                  <c:v>138.4</c:v>
                </c:pt>
                <c:pt idx="2">
                  <c:v>152.30000000000001</c:v>
                </c:pt>
                <c:pt idx="3">
                  <c:v>167.6</c:v>
                </c:pt>
                <c:pt idx="4">
                  <c:v>18</c:v>
                </c:pt>
              </c:numCache>
            </c:numRef>
          </c:val>
          <c:extLst>
            <c:ext xmlns:c16="http://schemas.microsoft.com/office/drawing/2014/chart" uri="{C3380CC4-5D6E-409C-BE32-E72D297353CC}">
              <c16:uniqueId val="{00000001-45A1-4E77-BE48-CBAF4BE8169E}"/>
            </c:ext>
          </c:extLst>
        </c:ser>
        <c:dLbls>
          <c:showLegendKey val="0"/>
          <c:showVal val="0"/>
          <c:showCatName val="0"/>
          <c:showSerName val="0"/>
          <c:showPercent val="0"/>
          <c:showBubbleSize val="0"/>
        </c:dLbls>
        <c:gapWidth val="182"/>
        <c:axId val="419653416"/>
        <c:axId val="418552160"/>
      </c:barChart>
      <c:catAx>
        <c:axId val="41965341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552160"/>
        <c:crosses val="autoZero"/>
        <c:auto val="1"/>
        <c:lblAlgn val="ctr"/>
        <c:lblOffset val="100"/>
        <c:noMultiLvlLbl val="0"/>
      </c:catAx>
      <c:valAx>
        <c:axId val="4185521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96534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877FB9-458F-4AED-9EA4-2C92DDACF1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1</Pages>
  <Words>13239</Words>
  <Characters>75463</Characters>
  <DocSecurity>0</DocSecurity>
  <Lines>628</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2026-06-26T04:53:00Z</dcterms:created>
  <dcterms:modified xsi:type="dcterms:W3CDTF">2026-07-03T10:40:00Z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4cce5811-bf5d-4769-9a0c-e72c524b5c3b</vt:lpwstr>
  </property>
  <property fmtid="{D5CDD505-2E9C-101B-9397-08002B2CF9AE}" pid="3" name="Mendeley Recent Style Id 0_1">
    <vt:lpwstr>http://www.zotero.org/styles/american-medical-association</vt:lpwstr>
  </property>
  <property fmtid="{D5CDD505-2E9C-101B-9397-08002B2CF9AE}" pid="4" name="Mendeley Recent Style Name 0_1">
    <vt:lpwstr>AMA Manual of Style 11th edition</vt:lpwstr>
  </property>
  <property fmtid="{D5CDD505-2E9C-101B-9397-08002B2CF9AE}" pid="5" name="Mendeley Recent Style Id 1_1">
    <vt:lpwstr>http://www.zotero.org/styles/apa</vt:lpwstr>
  </property>
  <property fmtid="{D5CDD505-2E9C-101B-9397-08002B2CF9AE}" pid="6" name="Mendeley Recent Style Name 1_1">
    <vt:lpwstr>APA Style 7th edition</vt:lpwstr>
  </property>
  <property fmtid="{D5CDD505-2E9C-101B-9397-08002B2CF9AE}" pid="7" name="Mendeley Recent Style Id 2_1">
    <vt:lpwstr>http://www.zotero.org/styles/american-political-science-association</vt:lpwstr>
  </property>
  <property fmtid="{D5CDD505-2E9C-101B-9397-08002B2CF9AE}" pid="8" name="Mendeley Recent Style Name 2_1">
    <vt:lpwstr>APSA Style Manual revised 2018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ASA Style Guide 6th/7th edition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18th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12th edition (author-date/Harvard)</vt:lpwstr>
  </property>
  <property fmtid="{D5CDD505-2E9C-101B-9397-08002B2CF9AE}" pid="15" name="Mendeley Recent Style Id 6_1">
    <vt:lpwstr>http://www.zotero.org/styles/ieee</vt:lpwstr>
  </property>
  <property fmtid="{D5CDD505-2E9C-101B-9397-08002B2CF9AE}" pid="16" name="Mendeley Recent Style Name 6_1">
    <vt:lpwstr>IEEE Reference Guide version 11.29.2023</vt:lpwstr>
  </property>
  <property fmtid="{D5CDD505-2E9C-101B-9397-08002B2CF9AE}" pid="17" name="Mendeley Recent Style Id 7_1">
    <vt:lpwstr>http://www.zotero.org/styles/modern-language-association</vt:lpwstr>
  </property>
  <property fmtid="{D5CDD505-2E9C-101B-9397-08002B2CF9AE}" pid="18" name="Mendeley Recent Style Name 7_1">
    <vt:lpwstr>MLA Handbook 9th edition (in-text citations)</vt:lpwstr>
  </property>
  <property fmtid="{D5CDD505-2E9C-101B-9397-08002B2CF9AE}" pid="19" name="Mendeley Recent Style Id 8_1">
    <vt:lpwstr>http://www.zotero.org/styles/modern-humanities-research-association</vt:lpwstr>
  </property>
  <property fmtid="{D5CDD505-2E9C-101B-9397-08002B2CF9AE}" pid="20" name="Mendeley Recent Style Name 8_1">
    <vt:lpwstr>Modern Humanities Research Association 3rd edition (note with bibliography)</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b39295ab-42aa-3e58-87c7-9581cea84bba</vt:lpwstr>
  </property>
  <property fmtid="{D5CDD505-2E9C-101B-9397-08002B2CF9AE}" pid="25" name="Mendeley Citation Style_1">
    <vt:lpwstr>http://www.zotero.org/styles/harvard-cite-them-right</vt:lpwstr>
  </property>
</Properties>
</file>