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0F17" w14:textId="44AA9CEA" w:rsidR="00443E0C" w:rsidRDefault="002C6463" w:rsidP="00013869">
      <w:pPr>
        <w:jc w:val="center"/>
        <w:rPr>
          <w:rFonts w:ascii="Cambria" w:hAnsi="Cambria"/>
          <w:b/>
          <w:sz w:val="32"/>
          <w:szCs w:val="32"/>
        </w:rPr>
      </w:pPr>
      <w:r>
        <w:rPr>
          <w:rFonts w:ascii="Cambria" w:hAnsi="Cambria"/>
          <w:b/>
          <w:sz w:val="32"/>
          <w:szCs w:val="32"/>
        </w:rPr>
        <w:t>Drive Cycle Model Assessment and Powertrain Specification for a Hybrid Hydrogen Electric Vehicle</w:t>
      </w:r>
    </w:p>
    <w:p w14:paraId="1EFCDF76" w14:textId="77777777" w:rsidR="00123624" w:rsidRPr="00843EDF" w:rsidRDefault="00123624" w:rsidP="00123624">
      <w:pPr>
        <w:spacing w:after="120"/>
        <w:jc w:val="center"/>
        <w:rPr>
          <w:rFonts w:ascii="Cambria" w:hAnsi="Cambria"/>
          <w:b/>
          <w:sz w:val="24"/>
          <w:szCs w:val="24"/>
          <w:vertAlign w:val="superscript"/>
        </w:rPr>
      </w:pPr>
      <w:r w:rsidRPr="00843EDF">
        <w:rPr>
          <w:rFonts w:ascii="Cambria" w:hAnsi="Cambria"/>
          <w:b/>
          <w:sz w:val="24"/>
          <w:szCs w:val="24"/>
        </w:rPr>
        <w:t>Maya Myer 1801800</w:t>
      </w:r>
    </w:p>
    <w:p w14:paraId="66156591" w14:textId="77777777" w:rsidR="00123624" w:rsidRPr="00843EDF" w:rsidRDefault="00123624" w:rsidP="00123624">
      <w:pPr>
        <w:pStyle w:val="IEEEAuthorAffiliation"/>
        <w:spacing w:after="0"/>
        <w:rPr>
          <w:rFonts w:ascii="Cambria" w:hAnsi="Cambria"/>
          <w:lang w:val="en-US"/>
        </w:rPr>
      </w:pPr>
      <w:r w:rsidRPr="00843EDF">
        <w:rPr>
          <w:rFonts w:ascii="Cambria" w:hAnsi="Cambria"/>
          <w:i w:val="0"/>
          <w:iCs/>
          <w:szCs w:val="20"/>
          <w:lang w:val="en-US"/>
        </w:rPr>
        <w:t xml:space="preserve">Maya Myer, Motorcycle </w:t>
      </w:r>
      <w:r w:rsidRPr="00843EDF">
        <w:rPr>
          <w:rFonts w:ascii="Cambria" w:hAnsi="Cambria"/>
          <w:i w:val="0"/>
          <w:szCs w:val="20"/>
          <w:lang w:val="en-US"/>
        </w:rPr>
        <w:t>Engineering, University of Wales Trinity Saint David, Swansea, SA1 8PH</w:t>
      </w:r>
      <w:r w:rsidRPr="00843EDF">
        <w:rPr>
          <w:rFonts w:ascii="Cambria" w:hAnsi="Cambria"/>
          <w:szCs w:val="20"/>
          <w:lang w:val="en-US"/>
        </w:rPr>
        <w:t xml:space="preserve"> </w:t>
      </w:r>
    </w:p>
    <w:p w14:paraId="380AAF3B" w14:textId="77777777" w:rsidR="009E298A" w:rsidRDefault="009E298A">
      <w:pPr>
        <w:pStyle w:val="NoSpacing"/>
        <w:jc w:val="center"/>
        <w:rPr>
          <w:rFonts w:ascii="Cambria" w:hAnsi="Cambria"/>
          <w:color w:val="FF0000"/>
        </w:rPr>
      </w:pPr>
    </w:p>
    <w:p w14:paraId="0CF1434D" w14:textId="65934C13" w:rsidR="00443E0C" w:rsidRDefault="00F6591B">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49B26A87" wp14:editId="273CE113">
                <wp:simplePos x="0" y="0"/>
                <wp:positionH relativeFrom="column">
                  <wp:posOffset>31115</wp:posOffset>
                </wp:positionH>
                <wp:positionV relativeFrom="paragraph">
                  <wp:posOffset>6350</wp:posOffset>
                </wp:positionV>
                <wp:extent cx="6685280" cy="0"/>
                <wp:effectExtent l="2540" t="3175" r="8255" b="635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107555E"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1EAFA4C9"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1DB841EB" w14:textId="50D138F2" w:rsidR="00E477B3" w:rsidRDefault="00E477B3" w:rsidP="00E477B3">
      <w:pPr>
        <w:rPr>
          <w:rFonts w:ascii="Cambria" w:hAnsi="Cambria"/>
        </w:rPr>
      </w:pPr>
      <w:r>
        <w:rPr>
          <w:rFonts w:ascii="Cambria" w:hAnsi="Cambria"/>
        </w:rPr>
        <w:t>Abstract</w:t>
      </w:r>
    </w:p>
    <w:p w14:paraId="55320A09" w14:textId="30E2411E" w:rsidR="00E477B3" w:rsidRPr="000F3DB4" w:rsidRDefault="00E477B3" w:rsidP="000B23F7">
      <w:pPr>
        <w:spacing w:line="240" w:lineRule="auto"/>
        <w:ind w:left="1080" w:right="1107" w:firstLine="360"/>
        <w:jc w:val="both"/>
        <w:rPr>
          <w:rFonts w:ascii="Cambria" w:hAnsi="Cambria"/>
          <w:sz w:val="24"/>
          <w:szCs w:val="24"/>
        </w:rPr>
      </w:pPr>
      <w:r w:rsidRPr="000F3DB4">
        <w:rPr>
          <w:rFonts w:ascii="Cambria" w:hAnsi="Cambria"/>
          <w:sz w:val="24"/>
          <w:szCs w:val="24"/>
        </w:rPr>
        <w:t>A</w:t>
      </w:r>
      <w:r w:rsidR="000F3DB4" w:rsidRPr="000F3DB4">
        <w:rPr>
          <w:rFonts w:ascii="Cambria" w:hAnsi="Cambria"/>
          <w:sz w:val="24"/>
          <w:szCs w:val="24"/>
        </w:rPr>
        <w:t xml:space="preserve">n analytical model of a Tesla Model 3 electric vehicle was developed in </w:t>
      </w:r>
      <w:proofErr w:type="spellStart"/>
      <w:r w:rsidR="000F3DB4" w:rsidRPr="000F3DB4">
        <w:rPr>
          <w:rFonts w:ascii="Cambria" w:hAnsi="Cambria"/>
          <w:sz w:val="24"/>
          <w:szCs w:val="24"/>
        </w:rPr>
        <w:t>Matlab</w:t>
      </w:r>
      <w:proofErr w:type="spellEnd"/>
      <w:r w:rsidR="000F3DB4" w:rsidRPr="000F3DB4">
        <w:rPr>
          <w:rFonts w:ascii="Cambria" w:hAnsi="Cambria"/>
          <w:sz w:val="24"/>
          <w:szCs w:val="24"/>
        </w:rPr>
        <w:t xml:space="preserve"> and verified against both consumer and test data, after which it was altered to simulate the replacement of part of the battery pack with a hydrogen fuel cell system. The original model was found to erroneously simulate both hydrogen consumption and battery charging behavior, and was re-written to resolve these issues. The new model included increased functionality such as the ability to charge the battery with the fuel cell. The new model was verified against the same consumer and test data and then used to size the hydrogen storage, fuel cell, and battery components of the proposed hybrid powertrain. It was discovered that a high pressure tank capable of storing 9.5kg of hydrogen coupled with a 40 amp fuel cell could increase the simulated WLTP range of the vehicle by approximately 200km while reducing the battery pack to one quarter of its original size.</w:t>
      </w:r>
    </w:p>
    <w:p w14:paraId="38C60A93" w14:textId="6B90667A" w:rsidR="00AD1A00" w:rsidRDefault="00AC4B9F" w:rsidP="00204C8C">
      <w:pPr>
        <w:pStyle w:val="Heading1"/>
      </w:pPr>
      <w:r>
        <w:t xml:space="preserve">1 </w:t>
      </w:r>
      <w:r w:rsidR="00AD1A00">
        <w:t>Introduction</w:t>
      </w:r>
    </w:p>
    <w:p w14:paraId="0CEA7206" w14:textId="4534F917" w:rsidR="00AD1A00" w:rsidRDefault="00AD1A00" w:rsidP="00CA6DBA">
      <w:pPr>
        <w:spacing w:after="0" w:line="240" w:lineRule="auto"/>
        <w:ind w:firstLine="720"/>
        <w:rPr>
          <w:rFonts w:ascii="Cambria" w:hAnsi="Cambria"/>
          <w:sz w:val="24"/>
          <w:szCs w:val="24"/>
        </w:rPr>
      </w:pPr>
    </w:p>
    <w:p w14:paraId="52E1A5E7" w14:textId="1B063555" w:rsidR="007D5654" w:rsidRDefault="00E14A5A" w:rsidP="006754D1">
      <w:pPr>
        <w:spacing w:after="0" w:line="240" w:lineRule="auto"/>
        <w:ind w:firstLine="720"/>
        <w:jc w:val="both"/>
        <w:rPr>
          <w:rFonts w:ascii="Cambria" w:hAnsi="Cambria"/>
          <w:sz w:val="24"/>
          <w:szCs w:val="24"/>
        </w:rPr>
      </w:pPr>
      <w:r>
        <w:rPr>
          <w:noProof/>
        </w:rPr>
        <mc:AlternateContent>
          <mc:Choice Requires="wps">
            <w:drawing>
              <wp:anchor distT="0" distB="0" distL="114300" distR="114300" simplePos="0" relativeHeight="251660800" behindDoc="0" locked="0" layoutInCell="1" allowOverlap="1" wp14:anchorId="7AA5B034" wp14:editId="4434B84A">
                <wp:simplePos x="0" y="0"/>
                <wp:positionH relativeFrom="margin">
                  <wp:align>right</wp:align>
                </wp:positionH>
                <wp:positionV relativeFrom="paragraph">
                  <wp:posOffset>697230</wp:posOffset>
                </wp:positionV>
                <wp:extent cx="3638550" cy="276225"/>
                <wp:effectExtent l="0" t="0" r="0" b="9525"/>
                <wp:wrapSquare wrapText="bothSides"/>
                <wp:docPr id="11" name="Text Box 11"/>
                <wp:cNvGraphicFramePr/>
                <a:graphic xmlns:a="http://schemas.openxmlformats.org/drawingml/2006/main">
                  <a:graphicData uri="http://schemas.microsoft.com/office/word/2010/wordprocessingShape">
                    <wps:wsp>
                      <wps:cNvSpPr txBox="1"/>
                      <wps:spPr>
                        <a:xfrm>
                          <a:off x="0" y="0"/>
                          <a:ext cx="3638550" cy="276225"/>
                        </a:xfrm>
                        <a:prstGeom prst="rect">
                          <a:avLst/>
                        </a:prstGeom>
                        <a:solidFill>
                          <a:prstClr val="white"/>
                        </a:solidFill>
                        <a:ln>
                          <a:noFill/>
                        </a:ln>
                      </wps:spPr>
                      <wps:txbx>
                        <w:txbxContent>
                          <w:p w14:paraId="2CC6C45A" w14:textId="45DA9E1D" w:rsidR="00F710E5" w:rsidRPr="008F17A6" w:rsidRDefault="00F710E5" w:rsidP="00F710E5">
                            <w:pPr>
                              <w:pStyle w:val="Caption"/>
                              <w:rPr>
                                <w:rFonts w:ascii="Cambria" w:hAnsi="Cambria"/>
                                <w:noProof/>
                                <w:sz w:val="24"/>
                                <w:szCs w:val="24"/>
                              </w:rPr>
                            </w:pPr>
                            <w:r>
                              <w:t xml:space="preserve">Table </w:t>
                            </w:r>
                            <w:r>
                              <w:fldChar w:fldCharType="begin"/>
                            </w:r>
                            <w:r>
                              <w:instrText xml:space="preserve"> SEQ Table \* ARABIC </w:instrText>
                            </w:r>
                            <w:r>
                              <w:fldChar w:fldCharType="separate"/>
                            </w:r>
                            <w:r w:rsidR="00D6391D">
                              <w:rPr>
                                <w:noProof/>
                              </w:rPr>
                              <w:t>1</w:t>
                            </w:r>
                            <w:r>
                              <w:fldChar w:fldCharType="end"/>
                            </w:r>
                            <w:r>
                              <w:t>: Results comparison of the initial analytical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AA5B034" id="_x0000_t202" coordsize="21600,21600" o:spt="202" path="m,l,21600r21600,l21600,xe">
                <v:stroke joinstyle="miter"/>
                <v:path gradientshapeok="t" o:connecttype="rect"/>
              </v:shapetype>
              <v:shape id="Text Box 11" o:spid="_x0000_s1026" type="#_x0000_t202" style="position:absolute;left:0;text-align:left;margin-left:235.3pt;margin-top:54.9pt;width:286.5pt;height:21.75pt;z-index:2516608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" stroked="f">
                <v:textbox inset="0,0,0,0">
                  <w:txbxContent>
                    <w:p w14:paraId="2CC6C45A" w14:textId="45DA9E1D" w:rsidR="00F710E5" w:rsidRPr="008F17A6" w:rsidRDefault="00F710E5" w:rsidP="00F710E5">
                      <w:pPr>
                        <w:pStyle w:val="Caption"/>
                        <w:rPr>
                          <w:rFonts w:ascii="Cambria" w:hAnsi="Cambria"/>
                          <w:noProof/>
                          <w:sz w:val="24"/>
                          <w:szCs w:val="24"/>
                        </w:rPr>
                      </w:pPr>
                      <w:r>
                        <w:t xml:space="preserve">Table </w:t>
                      </w:r>
                      <w:r>
                        <w:fldChar w:fldCharType="begin"/>
                      </w:r>
                      <w:r>
                        <w:instrText xml:space="preserve"> SEQ Table \* ARABIC </w:instrText>
                      </w:r>
                      <w:r>
                        <w:fldChar w:fldCharType="separate"/>
                      </w:r>
                      <w:r w:rsidR="00D6391D">
                        <w:rPr>
                          <w:noProof/>
                        </w:rPr>
                        <w:t>1</w:t>
                      </w:r>
                      <w:r>
                        <w:fldChar w:fldCharType="end"/>
                      </w:r>
                      <w:r>
                        <w:t>: Results comparison of the initial analytical model</w:t>
                      </w:r>
                    </w:p>
                  </w:txbxContent>
                </v:textbox>
                <w10:wrap type="square" anchorx="margin"/>
              </v:shape>
            </w:pict>
          </mc:Fallback>
        </mc:AlternateContent>
      </w:r>
      <w:r>
        <w:rPr>
          <w:rFonts w:ascii="Cambria" w:hAnsi="Cambria"/>
          <w:noProof/>
          <w:sz w:val="24"/>
          <w:szCs w:val="24"/>
        </w:rPr>
        <w:drawing>
          <wp:anchor distT="0" distB="0" distL="114300" distR="114300" simplePos="0" relativeHeight="251658752" behindDoc="0" locked="0" layoutInCell="1" allowOverlap="1" wp14:anchorId="7E04E59B" wp14:editId="62A472BB">
            <wp:simplePos x="0" y="0"/>
            <wp:positionH relativeFrom="margin">
              <wp:align>right</wp:align>
            </wp:positionH>
            <wp:positionV relativeFrom="paragraph">
              <wp:posOffset>973455</wp:posOffset>
            </wp:positionV>
            <wp:extent cx="3638550" cy="104902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38550" cy="1049020"/>
                    </a:xfrm>
                    <a:prstGeom prst="rect">
                      <a:avLst/>
                    </a:prstGeom>
                    <a:noFill/>
                  </pic:spPr>
                </pic:pic>
              </a:graphicData>
            </a:graphic>
          </wp:anchor>
        </w:drawing>
      </w:r>
      <w:r w:rsidR="006754D1">
        <w:rPr>
          <w:rFonts w:ascii="Cambria" w:hAnsi="Cambria"/>
          <w:sz w:val="24"/>
          <w:szCs w:val="24"/>
        </w:rPr>
        <w:t xml:space="preserve">A drive cycle simulation was previously constructed in </w:t>
      </w:r>
      <w:proofErr w:type="spellStart"/>
      <w:r w:rsidR="006754D1">
        <w:rPr>
          <w:rFonts w:ascii="Cambria" w:hAnsi="Cambria"/>
          <w:sz w:val="24"/>
          <w:szCs w:val="24"/>
        </w:rPr>
        <w:t>Matlab</w:t>
      </w:r>
      <w:proofErr w:type="spellEnd"/>
      <w:r w:rsidR="006754D1">
        <w:rPr>
          <w:rFonts w:ascii="Cambria" w:hAnsi="Cambria"/>
          <w:sz w:val="24"/>
          <w:szCs w:val="24"/>
        </w:rPr>
        <w:t xml:space="preserve"> using analytical methods to describe the behavior of a Tesla model 3 performing the worldwide harmonized light vehicles test procedure (WLTP). The analytical model was found to perform well when compared to test and consumer data—as shown in table 1, the model results fell neatly within the range of values obtained </w:t>
      </w:r>
      <w:r w:rsidR="00F710E5">
        <w:rPr>
          <w:rFonts w:ascii="Cambria" w:hAnsi="Cambria"/>
          <w:sz w:val="24"/>
          <w:szCs w:val="24"/>
        </w:rPr>
        <w:t>externally.</w:t>
      </w:r>
      <w:r>
        <w:rPr>
          <w:rFonts w:ascii="Cambria" w:hAnsi="Cambria"/>
          <w:sz w:val="24"/>
          <w:szCs w:val="24"/>
        </w:rPr>
        <w:t xml:space="preserve"> The sales data used in table 1 was obtained from two sources: the WLTP Range was found on an auto-enthusiast blog, The Best about Repair (2022), while the </w:t>
      </w:r>
      <w:proofErr w:type="spellStart"/>
      <w:r>
        <w:rPr>
          <w:rFonts w:ascii="Cambria" w:hAnsi="Cambria"/>
          <w:sz w:val="24"/>
          <w:szCs w:val="24"/>
        </w:rPr>
        <w:t>Wh</w:t>
      </w:r>
      <w:proofErr w:type="spellEnd"/>
      <w:r>
        <w:rPr>
          <w:rFonts w:ascii="Cambria" w:hAnsi="Cambria"/>
          <w:sz w:val="24"/>
          <w:szCs w:val="24"/>
        </w:rPr>
        <w:t>/km were obtained directly from the Model 3 sales page (Tesla, 2022).</w:t>
      </w:r>
      <w:r w:rsidR="00F710E5">
        <w:rPr>
          <w:rFonts w:ascii="Cambria" w:hAnsi="Cambria"/>
          <w:sz w:val="24"/>
          <w:szCs w:val="24"/>
        </w:rPr>
        <w:t xml:space="preserve"> Once validated, the model was then altered to approximate half of the battery being removed and replaced by a hydrogen fuel cell system. While the measurement metrics remained relatively unchanged for the altered model, a problem with the mathematics resulted in erroneously low hydrogen usage of approximately 0.3 grams used through one WLTP cycle. In order to properly specify powertrain components for the proposed hydrogen hybrid vehicle, it became evident that an overhaul of the analytical model was needed.</w:t>
      </w:r>
    </w:p>
    <w:p w14:paraId="43CDDAD3" w14:textId="3DB4EE3B" w:rsidR="00E14A5A" w:rsidRDefault="00E14A5A" w:rsidP="006754D1">
      <w:pPr>
        <w:spacing w:after="0" w:line="240" w:lineRule="auto"/>
        <w:ind w:firstLine="720"/>
        <w:jc w:val="both"/>
        <w:rPr>
          <w:rFonts w:ascii="Cambria" w:hAnsi="Cambria"/>
          <w:sz w:val="24"/>
          <w:szCs w:val="24"/>
        </w:rPr>
      </w:pPr>
    </w:p>
    <w:p w14:paraId="612411FE" w14:textId="1F9334A4" w:rsidR="00E14A5A" w:rsidRDefault="00E14A5A" w:rsidP="00E14A5A">
      <w:pPr>
        <w:pStyle w:val="Heading1"/>
      </w:pPr>
      <w:r>
        <w:t>2 Analytical Model</w:t>
      </w:r>
      <w:r w:rsidR="00837329">
        <w:t xml:space="preserve"> Assessment</w:t>
      </w:r>
    </w:p>
    <w:p w14:paraId="59737176" w14:textId="239DCCDF" w:rsidR="00E14A5A" w:rsidRDefault="00E14A5A" w:rsidP="006754D1">
      <w:pPr>
        <w:spacing w:after="0" w:line="240" w:lineRule="auto"/>
        <w:ind w:firstLine="720"/>
        <w:jc w:val="both"/>
        <w:rPr>
          <w:rFonts w:ascii="Cambria" w:hAnsi="Cambria"/>
          <w:sz w:val="24"/>
          <w:szCs w:val="24"/>
        </w:rPr>
      </w:pPr>
    </w:p>
    <w:p w14:paraId="77C94799" w14:textId="2B5180B3" w:rsidR="00E14A5A" w:rsidRPr="006E1DB5" w:rsidRDefault="00837329" w:rsidP="006754D1">
      <w:pPr>
        <w:spacing w:after="0" w:line="240" w:lineRule="auto"/>
        <w:ind w:firstLine="720"/>
        <w:jc w:val="both"/>
        <w:rPr>
          <w:rFonts w:ascii="Cambria" w:hAnsi="Cambria"/>
          <w:sz w:val="24"/>
          <w:szCs w:val="24"/>
        </w:rPr>
      </w:pPr>
      <w:r w:rsidRPr="00837329">
        <w:rPr>
          <w:rFonts w:ascii="Cambria" w:hAnsi="Cambria"/>
          <w:sz w:val="24"/>
          <w:szCs w:val="24"/>
        </w:rPr>
        <w:t>While the erroneous hydrogen consumption figures were an obvious issue of the analytical model, upon further investigation more errors were found. These errors were less immediately apparent and sprung not so much mathematical errors as they did from the way in which data was processed through the model. In order to understand why these errors occurred, a brief explanation of the model</w:t>
      </w:r>
      <w:r>
        <w:rPr>
          <w:rFonts w:ascii="Cambria" w:hAnsi="Cambria"/>
          <w:sz w:val="24"/>
          <w:szCs w:val="24"/>
        </w:rPr>
        <w:t>’s function is required. Simulation happened in three stages: first,</w:t>
      </w:r>
      <w:r w:rsidR="00507CB7">
        <w:rPr>
          <w:rFonts w:ascii="Cambria" w:hAnsi="Cambria"/>
          <w:sz w:val="24"/>
          <w:szCs w:val="24"/>
        </w:rPr>
        <w:t xml:space="preserve"> drive cycle forces were calculated based on user input vehicle specifications such as weight, aerodynamic resistance, et cetera and on an imported ideal speed trace for the WLTP. First principles mathematics was used to calculate the total driving force demand at each second of the drive cycle: equations 1 – 5 </w:t>
      </w:r>
      <w:r w:rsidR="006E1DB5">
        <w:rPr>
          <w:rFonts w:ascii="Cambria" w:hAnsi="Cambria"/>
          <w:sz w:val="24"/>
          <w:szCs w:val="24"/>
        </w:rPr>
        <w:t>show the formulae used in this step. Here, A is acceleration in m/s</w:t>
      </w:r>
      <w:r w:rsidR="006E1DB5">
        <w:rPr>
          <w:rFonts w:ascii="Cambria" w:hAnsi="Cambria"/>
          <w:sz w:val="24"/>
          <w:szCs w:val="24"/>
          <w:vertAlign w:val="superscript"/>
        </w:rPr>
        <w:t>2</w:t>
      </w:r>
      <w:r w:rsidR="006E1DB5">
        <w:rPr>
          <w:rFonts w:ascii="Cambria" w:hAnsi="Cambria"/>
          <w:sz w:val="24"/>
          <w:szCs w:val="24"/>
        </w:rPr>
        <w:t xml:space="preserve">; </w:t>
      </w:r>
      <w:proofErr w:type="spellStart"/>
      <w:r w:rsidR="006E1DB5">
        <w:rPr>
          <w:rFonts w:ascii="Cambria" w:hAnsi="Cambria"/>
          <w:sz w:val="24"/>
          <w:szCs w:val="24"/>
        </w:rPr>
        <w:t>v</w:t>
      </w:r>
      <w:r w:rsidR="006E1DB5">
        <w:rPr>
          <w:rFonts w:ascii="Cambria" w:hAnsi="Cambria"/>
          <w:sz w:val="24"/>
          <w:szCs w:val="24"/>
          <w:vertAlign w:val="subscript"/>
        </w:rPr>
        <w:t>n</w:t>
      </w:r>
      <w:proofErr w:type="spellEnd"/>
      <w:r w:rsidR="006E1DB5">
        <w:rPr>
          <w:rFonts w:ascii="Cambria" w:hAnsi="Cambria"/>
          <w:sz w:val="24"/>
          <w:szCs w:val="24"/>
        </w:rPr>
        <w:t xml:space="preserve"> and v</w:t>
      </w:r>
      <w:r w:rsidR="006E1DB5">
        <w:rPr>
          <w:rFonts w:ascii="Cambria" w:hAnsi="Cambria"/>
          <w:sz w:val="24"/>
          <w:szCs w:val="24"/>
          <w:vertAlign w:val="subscript"/>
        </w:rPr>
        <w:t>n-1</w:t>
      </w:r>
      <w:r w:rsidR="006E1DB5">
        <w:rPr>
          <w:rFonts w:ascii="Cambria" w:hAnsi="Cambria"/>
          <w:sz w:val="24"/>
          <w:szCs w:val="24"/>
        </w:rPr>
        <w:t xml:space="preserve"> are the m/s velocities in the current and previous time step, respectively; </w:t>
      </w:r>
      <w:proofErr w:type="spellStart"/>
      <w:r w:rsidR="006E1DB5">
        <w:rPr>
          <w:rFonts w:ascii="Cambria" w:hAnsi="Cambria"/>
          <w:sz w:val="24"/>
          <w:szCs w:val="24"/>
        </w:rPr>
        <w:t>F</w:t>
      </w:r>
      <w:r w:rsidR="006E1DB5">
        <w:rPr>
          <w:rFonts w:ascii="Cambria" w:hAnsi="Cambria"/>
          <w:sz w:val="24"/>
          <w:szCs w:val="24"/>
          <w:vertAlign w:val="subscript"/>
        </w:rPr>
        <w:t>d</w:t>
      </w:r>
      <w:proofErr w:type="spellEnd"/>
      <w:r w:rsidR="006E1DB5">
        <w:rPr>
          <w:rFonts w:ascii="Cambria" w:hAnsi="Cambria"/>
          <w:sz w:val="24"/>
          <w:szCs w:val="24"/>
        </w:rPr>
        <w:t xml:space="preserve"> is the force of drag in newtons; </w:t>
      </w:r>
      <w:proofErr w:type="spellStart"/>
      <w:r w:rsidR="006E1DB5">
        <w:rPr>
          <w:rFonts w:ascii="Cambria" w:hAnsi="Cambria"/>
          <w:sz w:val="24"/>
          <w:szCs w:val="24"/>
        </w:rPr>
        <w:t>CdA</w:t>
      </w:r>
      <w:proofErr w:type="spellEnd"/>
      <w:r w:rsidR="006E1DB5">
        <w:rPr>
          <w:rFonts w:ascii="Cambria" w:hAnsi="Cambria"/>
          <w:sz w:val="24"/>
          <w:szCs w:val="24"/>
        </w:rPr>
        <w:t>, treated as one unit, is the combination of drag coefficient and frontal area of the vehicle; F</w:t>
      </w:r>
      <w:r w:rsidR="006E1DB5">
        <w:rPr>
          <w:rFonts w:ascii="Cambria" w:hAnsi="Cambria"/>
          <w:sz w:val="24"/>
          <w:szCs w:val="24"/>
          <w:vertAlign w:val="subscript"/>
        </w:rPr>
        <w:t>i</w:t>
      </w:r>
      <w:r w:rsidR="006E1DB5">
        <w:rPr>
          <w:rFonts w:ascii="Cambria" w:hAnsi="Cambria"/>
          <w:sz w:val="24"/>
          <w:szCs w:val="24"/>
        </w:rPr>
        <w:t xml:space="preserve"> is the newtons of inertial force; m and m</w:t>
      </w:r>
      <w:r w:rsidR="006E1DB5">
        <w:rPr>
          <w:rFonts w:ascii="Cambria" w:hAnsi="Cambria"/>
          <w:sz w:val="24"/>
          <w:szCs w:val="24"/>
          <w:vertAlign w:val="subscript"/>
        </w:rPr>
        <w:t>e</w:t>
      </w:r>
      <w:r w:rsidR="006E1DB5">
        <w:rPr>
          <w:rFonts w:ascii="Cambria" w:hAnsi="Cambria"/>
          <w:sz w:val="24"/>
          <w:szCs w:val="24"/>
        </w:rPr>
        <w:t xml:space="preserve"> are the static and equivalent masses in kg, respectively; F</w:t>
      </w:r>
      <w:r w:rsidR="006E1DB5">
        <w:rPr>
          <w:rFonts w:ascii="Cambria" w:hAnsi="Cambria"/>
          <w:sz w:val="24"/>
          <w:szCs w:val="24"/>
          <w:vertAlign w:val="subscript"/>
        </w:rPr>
        <w:t>T</w:t>
      </w:r>
      <w:r w:rsidR="006E1DB5">
        <w:rPr>
          <w:rFonts w:ascii="Cambria" w:hAnsi="Cambria"/>
          <w:sz w:val="24"/>
          <w:szCs w:val="24"/>
        </w:rPr>
        <w:t xml:space="preserve"> represents the total newtons of force acting on the vehicle; F</w:t>
      </w:r>
      <w:r w:rsidR="006E1DB5">
        <w:rPr>
          <w:rFonts w:ascii="Cambria" w:hAnsi="Cambria"/>
          <w:sz w:val="24"/>
          <w:szCs w:val="24"/>
          <w:vertAlign w:val="subscript"/>
        </w:rPr>
        <w:t>r</w:t>
      </w:r>
      <w:r w:rsidR="006E1DB5">
        <w:rPr>
          <w:rFonts w:ascii="Cambria" w:hAnsi="Cambria"/>
          <w:sz w:val="24"/>
          <w:szCs w:val="24"/>
        </w:rPr>
        <w:t xml:space="preserve">, the newtons of rolling resistance was treated as a user defined constant for simplicity; </w:t>
      </w:r>
      <w:proofErr w:type="spellStart"/>
      <w:r w:rsidR="006E1DB5">
        <w:rPr>
          <w:rFonts w:ascii="Cambria" w:hAnsi="Cambria"/>
          <w:sz w:val="24"/>
          <w:szCs w:val="24"/>
        </w:rPr>
        <w:t>S</w:t>
      </w:r>
      <w:r w:rsidR="006E1DB5">
        <w:rPr>
          <w:rFonts w:ascii="Cambria" w:hAnsi="Cambria"/>
          <w:sz w:val="24"/>
          <w:szCs w:val="24"/>
          <w:vertAlign w:val="subscript"/>
        </w:rPr>
        <w:t>w</w:t>
      </w:r>
      <w:proofErr w:type="spellEnd"/>
      <w:r w:rsidR="006E1DB5">
        <w:rPr>
          <w:rFonts w:ascii="Cambria" w:hAnsi="Cambria"/>
          <w:sz w:val="24"/>
          <w:szCs w:val="24"/>
        </w:rPr>
        <w:t xml:space="preserve"> was the wheel slip percentage represented as a decimal; J is the energy in joules required to drive or decelerate the vehicle; and D is the meters of distance traveled in each time step.</w:t>
      </w:r>
    </w:p>
    <w:p w14:paraId="0C89BCBD" w14:textId="1B1A4ACC" w:rsidR="00F976B6" w:rsidRDefault="00F976B6" w:rsidP="006754D1">
      <w:pPr>
        <w:spacing w:after="0" w:line="240" w:lineRule="auto"/>
        <w:ind w:firstLine="720"/>
        <w:jc w:val="both"/>
        <w:rPr>
          <w:rFonts w:ascii="Cambria" w:hAnsi="Cambria"/>
          <w:sz w:val="24"/>
          <w:szCs w:val="24"/>
        </w:rPr>
      </w:pPr>
    </w:p>
    <w:p w14:paraId="5AB4270F" w14:textId="615F16FB" w:rsidR="00F976B6" w:rsidRDefault="00F976B6" w:rsidP="006754D1">
      <w:pPr>
        <w:spacing w:after="0" w:line="240" w:lineRule="auto"/>
        <w:ind w:firstLine="720"/>
        <w:jc w:val="both"/>
        <w:rPr>
          <w:rFonts w:ascii="Cambria" w:hAnsi="Cambria"/>
          <w:sz w:val="24"/>
          <w:szCs w:val="24"/>
        </w:rPr>
      </w:pPr>
      <m:oMath>
        <m:r>
          <w:rPr>
            <w:rFonts w:ascii="Cambria Math" w:hAnsi="Cambria Math"/>
            <w:sz w:val="24"/>
            <w:szCs w:val="24"/>
          </w:rPr>
          <m:t xml:space="preserve">A= </m:t>
        </m:r>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n</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n-1</m:t>
            </m:r>
          </m:sub>
        </m:sSub>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[1]</w:t>
      </w:r>
    </w:p>
    <w:p w14:paraId="18018A9B" w14:textId="77777777" w:rsidR="006E1DB5" w:rsidRPr="00F976B6" w:rsidRDefault="006E1DB5" w:rsidP="006754D1">
      <w:pPr>
        <w:spacing w:after="0" w:line="240" w:lineRule="auto"/>
        <w:ind w:firstLine="720"/>
        <w:jc w:val="both"/>
        <w:rPr>
          <w:rFonts w:ascii="Cambria" w:hAnsi="Cambria"/>
          <w:sz w:val="24"/>
          <w:szCs w:val="24"/>
        </w:rPr>
      </w:pPr>
    </w:p>
    <w:p w14:paraId="7E1248D9" w14:textId="10DA21E8" w:rsidR="00F976B6" w:rsidRDefault="00F976B6" w:rsidP="006754D1">
      <w:pPr>
        <w:spacing w:after="0" w:line="240" w:lineRule="auto"/>
        <w:ind w:firstLine="720"/>
        <w:jc w:val="both"/>
        <w:rPr>
          <w:rFonts w:ascii="Cambria" w:hAnsi="Cambria"/>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d</m:t>
            </m:r>
          </m:sub>
        </m:sSub>
        <m:r>
          <w:rPr>
            <w:rFonts w:ascii="Cambria Math" w:hAnsi="Cambria Math"/>
            <w:sz w:val="24"/>
            <w:szCs w:val="24"/>
          </w:rPr>
          <m:t>=0.5*1.223*CdA*</m:t>
        </m:r>
        <m:sSubSup>
          <m:sSubSupPr>
            <m:ctrlPr>
              <w:rPr>
                <w:rFonts w:ascii="Cambria Math" w:hAnsi="Cambria Math"/>
                <w:i/>
                <w:sz w:val="24"/>
                <w:szCs w:val="24"/>
              </w:rPr>
            </m:ctrlPr>
          </m:sSubSupPr>
          <m:e>
            <m:r>
              <w:rPr>
                <w:rFonts w:ascii="Cambria Math" w:hAnsi="Cambria Math"/>
                <w:sz w:val="24"/>
                <w:szCs w:val="24"/>
              </w:rPr>
              <m:t>v</m:t>
            </m:r>
          </m:e>
          <m:sub>
            <m:r>
              <w:rPr>
                <w:rFonts w:ascii="Cambria Math" w:hAnsi="Cambria Math"/>
                <w:sz w:val="24"/>
                <w:szCs w:val="24"/>
              </w:rPr>
              <m:t>n</m:t>
            </m:r>
          </m:sub>
          <m:sup>
            <m:r>
              <w:rPr>
                <w:rFonts w:ascii="Cambria Math" w:hAnsi="Cambria Math"/>
                <w:sz w:val="24"/>
                <w:szCs w:val="24"/>
              </w:rPr>
              <m:t>2</m:t>
            </m:r>
          </m:sup>
        </m:sSubSup>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[2]</w:t>
      </w:r>
    </w:p>
    <w:p w14:paraId="3F0FFD19" w14:textId="77777777" w:rsidR="006E1DB5" w:rsidRPr="00F976B6" w:rsidRDefault="006E1DB5" w:rsidP="006754D1">
      <w:pPr>
        <w:spacing w:after="0" w:line="240" w:lineRule="auto"/>
        <w:ind w:firstLine="720"/>
        <w:jc w:val="both"/>
        <w:rPr>
          <w:rFonts w:ascii="Cambria" w:hAnsi="Cambria"/>
          <w:sz w:val="24"/>
          <w:szCs w:val="24"/>
        </w:rPr>
      </w:pPr>
    </w:p>
    <w:p w14:paraId="6A90522B" w14:textId="636D6F1D" w:rsidR="00F976B6" w:rsidRDefault="00F976B6" w:rsidP="006754D1">
      <w:pPr>
        <w:spacing w:after="0" w:line="240" w:lineRule="auto"/>
        <w:ind w:firstLine="720"/>
        <w:jc w:val="both"/>
        <w:rPr>
          <w:rFonts w:ascii="Cambria" w:hAnsi="Cambria"/>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i</m:t>
            </m:r>
          </m:sub>
        </m:sSub>
        <m:r>
          <w:rPr>
            <w:rFonts w:ascii="Cambria Math" w:hAnsi="Cambria Math"/>
            <w:sz w:val="24"/>
            <w:szCs w:val="24"/>
          </w:rPr>
          <m:t>=(m+</m:t>
        </m:r>
        <m:sSub>
          <m:sSubPr>
            <m:ctrlPr>
              <w:rPr>
                <w:rFonts w:ascii="Cambria Math" w:hAnsi="Cambria Math"/>
                <w:i/>
                <w:sz w:val="24"/>
                <w:szCs w:val="24"/>
              </w:rPr>
            </m:ctrlPr>
          </m:sSubPr>
          <m:e>
            <m:r>
              <w:rPr>
                <w:rFonts w:ascii="Cambria Math" w:hAnsi="Cambria Math"/>
                <w:sz w:val="24"/>
                <w:szCs w:val="24"/>
              </w:rPr>
              <m:t>m</m:t>
            </m:r>
          </m:e>
          <m:sub>
            <m:r>
              <w:rPr>
                <w:rFonts w:ascii="Cambria Math" w:hAnsi="Cambria Math"/>
                <w:sz w:val="24"/>
                <w:szCs w:val="24"/>
              </w:rPr>
              <m:t>e</m:t>
            </m:r>
          </m:sub>
        </m:sSub>
        <m:r>
          <w:rPr>
            <w:rFonts w:ascii="Cambria Math" w:hAnsi="Cambria Math"/>
            <w:sz w:val="24"/>
            <w:szCs w:val="24"/>
          </w:rPr>
          <m:t>)A</m:t>
        </m:r>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[3]</w:t>
      </w:r>
    </w:p>
    <w:p w14:paraId="784C8CDD" w14:textId="77777777" w:rsidR="006E1DB5" w:rsidRPr="00F976B6" w:rsidRDefault="006E1DB5" w:rsidP="006754D1">
      <w:pPr>
        <w:spacing w:after="0" w:line="240" w:lineRule="auto"/>
        <w:ind w:firstLine="720"/>
        <w:jc w:val="both"/>
        <w:rPr>
          <w:rFonts w:ascii="Cambria" w:hAnsi="Cambria"/>
          <w:sz w:val="24"/>
          <w:szCs w:val="24"/>
        </w:rPr>
      </w:pPr>
    </w:p>
    <w:p w14:paraId="192DD8E2" w14:textId="4A5C40C7" w:rsidR="00F976B6" w:rsidRDefault="00F976B6" w:rsidP="006754D1">
      <w:pPr>
        <w:spacing w:after="0" w:line="240" w:lineRule="auto"/>
        <w:ind w:firstLine="720"/>
        <w:jc w:val="both"/>
        <w:rPr>
          <w:rFonts w:ascii="Cambria" w:hAnsi="Cambria"/>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T</m:t>
            </m:r>
          </m:sub>
        </m:sSub>
        <m:r>
          <w:rPr>
            <w:rFonts w:ascii="Cambria Math" w:hAnsi="Cambria Math"/>
            <w:sz w:val="24"/>
            <w:szCs w:val="24"/>
          </w:rPr>
          <m:t>=</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d</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r</m:t>
                </m:r>
              </m:sub>
            </m:sSub>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i</m:t>
                </m:r>
              </m:sub>
            </m:sSub>
          </m:e>
        </m:d>
        <m:r>
          <w:rPr>
            <w:rFonts w:ascii="Cambria Math" w:hAnsi="Cambria Math"/>
            <w:sz w:val="24"/>
            <w:szCs w:val="24"/>
          </w:rPr>
          <m:t xml:space="preserve"> / (1-</m:t>
        </m:r>
        <m:sSub>
          <m:sSubPr>
            <m:ctrlPr>
              <w:rPr>
                <w:rFonts w:ascii="Cambria Math" w:hAnsi="Cambria Math"/>
                <w:i/>
                <w:sz w:val="24"/>
                <w:szCs w:val="24"/>
              </w:rPr>
            </m:ctrlPr>
          </m:sSubPr>
          <m:e>
            <m:r>
              <w:rPr>
                <w:rFonts w:ascii="Cambria Math" w:hAnsi="Cambria Math"/>
                <w:sz w:val="24"/>
                <w:szCs w:val="24"/>
              </w:rPr>
              <m:t>S</m:t>
            </m:r>
          </m:e>
          <m:sub>
            <m:r>
              <w:rPr>
                <w:rFonts w:ascii="Cambria Math" w:hAnsi="Cambria Math"/>
                <w:sz w:val="24"/>
                <w:szCs w:val="24"/>
              </w:rPr>
              <m:t>w</m:t>
            </m:r>
          </m:sub>
        </m:sSub>
        <m:r>
          <w:rPr>
            <w:rFonts w:ascii="Cambria Math" w:hAnsi="Cambria Math"/>
            <w:sz w:val="24"/>
            <w:szCs w:val="24"/>
          </w:rPr>
          <m:t>)</m:t>
        </m:r>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[4]</w:t>
      </w:r>
    </w:p>
    <w:p w14:paraId="3E828277" w14:textId="77777777" w:rsidR="006E1DB5" w:rsidRPr="00F976B6" w:rsidRDefault="006E1DB5" w:rsidP="006754D1">
      <w:pPr>
        <w:spacing w:after="0" w:line="240" w:lineRule="auto"/>
        <w:ind w:firstLine="720"/>
        <w:jc w:val="both"/>
        <w:rPr>
          <w:rFonts w:ascii="Cambria" w:hAnsi="Cambria"/>
          <w:sz w:val="24"/>
          <w:szCs w:val="24"/>
        </w:rPr>
      </w:pPr>
    </w:p>
    <w:p w14:paraId="19B9D3CC" w14:textId="70C30E85" w:rsidR="00F976B6" w:rsidRDefault="00F976B6" w:rsidP="006754D1">
      <w:pPr>
        <w:spacing w:after="0" w:line="240" w:lineRule="auto"/>
        <w:ind w:firstLine="720"/>
        <w:jc w:val="both"/>
        <w:rPr>
          <w:rFonts w:ascii="Cambria" w:hAnsi="Cambria"/>
          <w:sz w:val="24"/>
          <w:szCs w:val="24"/>
        </w:rPr>
      </w:pPr>
      <m:oMath>
        <m:r>
          <w:rPr>
            <w:rFonts w:ascii="Cambria Math" w:hAnsi="Cambria Math"/>
            <w:sz w:val="24"/>
            <w:szCs w:val="24"/>
          </w:rPr>
          <m:t xml:space="preserve">J= </m:t>
        </m:r>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T</m:t>
            </m:r>
          </m:sub>
        </m:sSub>
        <m:r>
          <w:rPr>
            <w:rFonts w:ascii="Cambria Math" w:hAnsi="Cambria Math"/>
            <w:sz w:val="24"/>
            <w:szCs w:val="24"/>
          </w:rPr>
          <m:t>*D</m:t>
        </m:r>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sidR="006E1DB5">
        <w:rPr>
          <w:rFonts w:ascii="Cambria" w:hAnsi="Cambria"/>
          <w:sz w:val="24"/>
          <w:szCs w:val="24"/>
        </w:rPr>
        <w:t>[5]</w:t>
      </w:r>
    </w:p>
    <w:p w14:paraId="0610E6B3" w14:textId="516F2789" w:rsidR="006E1DB5" w:rsidRDefault="006E1DB5" w:rsidP="006754D1">
      <w:pPr>
        <w:spacing w:after="0" w:line="240" w:lineRule="auto"/>
        <w:ind w:firstLine="720"/>
        <w:jc w:val="both"/>
        <w:rPr>
          <w:rFonts w:ascii="Cambria" w:hAnsi="Cambria"/>
          <w:sz w:val="24"/>
          <w:szCs w:val="24"/>
        </w:rPr>
      </w:pPr>
    </w:p>
    <w:p w14:paraId="304C89B0" w14:textId="08E1946A" w:rsidR="006E1DB5" w:rsidRDefault="00BE326C" w:rsidP="006754D1">
      <w:pPr>
        <w:spacing w:after="0" w:line="240" w:lineRule="auto"/>
        <w:ind w:firstLine="720"/>
        <w:jc w:val="both"/>
        <w:rPr>
          <w:rFonts w:ascii="Cambria" w:hAnsi="Cambria"/>
          <w:sz w:val="24"/>
          <w:szCs w:val="24"/>
        </w:rPr>
      </w:pPr>
      <w:r>
        <w:rPr>
          <w:rFonts w:ascii="Cambria" w:hAnsi="Cambria"/>
          <w:sz w:val="24"/>
          <w:szCs w:val="24"/>
        </w:rPr>
        <w:t>Aside from a few generalizations and assumptions, such as the constant rolling resistance and air density, this step of the model was found to perform with reasonable accuracy, and so did not meet much critical attention. Because the simulation was designed to run in 1 second time steps, equations 1 and 5 became much simpler than they might have otherwise been—equation 1, for instance, is derived from</w:t>
      </w:r>
    </w:p>
    <w:p w14:paraId="51076838" w14:textId="243611A6" w:rsidR="00BE326C" w:rsidRDefault="00BE326C" w:rsidP="006754D1">
      <w:pPr>
        <w:spacing w:after="0" w:line="240" w:lineRule="auto"/>
        <w:ind w:firstLine="720"/>
        <w:jc w:val="both"/>
        <w:rPr>
          <w:rFonts w:ascii="Cambria" w:hAnsi="Cambria"/>
          <w:sz w:val="24"/>
          <w:szCs w:val="24"/>
        </w:rPr>
      </w:pPr>
    </w:p>
    <w:p w14:paraId="494FD6F5" w14:textId="71BA84F5" w:rsidR="00BE326C" w:rsidRDefault="00BE326C" w:rsidP="006754D1">
      <w:pPr>
        <w:spacing w:after="0" w:line="240" w:lineRule="auto"/>
        <w:ind w:firstLine="720"/>
        <w:jc w:val="both"/>
        <w:rPr>
          <w:rFonts w:ascii="Cambria" w:hAnsi="Cambria"/>
          <w:sz w:val="24"/>
          <w:szCs w:val="24"/>
        </w:rPr>
      </w:pPr>
      <m:oMath>
        <m:r>
          <w:rPr>
            <w:rFonts w:ascii="Cambria Math" w:hAnsi="Cambria Math"/>
            <w:sz w:val="24"/>
            <w:szCs w:val="24"/>
          </w:rPr>
          <m:t xml:space="preserve">A= </m:t>
        </m:r>
        <m:f>
          <m:fPr>
            <m:type m:val="lin"/>
            <m:ctrlPr>
              <w:rPr>
                <w:rFonts w:ascii="Cambria Math" w:hAnsi="Cambria Math"/>
                <w:i/>
                <w:sz w:val="24"/>
                <w:szCs w:val="24"/>
              </w:rPr>
            </m:ctrlPr>
          </m:fPr>
          <m:num>
            <m:r>
              <w:rPr>
                <w:rFonts w:ascii="Cambria Math" w:hAnsi="Cambria Math"/>
                <w:sz w:val="24"/>
                <w:szCs w:val="24"/>
              </w:rPr>
              <m:t>∆D</m:t>
            </m:r>
          </m:num>
          <m:den>
            <m:r>
              <w:rPr>
                <w:rFonts w:ascii="Cambria Math" w:hAnsi="Cambria Math"/>
                <w:sz w:val="24"/>
                <w:szCs w:val="24"/>
              </w:rPr>
              <m:t>∆T</m:t>
            </m:r>
          </m:den>
        </m:f>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[6]</w:t>
      </w:r>
    </w:p>
    <w:p w14:paraId="1B8BA537" w14:textId="7CC5554D" w:rsidR="00BE326C" w:rsidRDefault="00BE326C" w:rsidP="006754D1">
      <w:pPr>
        <w:spacing w:after="0" w:line="240" w:lineRule="auto"/>
        <w:ind w:firstLine="720"/>
        <w:jc w:val="both"/>
        <w:rPr>
          <w:rFonts w:ascii="Cambria" w:hAnsi="Cambria"/>
          <w:sz w:val="24"/>
          <w:szCs w:val="24"/>
        </w:rPr>
      </w:pPr>
    </w:p>
    <w:p w14:paraId="39666AA7" w14:textId="41778E80" w:rsidR="00BE326C" w:rsidRDefault="00BE326C" w:rsidP="00BE326C">
      <w:pPr>
        <w:spacing w:after="0" w:line="240" w:lineRule="auto"/>
        <w:jc w:val="both"/>
        <w:rPr>
          <w:rFonts w:ascii="Cambria" w:hAnsi="Cambria"/>
          <w:sz w:val="24"/>
          <w:szCs w:val="24"/>
        </w:rPr>
      </w:pPr>
      <w:r>
        <w:rPr>
          <w:rFonts w:ascii="Cambria" w:hAnsi="Cambria"/>
          <w:sz w:val="24"/>
          <w:szCs w:val="24"/>
        </w:rPr>
        <w:t>where change in time, due to the time step, equals 1. Similarly, the distance traveled in each time step was found to be equal to the velocity of the relevant step.</w:t>
      </w:r>
    </w:p>
    <w:p w14:paraId="4EF5A10F" w14:textId="16A6E7DB" w:rsidR="00BE326C" w:rsidRDefault="00BE326C" w:rsidP="006754D1">
      <w:pPr>
        <w:spacing w:after="0" w:line="240" w:lineRule="auto"/>
        <w:ind w:firstLine="720"/>
        <w:jc w:val="both"/>
        <w:rPr>
          <w:rFonts w:ascii="Cambria" w:hAnsi="Cambria"/>
          <w:sz w:val="24"/>
          <w:szCs w:val="24"/>
        </w:rPr>
      </w:pPr>
      <w:r>
        <w:rPr>
          <w:rFonts w:ascii="Cambria" w:hAnsi="Cambria"/>
          <w:sz w:val="24"/>
          <w:szCs w:val="24"/>
        </w:rPr>
        <w:t>The second stage of simulation used the energy demand determined in equation 5 to determine the battery charging and discharging behavior.</w:t>
      </w:r>
      <w:r w:rsidR="00E31907">
        <w:rPr>
          <w:rFonts w:ascii="Cambria" w:hAnsi="Cambria"/>
          <w:sz w:val="24"/>
          <w:szCs w:val="24"/>
        </w:rPr>
        <w:t xml:space="preserve"> User defined battery capacity in kWh was converted to joules using</w:t>
      </w:r>
    </w:p>
    <w:p w14:paraId="1C19713C" w14:textId="2EC5AAB5" w:rsidR="00E31907" w:rsidRDefault="00E31907" w:rsidP="006754D1">
      <w:pPr>
        <w:spacing w:after="0" w:line="240" w:lineRule="auto"/>
        <w:ind w:firstLine="720"/>
        <w:jc w:val="both"/>
        <w:rPr>
          <w:rFonts w:ascii="Cambria" w:hAnsi="Cambria"/>
          <w:sz w:val="24"/>
          <w:szCs w:val="24"/>
        </w:rPr>
      </w:pPr>
    </w:p>
    <w:p w14:paraId="55A1C731" w14:textId="4DB67F87" w:rsidR="00E31907" w:rsidRPr="00837329" w:rsidRDefault="00E31907" w:rsidP="006754D1">
      <w:pPr>
        <w:spacing w:after="0" w:line="240" w:lineRule="auto"/>
        <w:ind w:firstLine="720"/>
        <w:jc w:val="both"/>
        <w:rPr>
          <w:rFonts w:ascii="Cambria" w:hAnsi="Cambria"/>
          <w:sz w:val="24"/>
          <w:szCs w:val="24"/>
        </w:rPr>
      </w:pPr>
      <m:oMath>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sz w:val="24"/>
                <w:szCs w:val="24"/>
              </w:rPr>
              <m:t>J</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B</m:t>
            </m:r>
          </m:e>
          <m:sub>
            <m:r>
              <w:rPr>
                <w:rFonts w:ascii="Cambria Math" w:hAnsi="Cambria Math"/>
                <w:sz w:val="24"/>
                <w:szCs w:val="24"/>
              </w:rPr>
              <m:t>kWh</m:t>
            </m:r>
          </m:sub>
        </m:sSub>
        <m:r>
          <w:rPr>
            <w:rFonts w:ascii="Cambria Math" w:hAnsi="Cambria Math"/>
            <w:sz w:val="24"/>
            <w:szCs w:val="24"/>
          </w:rPr>
          <m:t xml:space="preserve"> / 3.6×</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6</m:t>
            </m:r>
          </m:sup>
        </m:sSup>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[7]</w:t>
      </w:r>
    </w:p>
    <w:p w14:paraId="7B9F6611" w14:textId="6D474DAF" w:rsidR="00E14A5A" w:rsidRDefault="00E14A5A" w:rsidP="006754D1">
      <w:pPr>
        <w:spacing w:after="0" w:line="240" w:lineRule="auto"/>
        <w:ind w:firstLine="720"/>
        <w:jc w:val="both"/>
        <w:rPr>
          <w:rFonts w:ascii="Cambria" w:hAnsi="Cambria"/>
        </w:rPr>
      </w:pPr>
    </w:p>
    <w:p w14:paraId="637C2523" w14:textId="0BB95DE3" w:rsidR="00E31907" w:rsidRPr="00635B19" w:rsidRDefault="00E31907" w:rsidP="00E31907">
      <w:pPr>
        <w:spacing w:after="0" w:line="240" w:lineRule="auto"/>
        <w:jc w:val="both"/>
        <w:rPr>
          <w:rFonts w:ascii="Cambria" w:hAnsi="Cambria"/>
          <w:sz w:val="24"/>
          <w:szCs w:val="24"/>
        </w:rPr>
      </w:pPr>
      <w:r w:rsidRPr="00635B19">
        <w:rPr>
          <w:rFonts w:ascii="Cambria" w:hAnsi="Cambria"/>
          <w:sz w:val="24"/>
          <w:szCs w:val="24"/>
        </w:rPr>
        <w:t>from which the driving demand was subtracted—positive driving demand drained the battery and negative demand recharged it to approximate regenerative braking</w:t>
      </w:r>
      <w:r w:rsidR="00635B19" w:rsidRPr="00635B19">
        <w:rPr>
          <w:rFonts w:ascii="Cambria" w:hAnsi="Cambria"/>
          <w:sz w:val="24"/>
          <w:szCs w:val="24"/>
        </w:rPr>
        <w:t>. This process was set up with simple logical rules stating that if a fuel cell was present, the wattage output of the fuel cell (conveniently equivalent to Joules supplied due to the 1 second time step) would first be subtracted from the driving demand to simulate the fuel cell supplying all power needed up to its load capacity</w:t>
      </w:r>
      <w:r w:rsidRPr="00635B19">
        <w:rPr>
          <w:rFonts w:ascii="Cambria" w:hAnsi="Cambria"/>
          <w:sz w:val="24"/>
          <w:szCs w:val="24"/>
        </w:rPr>
        <w:t>. During reassessment, it was noted that the inefficiencies of the drivetrain components had been inappropriately multiplied to the driving demand, thus misrepresenting the actual load in Joules which the battery would face both in charging and discharging.</w:t>
      </w:r>
    </w:p>
    <w:p w14:paraId="5CE53710" w14:textId="087BAE18" w:rsidR="00E14A5A" w:rsidRDefault="000F3DB4" w:rsidP="00635B19">
      <w:pPr>
        <w:spacing w:after="0" w:line="240" w:lineRule="auto"/>
        <w:ind w:firstLine="720"/>
        <w:jc w:val="both"/>
        <w:rPr>
          <w:rFonts w:ascii="Cambria" w:hAnsi="Cambria"/>
          <w:sz w:val="24"/>
          <w:szCs w:val="24"/>
        </w:rPr>
      </w:pPr>
      <w:r>
        <w:rPr>
          <w:noProof/>
        </w:rPr>
        <mc:AlternateContent>
          <mc:Choice Requires="wps">
            <w:drawing>
              <wp:anchor distT="0" distB="0" distL="114300" distR="114300" simplePos="0" relativeHeight="251663872" behindDoc="0" locked="0" layoutInCell="1" allowOverlap="1" wp14:anchorId="5EC18C18" wp14:editId="0BD28425">
                <wp:simplePos x="0" y="0"/>
                <wp:positionH relativeFrom="page">
                  <wp:align>right</wp:align>
                </wp:positionH>
                <wp:positionV relativeFrom="paragraph">
                  <wp:posOffset>5459730</wp:posOffset>
                </wp:positionV>
                <wp:extent cx="6646545" cy="276225"/>
                <wp:effectExtent l="0" t="0" r="1905" b="9525"/>
                <wp:wrapTopAndBottom/>
                <wp:docPr id="16" name="Text Box 16"/>
                <wp:cNvGraphicFramePr/>
                <a:graphic xmlns:a="http://schemas.openxmlformats.org/drawingml/2006/main">
                  <a:graphicData uri="http://schemas.microsoft.com/office/word/2010/wordprocessingShape">
                    <wps:wsp>
                      <wps:cNvSpPr txBox="1"/>
                      <wps:spPr>
                        <a:xfrm>
                          <a:off x="0" y="0"/>
                          <a:ext cx="6646545" cy="276225"/>
                        </a:xfrm>
                        <a:prstGeom prst="rect">
                          <a:avLst/>
                        </a:prstGeom>
                        <a:solidFill>
                          <a:prstClr val="white"/>
                        </a:solidFill>
                        <a:ln>
                          <a:noFill/>
                        </a:ln>
                      </wps:spPr>
                      <wps:txbx>
                        <w:txbxContent>
                          <w:p w14:paraId="783466EE" w14:textId="14172D03" w:rsidR="000B156E" w:rsidRPr="007B4F95" w:rsidRDefault="000B156E" w:rsidP="000B156E">
                            <w:pPr>
                              <w:pStyle w:val="Caption"/>
                              <w:rPr>
                                <w:rFonts w:ascii="Cambria" w:hAnsi="Cambria"/>
                                <w:sz w:val="24"/>
                                <w:szCs w:val="24"/>
                              </w:rPr>
                            </w:pPr>
                            <w:r>
                              <w:t xml:space="preserve">Figure </w:t>
                            </w:r>
                            <w:r>
                              <w:fldChar w:fldCharType="begin"/>
                            </w:r>
                            <w:r>
                              <w:instrText xml:space="preserve"> SEQ Figure \* ARABIC </w:instrText>
                            </w:r>
                            <w:r>
                              <w:fldChar w:fldCharType="separate"/>
                            </w:r>
                            <w:r w:rsidR="00D6391D">
                              <w:rPr>
                                <w:noProof/>
                              </w:rPr>
                              <w:t>1</w:t>
                            </w:r>
                            <w:r>
                              <w:fldChar w:fldCharType="end"/>
                            </w:r>
                            <w:r>
                              <w:t>: The battery (blue line) can be seen charging past its initial (full) levels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C18C18" id="Text Box 16" o:spid="_x0000_s1027" type="#_x0000_t202" style="position:absolute;left:0;text-align:left;margin-left:472.15pt;margin-top:429.9pt;width:523.35pt;height:21.75pt;z-index:251663872;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" stroked="f">
                <v:textbox inset="0,0,0,0">
                  <w:txbxContent>
                    <w:p w14:paraId="783466EE" w14:textId="14172D03" w:rsidR="000B156E" w:rsidRPr="007B4F95" w:rsidRDefault="000B156E" w:rsidP="000B156E">
                      <w:pPr>
                        <w:pStyle w:val="Caption"/>
                        <w:rPr>
                          <w:rFonts w:ascii="Cambria" w:hAnsi="Cambria"/>
                          <w:sz w:val="24"/>
                          <w:szCs w:val="24"/>
                        </w:rPr>
                      </w:pPr>
                      <w:r>
                        <w:t xml:space="preserve">Figure </w:t>
                      </w:r>
                      <w:r>
                        <w:fldChar w:fldCharType="begin"/>
                      </w:r>
                      <w:r>
                        <w:instrText xml:space="preserve"> SEQ Figure \* ARABIC </w:instrText>
                      </w:r>
                      <w:r>
                        <w:fldChar w:fldCharType="separate"/>
                      </w:r>
                      <w:r w:rsidR="00D6391D">
                        <w:rPr>
                          <w:noProof/>
                        </w:rPr>
                        <w:t>1</w:t>
                      </w:r>
                      <w:r>
                        <w:fldChar w:fldCharType="end"/>
                      </w:r>
                      <w:r>
                        <w:t>: The battery (blue line) can be seen charging past its initial (full) levels</w:t>
                      </w:r>
                    </w:p>
                  </w:txbxContent>
                </v:textbox>
                <w10:wrap type="topAndBottom" anchorx="page"/>
              </v:shape>
            </w:pict>
          </mc:Fallback>
        </mc:AlternateContent>
      </w:r>
      <w:r w:rsidRPr="000B156E">
        <w:rPr>
          <w:rFonts w:ascii="Cambria" w:hAnsi="Cambria"/>
          <w:sz w:val="24"/>
          <w:szCs w:val="24"/>
        </w:rPr>
        <w:drawing>
          <wp:anchor distT="0" distB="0" distL="114300" distR="114300" simplePos="0" relativeHeight="251661824" behindDoc="0" locked="0" layoutInCell="1" allowOverlap="1" wp14:anchorId="729EC1C0" wp14:editId="6C18FEAE">
            <wp:simplePos x="0" y="0"/>
            <wp:positionH relativeFrom="margin">
              <wp:align>right</wp:align>
            </wp:positionH>
            <wp:positionV relativeFrom="paragraph">
              <wp:posOffset>1580515</wp:posOffset>
            </wp:positionV>
            <wp:extent cx="6646545" cy="3686810"/>
            <wp:effectExtent l="0" t="0" r="1905" b="8890"/>
            <wp:wrapTopAndBottom/>
            <wp:docPr id="14" name="Picture 14" descr="Chart, line chart&#10;&#10;Description automatically generated">
              <a:extLst xmlns:a="http://schemas.openxmlformats.org/drawingml/2006/main">
                <a:ext uri="{FF2B5EF4-FFF2-40B4-BE49-F238E27FC236}">
                  <a16:creationId xmlns:a16="http://schemas.microsoft.com/office/drawing/2014/main" id="{053948B0-1BF9-125D-E826-D648F27A6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line chart&#10;&#10;Description automatically generated">
                      <a:extLst>
                        <a:ext uri="{FF2B5EF4-FFF2-40B4-BE49-F238E27FC236}">
                          <a16:creationId xmlns:a16="http://schemas.microsoft.com/office/drawing/2014/main" id="{053948B0-1BF9-125D-E826-D648F27A67F8}"/>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6646545" cy="3686810"/>
                    </a:xfrm>
                    <a:prstGeom prst="rect">
                      <a:avLst/>
                    </a:prstGeom>
                  </pic:spPr>
                </pic:pic>
              </a:graphicData>
            </a:graphic>
          </wp:anchor>
        </w:drawing>
      </w:r>
      <w:r w:rsidR="00E31907" w:rsidRPr="00635B19">
        <w:rPr>
          <w:rFonts w:ascii="Cambria" w:hAnsi="Cambria"/>
          <w:sz w:val="24"/>
          <w:szCs w:val="24"/>
        </w:rPr>
        <w:t>The third stage of the simulation attempted to perform much the same operation as the second but in regards to the hydrogen fuel cell instead of the battery.</w:t>
      </w:r>
      <w:r w:rsidR="00635B19">
        <w:rPr>
          <w:rFonts w:ascii="Cambria" w:hAnsi="Cambria"/>
          <w:sz w:val="24"/>
          <w:szCs w:val="24"/>
        </w:rPr>
        <w:t xml:space="preserve"> Here it was found that while efficiency modifiers had been correctly implemented to characterize the demand, the model attempted to define hydrogen consumption in terms of cubic centimeter per coulomb and then combine that with the amperage of the fuel cell to compute the consumption. Due to the author’s unfamiliarity with these particular unit conversions, this stage of the simulation was flagged for a complete re-write in the new analytical model, as it was determined to be the most likely source of the erroneous consumption numbers.</w:t>
      </w:r>
    </w:p>
    <w:p w14:paraId="049FF9E3" w14:textId="69B1E61F" w:rsidR="000F3DB4" w:rsidRDefault="000F3DB4" w:rsidP="00635B19">
      <w:pPr>
        <w:spacing w:after="0" w:line="240" w:lineRule="auto"/>
        <w:ind w:firstLine="720"/>
        <w:jc w:val="both"/>
        <w:rPr>
          <w:rFonts w:ascii="Cambria" w:hAnsi="Cambria"/>
          <w:sz w:val="24"/>
          <w:szCs w:val="24"/>
        </w:rPr>
      </w:pPr>
    </w:p>
    <w:p w14:paraId="0E7809F1" w14:textId="3FAA6F46" w:rsidR="002B0F85" w:rsidRDefault="002B0F85" w:rsidP="00635B19">
      <w:pPr>
        <w:spacing w:after="0" w:line="240" w:lineRule="auto"/>
        <w:ind w:firstLine="720"/>
        <w:jc w:val="both"/>
        <w:rPr>
          <w:rFonts w:ascii="Cambria" w:hAnsi="Cambria"/>
          <w:sz w:val="24"/>
          <w:szCs w:val="24"/>
        </w:rPr>
      </w:pPr>
      <w:r>
        <w:rPr>
          <w:rFonts w:ascii="Cambria" w:hAnsi="Cambria"/>
          <w:sz w:val="24"/>
          <w:szCs w:val="24"/>
        </w:rPr>
        <w:lastRenderedPageBreak/>
        <w:t>However, during the upgrade to the new model, it was discovered that</w:t>
      </w:r>
      <w:r w:rsidR="000B156E">
        <w:rPr>
          <w:rFonts w:ascii="Cambria" w:hAnsi="Cambria"/>
          <w:sz w:val="24"/>
          <w:szCs w:val="24"/>
        </w:rPr>
        <w:t xml:space="preserve"> the battery was being charged past its full capacity in simulation, thus skewing the range results upwards. This overcharging behavior, seen in the blue line in figure 1, was initially thought to be the result of faulty logic—during periods of negative drive demand (regenerative braking), the old model had no logical check to determine if the battery had reached a full state of charge (SOC) or not. While certainly true, this proved to be only part of the reason; while adding the ability for the model to charge its batteries using surplus energy from the fuel cell during low demand times, this same tendency to overcharge was also observed, even after implementation of overcharge checks. It was eventually determined that the sequential nature of the model via its three stages was causing the fuel cell to charge the battery even after regenerative braking had already filled it.</w:t>
      </w:r>
    </w:p>
    <w:p w14:paraId="46DF0EED" w14:textId="764C62B3" w:rsidR="000B156E" w:rsidRDefault="000B156E" w:rsidP="00635B19">
      <w:pPr>
        <w:spacing w:after="0" w:line="240" w:lineRule="auto"/>
        <w:ind w:firstLine="720"/>
        <w:jc w:val="both"/>
        <w:rPr>
          <w:rFonts w:ascii="Cambria" w:hAnsi="Cambria"/>
          <w:sz w:val="24"/>
          <w:szCs w:val="24"/>
        </w:rPr>
      </w:pPr>
    </w:p>
    <w:p w14:paraId="6B736D9A" w14:textId="3185B760" w:rsidR="000B156E" w:rsidRDefault="000B156E" w:rsidP="000B156E">
      <w:pPr>
        <w:pStyle w:val="Heading2"/>
      </w:pPr>
      <w:r>
        <w:t>2.1 The New Analytical Model</w:t>
      </w:r>
    </w:p>
    <w:p w14:paraId="71D8A8A7" w14:textId="1FCAF326" w:rsidR="000B156E" w:rsidRDefault="000B156E" w:rsidP="00635B19">
      <w:pPr>
        <w:spacing w:after="0" w:line="240" w:lineRule="auto"/>
        <w:ind w:firstLine="720"/>
        <w:jc w:val="both"/>
        <w:rPr>
          <w:rFonts w:ascii="Cambria" w:hAnsi="Cambria"/>
          <w:sz w:val="24"/>
          <w:szCs w:val="24"/>
        </w:rPr>
      </w:pPr>
    </w:p>
    <w:p w14:paraId="47DEC29C" w14:textId="0E5441CD" w:rsidR="000B156E" w:rsidRDefault="000B156E" w:rsidP="00635B19">
      <w:pPr>
        <w:spacing w:after="0" w:line="240" w:lineRule="auto"/>
        <w:ind w:firstLine="720"/>
        <w:jc w:val="both"/>
        <w:rPr>
          <w:rFonts w:ascii="Cambria" w:hAnsi="Cambria"/>
          <w:sz w:val="24"/>
          <w:szCs w:val="24"/>
        </w:rPr>
      </w:pPr>
      <w:r>
        <w:rPr>
          <w:rFonts w:ascii="Cambria" w:hAnsi="Cambria"/>
          <w:sz w:val="24"/>
          <w:szCs w:val="24"/>
        </w:rPr>
        <w:t xml:space="preserve">The new analytical model was built by rewriting the problematic sections of the old one—in this case, stages 2 and 3. Once it was discovered that the sequential nature of the energy flow calculations for the battery and fuel cell was causing </w:t>
      </w:r>
      <w:r w:rsidR="00035737">
        <w:rPr>
          <w:rFonts w:ascii="Cambria" w:hAnsi="Cambria"/>
          <w:sz w:val="24"/>
          <w:szCs w:val="24"/>
        </w:rPr>
        <w:t>issues, these two stages were combined so that energy demands for both storage mediums were calculated at each simulation step. This meant converting the old model’s element-wise computations to instead use logical loops, which lost some processing speed but was deemed necessary to fix the overcharging issues. Thus, the new happened in two stages: the initial first principles drive cycle stage remained unchanged, but the second stage began the battery at a SOC determined by the user and then for each time step of the simulation resolved first the battery behavior (whether it was charging, discharging, or remaining constant) then the fuel cell behavior (whether it was handling tractive load or charging the battery or not generating any power) and finally resolving battery overcharging before moving on to the next time step. At each time step after the initial one, battery SOC determined in the previous step was brought in to be modified</w:t>
      </w:r>
      <w:r w:rsidR="0059004B">
        <w:rPr>
          <w:rFonts w:ascii="Cambria" w:hAnsi="Cambria"/>
          <w:sz w:val="24"/>
          <w:szCs w:val="24"/>
        </w:rPr>
        <w:t>—in this way along with the overcharge checks in each step the battery could never find itself over capacity.</w:t>
      </w:r>
    </w:p>
    <w:p w14:paraId="5892966B" w14:textId="3A443DBB" w:rsidR="0059004B" w:rsidRDefault="0059004B" w:rsidP="00635B19">
      <w:pPr>
        <w:spacing w:after="0" w:line="240" w:lineRule="auto"/>
        <w:ind w:firstLine="720"/>
        <w:jc w:val="both"/>
        <w:rPr>
          <w:rFonts w:ascii="Cambria" w:hAnsi="Cambria"/>
          <w:sz w:val="24"/>
          <w:szCs w:val="24"/>
        </w:rPr>
      </w:pPr>
      <w:r>
        <w:rPr>
          <w:rFonts w:ascii="Cambria" w:hAnsi="Cambria"/>
          <w:sz w:val="24"/>
          <w:szCs w:val="24"/>
        </w:rPr>
        <w:t xml:space="preserve">The way that the fuel cell hydrogen consumption was determined was also overhauled. </w:t>
      </w:r>
      <w:r w:rsidR="00BA16AC">
        <w:rPr>
          <w:rFonts w:ascii="Cambria" w:hAnsi="Cambria"/>
          <w:sz w:val="24"/>
          <w:szCs w:val="24"/>
        </w:rPr>
        <w:t>Using enthalpies of formation, the energy content of a given volume of hydrogen was determined via</w:t>
      </w:r>
    </w:p>
    <w:p w14:paraId="4C10A58C" w14:textId="35ABD8CE" w:rsidR="00BA16AC" w:rsidRDefault="00BA16AC" w:rsidP="00635B19">
      <w:pPr>
        <w:spacing w:after="0" w:line="240" w:lineRule="auto"/>
        <w:ind w:firstLine="720"/>
        <w:jc w:val="both"/>
        <w:rPr>
          <w:rFonts w:ascii="Cambria" w:hAnsi="Cambria"/>
          <w:sz w:val="24"/>
          <w:szCs w:val="24"/>
        </w:rPr>
      </w:pPr>
    </w:p>
    <w:p w14:paraId="1CA934B9" w14:textId="315A4CC2" w:rsidR="00BA16AC" w:rsidRDefault="00BA16AC" w:rsidP="00635B19">
      <w:pPr>
        <w:spacing w:after="0" w:line="240" w:lineRule="auto"/>
        <w:ind w:firstLine="720"/>
        <w:jc w:val="both"/>
        <w:rPr>
          <w:rFonts w:ascii="Cambria" w:hAnsi="Cambria"/>
          <w:sz w:val="24"/>
          <w:szCs w:val="24"/>
        </w:rPr>
      </w:pPr>
      <m:oMath>
        <m:sSub>
          <m:sSubPr>
            <m:ctrlPr>
              <w:rPr>
                <w:rFonts w:ascii="Cambria Math" w:hAnsi="Cambria Math"/>
                <w:i/>
                <w:sz w:val="24"/>
                <w:szCs w:val="24"/>
              </w:rPr>
            </m:ctrlPr>
          </m:sSubPr>
          <m:e>
            <m:r>
              <w:rPr>
                <w:rFonts w:ascii="Cambria Math" w:hAnsi="Cambria Math"/>
                <w:sz w:val="24"/>
                <w:szCs w:val="24"/>
              </w:rPr>
              <m:t>J</m:t>
            </m:r>
          </m:e>
          <m:sub>
            <m:r>
              <w:rPr>
                <w:rFonts w:ascii="Cambria Math" w:hAnsi="Cambria Math"/>
                <w:sz w:val="24"/>
                <w:szCs w:val="24"/>
              </w:rPr>
              <m:t>H2</m:t>
            </m:r>
          </m:sub>
        </m:sSub>
        <m:r>
          <w:rPr>
            <w:rFonts w:ascii="Cambria Math" w:hAnsi="Cambria Math"/>
            <w:sz w:val="24"/>
            <w:szCs w:val="24"/>
          </w:rPr>
          <m:t xml:space="preserve">= </m:t>
        </m:r>
        <m:f>
          <m:fPr>
            <m:type m:val="lin"/>
            <m:ctrlPr>
              <w:rPr>
                <w:rFonts w:ascii="Cambria Math" w:hAnsi="Cambria Math"/>
                <w:i/>
                <w:sz w:val="24"/>
                <w:szCs w:val="24"/>
              </w:rPr>
            </m:ctrlPr>
          </m:fPr>
          <m:num>
            <m:r>
              <w:rPr>
                <w:rFonts w:ascii="Cambria Math" w:hAnsi="Cambria Math"/>
                <w:sz w:val="24"/>
                <w:szCs w:val="24"/>
              </w:rPr>
              <m:t>V*286000</m:t>
            </m:r>
          </m:num>
          <m:den>
            <m:r>
              <w:rPr>
                <w:rFonts w:ascii="Cambria Math" w:hAnsi="Cambria Math"/>
                <w:sz w:val="24"/>
                <w:szCs w:val="24"/>
              </w:rPr>
              <m:t>24000</m:t>
            </m:r>
          </m:den>
        </m:f>
      </m:oMath>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r>
      <w:r>
        <w:rPr>
          <w:rFonts w:ascii="Cambria" w:hAnsi="Cambria"/>
          <w:sz w:val="24"/>
          <w:szCs w:val="24"/>
        </w:rPr>
        <w:tab/>
        <w:t>[8]</w:t>
      </w:r>
    </w:p>
    <w:p w14:paraId="703F72F5" w14:textId="24BAC344" w:rsidR="00BA16AC" w:rsidRDefault="00BA16AC" w:rsidP="00635B19">
      <w:pPr>
        <w:spacing w:after="0" w:line="240" w:lineRule="auto"/>
        <w:ind w:firstLine="720"/>
        <w:jc w:val="both"/>
        <w:rPr>
          <w:rFonts w:ascii="Cambria" w:hAnsi="Cambria"/>
          <w:sz w:val="24"/>
          <w:szCs w:val="24"/>
        </w:rPr>
      </w:pPr>
    </w:p>
    <w:p w14:paraId="2BE1D58E" w14:textId="1CF3FB85" w:rsidR="00BA16AC" w:rsidRDefault="00BA16AC" w:rsidP="002135C8">
      <w:pPr>
        <w:spacing w:after="0" w:line="240" w:lineRule="auto"/>
        <w:jc w:val="both"/>
        <w:rPr>
          <w:rFonts w:ascii="Cambria" w:hAnsi="Cambria"/>
          <w:sz w:val="24"/>
          <w:szCs w:val="24"/>
        </w:rPr>
      </w:pPr>
      <w:r>
        <w:rPr>
          <w:rFonts w:ascii="Cambria" w:hAnsi="Cambria"/>
          <w:sz w:val="24"/>
          <w:szCs w:val="24"/>
        </w:rPr>
        <w:t xml:space="preserve">as described in </w:t>
      </w:r>
      <w:r>
        <w:rPr>
          <w:rFonts w:ascii="Cambria" w:hAnsi="Cambria"/>
          <w:i/>
          <w:iCs/>
          <w:sz w:val="24"/>
          <w:szCs w:val="24"/>
        </w:rPr>
        <w:t>Chemistry through Hydrogen</w:t>
      </w:r>
      <w:r>
        <w:rPr>
          <w:rFonts w:ascii="Cambria" w:hAnsi="Cambria"/>
          <w:sz w:val="24"/>
          <w:szCs w:val="24"/>
        </w:rPr>
        <w:t xml:space="preserve"> (Macdonald and Berry, 2013, pp38), where J</w:t>
      </w:r>
      <w:r>
        <w:rPr>
          <w:rFonts w:ascii="Cambria" w:hAnsi="Cambria"/>
          <w:sz w:val="24"/>
          <w:szCs w:val="24"/>
          <w:vertAlign w:val="subscript"/>
        </w:rPr>
        <w:t>h2</w:t>
      </w:r>
      <w:r>
        <w:rPr>
          <w:rFonts w:ascii="Cambria" w:hAnsi="Cambria"/>
          <w:sz w:val="24"/>
          <w:szCs w:val="24"/>
        </w:rPr>
        <w:t xml:space="preserve"> is the joules of energy stored in V cubic centimeters (CC) of hydrogen. In the new model, this ideal energy content was modified by a fuel cell efficiency multiplier supplied by the user and used to determine the hydrogen consumption in CC for the determined load on the fuel cell at each time step.</w:t>
      </w:r>
      <w:r w:rsidR="002E604B">
        <w:rPr>
          <w:rFonts w:ascii="Cambria" w:hAnsi="Cambria"/>
          <w:sz w:val="24"/>
          <w:szCs w:val="24"/>
        </w:rPr>
        <w:t xml:space="preserve"> Using the density of hydrogen at standard temperature and pressure (STP) of 0.0899kg/m</w:t>
      </w:r>
      <w:r w:rsidR="002E604B">
        <w:rPr>
          <w:rFonts w:ascii="Cambria" w:hAnsi="Cambria"/>
          <w:sz w:val="24"/>
          <w:szCs w:val="24"/>
          <w:vertAlign w:val="superscript"/>
        </w:rPr>
        <w:t>3</w:t>
      </w:r>
      <w:r w:rsidR="002E604B">
        <w:rPr>
          <w:rFonts w:ascii="Cambria" w:hAnsi="Cambria"/>
          <w:sz w:val="24"/>
          <w:szCs w:val="24"/>
        </w:rPr>
        <w:t xml:space="preserve"> (Engineering Toolbox, 2003) this consumption was converted to kilograms of hydrogen consumed. As can be seen in figure 2, the new model with updated hydrogen consumption and battery behavior contains so little hydrogen that it runs out almost immediately and, indeed, cannot even be seen on the graph. The previous model’s 65L</w:t>
      </w:r>
      <w:r w:rsidR="00344FF2">
        <w:rPr>
          <w:rFonts w:ascii="Cambria" w:hAnsi="Cambria"/>
          <w:sz w:val="24"/>
          <w:szCs w:val="24"/>
        </w:rPr>
        <w:t xml:space="preserve"> hydrogen at STP (5.8 g equivalent) was then updated to a more reasonable 1.5 kg hydrogen and the model run again in figure 3. Here, a highlighted point near the start of the simulation shows an initial hydrogen equivalent of 38 kWh.</w:t>
      </w:r>
      <w:r w:rsidR="00590D80">
        <w:rPr>
          <w:rFonts w:ascii="Cambria" w:hAnsi="Cambria"/>
          <w:sz w:val="24"/>
          <w:szCs w:val="24"/>
        </w:rPr>
        <w:t xml:space="preserve"> Considering lower heating values dictate a hydrogen</w:t>
      </w:r>
      <w:r w:rsidR="002135C8">
        <w:rPr>
          <w:rFonts w:ascii="Cambria" w:hAnsi="Cambria"/>
          <w:sz w:val="24"/>
          <w:szCs w:val="24"/>
        </w:rPr>
        <w:t xml:space="preserve"> energy</w:t>
      </w:r>
      <w:r w:rsidR="00590D80">
        <w:rPr>
          <w:rFonts w:ascii="Cambria" w:hAnsi="Cambria"/>
          <w:sz w:val="24"/>
          <w:szCs w:val="24"/>
        </w:rPr>
        <w:t xml:space="preserve"> storage of </w:t>
      </w:r>
      <w:r w:rsidR="00590D80">
        <w:rPr>
          <w:rFonts w:ascii="Cambria" w:hAnsi="Cambria"/>
          <w:sz w:val="24"/>
          <w:szCs w:val="24"/>
        </w:rPr>
        <w:lastRenderedPageBreak/>
        <w:t>33kWh/kg (Goodall, 2021)</w:t>
      </w:r>
      <w:r w:rsidR="002135C8">
        <w:rPr>
          <w:rFonts w:ascii="Cambria" w:hAnsi="Cambria"/>
          <w:sz w:val="24"/>
          <w:szCs w:val="24"/>
        </w:rPr>
        <w:t>, then 1.5 kg hydrogen with a fuel cell efficiency of 70% results in approximately 34 kWh—very close to the energy storage determined by the new model, indicating hydrogen consumption is now more accurately reflecting reality.</w:t>
      </w:r>
    </w:p>
    <w:p w14:paraId="4D18FA6F" w14:textId="13F5F16E" w:rsidR="002E604B" w:rsidRDefault="00132F6E" w:rsidP="002135C8">
      <w:pPr>
        <w:spacing w:after="0" w:line="240" w:lineRule="auto"/>
        <w:jc w:val="both"/>
        <w:rPr>
          <w:rFonts w:ascii="Cambria" w:hAnsi="Cambria"/>
          <w:sz w:val="24"/>
          <w:szCs w:val="24"/>
        </w:rPr>
      </w:pPr>
      <w:r>
        <w:rPr>
          <w:noProof/>
        </w:rPr>
        <w:lastRenderedPageBreak/>
        <mc:AlternateContent>
          <mc:Choice Requires="wps">
            <w:drawing>
              <wp:anchor distT="0" distB="0" distL="114300" distR="114300" simplePos="0" relativeHeight="251667968" behindDoc="0" locked="0" layoutInCell="1" allowOverlap="1" wp14:anchorId="52428488" wp14:editId="5A09EBAC">
                <wp:simplePos x="0" y="0"/>
                <wp:positionH relativeFrom="margin">
                  <wp:align>right</wp:align>
                </wp:positionH>
                <wp:positionV relativeFrom="paragraph">
                  <wp:posOffset>7233920</wp:posOffset>
                </wp:positionV>
                <wp:extent cx="6646545" cy="635"/>
                <wp:effectExtent l="0" t="0" r="1905" b="0"/>
                <wp:wrapTopAndBottom/>
                <wp:docPr id="23" name="Text Box 23"/>
                <wp:cNvGraphicFramePr/>
                <a:graphic xmlns:a="http://schemas.openxmlformats.org/drawingml/2006/main">
                  <a:graphicData uri="http://schemas.microsoft.com/office/word/2010/wordprocessingShape">
                    <wps:wsp>
                      <wps:cNvSpPr txBox="1"/>
                      <wps:spPr>
                        <a:xfrm>
                          <a:off x="0" y="0"/>
                          <a:ext cx="6646545" cy="635"/>
                        </a:xfrm>
                        <a:prstGeom prst="rect">
                          <a:avLst/>
                        </a:prstGeom>
                        <a:solidFill>
                          <a:prstClr val="white"/>
                        </a:solidFill>
                        <a:ln>
                          <a:noFill/>
                        </a:ln>
                      </wps:spPr>
                      <wps:txbx>
                        <w:txbxContent>
                          <w:p w14:paraId="3B3132C4" w14:textId="68828398" w:rsidR="002135C8" w:rsidRPr="00A812AF" w:rsidRDefault="002135C8" w:rsidP="002135C8">
                            <w:pPr>
                              <w:pStyle w:val="Caption"/>
                              <w:rPr>
                                <w:rFonts w:ascii="Cambria" w:hAnsi="Cambria"/>
                                <w:sz w:val="24"/>
                                <w:szCs w:val="24"/>
                              </w:rPr>
                            </w:pPr>
                            <w:r>
                              <w:t xml:space="preserve">Figure </w:t>
                            </w:r>
                            <w:r>
                              <w:fldChar w:fldCharType="begin"/>
                            </w:r>
                            <w:r>
                              <w:instrText xml:space="preserve"> SEQ Figure \* ARABIC </w:instrText>
                            </w:r>
                            <w:r>
                              <w:fldChar w:fldCharType="separate"/>
                            </w:r>
                            <w:r w:rsidR="00D6391D">
                              <w:rPr>
                                <w:noProof/>
                              </w:rPr>
                              <w:t>3</w:t>
                            </w:r>
                            <w:r>
                              <w:fldChar w:fldCharType="end"/>
                            </w:r>
                            <w:r>
                              <w:t xml:space="preserve">: </w:t>
                            </w:r>
                            <w:r w:rsidR="00132F6E">
                              <w:t>The new model with 1.5kg hydrogen now seems to consume at realistic rates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428488" id="Text Box 23" o:spid="_x0000_s1028" type="#_x0000_t202" style="position:absolute;left:0;text-align:left;margin-left:472.15pt;margin-top:569.6pt;width:523.35pt;height:.05pt;z-index:2516679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j/pGgIAAD8EAAAOAAAAZHJzL2Uyb0RvYy54bWysU1GP2jAMfp+0/xDlfRTYga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" stroked="f">
                <v:textbox style="mso-fit-shape-to-text:t" inset="0,0,0,0">
                  <w:txbxContent>
                    <w:p w14:paraId="3B3132C4" w14:textId="68828398" w:rsidR="002135C8" w:rsidRPr="00A812AF" w:rsidRDefault="002135C8" w:rsidP="002135C8">
                      <w:pPr>
                        <w:pStyle w:val="Caption"/>
                        <w:rPr>
                          <w:rFonts w:ascii="Cambria" w:hAnsi="Cambria"/>
                          <w:sz w:val="24"/>
                          <w:szCs w:val="24"/>
                        </w:rPr>
                      </w:pPr>
                      <w:r>
                        <w:t xml:space="preserve">Figure </w:t>
                      </w:r>
                      <w:r>
                        <w:fldChar w:fldCharType="begin"/>
                      </w:r>
                      <w:r>
                        <w:instrText xml:space="preserve"> SEQ Figure \* ARABIC </w:instrText>
                      </w:r>
                      <w:r>
                        <w:fldChar w:fldCharType="separate"/>
                      </w:r>
                      <w:r w:rsidR="00D6391D">
                        <w:rPr>
                          <w:noProof/>
                        </w:rPr>
                        <w:t>3</w:t>
                      </w:r>
                      <w:r>
                        <w:fldChar w:fldCharType="end"/>
                      </w:r>
                      <w:r>
                        <w:t xml:space="preserve">: </w:t>
                      </w:r>
                      <w:r w:rsidR="00132F6E">
                        <w:t>The new model with 1.5kg hydrogen now seems to consume at realistic rates</w:t>
                      </w:r>
                    </w:p>
                  </w:txbxContent>
                </v:textbox>
                <w10:wrap type="topAndBottom" anchorx="margin"/>
              </v:shape>
            </w:pict>
          </mc:Fallback>
        </mc:AlternateContent>
      </w:r>
      <w:r>
        <w:rPr>
          <w:noProof/>
        </w:rPr>
        <mc:AlternateContent>
          <mc:Choice Requires="wps">
            <w:drawing>
              <wp:anchor distT="0" distB="0" distL="114300" distR="114300" simplePos="0" relativeHeight="251670016" behindDoc="0" locked="0" layoutInCell="1" allowOverlap="1" wp14:anchorId="283BD188" wp14:editId="11C398B7">
                <wp:simplePos x="0" y="0"/>
                <wp:positionH relativeFrom="margin">
                  <wp:align>right</wp:align>
                </wp:positionH>
                <wp:positionV relativeFrom="paragraph">
                  <wp:posOffset>3373120</wp:posOffset>
                </wp:positionV>
                <wp:extent cx="6646545" cy="635"/>
                <wp:effectExtent l="0" t="0" r="1905" b="0"/>
                <wp:wrapTopAndBottom/>
                <wp:docPr id="24" name="Text Box 24"/>
                <wp:cNvGraphicFramePr/>
                <a:graphic xmlns:a="http://schemas.openxmlformats.org/drawingml/2006/main">
                  <a:graphicData uri="http://schemas.microsoft.com/office/word/2010/wordprocessingShape">
                    <wps:wsp>
                      <wps:cNvSpPr txBox="1"/>
                      <wps:spPr>
                        <a:xfrm>
                          <a:off x="0" y="0"/>
                          <a:ext cx="6646545" cy="635"/>
                        </a:xfrm>
                        <a:prstGeom prst="rect">
                          <a:avLst/>
                        </a:prstGeom>
                        <a:solidFill>
                          <a:prstClr val="white"/>
                        </a:solidFill>
                        <a:ln>
                          <a:noFill/>
                        </a:ln>
                      </wps:spPr>
                      <wps:txbx>
                        <w:txbxContent>
                          <w:p w14:paraId="34F0726F" w14:textId="2472A53E" w:rsidR="002135C8" w:rsidRPr="00E33015" w:rsidRDefault="002135C8" w:rsidP="002135C8">
                            <w:pPr>
                              <w:pStyle w:val="Caption"/>
                              <w:rPr>
                                <w:rFonts w:ascii="Cambria" w:hAnsi="Cambria"/>
                                <w:sz w:val="24"/>
                                <w:szCs w:val="24"/>
                              </w:rPr>
                            </w:pPr>
                            <w:r>
                              <w:t xml:space="preserve">Figure </w:t>
                            </w:r>
                            <w:r>
                              <w:fldChar w:fldCharType="begin"/>
                            </w:r>
                            <w:r>
                              <w:instrText xml:space="preserve"> SEQ Figure \* ARABIC </w:instrText>
                            </w:r>
                            <w:r>
                              <w:fldChar w:fldCharType="separate"/>
                            </w:r>
                            <w:r w:rsidR="00D6391D">
                              <w:rPr>
                                <w:noProof/>
                              </w:rPr>
                              <w:t>2</w:t>
                            </w:r>
                            <w:r>
                              <w:fldChar w:fldCharType="end"/>
                            </w:r>
                            <w:r>
                              <w:t xml:space="preserve">: </w:t>
                            </w:r>
                            <w:r w:rsidR="00132F6E">
                              <w:t>The new model with previously used quantities of hydrogen does not make it through one drive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3BD188" id="Text Box 24" o:spid="_x0000_s1029" type="#_x0000_t202" style="position:absolute;left:0;text-align:left;margin-left:472.15pt;margin-top:265.6pt;width:523.35pt;height:.05pt;z-index:2516700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" stroked="f">
                <v:textbox style="mso-fit-shape-to-text:t" inset="0,0,0,0">
                  <w:txbxContent>
                    <w:p w14:paraId="34F0726F" w14:textId="2472A53E" w:rsidR="002135C8" w:rsidRPr="00E33015" w:rsidRDefault="002135C8" w:rsidP="002135C8">
                      <w:pPr>
                        <w:pStyle w:val="Caption"/>
                        <w:rPr>
                          <w:rFonts w:ascii="Cambria" w:hAnsi="Cambria"/>
                          <w:sz w:val="24"/>
                          <w:szCs w:val="24"/>
                        </w:rPr>
                      </w:pPr>
                      <w:r>
                        <w:t xml:space="preserve">Figure </w:t>
                      </w:r>
                      <w:r>
                        <w:fldChar w:fldCharType="begin"/>
                      </w:r>
                      <w:r>
                        <w:instrText xml:space="preserve"> SEQ Figure \* ARABIC </w:instrText>
                      </w:r>
                      <w:r>
                        <w:fldChar w:fldCharType="separate"/>
                      </w:r>
                      <w:r w:rsidR="00D6391D">
                        <w:rPr>
                          <w:noProof/>
                        </w:rPr>
                        <w:t>2</w:t>
                      </w:r>
                      <w:r>
                        <w:fldChar w:fldCharType="end"/>
                      </w:r>
                      <w:r>
                        <w:t xml:space="preserve">: </w:t>
                      </w:r>
                      <w:r w:rsidR="00132F6E">
                        <w:t>The new model with previously used quantities of hydrogen does not make it through one drive cycle</w:t>
                      </w:r>
                    </w:p>
                  </w:txbxContent>
                </v:textbox>
                <w10:wrap type="topAndBottom" anchorx="margin"/>
              </v:shape>
            </w:pict>
          </mc:Fallback>
        </mc:AlternateContent>
      </w:r>
      <w:r w:rsidRPr="002E604B">
        <w:rPr>
          <w:rFonts w:ascii="Cambria" w:hAnsi="Cambria"/>
          <w:sz w:val="24"/>
          <w:szCs w:val="24"/>
        </w:rPr>
        <w:drawing>
          <wp:anchor distT="0" distB="0" distL="114300" distR="114300" simplePos="0" relativeHeight="251664896" behindDoc="0" locked="0" layoutInCell="1" allowOverlap="1" wp14:anchorId="0248D658" wp14:editId="57AD66E0">
            <wp:simplePos x="0" y="0"/>
            <wp:positionH relativeFrom="column">
              <wp:posOffset>0</wp:posOffset>
            </wp:positionH>
            <wp:positionV relativeFrom="paragraph">
              <wp:posOffset>0</wp:posOffset>
            </wp:positionV>
            <wp:extent cx="6646545" cy="3334385"/>
            <wp:effectExtent l="0" t="0" r="1905" b="0"/>
            <wp:wrapTopAndBottom/>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46545" cy="3334385"/>
                    </a:xfrm>
                    <a:prstGeom prst="rect">
                      <a:avLst/>
                    </a:prstGeom>
                  </pic:spPr>
                </pic:pic>
              </a:graphicData>
            </a:graphic>
          </wp:anchor>
        </w:drawing>
      </w:r>
      <w:r w:rsidR="002135C8" w:rsidRPr="00344FF2">
        <w:rPr>
          <w:rFonts w:ascii="Cambria" w:hAnsi="Cambria"/>
          <w:sz w:val="24"/>
          <w:szCs w:val="24"/>
        </w:rPr>
        <w:drawing>
          <wp:anchor distT="0" distB="0" distL="114300" distR="114300" simplePos="0" relativeHeight="251665920" behindDoc="0" locked="0" layoutInCell="1" allowOverlap="1" wp14:anchorId="4B5BF99C" wp14:editId="69BE88E4">
            <wp:simplePos x="0" y="0"/>
            <wp:positionH relativeFrom="margin">
              <wp:align>right</wp:align>
            </wp:positionH>
            <wp:positionV relativeFrom="paragraph">
              <wp:posOffset>3707130</wp:posOffset>
            </wp:positionV>
            <wp:extent cx="6646545" cy="3334385"/>
            <wp:effectExtent l="0" t="0" r="1905" b="0"/>
            <wp:wrapTopAndBottom/>
            <wp:docPr id="22" name="Picture 2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lin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46545" cy="3334385"/>
                    </a:xfrm>
                    <a:prstGeom prst="rect">
                      <a:avLst/>
                    </a:prstGeom>
                  </pic:spPr>
                </pic:pic>
              </a:graphicData>
            </a:graphic>
          </wp:anchor>
        </w:drawing>
      </w:r>
    </w:p>
    <w:p w14:paraId="6408C152" w14:textId="6854BF01" w:rsidR="002135C8" w:rsidRDefault="002135C8" w:rsidP="002135C8">
      <w:pPr>
        <w:spacing w:after="0" w:line="240" w:lineRule="auto"/>
        <w:jc w:val="both"/>
        <w:rPr>
          <w:rFonts w:ascii="Cambria" w:hAnsi="Cambria"/>
          <w:sz w:val="24"/>
          <w:szCs w:val="24"/>
        </w:rPr>
      </w:pPr>
    </w:p>
    <w:p w14:paraId="35140CB4" w14:textId="521C3206" w:rsidR="002135C8" w:rsidRDefault="00AF5518" w:rsidP="002135C8">
      <w:pPr>
        <w:spacing w:after="0" w:line="240" w:lineRule="auto"/>
        <w:ind w:firstLine="720"/>
        <w:jc w:val="both"/>
        <w:rPr>
          <w:rFonts w:ascii="Cambria" w:hAnsi="Cambria"/>
          <w:sz w:val="24"/>
          <w:szCs w:val="24"/>
        </w:rPr>
      </w:pPr>
      <w:r>
        <w:rPr>
          <w:noProof/>
        </w:rPr>
        <w:lastRenderedPageBreak/>
        <mc:AlternateContent>
          <mc:Choice Requires="wps">
            <w:drawing>
              <wp:anchor distT="0" distB="0" distL="114300" distR="114300" simplePos="0" relativeHeight="251674112" behindDoc="0" locked="0" layoutInCell="1" allowOverlap="1" wp14:anchorId="75DBA25E" wp14:editId="253C868B">
                <wp:simplePos x="0" y="0"/>
                <wp:positionH relativeFrom="column">
                  <wp:posOffset>-1905</wp:posOffset>
                </wp:positionH>
                <wp:positionV relativeFrom="paragraph">
                  <wp:posOffset>7092950</wp:posOffset>
                </wp:positionV>
                <wp:extent cx="6646545"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6646545" cy="635"/>
                        </a:xfrm>
                        <a:prstGeom prst="rect">
                          <a:avLst/>
                        </a:prstGeom>
                        <a:solidFill>
                          <a:prstClr val="white"/>
                        </a:solidFill>
                        <a:ln>
                          <a:noFill/>
                        </a:ln>
                      </wps:spPr>
                      <wps:txbx>
                        <w:txbxContent>
                          <w:p w14:paraId="1A69266F" w14:textId="33DC88E3" w:rsidR="00AF5518" w:rsidRPr="00F70D4E" w:rsidRDefault="00AF5518" w:rsidP="00AF5518">
                            <w:pPr>
                              <w:pStyle w:val="Caption"/>
                              <w:rPr>
                                <w:rFonts w:ascii="Cambria" w:hAnsi="Cambria"/>
                                <w:sz w:val="24"/>
                                <w:szCs w:val="24"/>
                              </w:rPr>
                            </w:pPr>
                            <w:r>
                              <w:t xml:space="preserve">Figure </w:t>
                            </w:r>
                            <w:r>
                              <w:fldChar w:fldCharType="begin"/>
                            </w:r>
                            <w:r>
                              <w:instrText xml:space="preserve"> SEQ Figure \* ARABIC </w:instrText>
                            </w:r>
                            <w:r>
                              <w:fldChar w:fldCharType="separate"/>
                            </w:r>
                            <w:r w:rsidR="00D6391D">
                              <w:rPr>
                                <w:noProof/>
                              </w:rPr>
                              <w:t>4</w:t>
                            </w:r>
                            <w:r>
                              <w:fldChar w:fldCharType="end"/>
                            </w:r>
                            <w:r>
                              <w:t>: The new model with the battery initialized at 50% SOC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DBA25E" id="Text Box 32" o:spid="_x0000_s1030" type="#_x0000_t202" style="position:absolute;left:0;text-align:left;margin-left:-.15pt;margin-top:558.5pt;width:523.35pt;height:.05pt;z-index:25167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" stroked="f">
                <v:textbox style="mso-fit-shape-to-text:t" inset="0,0,0,0">
                  <w:txbxContent>
                    <w:p w14:paraId="1A69266F" w14:textId="33DC88E3" w:rsidR="00AF5518" w:rsidRPr="00F70D4E" w:rsidRDefault="00AF5518" w:rsidP="00AF5518">
                      <w:pPr>
                        <w:pStyle w:val="Caption"/>
                        <w:rPr>
                          <w:rFonts w:ascii="Cambria" w:hAnsi="Cambria"/>
                          <w:sz w:val="24"/>
                          <w:szCs w:val="24"/>
                        </w:rPr>
                      </w:pPr>
                      <w:r>
                        <w:t xml:space="preserve">Figure </w:t>
                      </w:r>
                      <w:r>
                        <w:fldChar w:fldCharType="begin"/>
                      </w:r>
                      <w:r>
                        <w:instrText xml:space="preserve"> SEQ Figure \* ARABIC </w:instrText>
                      </w:r>
                      <w:r>
                        <w:fldChar w:fldCharType="separate"/>
                      </w:r>
                      <w:r w:rsidR="00D6391D">
                        <w:rPr>
                          <w:noProof/>
                        </w:rPr>
                        <w:t>4</w:t>
                      </w:r>
                      <w:r>
                        <w:fldChar w:fldCharType="end"/>
                      </w:r>
                      <w:r>
                        <w:t>: The new model with the battery initialized at 50% SOC</w:t>
                      </w:r>
                    </w:p>
                  </w:txbxContent>
                </v:textbox>
                <w10:wrap type="topAndBottom"/>
              </v:shape>
            </w:pict>
          </mc:Fallback>
        </mc:AlternateContent>
      </w:r>
      <w:r w:rsidRPr="00A00D29">
        <w:rPr>
          <w:rFonts w:ascii="Cambria" w:hAnsi="Cambria"/>
          <w:sz w:val="24"/>
          <w:szCs w:val="24"/>
        </w:rPr>
        <w:drawing>
          <wp:anchor distT="0" distB="0" distL="114300" distR="114300" simplePos="0" relativeHeight="251671040" behindDoc="0" locked="0" layoutInCell="1" allowOverlap="1" wp14:anchorId="115EC78C" wp14:editId="3443DC28">
            <wp:simplePos x="0" y="0"/>
            <wp:positionH relativeFrom="margin">
              <wp:align>right</wp:align>
            </wp:positionH>
            <wp:positionV relativeFrom="paragraph">
              <wp:posOffset>3701415</wp:posOffset>
            </wp:positionV>
            <wp:extent cx="6646545" cy="3334385"/>
            <wp:effectExtent l="0" t="0" r="1905" b="0"/>
            <wp:wrapTopAndBottom/>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46545" cy="3334385"/>
                    </a:xfrm>
                    <a:prstGeom prst="rect">
                      <a:avLst/>
                    </a:prstGeom>
                  </pic:spPr>
                </pic:pic>
              </a:graphicData>
            </a:graphic>
          </wp:anchor>
        </w:drawing>
      </w:r>
      <w:r w:rsidR="002C6463">
        <w:rPr>
          <w:rFonts w:ascii="Cambria" w:hAnsi="Cambria"/>
          <w:sz w:val="24"/>
          <w:szCs w:val="24"/>
        </w:rPr>
        <w:t>To provide better characterization of the load cycle, the average driving demand calculation was changed to only take into account the positive (acceleration) demand of the cycle and not the negative—this resulted in a change in average from 4.5kW in the old model to 12.6kW in the new one.</w:t>
      </w:r>
      <w:r w:rsidR="00A00D29">
        <w:rPr>
          <w:rFonts w:ascii="Cambria" w:hAnsi="Cambria"/>
          <w:sz w:val="24"/>
          <w:szCs w:val="24"/>
        </w:rPr>
        <w:t xml:space="preserve"> This was done to accommodate fuel cell sizing, as the hydrogen fuel cell was of course unable to take advantage of regenerative braking like the batteries.</w:t>
      </w:r>
      <w:r w:rsidR="00A00D29" w:rsidRPr="00A00D29">
        <w:rPr>
          <w:rFonts w:ascii="Cambria" w:hAnsi="Cambria"/>
          <w:sz w:val="24"/>
          <w:szCs w:val="24"/>
        </w:rPr>
        <w:t xml:space="preserve"> </w:t>
      </w:r>
      <w:r w:rsidR="00A00D29">
        <w:rPr>
          <w:rFonts w:ascii="Cambria" w:hAnsi="Cambria"/>
          <w:sz w:val="24"/>
          <w:szCs w:val="24"/>
        </w:rPr>
        <w:t>In addition to fixing the errors of the earlier model, the new analytical model also introduced two new functions: the ability for the user to set the initial SOC of the battery, and an option to run simulations where the fuel cell can be used to charge the battery.</w:t>
      </w:r>
      <w:r w:rsidR="00A00D29">
        <w:rPr>
          <w:rFonts w:ascii="Cambria" w:hAnsi="Cambria"/>
          <w:sz w:val="24"/>
          <w:szCs w:val="24"/>
        </w:rPr>
        <w:t xml:space="preserve"> Figures 4 and 5 show the effects these options have on the hydrogen consumption and WLPT range. In figure 4 the 36kWh battery has been initialized at 50% state of charge with all other settings equal to those in figure 3. The WLPT range has dropped drastically—nearly half of what it was—commensurate with the reduced energy in the battery. In figure 5, recharging of the battery by the fuel cell has been enabled, and the WLTP range can be seen to jump back almost to where it was, albeit with much higher hydrogen consumption: the H2 used per cycle is almost double what it was and by the end of the calculated WLTP range </w:t>
      </w:r>
      <w:r>
        <w:rPr>
          <w:rFonts w:ascii="Cambria" w:hAnsi="Cambria"/>
          <w:sz w:val="24"/>
          <w:szCs w:val="24"/>
        </w:rPr>
        <w:t>the amount left in storage is effectively zero, however, the battery ends the WLTP cycle with slightly more charge than the previous simulation. In all simulations using both new and old models, WLTP range is determined by the amount of distance traveled in a repeating WLTP drive cycle to deplete either the battery or the hydrogen storage—whichever depletes first marks the end of the range. In figure 4, without charging from the hydrogen cell, it can be clearly seen that there is hydrogen left at the end of the WLTP range, indicating the battery depleted first as expected. The opposite is true in figure 5.</w:t>
      </w:r>
    </w:p>
    <w:p w14:paraId="25244021" w14:textId="77777777" w:rsidR="00901BE3" w:rsidRDefault="00901BE3" w:rsidP="002135C8">
      <w:pPr>
        <w:spacing w:after="0" w:line="240" w:lineRule="auto"/>
        <w:ind w:firstLine="720"/>
        <w:jc w:val="both"/>
        <w:rPr>
          <w:rFonts w:ascii="Cambria" w:hAnsi="Cambria"/>
          <w:sz w:val="24"/>
          <w:szCs w:val="24"/>
        </w:rPr>
      </w:pPr>
    </w:p>
    <w:p w14:paraId="1189B3FA" w14:textId="005BABC1" w:rsidR="00AF5518" w:rsidRDefault="00D6391D" w:rsidP="002135C8">
      <w:pPr>
        <w:spacing w:after="0" w:line="240" w:lineRule="auto"/>
        <w:ind w:firstLine="720"/>
        <w:jc w:val="both"/>
        <w:rPr>
          <w:rFonts w:ascii="Cambria" w:hAnsi="Cambria"/>
          <w:sz w:val="24"/>
          <w:szCs w:val="24"/>
        </w:rPr>
      </w:pPr>
      <w:r>
        <w:rPr>
          <w:noProof/>
        </w:rPr>
        <w:lastRenderedPageBreak/>
        <mc:AlternateContent>
          <mc:Choice Requires="wps">
            <w:drawing>
              <wp:anchor distT="0" distB="0" distL="114300" distR="114300" simplePos="0" relativeHeight="251679232" behindDoc="0" locked="0" layoutInCell="1" allowOverlap="1" wp14:anchorId="651671DD" wp14:editId="2C839854">
                <wp:simplePos x="0" y="0"/>
                <wp:positionH relativeFrom="margin">
                  <wp:align>right</wp:align>
                </wp:positionH>
                <wp:positionV relativeFrom="paragraph">
                  <wp:posOffset>4101465</wp:posOffset>
                </wp:positionV>
                <wp:extent cx="3980815" cy="200025"/>
                <wp:effectExtent l="0" t="0" r="635" b="9525"/>
                <wp:wrapSquare wrapText="bothSides"/>
                <wp:docPr id="35" name="Text Box 35"/>
                <wp:cNvGraphicFramePr/>
                <a:graphic xmlns:a="http://schemas.openxmlformats.org/drawingml/2006/main">
                  <a:graphicData uri="http://schemas.microsoft.com/office/word/2010/wordprocessingShape">
                    <wps:wsp>
                      <wps:cNvSpPr txBox="1"/>
                      <wps:spPr>
                        <a:xfrm>
                          <a:off x="0" y="0"/>
                          <a:ext cx="3980815" cy="200025"/>
                        </a:xfrm>
                        <a:prstGeom prst="rect">
                          <a:avLst/>
                        </a:prstGeom>
                        <a:solidFill>
                          <a:prstClr val="white"/>
                        </a:solidFill>
                        <a:ln>
                          <a:noFill/>
                        </a:ln>
                      </wps:spPr>
                      <wps:txbx>
                        <w:txbxContent>
                          <w:p w14:paraId="53F484D9" w14:textId="729FB355" w:rsidR="00D6391D" w:rsidRPr="00BF6238" w:rsidRDefault="00D6391D" w:rsidP="00D6391D">
                            <w:pPr>
                              <w:pStyle w:val="Caption"/>
                              <w:rPr>
                                <w:rFonts w:ascii="Cambria" w:hAnsi="Cambria"/>
                                <w:noProof/>
                                <w:sz w:val="24"/>
                                <w:szCs w:val="24"/>
                              </w:rPr>
                            </w:pPr>
                            <w:r>
                              <w:t xml:space="preserve">Table </w:t>
                            </w:r>
                            <w:r>
                              <w:fldChar w:fldCharType="begin"/>
                            </w:r>
                            <w:r>
                              <w:instrText xml:space="preserve"> SEQ Table \* ARABIC </w:instrText>
                            </w:r>
                            <w:r>
                              <w:fldChar w:fldCharType="separate"/>
                            </w:r>
                            <w:r>
                              <w:rPr>
                                <w:noProof/>
                              </w:rPr>
                              <w:t>2</w:t>
                            </w:r>
                            <w:r>
                              <w:fldChar w:fldCharType="end"/>
                            </w:r>
                            <w:r>
                              <w:t>: Comparison of the unadjusted new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1671DD" id="Text Box 35" o:spid="_x0000_s1031" type="#_x0000_t202" style="position:absolute;left:0;text-align:left;margin-left:262.25pt;margin-top:322.95pt;width:313.45pt;height:15.75pt;z-index:25167923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" stroked="f">
                <v:textbox inset="0,0,0,0">
                  <w:txbxContent>
                    <w:p w14:paraId="53F484D9" w14:textId="729FB355" w:rsidR="00D6391D" w:rsidRPr="00BF6238" w:rsidRDefault="00D6391D" w:rsidP="00D6391D">
                      <w:pPr>
                        <w:pStyle w:val="Caption"/>
                        <w:rPr>
                          <w:rFonts w:ascii="Cambria" w:hAnsi="Cambria"/>
                          <w:noProof/>
                          <w:sz w:val="24"/>
                          <w:szCs w:val="24"/>
                        </w:rPr>
                      </w:pPr>
                      <w:r>
                        <w:t xml:space="preserve">Table </w:t>
                      </w:r>
                      <w:r>
                        <w:fldChar w:fldCharType="begin"/>
                      </w:r>
                      <w:r>
                        <w:instrText xml:space="preserve"> SEQ Table \* ARABIC </w:instrText>
                      </w:r>
                      <w:r>
                        <w:fldChar w:fldCharType="separate"/>
                      </w:r>
                      <w:r>
                        <w:rPr>
                          <w:noProof/>
                        </w:rPr>
                        <w:t>2</w:t>
                      </w:r>
                      <w:r>
                        <w:fldChar w:fldCharType="end"/>
                      </w:r>
                      <w:r>
                        <w:t>: Comparison of the unadjusted new model</w:t>
                      </w:r>
                    </w:p>
                  </w:txbxContent>
                </v:textbox>
                <w10:wrap type="square" anchorx="margin"/>
              </v:shape>
            </w:pict>
          </mc:Fallback>
        </mc:AlternateContent>
      </w:r>
      <w:r>
        <w:rPr>
          <w:rFonts w:ascii="Cambria" w:hAnsi="Cambria"/>
          <w:noProof/>
          <w:sz w:val="24"/>
          <w:szCs w:val="24"/>
        </w:rPr>
        <w:drawing>
          <wp:anchor distT="0" distB="0" distL="114300" distR="114300" simplePos="0" relativeHeight="251675136" behindDoc="0" locked="0" layoutInCell="1" allowOverlap="1" wp14:anchorId="0EF3B412" wp14:editId="0A8889A6">
            <wp:simplePos x="0" y="0"/>
            <wp:positionH relativeFrom="margin">
              <wp:align>right</wp:align>
            </wp:positionH>
            <wp:positionV relativeFrom="paragraph">
              <wp:posOffset>4387215</wp:posOffset>
            </wp:positionV>
            <wp:extent cx="3980815" cy="1112238"/>
            <wp:effectExtent l="0" t="0" r="63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80815" cy="1112238"/>
                    </a:xfrm>
                    <a:prstGeom prst="rect">
                      <a:avLst/>
                    </a:prstGeom>
                    <a:noFill/>
                  </pic:spPr>
                </pic:pic>
              </a:graphicData>
            </a:graphic>
          </wp:anchor>
        </w:drawing>
      </w:r>
      <w:r>
        <w:rPr>
          <w:noProof/>
        </w:rPr>
        <mc:AlternateContent>
          <mc:Choice Requires="wps">
            <w:drawing>
              <wp:anchor distT="0" distB="0" distL="114300" distR="114300" simplePos="0" relativeHeight="251677184" behindDoc="0" locked="0" layoutInCell="1" allowOverlap="1" wp14:anchorId="18B3D507" wp14:editId="5DD0F149">
                <wp:simplePos x="0" y="0"/>
                <wp:positionH relativeFrom="column">
                  <wp:posOffset>-1905</wp:posOffset>
                </wp:positionH>
                <wp:positionV relativeFrom="paragraph">
                  <wp:posOffset>3391535</wp:posOffset>
                </wp:positionV>
                <wp:extent cx="6646545"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6646545" cy="635"/>
                        </a:xfrm>
                        <a:prstGeom prst="rect">
                          <a:avLst/>
                        </a:prstGeom>
                        <a:solidFill>
                          <a:prstClr val="white"/>
                        </a:solidFill>
                        <a:ln>
                          <a:noFill/>
                        </a:ln>
                      </wps:spPr>
                      <wps:txbx>
                        <w:txbxContent>
                          <w:p w14:paraId="173C0002" w14:textId="4C2A50E0" w:rsidR="00D6391D" w:rsidRPr="001B37E6" w:rsidRDefault="00D6391D" w:rsidP="00D6391D">
                            <w:pPr>
                              <w:pStyle w:val="Caption"/>
                              <w:rPr>
                                <w:rFonts w:ascii="Cambria" w:hAnsi="Cambria"/>
                                <w:noProof/>
                                <w:sz w:val="24"/>
                                <w:szCs w:val="24"/>
                              </w:rPr>
                            </w:pPr>
                            <w:r>
                              <w:t xml:space="preserve">Figure </w:t>
                            </w:r>
                            <w:r>
                              <w:fldChar w:fldCharType="begin"/>
                            </w:r>
                            <w:r>
                              <w:instrText xml:space="preserve"> SEQ Figure \* ARABIC </w:instrText>
                            </w:r>
                            <w:r>
                              <w:fldChar w:fldCharType="separate"/>
                            </w:r>
                            <w:r>
                              <w:rPr>
                                <w:noProof/>
                              </w:rPr>
                              <w:t>5</w:t>
                            </w:r>
                            <w:r>
                              <w:fldChar w:fldCharType="end"/>
                            </w:r>
                            <w:r>
                              <w:t>: The new analytical model with battery charging from the fuel cell enabled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B3D507" id="Text Box 34" o:spid="_x0000_s1032" type="#_x0000_t202" style="position:absolute;left:0;text-align:left;margin-left:-.15pt;margin-top:267.05pt;width:523.35pt;height:.05pt;z-index:25167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" stroked="f">
                <v:textbox style="mso-fit-shape-to-text:t" inset="0,0,0,0">
                  <w:txbxContent>
                    <w:p w14:paraId="173C0002" w14:textId="4C2A50E0" w:rsidR="00D6391D" w:rsidRPr="001B37E6" w:rsidRDefault="00D6391D" w:rsidP="00D6391D">
                      <w:pPr>
                        <w:pStyle w:val="Caption"/>
                        <w:rPr>
                          <w:rFonts w:ascii="Cambria" w:hAnsi="Cambria"/>
                          <w:noProof/>
                          <w:sz w:val="24"/>
                          <w:szCs w:val="24"/>
                        </w:rPr>
                      </w:pPr>
                      <w:r>
                        <w:t xml:space="preserve">Figure </w:t>
                      </w:r>
                      <w:r>
                        <w:fldChar w:fldCharType="begin"/>
                      </w:r>
                      <w:r>
                        <w:instrText xml:space="preserve"> SEQ Figure \* ARABIC </w:instrText>
                      </w:r>
                      <w:r>
                        <w:fldChar w:fldCharType="separate"/>
                      </w:r>
                      <w:r>
                        <w:rPr>
                          <w:noProof/>
                        </w:rPr>
                        <w:t>5</w:t>
                      </w:r>
                      <w:r>
                        <w:fldChar w:fldCharType="end"/>
                      </w:r>
                      <w:r>
                        <w:t>: The new analytical model with battery charging from the fuel cell enabled</w:t>
                      </w:r>
                    </w:p>
                  </w:txbxContent>
                </v:textbox>
                <w10:wrap type="topAndBottom"/>
              </v:shape>
            </w:pict>
          </mc:Fallback>
        </mc:AlternateContent>
      </w:r>
      <w:r w:rsidR="00901BE3" w:rsidRPr="00A00D29">
        <w:rPr>
          <w:rFonts w:ascii="Cambria" w:hAnsi="Cambria"/>
          <w:sz w:val="24"/>
          <w:szCs w:val="24"/>
        </w:rPr>
        <w:drawing>
          <wp:anchor distT="0" distB="0" distL="114300" distR="114300" simplePos="0" relativeHeight="251672064" behindDoc="0" locked="0" layoutInCell="1" allowOverlap="1" wp14:anchorId="13590A6A" wp14:editId="51CC2B7B">
            <wp:simplePos x="0" y="0"/>
            <wp:positionH relativeFrom="margin">
              <wp:posOffset>-1905</wp:posOffset>
            </wp:positionH>
            <wp:positionV relativeFrom="paragraph">
              <wp:posOffset>0</wp:posOffset>
            </wp:positionV>
            <wp:extent cx="6646545" cy="3334385"/>
            <wp:effectExtent l="0" t="0" r="1905" b="0"/>
            <wp:wrapTopAndBottom/>
            <wp:docPr id="31" name="Picture 3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646545" cy="3334385"/>
                    </a:xfrm>
                    <a:prstGeom prst="rect">
                      <a:avLst/>
                    </a:prstGeom>
                  </pic:spPr>
                </pic:pic>
              </a:graphicData>
            </a:graphic>
          </wp:anchor>
        </w:drawing>
      </w:r>
      <w:r w:rsidR="00AF5518">
        <w:rPr>
          <w:rFonts w:ascii="Cambria" w:hAnsi="Cambria"/>
          <w:sz w:val="24"/>
          <w:szCs w:val="24"/>
        </w:rPr>
        <w:t xml:space="preserve">These behaviors are all as one might reasonably expect, which along with the new hydrogen consumption figures supports the assumption that the new analytical model is responding correctly to the simulation settings and is more reflective of real performance than the old model. </w:t>
      </w:r>
      <w:r w:rsidR="00901BE3">
        <w:rPr>
          <w:rFonts w:ascii="Cambria" w:hAnsi="Cambria"/>
          <w:sz w:val="24"/>
          <w:szCs w:val="24"/>
        </w:rPr>
        <w:t>Table 2, a revision of table 1, shows the results of the model simulating an unmodified Tesla 3, and it is immediately apparent that the new model underpredicts the power consumption of the battery.</w:t>
      </w:r>
      <w:r>
        <w:rPr>
          <w:rFonts w:ascii="Cambria" w:hAnsi="Cambria"/>
          <w:sz w:val="24"/>
          <w:szCs w:val="24"/>
        </w:rPr>
        <w:t xml:space="preserve"> To fix this, the efficiency of the battery was reduced from 95% to 85%, where the WLTP range was 529.1 km and the </w:t>
      </w:r>
      <w:proofErr w:type="spellStart"/>
      <w:r>
        <w:rPr>
          <w:rFonts w:ascii="Cambria" w:hAnsi="Cambria"/>
          <w:sz w:val="24"/>
          <w:szCs w:val="24"/>
        </w:rPr>
        <w:t>Wh</w:t>
      </w:r>
      <w:proofErr w:type="spellEnd"/>
      <w:r>
        <w:rPr>
          <w:rFonts w:ascii="Cambria" w:hAnsi="Cambria"/>
          <w:sz w:val="24"/>
          <w:szCs w:val="24"/>
        </w:rPr>
        <w:t>/km at 141.75. With these settings, replacing half the battery with 1.5kg of hydrogen storage reduces the WLTP range to 326 km with battery charging and 254 km without, indicating that more hydrogen must be stored in order to fully replace the missing 36kWh from the battery.</w:t>
      </w:r>
    </w:p>
    <w:p w14:paraId="57D8BD9D" w14:textId="30EF1A36" w:rsidR="00D6391D" w:rsidRDefault="00D6391D" w:rsidP="002135C8">
      <w:pPr>
        <w:spacing w:after="0" w:line="240" w:lineRule="auto"/>
        <w:ind w:firstLine="720"/>
        <w:jc w:val="both"/>
        <w:rPr>
          <w:rFonts w:ascii="Cambria" w:hAnsi="Cambria"/>
          <w:sz w:val="24"/>
          <w:szCs w:val="24"/>
        </w:rPr>
      </w:pPr>
    </w:p>
    <w:p w14:paraId="5FCD5A3D" w14:textId="30FAF813" w:rsidR="00D6391D" w:rsidRDefault="00D6391D" w:rsidP="00D6391D">
      <w:pPr>
        <w:pStyle w:val="Heading1"/>
      </w:pPr>
      <w:r>
        <w:t>3 Powertrain Specification</w:t>
      </w:r>
    </w:p>
    <w:p w14:paraId="270BCC2B" w14:textId="0AA44A3E" w:rsidR="00D6391D" w:rsidRDefault="00D6391D" w:rsidP="002135C8">
      <w:pPr>
        <w:spacing w:after="0" w:line="240" w:lineRule="auto"/>
        <w:ind w:firstLine="720"/>
        <w:jc w:val="both"/>
        <w:rPr>
          <w:rFonts w:ascii="Cambria" w:hAnsi="Cambria"/>
          <w:sz w:val="24"/>
          <w:szCs w:val="24"/>
        </w:rPr>
      </w:pPr>
    </w:p>
    <w:p w14:paraId="5BC0DDFA" w14:textId="5027C3D4" w:rsidR="00D6391D" w:rsidRDefault="00132F6E" w:rsidP="002135C8">
      <w:pPr>
        <w:spacing w:after="0" w:line="240" w:lineRule="auto"/>
        <w:ind w:firstLine="720"/>
        <w:jc w:val="both"/>
        <w:rPr>
          <w:rFonts w:ascii="Cambria" w:hAnsi="Cambria"/>
          <w:sz w:val="24"/>
          <w:szCs w:val="24"/>
        </w:rPr>
      </w:pPr>
      <w:r>
        <w:rPr>
          <w:rFonts w:ascii="Cambria" w:hAnsi="Cambria"/>
          <w:sz w:val="24"/>
          <w:szCs w:val="24"/>
        </w:rPr>
        <w:t xml:space="preserve">The purpose of refining the analytical model was to be better able to size and characterize drivetrain components that aligned with the desired vehicle specification. In this case, the customer wished to maximize the range of the fuel cell hybrid vehicle while minimizing the battery capacity. </w:t>
      </w:r>
      <w:r>
        <w:rPr>
          <w:rFonts w:ascii="Cambria" w:hAnsi="Cambria"/>
          <w:sz w:val="24"/>
          <w:szCs w:val="24"/>
        </w:rPr>
        <w:lastRenderedPageBreak/>
        <w:t>Following data from the United States Office of</w:t>
      </w:r>
      <w:r w:rsidRPr="00837329">
        <w:rPr>
          <w:rFonts w:ascii="Cambria" w:hAnsi="Cambria"/>
          <w:sz w:val="24"/>
          <w:szCs w:val="24"/>
        </w:rPr>
        <w:t xml:space="preserve"> Energy Efficiency &amp; Renewable Energy</w:t>
      </w:r>
      <w:r>
        <w:rPr>
          <w:rFonts w:ascii="Cambria" w:hAnsi="Cambria"/>
          <w:sz w:val="24"/>
          <w:szCs w:val="24"/>
        </w:rPr>
        <w:t xml:space="preserve">, compressed hydrogen storage had already been identified as the </w:t>
      </w:r>
      <w:r w:rsidR="0022110E">
        <w:rPr>
          <w:rFonts w:ascii="Cambria" w:hAnsi="Cambria"/>
          <w:sz w:val="24"/>
          <w:szCs w:val="24"/>
        </w:rPr>
        <w:t xml:space="preserve">best mix of storage efficiency, cost, and energy required to release it (OEERE 2022). </w:t>
      </w:r>
      <w:r w:rsidR="00240BF0">
        <w:rPr>
          <w:rFonts w:ascii="Cambria" w:hAnsi="Cambria"/>
          <w:sz w:val="24"/>
          <w:szCs w:val="24"/>
        </w:rPr>
        <w:t xml:space="preserve">A type 4 hydrogen storage tank from </w:t>
      </w:r>
      <w:proofErr w:type="spellStart"/>
      <w:r w:rsidR="00240BF0">
        <w:rPr>
          <w:rFonts w:ascii="Cambria" w:hAnsi="Cambria"/>
          <w:sz w:val="24"/>
          <w:szCs w:val="24"/>
        </w:rPr>
        <w:t>Mahytec</w:t>
      </w:r>
      <w:proofErr w:type="spellEnd"/>
      <w:r w:rsidR="00240BF0">
        <w:rPr>
          <w:rFonts w:ascii="Cambria" w:hAnsi="Cambria"/>
          <w:sz w:val="24"/>
          <w:szCs w:val="24"/>
        </w:rPr>
        <w:t xml:space="preserve"> was identified as fulfilling the needs of the proposed hybrid powertrain. The tank has a working pressure of 500 bar, empty mass of 260kg, and is advertised as storing 9.5 kg of hydrogen—more attractive to the purposes of this study is the fact that it is also certified for mobile use according to TPED 2010/35/EU standards (</w:t>
      </w:r>
      <w:proofErr w:type="spellStart"/>
      <w:r w:rsidR="00240BF0">
        <w:rPr>
          <w:rFonts w:ascii="Cambria" w:hAnsi="Cambria"/>
          <w:sz w:val="24"/>
          <w:szCs w:val="24"/>
        </w:rPr>
        <w:t>Mahytec</w:t>
      </w:r>
      <w:proofErr w:type="spellEnd"/>
      <w:r w:rsidR="00240BF0">
        <w:rPr>
          <w:rFonts w:ascii="Cambria" w:hAnsi="Cambria"/>
          <w:sz w:val="24"/>
          <w:szCs w:val="24"/>
        </w:rPr>
        <w:t>, 2023).</w:t>
      </w:r>
    </w:p>
    <w:p w14:paraId="209078DB" w14:textId="6F66BD14" w:rsidR="00240BF0" w:rsidRDefault="00240BF0" w:rsidP="002135C8">
      <w:pPr>
        <w:spacing w:after="0" w:line="240" w:lineRule="auto"/>
        <w:ind w:firstLine="720"/>
        <w:jc w:val="both"/>
        <w:rPr>
          <w:rFonts w:ascii="Cambria" w:hAnsi="Cambria"/>
          <w:sz w:val="24"/>
          <w:szCs w:val="24"/>
        </w:rPr>
      </w:pPr>
      <w:r>
        <w:rPr>
          <w:rFonts w:ascii="Cambria" w:hAnsi="Cambria"/>
          <w:sz w:val="24"/>
          <w:szCs w:val="24"/>
        </w:rPr>
        <w:t xml:space="preserve">With the new hydrogen capacity of 9.5 kg, the drive cycle simulation reports a WLTP range of 420 km—still not meeting </w:t>
      </w:r>
      <w:r w:rsidR="0059366C">
        <w:rPr>
          <w:rFonts w:ascii="Cambria" w:hAnsi="Cambria"/>
          <w:sz w:val="24"/>
          <w:szCs w:val="24"/>
        </w:rPr>
        <w:t xml:space="preserve">the desired powertrain requirements. The model indicates 7.5 kg of hydrogen remaining at the end of the range, meaning the battery discharge is the limiting factor. To fix this, two alterations were made to the model: 100 series, 2 parallel battery pack determined by the old model was reduced to a single 100 series stack, which according to the specification sheet reduced the battery pack weight from 160 to 81 kg, and only 20.8 kWh capacity. Second, the fuel cell was enlarged to </w:t>
      </w:r>
      <w:r w:rsidR="00D34370">
        <w:rPr>
          <w:rFonts w:ascii="Cambria" w:hAnsi="Cambria"/>
          <w:sz w:val="24"/>
          <w:szCs w:val="24"/>
        </w:rPr>
        <w:t>4</w:t>
      </w:r>
      <w:r w:rsidR="0059366C">
        <w:rPr>
          <w:rFonts w:ascii="Cambria" w:hAnsi="Cambria"/>
          <w:sz w:val="24"/>
          <w:szCs w:val="24"/>
        </w:rPr>
        <w:t>0 amp capacity, increasing the surface area from 67cm</w:t>
      </w:r>
      <w:r w:rsidR="0059366C">
        <w:rPr>
          <w:rFonts w:ascii="Cambria" w:hAnsi="Cambria"/>
          <w:sz w:val="24"/>
          <w:szCs w:val="24"/>
          <w:vertAlign w:val="superscript"/>
        </w:rPr>
        <w:t>2</w:t>
      </w:r>
      <w:r w:rsidR="0059366C">
        <w:rPr>
          <w:rFonts w:ascii="Cambria" w:hAnsi="Cambria"/>
          <w:sz w:val="24"/>
          <w:szCs w:val="24"/>
        </w:rPr>
        <w:t xml:space="preserve"> to 1</w:t>
      </w:r>
      <w:r w:rsidR="00D34370">
        <w:rPr>
          <w:rFonts w:ascii="Cambria" w:hAnsi="Cambria"/>
          <w:sz w:val="24"/>
          <w:szCs w:val="24"/>
        </w:rPr>
        <w:t>33</w:t>
      </w:r>
      <w:r w:rsidR="0059366C">
        <w:rPr>
          <w:rFonts w:ascii="Cambria" w:hAnsi="Cambria"/>
          <w:sz w:val="24"/>
          <w:szCs w:val="24"/>
        </w:rPr>
        <w:t>cm</w:t>
      </w:r>
      <w:r w:rsidR="0059366C">
        <w:rPr>
          <w:rFonts w:ascii="Cambria" w:hAnsi="Cambria"/>
          <w:sz w:val="24"/>
          <w:szCs w:val="24"/>
          <w:vertAlign w:val="superscript"/>
        </w:rPr>
        <w:t>2</w:t>
      </w:r>
      <w:r w:rsidR="0059366C">
        <w:rPr>
          <w:rFonts w:ascii="Cambria" w:hAnsi="Cambria"/>
          <w:sz w:val="24"/>
          <w:szCs w:val="24"/>
        </w:rPr>
        <w:t xml:space="preserve"> as per the 0.3A/cm</w:t>
      </w:r>
      <w:r w:rsidR="0059366C">
        <w:rPr>
          <w:rFonts w:ascii="Cambria" w:hAnsi="Cambria"/>
          <w:sz w:val="24"/>
          <w:szCs w:val="24"/>
          <w:vertAlign w:val="superscript"/>
        </w:rPr>
        <w:t>2</w:t>
      </w:r>
      <w:r w:rsidR="0059366C">
        <w:rPr>
          <w:rFonts w:ascii="Cambria" w:hAnsi="Cambria"/>
          <w:sz w:val="24"/>
          <w:szCs w:val="24"/>
        </w:rPr>
        <w:t xml:space="preserve"> efficient zone defined by </w:t>
      </w:r>
      <w:proofErr w:type="spellStart"/>
      <w:r w:rsidR="0059366C">
        <w:rPr>
          <w:rFonts w:ascii="Cambria" w:hAnsi="Cambria"/>
          <w:sz w:val="24"/>
          <w:szCs w:val="24"/>
        </w:rPr>
        <w:t>Elbadawy</w:t>
      </w:r>
      <w:proofErr w:type="spellEnd"/>
      <w:r w:rsidR="0059366C">
        <w:rPr>
          <w:rFonts w:ascii="Cambria" w:hAnsi="Cambria"/>
          <w:sz w:val="24"/>
          <w:szCs w:val="24"/>
        </w:rPr>
        <w:t xml:space="preserve"> et al (2015).</w:t>
      </w:r>
      <w:r w:rsidR="00D34370">
        <w:rPr>
          <w:rFonts w:ascii="Cambria" w:hAnsi="Cambria"/>
          <w:sz w:val="24"/>
          <w:szCs w:val="24"/>
        </w:rPr>
        <w:t xml:space="preserve"> The 270kg weight savings from the battery pack reduction from the initial 75kWh setup was counteracted by the addition of the 260kg hydrogen tank, and with the addition of the </w:t>
      </w:r>
      <w:r w:rsidR="00953EDC">
        <w:rPr>
          <w:rFonts w:ascii="Cambria" w:hAnsi="Cambria"/>
          <w:sz w:val="24"/>
          <w:szCs w:val="24"/>
        </w:rPr>
        <w:t>fuel cell stack, of which similar automotive units were found to weigh approximately 60kg (Kane, 2014) the weight of the vehicle increased slightly to 2030kg.</w:t>
      </w:r>
      <w:r w:rsidR="00474879">
        <w:rPr>
          <w:rFonts w:ascii="Cambria" w:hAnsi="Cambria"/>
          <w:sz w:val="24"/>
          <w:szCs w:val="24"/>
        </w:rPr>
        <w:t xml:space="preserve"> The simulated WLTP range of this configuration was 720 km, a fair increase over the market and test data. The simulation also indicated slightly over 5kg of hydrogen remaining, suggesting that further optimization might be possible even though the current configuration meets the required specifications.</w:t>
      </w:r>
    </w:p>
    <w:p w14:paraId="5370A5FF" w14:textId="239CF9AF" w:rsidR="00474879" w:rsidRDefault="00474879" w:rsidP="002135C8">
      <w:pPr>
        <w:spacing w:after="0" w:line="240" w:lineRule="auto"/>
        <w:ind w:firstLine="720"/>
        <w:jc w:val="both"/>
        <w:rPr>
          <w:rFonts w:ascii="Cambria" w:hAnsi="Cambria"/>
          <w:sz w:val="24"/>
          <w:szCs w:val="24"/>
        </w:rPr>
      </w:pPr>
    </w:p>
    <w:p w14:paraId="58238471" w14:textId="085B8DFF" w:rsidR="00474879" w:rsidRDefault="00474879" w:rsidP="00474879">
      <w:pPr>
        <w:pStyle w:val="Heading1"/>
      </w:pPr>
      <w:r>
        <w:t>4 Conclusion and Further Work</w:t>
      </w:r>
    </w:p>
    <w:p w14:paraId="3B633279" w14:textId="679426B1" w:rsidR="00474879" w:rsidRDefault="00474879" w:rsidP="002135C8">
      <w:pPr>
        <w:spacing w:after="0" w:line="240" w:lineRule="auto"/>
        <w:ind w:firstLine="720"/>
        <w:jc w:val="both"/>
        <w:rPr>
          <w:rFonts w:ascii="Cambria" w:hAnsi="Cambria"/>
          <w:sz w:val="24"/>
          <w:szCs w:val="24"/>
        </w:rPr>
      </w:pPr>
    </w:p>
    <w:p w14:paraId="399D533B" w14:textId="2D48D9CA" w:rsidR="00474879" w:rsidRDefault="00474879" w:rsidP="002135C8">
      <w:pPr>
        <w:spacing w:after="0" w:line="240" w:lineRule="auto"/>
        <w:ind w:firstLine="720"/>
        <w:jc w:val="both"/>
        <w:rPr>
          <w:rFonts w:ascii="Cambria" w:hAnsi="Cambria"/>
          <w:sz w:val="24"/>
          <w:szCs w:val="24"/>
        </w:rPr>
      </w:pPr>
      <w:r>
        <w:rPr>
          <w:rFonts w:ascii="Cambria" w:hAnsi="Cambria"/>
          <w:sz w:val="24"/>
          <w:szCs w:val="24"/>
        </w:rPr>
        <w:t>This paper set out to repair and refine a previously developed analytical model WLTP simulation. Two major issues with the old model were identified: incorrect hydrogen consumption calculation and incorrect battery charging behavior. The new model</w:t>
      </w:r>
      <w:r w:rsidR="00E8663B">
        <w:rPr>
          <w:rFonts w:ascii="Cambria" w:hAnsi="Cambria"/>
          <w:sz w:val="24"/>
          <w:szCs w:val="24"/>
        </w:rPr>
        <w:t>, which was built by rewriting the latter two stages of the old model’s simulation, resolved both issues and added two new functionalities to the simulation: the ability to determine the battery’s starting SOC and the ability to allow the hydrogen fuel cell to charge the battery. The new model was compared to previously used test and sales data and internal efficiencies were altered until it was brought into line with the verification data.</w:t>
      </w:r>
    </w:p>
    <w:p w14:paraId="5ED7DA72" w14:textId="2C2A6235" w:rsidR="00E8663B" w:rsidRDefault="00E8663B" w:rsidP="002135C8">
      <w:pPr>
        <w:spacing w:after="0" w:line="240" w:lineRule="auto"/>
        <w:ind w:firstLine="720"/>
        <w:jc w:val="both"/>
        <w:rPr>
          <w:rFonts w:ascii="Cambria" w:hAnsi="Cambria"/>
          <w:sz w:val="24"/>
          <w:szCs w:val="24"/>
        </w:rPr>
      </w:pPr>
      <w:r>
        <w:rPr>
          <w:rFonts w:ascii="Cambria" w:hAnsi="Cambria"/>
          <w:sz w:val="24"/>
          <w:szCs w:val="24"/>
        </w:rPr>
        <w:t>Once verified, the new model was used to optimize a fuel cell hybrid electric powertrain conversion of the modeled vehicle: it was found that an increase in hydrogen storage and fuel cell amperage could successfully increase the vehicle’s WLTP range while decreasing the battery pack to one quarter of its original capacity, both of which were requirements from the customer. While weight was not specified, the optimized configuration managed to mitigate weight increase of the vehicle as well to avoid any significant performance alterations.</w:t>
      </w:r>
    </w:p>
    <w:p w14:paraId="71065355" w14:textId="1B757DC2" w:rsidR="00E8663B" w:rsidRPr="0059366C" w:rsidRDefault="00E8663B" w:rsidP="002135C8">
      <w:pPr>
        <w:spacing w:after="0" w:line="240" w:lineRule="auto"/>
        <w:ind w:firstLine="720"/>
        <w:jc w:val="both"/>
        <w:rPr>
          <w:rFonts w:ascii="Cambria" w:hAnsi="Cambria"/>
          <w:sz w:val="24"/>
          <w:szCs w:val="24"/>
        </w:rPr>
      </w:pPr>
      <w:r>
        <w:rPr>
          <w:rFonts w:ascii="Cambria" w:hAnsi="Cambria"/>
          <w:sz w:val="24"/>
          <w:szCs w:val="24"/>
        </w:rPr>
        <w:t xml:space="preserve">The presence of leftover hydrogen at the end of the simulated WLTP range indicates that there is room for yet further optimization of the vehicle: depending on allowable cost, smaller hydrogen storage solutions might be favorable to save weight, or further development of the simulation might involve the addition of drive mode capabilities: when the battery is fully discharged, the vehicle might </w:t>
      </w:r>
      <w:r>
        <w:rPr>
          <w:rFonts w:ascii="Cambria" w:hAnsi="Cambria"/>
          <w:sz w:val="24"/>
          <w:szCs w:val="24"/>
        </w:rPr>
        <w:lastRenderedPageBreak/>
        <w:t>be made to run in a low power mode to reduce tractive load requirements so the fuel cell might recharge it.</w:t>
      </w:r>
    </w:p>
    <w:p w14:paraId="3EA17689" w14:textId="76D4F255" w:rsidR="00901BE3" w:rsidRDefault="00901BE3" w:rsidP="002135C8">
      <w:pPr>
        <w:spacing w:after="0" w:line="240" w:lineRule="auto"/>
        <w:ind w:firstLine="720"/>
        <w:jc w:val="both"/>
        <w:rPr>
          <w:rFonts w:ascii="Cambria" w:hAnsi="Cambria"/>
          <w:sz w:val="24"/>
          <w:szCs w:val="24"/>
        </w:rPr>
      </w:pPr>
    </w:p>
    <w:p w14:paraId="336C3846" w14:textId="60BCE99D" w:rsidR="00A00D29" w:rsidRDefault="00A00D29" w:rsidP="002135C8">
      <w:pPr>
        <w:spacing w:after="0" w:line="240" w:lineRule="auto"/>
        <w:ind w:firstLine="720"/>
        <w:jc w:val="both"/>
        <w:rPr>
          <w:rFonts w:ascii="Cambria" w:hAnsi="Cambria"/>
          <w:sz w:val="24"/>
          <w:szCs w:val="24"/>
        </w:rPr>
      </w:pPr>
    </w:p>
    <w:p w14:paraId="7719583E" w14:textId="0B92275B" w:rsidR="00A00D29" w:rsidRDefault="00A00D29" w:rsidP="002135C8">
      <w:pPr>
        <w:spacing w:after="0" w:line="240" w:lineRule="auto"/>
        <w:ind w:firstLine="720"/>
        <w:jc w:val="both"/>
        <w:rPr>
          <w:rFonts w:ascii="Cambria" w:hAnsi="Cambria"/>
          <w:sz w:val="24"/>
          <w:szCs w:val="24"/>
        </w:rPr>
      </w:pPr>
    </w:p>
    <w:p w14:paraId="6607458E" w14:textId="0C80CB77" w:rsidR="00E14A5A" w:rsidRPr="00081488" w:rsidRDefault="00E14A5A" w:rsidP="00081488">
      <w:pPr>
        <w:pStyle w:val="Heading2"/>
      </w:pPr>
      <w:r>
        <w:t>References</w:t>
      </w:r>
    </w:p>
    <w:p w14:paraId="30629023" w14:textId="2ADD2FD2" w:rsidR="00E14A5A" w:rsidRDefault="00E14A5A" w:rsidP="006754D1">
      <w:pPr>
        <w:spacing w:after="0" w:line="240" w:lineRule="auto"/>
        <w:ind w:firstLine="720"/>
        <w:jc w:val="both"/>
        <w:rPr>
          <w:rFonts w:ascii="Cambria" w:hAnsi="Cambria"/>
          <w:sz w:val="24"/>
          <w:szCs w:val="24"/>
        </w:rPr>
      </w:pPr>
    </w:p>
    <w:p w14:paraId="2CCEC3AD" w14:textId="1EE461BC" w:rsidR="00D34370" w:rsidRPr="00D34370" w:rsidRDefault="00D34370" w:rsidP="0056182A">
      <w:pPr>
        <w:spacing w:after="0" w:line="240" w:lineRule="auto"/>
        <w:ind w:left="360" w:hanging="360"/>
        <w:rPr>
          <w:rFonts w:ascii="Cambria" w:hAnsi="Cambria"/>
          <w:sz w:val="24"/>
          <w:szCs w:val="24"/>
        </w:rPr>
      </w:pPr>
      <w:proofErr w:type="spellStart"/>
      <w:r>
        <w:rPr>
          <w:rFonts w:ascii="Cambria" w:hAnsi="Cambria"/>
          <w:sz w:val="24"/>
          <w:szCs w:val="24"/>
        </w:rPr>
        <w:t>Elbadawy</w:t>
      </w:r>
      <w:proofErr w:type="spellEnd"/>
      <w:r>
        <w:rPr>
          <w:rFonts w:ascii="Cambria" w:hAnsi="Cambria"/>
          <w:sz w:val="24"/>
          <w:szCs w:val="24"/>
        </w:rPr>
        <w:t xml:space="preserve">, K; </w:t>
      </w:r>
      <w:proofErr w:type="spellStart"/>
      <w:r>
        <w:rPr>
          <w:rFonts w:ascii="Cambria" w:hAnsi="Cambria"/>
          <w:sz w:val="24"/>
          <w:szCs w:val="24"/>
        </w:rPr>
        <w:t>Elsayed</w:t>
      </w:r>
      <w:proofErr w:type="spellEnd"/>
      <w:r>
        <w:rPr>
          <w:rFonts w:ascii="Cambria" w:hAnsi="Cambria"/>
          <w:sz w:val="24"/>
          <w:szCs w:val="24"/>
        </w:rPr>
        <w:t>, Y; Abu-Saied MA et al. (2015) ‘</w:t>
      </w:r>
      <w:r w:rsidRPr="00E14A5A">
        <w:rPr>
          <w:rFonts w:ascii="Cambria" w:hAnsi="Cambria"/>
          <w:sz w:val="24"/>
          <w:szCs w:val="24"/>
        </w:rPr>
        <w:t>Ion conducting nanocomposite membranes based on PVA-HA-HAP for fuel cell application: II. Effect of modifier agent of PVA on membrane properties</w:t>
      </w:r>
      <w:r>
        <w:rPr>
          <w:rFonts w:ascii="Cambria" w:hAnsi="Cambria"/>
          <w:sz w:val="24"/>
          <w:szCs w:val="24"/>
        </w:rPr>
        <w:t xml:space="preserve">’, </w:t>
      </w:r>
      <w:r>
        <w:rPr>
          <w:rFonts w:ascii="Cambria" w:hAnsi="Cambria"/>
          <w:i/>
          <w:iCs/>
          <w:sz w:val="24"/>
          <w:szCs w:val="24"/>
        </w:rPr>
        <w:t>International Journal of Electrochemical Science</w:t>
      </w:r>
      <w:r>
        <w:rPr>
          <w:rFonts w:ascii="Cambria" w:hAnsi="Cambria"/>
          <w:sz w:val="24"/>
          <w:szCs w:val="24"/>
        </w:rPr>
        <w:t>, 10, pp 6627-6644.</w:t>
      </w:r>
    </w:p>
    <w:p w14:paraId="0723A653" w14:textId="77777777" w:rsidR="00D34370" w:rsidRDefault="00D34370" w:rsidP="0056182A">
      <w:pPr>
        <w:spacing w:after="0" w:line="240" w:lineRule="auto"/>
        <w:ind w:left="360" w:hanging="360"/>
        <w:rPr>
          <w:rFonts w:ascii="Cambria" w:hAnsi="Cambria"/>
          <w:sz w:val="24"/>
          <w:szCs w:val="24"/>
        </w:rPr>
      </w:pPr>
    </w:p>
    <w:p w14:paraId="43CD8BBA" w14:textId="1335845D" w:rsidR="002E604B" w:rsidRDefault="002E604B" w:rsidP="0056182A">
      <w:pPr>
        <w:spacing w:after="0" w:line="240" w:lineRule="auto"/>
        <w:ind w:left="360" w:hanging="360"/>
        <w:rPr>
          <w:rFonts w:ascii="Cambria" w:hAnsi="Cambria"/>
          <w:sz w:val="24"/>
          <w:szCs w:val="24"/>
        </w:rPr>
      </w:pPr>
      <w:r w:rsidRPr="002E604B">
        <w:rPr>
          <w:rFonts w:ascii="Cambria" w:hAnsi="Cambria"/>
          <w:sz w:val="24"/>
          <w:szCs w:val="24"/>
        </w:rPr>
        <w:t xml:space="preserve">Engineering </w:t>
      </w:r>
      <w:proofErr w:type="spellStart"/>
      <w:r w:rsidRPr="002E604B">
        <w:rPr>
          <w:rFonts w:ascii="Cambria" w:hAnsi="Cambria"/>
          <w:sz w:val="24"/>
          <w:szCs w:val="24"/>
        </w:rPr>
        <w:t>ToolBox</w:t>
      </w:r>
      <w:proofErr w:type="spellEnd"/>
      <w:r w:rsidRPr="002E604B">
        <w:rPr>
          <w:rFonts w:ascii="Cambria" w:hAnsi="Cambria"/>
          <w:sz w:val="24"/>
          <w:szCs w:val="24"/>
        </w:rPr>
        <w:t>, (2003). Gases</w:t>
      </w:r>
      <w:r>
        <w:rPr>
          <w:rFonts w:ascii="Cambria" w:hAnsi="Cambria"/>
          <w:sz w:val="24"/>
          <w:szCs w:val="24"/>
        </w:rPr>
        <w:t xml:space="preserve"> </w:t>
      </w:r>
      <w:r w:rsidRPr="002E604B">
        <w:rPr>
          <w:rFonts w:ascii="Cambria" w:hAnsi="Cambria"/>
          <w:sz w:val="24"/>
          <w:szCs w:val="24"/>
        </w:rPr>
        <w:t xml:space="preserve">- Densities. [online] Available at: https://www.engineeringtoolbox.com/gas-density-d_158.html </w:t>
      </w:r>
      <w:r w:rsidR="00344FF2">
        <w:rPr>
          <w:rFonts w:ascii="Cambria" w:hAnsi="Cambria"/>
          <w:sz w:val="24"/>
          <w:szCs w:val="24"/>
        </w:rPr>
        <w:t>(</w:t>
      </w:r>
      <w:r w:rsidRPr="002E604B">
        <w:rPr>
          <w:rFonts w:ascii="Cambria" w:hAnsi="Cambria"/>
          <w:sz w:val="24"/>
          <w:szCs w:val="24"/>
        </w:rPr>
        <w:t xml:space="preserve">Accessed </w:t>
      </w:r>
      <w:r>
        <w:rPr>
          <w:rFonts w:ascii="Cambria" w:hAnsi="Cambria"/>
          <w:sz w:val="24"/>
          <w:szCs w:val="24"/>
        </w:rPr>
        <w:t>Mar. 24, 2023</w:t>
      </w:r>
      <w:r w:rsidR="00344FF2">
        <w:rPr>
          <w:rFonts w:ascii="Cambria" w:hAnsi="Cambria"/>
          <w:sz w:val="24"/>
          <w:szCs w:val="24"/>
        </w:rPr>
        <w:t>)</w:t>
      </w:r>
      <w:r w:rsidRPr="002E604B">
        <w:rPr>
          <w:rFonts w:ascii="Cambria" w:hAnsi="Cambria"/>
          <w:sz w:val="24"/>
          <w:szCs w:val="24"/>
        </w:rPr>
        <w:t>.</w:t>
      </w:r>
    </w:p>
    <w:p w14:paraId="5CD19456" w14:textId="5374AE80" w:rsidR="00344FF2" w:rsidRDefault="00344FF2" w:rsidP="0056182A">
      <w:pPr>
        <w:spacing w:after="0" w:line="240" w:lineRule="auto"/>
        <w:ind w:left="360" w:hanging="360"/>
        <w:rPr>
          <w:rFonts w:ascii="Cambria" w:hAnsi="Cambria"/>
          <w:sz w:val="24"/>
          <w:szCs w:val="24"/>
        </w:rPr>
      </w:pPr>
    </w:p>
    <w:p w14:paraId="4F0354E0" w14:textId="7C32CF4E" w:rsidR="00344FF2" w:rsidRDefault="00344FF2" w:rsidP="0056182A">
      <w:pPr>
        <w:spacing w:after="0" w:line="240" w:lineRule="auto"/>
        <w:ind w:left="360" w:hanging="360"/>
        <w:rPr>
          <w:rFonts w:ascii="Cambria" w:hAnsi="Cambria"/>
          <w:sz w:val="24"/>
          <w:szCs w:val="24"/>
        </w:rPr>
      </w:pPr>
      <w:r>
        <w:rPr>
          <w:rFonts w:ascii="Cambria" w:hAnsi="Cambria"/>
          <w:sz w:val="24"/>
          <w:szCs w:val="24"/>
        </w:rPr>
        <w:t xml:space="preserve">Goodall, C (2021). </w:t>
      </w:r>
      <w:r>
        <w:rPr>
          <w:rFonts w:ascii="Cambria" w:hAnsi="Cambria"/>
          <w:i/>
          <w:iCs/>
          <w:sz w:val="24"/>
          <w:szCs w:val="24"/>
        </w:rPr>
        <w:t xml:space="preserve">‘Some Rules of Thumb of the Hydrogen Economy’, Carbon Commentary </w:t>
      </w:r>
      <w:r>
        <w:rPr>
          <w:rFonts w:ascii="Cambria" w:hAnsi="Cambria"/>
          <w:sz w:val="24"/>
          <w:szCs w:val="24"/>
        </w:rPr>
        <w:t xml:space="preserve">[blog]. June 11. Available at: </w:t>
      </w:r>
      <w:r w:rsidRPr="00344FF2">
        <w:rPr>
          <w:rFonts w:ascii="Cambria" w:hAnsi="Cambria"/>
          <w:sz w:val="24"/>
          <w:szCs w:val="24"/>
        </w:rPr>
        <w:t>https://www.carboncommentary.com/blog/2021/6/11/some-rules-of-thumb-of-the-hydrogen-economy</w:t>
      </w:r>
      <w:r>
        <w:rPr>
          <w:rFonts w:ascii="Cambria" w:hAnsi="Cambria"/>
          <w:sz w:val="24"/>
          <w:szCs w:val="24"/>
        </w:rPr>
        <w:t xml:space="preserve"> (Accessed Mar. 25, 2023).</w:t>
      </w:r>
    </w:p>
    <w:p w14:paraId="4447D7A0" w14:textId="1327EB5F" w:rsidR="00D34370" w:rsidRDefault="00D34370" w:rsidP="0056182A">
      <w:pPr>
        <w:spacing w:after="0" w:line="240" w:lineRule="auto"/>
        <w:ind w:left="360" w:hanging="360"/>
        <w:rPr>
          <w:rFonts w:ascii="Cambria" w:hAnsi="Cambria"/>
          <w:sz w:val="24"/>
          <w:szCs w:val="24"/>
        </w:rPr>
      </w:pPr>
    </w:p>
    <w:p w14:paraId="7D7D519B" w14:textId="0CD73A1A" w:rsidR="00D34370" w:rsidRPr="00953EDC" w:rsidRDefault="00D34370" w:rsidP="0056182A">
      <w:pPr>
        <w:spacing w:after="0" w:line="240" w:lineRule="auto"/>
        <w:ind w:left="360" w:hanging="360"/>
        <w:rPr>
          <w:rFonts w:ascii="Cambria" w:hAnsi="Cambria"/>
          <w:sz w:val="24"/>
          <w:szCs w:val="24"/>
        </w:rPr>
      </w:pPr>
      <w:r>
        <w:rPr>
          <w:rFonts w:ascii="Cambria" w:hAnsi="Cambria"/>
          <w:sz w:val="24"/>
          <w:szCs w:val="24"/>
        </w:rPr>
        <w:t xml:space="preserve">Kane, M (2014). </w:t>
      </w:r>
      <w:r w:rsidR="00953EDC">
        <w:rPr>
          <w:rFonts w:ascii="Cambria" w:hAnsi="Cambria"/>
          <w:sz w:val="24"/>
          <w:szCs w:val="24"/>
        </w:rPr>
        <w:t>‘</w:t>
      </w:r>
      <w:r w:rsidR="00953EDC" w:rsidRPr="00953EDC">
        <w:rPr>
          <w:rFonts w:ascii="Cambria" w:hAnsi="Cambria"/>
          <w:i/>
          <w:iCs/>
          <w:sz w:val="24"/>
          <w:szCs w:val="24"/>
        </w:rPr>
        <w:t>Toyota Mirai Fuel Cell Sedan Priced At $57,500 - Specs, Videos</w:t>
      </w:r>
      <w:r w:rsidR="00953EDC">
        <w:rPr>
          <w:rFonts w:ascii="Cambria" w:hAnsi="Cambria"/>
          <w:i/>
          <w:iCs/>
          <w:sz w:val="24"/>
          <w:szCs w:val="24"/>
        </w:rPr>
        <w:t>,’ Inside EVs.</w:t>
      </w:r>
      <w:r w:rsidR="00953EDC">
        <w:rPr>
          <w:rFonts w:ascii="Cambria" w:hAnsi="Cambria"/>
          <w:sz w:val="24"/>
          <w:szCs w:val="24"/>
        </w:rPr>
        <w:t xml:space="preserve"> Available at: </w:t>
      </w:r>
      <w:r w:rsidR="00953EDC" w:rsidRPr="00953EDC">
        <w:rPr>
          <w:rFonts w:ascii="Cambria" w:hAnsi="Cambria"/>
          <w:sz w:val="24"/>
          <w:szCs w:val="24"/>
        </w:rPr>
        <w:t>https://insideevs.com/news/323973/toyota-mirai-fuel-cell-sedan-priced-at-57500-specs-videos/</w:t>
      </w:r>
      <w:r w:rsidR="00953EDC">
        <w:rPr>
          <w:rFonts w:ascii="Cambria" w:hAnsi="Cambria"/>
          <w:sz w:val="24"/>
          <w:szCs w:val="24"/>
        </w:rPr>
        <w:t xml:space="preserve"> (Accessed Mar 25, 2023).</w:t>
      </w:r>
    </w:p>
    <w:p w14:paraId="35A9A274" w14:textId="7CFC78CF" w:rsidR="002E604B" w:rsidRDefault="002E604B" w:rsidP="0056182A">
      <w:pPr>
        <w:spacing w:after="0" w:line="240" w:lineRule="auto"/>
        <w:ind w:left="360" w:hanging="360"/>
        <w:rPr>
          <w:rFonts w:ascii="Cambria" w:hAnsi="Cambria"/>
          <w:sz w:val="24"/>
          <w:szCs w:val="24"/>
        </w:rPr>
      </w:pPr>
    </w:p>
    <w:p w14:paraId="241DD435" w14:textId="30FA468E" w:rsidR="003D025D" w:rsidRDefault="003D025D" w:rsidP="0056182A">
      <w:pPr>
        <w:spacing w:after="0" w:line="240" w:lineRule="auto"/>
        <w:ind w:left="360" w:hanging="360"/>
        <w:rPr>
          <w:rFonts w:ascii="Cambria" w:hAnsi="Cambria"/>
          <w:sz w:val="24"/>
          <w:szCs w:val="24"/>
        </w:rPr>
      </w:pPr>
      <w:r>
        <w:rPr>
          <w:rFonts w:ascii="Cambria" w:hAnsi="Cambria"/>
          <w:sz w:val="24"/>
          <w:szCs w:val="24"/>
        </w:rPr>
        <w:t>Macdonald, A and Berry, M (2013)</w:t>
      </w:r>
      <w:r w:rsidR="0022110E">
        <w:rPr>
          <w:rFonts w:ascii="Cambria" w:hAnsi="Cambria"/>
          <w:sz w:val="24"/>
          <w:szCs w:val="24"/>
        </w:rPr>
        <w:t>.</w:t>
      </w:r>
      <w:r>
        <w:rPr>
          <w:rFonts w:ascii="Cambria" w:hAnsi="Cambria"/>
          <w:sz w:val="24"/>
          <w:szCs w:val="24"/>
        </w:rPr>
        <w:t xml:space="preserve"> </w:t>
      </w:r>
      <w:r>
        <w:rPr>
          <w:rFonts w:ascii="Cambria" w:hAnsi="Cambria"/>
          <w:i/>
          <w:iCs/>
          <w:sz w:val="24"/>
          <w:szCs w:val="24"/>
        </w:rPr>
        <w:t>Chemistry through Hydrogen – Clean Energy for the Future (volume2)</w:t>
      </w:r>
      <w:r>
        <w:rPr>
          <w:rFonts w:ascii="Cambria" w:hAnsi="Cambria"/>
          <w:sz w:val="24"/>
          <w:szCs w:val="24"/>
        </w:rPr>
        <w:t>, 7</w:t>
      </w:r>
      <w:r w:rsidRPr="003D025D">
        <w:rPr>
          <w:rFonts w:ascii="Cambria" w:hAnsi="Cambria"/>
          <w:sz w:val="24"/>
          <w:szCs w:val="24"/>
          <w:vertAlign w:val="superscript"/>
        </w:rPr>
        <w:t>th</w:t>
      </w:r>
      <w:r>
        <w:rPr>
          <w:rFonts w:ascii="Cambria" w:hAnsi="Cambria"/>
          <w:sz w:val="24"/>
          <w:szCs w:val="24"/>
        </w:rPr>
        <w:t xml:space="preserve">. Ed. </w:t>
      </w:r>
      <w:r w:rsidR="00BA16AC">
        <w:rPr>
          <w:rFonts w:ascii="Cambria" w:hAnsi="Cambria"/>
          <w:sz w:val="24"/>
          <w:szCs w:val="24"/>
        </w:rPr>
        <w:t xml:space="preserve">Berlin: </w:t>
      </w:r>
      <w:proofErr w:type="spellStart"/>
      <w:r>
        <w:rPr>
          <w:rFonts w:ascii="Cambria" w:hAnsi="Cambria"/>
          <w:sz w:val="24"/>
          <w:szCs w:val="24"/>
        </w:rPr>
        <w:t>Heliocentris</w:t>
      </w:r>
      <w:proofErr w:type="spellEnd"/>
      <w:r>
        <w:rPr>
          <w:rFonts w:ascii="Cambria" w:hAnsi="Cambria"/>
          <w:sz w:val="24"/>
          <w:szCs w:val="24"/>
        </w:rPr>
        <w:t xml:space="preserve"> Academia.</w:t>
      </w:r>
    </w:p>
    <w:p w14:paraId="0C7183E4" w14:textId="79DD6E2F" w:rsidR="00240BF0" w:rsidRDefault="00240BF0" w:rsidP="0056182A">
      <w:pPr>
        <w:spacing w:after="0" w:line="240" w:lineRule="auto"/>
        <w:ind w:left="360" w:hanging="360"/>
        <w:rPr>
          <w:rFonts w:ascii="Cambria" w:hAnsi="Cambria"/>
          <w:sz w:val="24"/>
          <w:szCs w:val="24"/>
        </w:rPr>
      </w:pPr>
    </w:p>
    <w:p w14:paraId="3ED8EF4B" w14:textId="6AD60667" w:rsidR="00240BF0" w:rsidRPr="00240BF0" w:rsidRDefault="00240BF0" w:rsidP="0056182A">
      <w:pPr>
        <w:spacing w:after="0" w:line="240" w:lineRule="auto"/>
        <w:ind w:left="360" w:hanging="360"/>
        <w:rPr>
          <w:rFonts w:ascii="Cambria" w:hAnsi="Cambria"/>
          <w:sz w:val="24"/>
          <w:szCs w:val="24"/>
        </w:rPr>
      </w:pPr>
      <w:proofErr w:type="spellStart"/>
      <w:r>
        <w:rPr>
          <w:rFonts w:ascii="Cambria" w:hAnsi="Cambria"/>
          <w:sz w:val="24"/>
          <w:szCs w:val="24"/>
        </w:rPr>
        <w:t>Mahytec</w:t>
      </w:r>
      <w:proofErr w:type="spellEnd"/>
      <w:r>
        <w:rPr>
          <w:rFonts w:ascii="Cambria" w:hAnsi="Cambria"/>
          <w:sz w:val="24"/>
          <w:szCs w:val="24"/>
        </w:rPr>
        <w:t xml:space="preserve"> (2023). </w:t>
      </w:r>
      <w:r>
        <w:rPr>
          <w:rFonts w:ascii="Cambria" w:hAnsi="Cambria"/>
          <w:i/>
          <w:iCs/>
          <w:sz w:val="24"/>
          <w:szCs w:val="24"/>
        </w:rPr>
        <w:t>Compressed Hydrogen Storage</w:t>
      </w:r>
      <w:r>
        <w:rPr>
          <w:rFonts w:ascii="Cambria" w:hAnsi="Cambria"/>
          <w:sz w:val="24"/>
          <w:szCs w:val="24"/>
        </w:rPr>
        <w:t xml:space="preserve">. Available at: </w:t>
      </w:r>
      <w:r w:rsidRPr="00240BF0">
        <w:rPr>
          <w:rFonts w:ascii="Cambria" w:hAnsi="Cambria"/>
          <w:sz w:val="24"/>
          <w:szCs w:val="24"/>
        </w:rPr>
        <w:t>https://www.mahytec.com/en/compressed-hydrogen-storage/</w:t>
      </w:r>
      <w:r>
        <w:rPr>
          <w:rFonts w:ascii="Cambria" w:hAnsi="Cambria"/>
          <w:sz w:val="24"/>
          <w:szCs w:val="24"/>
        </w:rPr>
        <w:t xml:space="preserve"> (Accessed Mar 25, 2023).</w:t>
      </w:r>
    </w:p>
    <w:p w14:paraId="259E3E73" w14:textId="42CE7C39" w:rsidR="0022110E" w:rsidRDefault="0022110E" w:rsidP="0056182A">
      <w:pPr>
        <w:spacing w:after="0" w:line="240" w:lineRule="auto"/>
        <w:ind w:left="360" w:hanging="360"/>
        <w:rPr>
          <w:rFonts w:ascii="Cambria" w:hAnsi="Cambria"/>
          <w:sz w:val="24"/>
          <w:szCs w:val="24"/>
        </w:rPr>
      </w:pPr>
    </w:p>
    <w:p w14:paraId="06806443" w14:textId="6BE9FF2B" w:rsidR="0022110E" w:rsidRPr="0022110E" w:rsidRDefault="0022110E" w:rsidP="0056182A">
      <w:pPr>
        <w:spacing w:after="0" w:line="240" w:lineRule="auto"/>
        <w:ind w:left="360" w:hanging="360"/>
        <w:rPr>
          <w:rFonts w:ascii="Cambria" w:hAnsi="Cambria"/>
          <w:sz w:val="24"/>
          <w:szCs w:val="24"/>
        </w:rPr>
      </w:pPr>
      <w:r>
        <w:rPr>
          <w:rFonts w:ascii="Cambria" w:hAnsi="Cambria"/>
          <w:sz w:val="24"/>
          <w:szCs w:val="24"/>
        </w:rPr>
        <w:t xml:space="preserve">Office of Energy Efficiency &amp; Renewable Energy (2022). </w:t>
      </w:r>
      <w:r>
        <w:rPr>
          <w:rFonts w:ascii="Cambria" w:hAnsi="Cambria"/>
          <w:i/>
          <w:iCs/>
          <w:sz w:val="24"/>
          <w:szCs w:val="24"/>
        </w:rPr>
        <w:t>Hydrogen Storage</w:t>
      </w:r>
      <w:r>
        <w:rPr>
          <w:rFonts w:ascii="Cambria" w:hAnsi="Cambria"/>
          <w:sz w:val="24"/>
          <w:szCs w:val="24"/>
        </w:rPr>
        <w:t xml:space="preserve">. Available at: </w:t>
      </w:r>
      <w:r w:rsidRPr="0022110E">
        <w:rPr>
          <w:rFonts w:ascii="Cambria" w:hAnsi="Cambria"/>
          <w:sz w:val="24"/>
          <w:szCs w:val="24"/>
        </w:rPr>
        <w:t>https://www.energy.gov/eere/fuelcells/hydrogen-storage</w:t>
      </w:r>
      <w:r>
        <w:rPr>
          <w:rFonts w:ascii="Cambria" w:hAnsi="Cambria"/>
          <w:sz w:val="24"/>
          <w:szCs w:val="24"/>
        </w:rPr>
        <w:t xml:space="preserve"> (Accessed Mar 24, 2023).</w:t>
      </w:r>
    </w:p>
    <w:p w14:paraId="1AA54264" w14:textId="50F0AB01" w:rsidR="002C6463" w:rsidRDefault="002C6463" w:rsidP="0056182A">
      <w:pPr>
        <w:spacing w:after="0" w:line="240" w:lineRule="auto"/>
        <w:ind w:left="360" w:hanging="360"/>
        <w:rPr>
          <w:rFonts w:ascii="Cambria" w:hAnsi="Cambria"/>
          <w:sz w:val="24"/>
          <w:szCs w:val="24"/>
        </w:rPr>
      </w:pPr>
    </w:p>
    <w:p w14:paraId="3BDD1370" w14:textId="3FF72DAC" w:rsidR="002C6463" w:rsidRDefault="002C6463" w:rsidP="0056182A">
      <w:pPr>
        <w:spacing w:after="0" w:line="240" w:lineRule="auto"/>
        <w:ind w:left="360" w:hanging="360"/>
        <w:rPr>
          <w:rFonts w:ascii="Cambria" w:hAnsi="Cambria"/>
          <w:sz w:val="24"/>
          <w:szCs w:val="24"/>
        </w:rPr>
      </w:pPr>
      <w:r>
        <w:rPr>
          <w:rFonts w:ascii="Cambria" w:hAnsi="Cambria"/>
          <w:sz w:val="24"/>
          <w:szCs w:val="24"/>
        </w:rPr>
        <w:t xml:space="preserve">Oldfortharleydavidson.com (2022). </w:t>
      </w:r>
      <w:r>
        <w:rPr>
          <w:rFonts w:ascii="Cambria" w:hAnsi="Cambria"/>
          <w:i/>
          <w:iCs/>
          <w:sz w:val="24"/>
          <w:szCs w:val="24"/>
        </w:rPr>
        <w:t>‘How efficient is a Tesla motor?’, The Best About Repair</w:t>
      </w:r>
      <w:r>
        <w:rPr>
          <w:rFonts w:ascii="Cambria" w:hAnsi="Cambria"/>
          <w:sz w:val="24"/>
          <w:szCs w:val="24"/>
        </w:rPr>
        <w:t xml:space="preserve"> [blog]. Available at: </w:t>
      </w:r>
      <w:r w:rsidRPr="00E14A5A">
        <w:rPr>
          <w:rFonts w:ascii="Cambria" w:hAnsi="Cambria"/>
          <w:sz w:val="24"/>
          <w:szCs w:val="24"/>
        </w:rPr>
        <w:t>https://oldfortharleydavidson.com/auto-repair/how-efficient-is-a-tesla-motor.html</w:t>
      </w:r>
      <w:r>
        <w:rPr>
          <w:rFonts w:ascii="Cambria" w:hAnsi="Cambria"/>
          <w:sz w:val="24"/>
          <w:szCs w:val="24"/>
        </w:rPr>
        <w:t xml:space="preserve"> (Accessed Mar 25, 2023).</w:t>
      </w:r>
    </w:p>
    <w:p w14:paraId="089FFCD9" w14:textId="7CB3D0BE" w:rsidR="002C6463" w:rsidRDefault="002C6463" w:rsidP="0056182A">
      <w:pPr>
        <w:spacing w:after="0" w:line="240" w:lineRule="auto"/>
        <w:ind w:left="360" w:hanging="360"/>
        <w:rPr>
          <w:rFonts w:ascii="Cambria" w:hAnsi="Cambria"/>
          <w:sz w:val="24"/>
          <w:szCs w:val="24"/>
        </w:rPr>
      </w:pPr>
    </w:p>
    <w:p w14:paraId="79BE1D3F" w14:textId="2617591A" w:rsidR="00E14A5A" w:rsidRPr="00837329" w:rsidRDefault="002C6463" w:rsidP="0056182A">
      <w:pPr>
        <w:spacing w:after="0" w:line="240" w:lineRule="auto"/>
        <w:ind w:left="360" w:hanging="360"/>
        <w:rPr>
          <w:rFonts w:ascii="Cambria" w:hAnsi="Cambria"/>
          <w:sz w:val="24"/>
          <w:szCs w:val="24"/>
        </w:rPr>
      </w:pPr>
      <w:r>
        <w:rPr>
          <w:rFonts w:ascii="Cambria" w:hAnsi="Cambria"/>
          <w:sz w:val="24"/>
          <w:szCs w:val="24"/>
        </w:rPr>
        <w:t xml:space="preserve">Tesla (2022). </w:t>
      </w:r>
      <w:r>
        <w:rPr>
          <w:rFonts w:ascii="Cambria" w:hAnsi="Cambria"/>
          <w:i/>
          <w:iCs/>
          <w:sz w:val="24"/>
          <w:szCs w:val="24"/>
        </w:rPr>
        <w:t>Model 3</w:t>
      </w:r>
      <w:r>
        <w:rPr>
          <w:rFonts w:ascii="Cambria" w:hAnsi="Cambria"/>
          <w:sz w:val="24"/>
          <w:szCs w:val="24"/>
        </w:rPr>
        <w:t xml:space="preserve">. Available at: </w:t>
      </w:r>
      <w:r w:rsidRPr="00E14A5A">
        <w:rPr>
          <w:rFonts w:ascii="Cambria" w:hAnsi="Cambria"/>
          <w:sz w:val="24"/>
          <w:szCs w:val="24"/>
        </w:rPr>
        <w:t>https://www.tesla.com/en_gb/model3</w:t>
      </w:r>
      <w:r>
        <w:rPr>
          <w:rFonts w:ascii="Cambria" w:hAnsi="Cambria"/>
          <w:sz w:val="24"/>
          <w:szCs w:val="24"/>
        </w:rPr>
        <w:t xml:space="preserve"> (Accessed Mar 25, 2023)</w:t>
      </w:r>
    </w:p>
    <w:sectPr w:rsidR="00E14A5A" w:rsidRPr="00837329" w:rsidSect="00CA6DBA">
      <w:headerReference w:type="default" r:id="rId20"/>
      <w:type w:val="continuous"/>
      <w:pgSz w:w="11907" w:h="16840"/>
      <w:pgMar w:top="720" w:right="720" w:bottom="720" w:left="720" w:header="720" w:footer="720" w:gutter="0"/>
      <w:cols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87541" w14:textId="77777777" w:rsidR="00A51688" w:rsidRDefault="00A51688">
      <w:pPr>
        <w:spacing w:after="0" w:line="240" w:lineRule="auto"/>
      </w:pPr>
      <w:r>
        <w:separator/>
      </w:r>
    </w:p>
  </w:endnote>
  <w:endnote w:type="continuationSeparator" w:id="0">
    <w:p w14:paraId="67811A50" w14:textId="77777777" w:rsidR="00A51688" w:rsidRDefault="00A51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altName w:val="Malgun Gothic Semilight"/>
    <w:charset w:val="81"/>
    <w:family w:val="modern"/>
    <w:pitch w:val="fixed"/>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D1CAA" w14:textId="03018DC7" w:rsidR="00405DB3" w:rsidRDefault="00F6591B"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4FBA3D2B" wp14:editId="68403A18">
              <wp:simplePos x="0" y="0"/>
              <wp:positionH relativeFrom="column">
                <wp:posOffset>5715</wp:posOffset>
              </wp:positionH>
              <wp:positionV relativeFrom="paragraph">
                <wp:posOffset>67310</wp:posOffset>
              </wp:positionV>
              <wp:extent cx="6685280" cy="0"/>
              <wp:effectExtent l="5715" t="8890" r="5080" b="6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7788DE5"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36C9786F" wp14:editId="427B9E20">
              <wp:simplePos x="0" y="0"/>
              <wp:positionH relativeFrom="column">
                <wp:posOffset>5715</wp:posOffset>
              </wp:positionH>
              <wp:positionV relativeFrom="paragraph">
                <wp:posOffset>99060</wp:posOffset>
              </wp:positionV>
              <wp:extent cx="6685280" cy="0"/>
              <wp:effectExtent l="5715" t="2540" r="5080" b="6985"/>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A4664E"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27017602" w14:textId="77777777"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20</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eastAsia="ja-JP"/>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29343" w14:textId="77777777" w:rsidR="00A51688" w:rsidRDefault="00A51688">
      <w:pPr>
        <w:spacing w:after="0" w:line="240" w:lineRule="auto"/>
      </w:pPr>
      <w:r>
        <w:separator/>
      </w:r>
    </w:p>
  </w:footnote>
  <w:footnote w:type="continuationSeparator" w:id="0">
    <w:p w14:paraId="2A667D16" w14:textId="77777777" w:rsidR="00A51688" w:rsidRDefault="00A51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970F8" w14:textId="124C837C" w:rsidR="007F18D6" w:rsidRDefault="00F6591B">
    <w:pPr>
      <w:pStyle w:val="Heading1"/>
      <w:spacing w:line="240" w:lineRule="auto"/>
      <w:rPr>
        <w:rStyle w:val="Strong"/>
      </w:rPr>
    </w:pPr>
    <w:r>
      <w:rPr>
        <w:rStyle w:val="Strong"/>
        <w:noProof/>
      </w:rPr>
      <w:drawing>
        <wp:inline distT="0" distB="0" distL="0" distR="0" wp14:anchorId="396D226A" wp14:editId="6E0A0AC8">
          <wp:extent cx="1352550" cy="55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275FAE64" w14:textId="212F8E2C" w:rsidR="00443E0C" w:rsidRDefault="007F18D6" w:rsidP="007F18D6">
    <w:pPr>
      <w:pStyle w:val="Heading1"/>
      <w:spacing w:line="240" w:lineRule="auto"/>
      <w:ind w:firstLine="720"/>
      <w:rPr>
        <w:rStyle w:val="Strong"/>
        <w:sz w:val="20"/>
        <w:szCs w:val="20"/>
      </w:rPr>
    </w:pPr>
    <w:r>
      <w:rPr>
        <w:rStyle w:val="Strong"/>
      </w:rPr>
      <w:t xml:space="preserve">UWTSD </w:t>
    </w:r>
    <w:r w:rsidR="00EF2A66">
      <w:rPr>
        <w:sz w:val="24"/>
        <w:szCs w:val="24"/>
      </w:rPr>
      <w:t>Motorcycle</w:t>
    </w:r>
    <w:r>
      <w:rPr>
        <w:sz w:val="24"/>
        <w:szCs w:val="24"/>
      </w:rPr>
      <w:t xml:space="preser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1CB1F312" w14:textId="5C22CE85"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123624">
      <w:rPr>
        <w:color w:val="7F7F7F"/>
        <w:sz w:val="20"/>
        <w:szCs w:val="20"/>
      </w:rPr>
      <w:t>ACEA70</w:t>
    </w:r>
    <w:r w:rsidR="00EF2A66">
      <w:rPr>
        <w:color w:val="7F7F7F"/>
        <w:sz w:val="20"/>
        <w:szCs w:val="20"/>
      </w:rPr>
      <w:t>01 Advanced Motorcycle Performance</w:t>
    </w:r>
    <w:r w:rsidR="00EF2A66">
      <w:rPr>
        <w:color w:val="7F7F7F"/>
        <w:sz w:val="20"/>
        <w:szCs w:val="20"/>
      </w:rPr>
      <w:tab/>
    </w:r>
    <w:r w:rsidR="00EF2A66">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CC5433">
      <w:rPr>
        <w:color w:val="7F7F7F"/>
        <w:sz w:val="20"/>
        <w:szCs w:val="20"/>
      </w:rPr>
      <w:t>26</w:t>
    </w:r>
    <w:r w:rsidR="00443E0C">
      <w:rPr>
        <w:color w:val="7F7F7F"/>
        <w:sz w:val="20"/>
        <w:szCs w:val="20"/>
      </w:rPr>
      <w:t xml:space="preserve"> | </w:t>
    </w:r>
    <w:r w:rsidR="00CA6DBA">
      <w:rPr>
        <w:color w:val="7F7F7F"/>
        <w:sz w:val="20"/>
        <w:szCs w:val="20"/>
      </w:rPr>
      <w:t>Mar</w:t>
    </w:r>
    <w:r w:rsidR="002E7845">
      <w:rPr>
        <w:color w:val="7F7F7F"/>
        <w:sz w:val="20"/>
        <w:szCs w:val="20"/>
      </w:rPr>
      <w:t xml:space="preserve"> </w:t>
    </w:r>
    <w:r w:rsidR="00443E0C">
      <w:rPr>
        <w:color w:val="7F7F7F"/>
        <w:sz w:val="20"/>
        <w:szCs w:val="20"/>
      </w:rPr>
      <w:t>20</w:t>
    </w:r>
    <w:r w:rsidR="00FA1819">
      <w:rPr>
        <w:color w:val="7F7F7F"/>
        <w:sz w:val="20"/>
        <w:szCs w:val="20"/>
      </w:rPr>
      <w:t>2</w:t>
    </w:r>
    <w:r w:rsidR="00123624">
      <w:rPr>
        <w:color w:val="7F7F7F"/>
        <w:sz w:val="20"/>
        <w:szCs w:val="20"/>
      </w:rPr>
      <w:t>3</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71C6AA9D" w14:textId="212B1D15" w:rsidR="00443E0C"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5680" behindDoc="0" locked="0" layoutInCell="1" allowOverlap="1" wp14:anchorId="620E0A9E" wp14:editId="2503E313">
              <wp:simplePos x="0" y="0"/>
              <wp:positionH relativeFrom="column">
                <wp:posOffset>-13335</wp:posOffset>
              </wp:positionH>
              <wp:positionV relativeFrom="paragraph">
                <wp:posOffset>20955</wp:posOffset>
              </wp:positionV>
              <wp:extent cx="6685280" cy="0"/>
              <wp:effectExtent l="5715" t="7620" r="5080" b="190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98C99E3"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7BF00" w14:textId="2F8D9609" w:rsidR="002B07D0" w:rsidRDefault="00F6591B">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6A1DFDAF" wp14:editId="22F5175A">
              <wp:simplePos x="0" y="0"/>
              <wp:positionH relativeFrom="column">
                <wp:posOffset>1264920</wp:posOffset>
              </wp:positionH>
              <wp:positionV relativeFrom="paragraph">
                <wp:posOffset>219075</wp:posOffset>
              </wp:positionV>
              <wp:extent cx="6438900" cy="414655"/>
              <wp:effectExtent l="0" t="0" r="3810" b="44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274CA6"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A1DFDAF" id="_x0000_t202" coordsize="21600,21600" o:spt="202" path="m,l,21600r21600,l21600,xe">
              <v:stroke joinstyle="miter"/>
              <v:path gradientshapeok="t" o:connecttype="rect"/>
            </v:shapetype>
            <v:shape id="Text Box 2" o:spid="_x0000_s1033"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" filled="f" stroked="f">
              <v:textbox style="mso-fit-shape-to-text:t">
                <w:txbxContent>
                  <w:p w14:paraId="7F274CA6"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3F2806E9" wp14:editId="54B6B33D">
          <wp:extent cx="1352550" cy="552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75D727B5" w14:textId="77882F3C" w:rsidR="002B07D0"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6704" behindDoc="0" locked="0" layoutInCell="1" allowOverlap="1" wp14:anchorId="1B9A07BB" wp14:editId="3BF31562">
              <wp:simplePos x="0" y="0"/>
              <wp:positionH relativeFrom="column">
                <wp:posOffset>-13335</wp:posOffset>
              </wp:positionH>
              <wp:positionV relativeFrom="paragraph">
                <wp:posOffset>20955</wp:posOffset>
              </wp:positionV>
              <wp:extent cx="6685280" cy="0"/>
              <wp:effectExtent l="5715" t="2540" r="5080" b="6985"/>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ACE307F"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32147160"/>
    <w:multiLevelType w:val="hybridMultilevel"/>
    <w:tmpl w:val="835CDCFA"/>
    <w:lvl w:ilvl="0" w:tplc="04090001">
      <w:start w:val="1"/>
      <w:numFmt w:val="bullet"/>
      <w:lvlText w:val=""/>
      <w:lvlJc w:val="left"/>
      <w:pPr>
        <w:ind w:left="936" w:hanging="360"/>
      </w:pPr>
      <w:rPr>
        <w:rFonts w:ascii="Symbol" w:hAnsi="Symbol" w:hint="default"/>
      </w:rPr>
    </w:lvl>
    <w:lvl w:ilvl="1" w:tplc="04090003" w:tentative="1">
      <w:start w:val="1"/>
      <w:numFmt w:val="bullet"/>
      <w:lvlText w:val="o"/>
      <w:lvlJc w:val="left"/>
      <w:pPr>
        <w:ind w:left="1656" w:hanging="360"/>
      </w:pPr>
      <w:rPr>
        <w:rFonts w:ascii="Courier New" w:hAnsi="Courier New" w:cs="Courier New" w:hint="default"/>
      </w:rPr>
    </w:lvl>
    <w:lvl w:ilvl="2" w:tplc="04090005" w:tentative="1">
      <w:start w:val="1"/>
      <w:numFmt w:val="bullet"/>
      <w:lvlText w:val=""/>
      <w:lvlJc w:val="left"/>
      <w:pPr>
        <w:ind w:left="2376" w:hanging="360"/>
      </w:pPr>
      <w:rPr>
        <w:rFonts w:ascii="Wingdings" w:hAnsi="Wingdings" w:hint="default"/>
      </w:rPr>
    </w:lvl>
    <w:lvl w:ilvl="3" w:tplc="04090001" w:tentative="1">
      <w:start w:val="1"/>
      <w:numFmt w:val="bullet"/>
      <w:lvlText w:val=""/>
      <w:lvlJc w:val="left"/>
      <w:pPr>
        <w:ind w:left="3096" w:hanging="360"/>
      </w:pPr>
      <w:rPr>
        <w:rFonts w:ascii="Symbol" w:hAnsi="Symbol" w:hint="default"/>
      </w:rPr>
    </w:lvl>
    <w:lvl w:ilvl="4" w:tplc="04090003" w:tentative="1">
      <w:start w:val="1"/>
      <w:numFmt w:val="bullet"/>
      <w:lvlText w:val="o"/>
      <w:lvlJc w:val="left"/>
      <w:pPr>
        <w:ind w:left="3816" w:hanging="360"/>
      </w:pPr>
      <w:rPr>
        <w:rFonts w:ascii="Courier New" w:hAnsi="Courier New" w:cs="Courier New" w:hint="default"/>
      </w:rPr>
    </w:lvl>
    <w:lvl w:ilvl="5" w:tplc="04090005" w:tentative="1">
      <w:start w:val="1"/>
      <w:numFmt w:val="bullet"/>
      <w:lvlText w:val=""/>
      <w:lvlJc w:val="left"/>
      <w:pPr>
        <w:ind w:left="4536" w:hanging="360"/>
      </w:pPr>
      <w:rPr>
        <w:rFonts w:ascii="Wingdings" w:hAnsi="Wingdings" w:hint="default"/>
      </w:rPr>
    </w:lvl>
    <w:lvl w:ilvl="6" w:tplc="04090001" w:tentative="1">
      <w:start w:val="1"/>
      <w:numFmt w:val="bullet"/>
      <w:lvlText w:val=""/>
      <w:lvlJc w:val="left"/>
      <w:pPr>
        <w:ind w:left="5256" w:hanging="360"/>
      </w:pPr>
      <w:rPr>
        <w:rFonts w:ascii="Symbol" w:hAnsi="Symbol" w:hint="default"/>
      </w:rPr>
    </w:lvl>
    <w:lvl w:ilvl="7" w:tplc="04090003" w:tentative="1">
      <w:start w:val="1"/>
      <w:numFmt w:val="bullet"/>
      <w:lvlText w:val="o"/>
      <w:lvlJc w:val="left"/>
      <w:pPr>
        <w:ind w:left="5976" w:hanging="360"/>
      </w:pPr>
      <w:rPr>
        <w:rFonts w:ascii="Courier New" w:hAnsi="Courier New" w:cs="Courier New" w:hint="default"/>
      </w:rPr>
    </w:lvl>
    <w:lvl w:ilvl="8" w:tplc="04090005" w:tentative="1">
      <w:start w:val="1"/>
      <w:numFmt w:val="bullet"/>
      <w:lvlText w:val=""/>
      <w:lvlJc w:val="left"/>
      <w:pPr>
        <w:ind w:left="6696" w:hanging="360"/>
      </w:pPr>
      <w:rPr>
        <w:rFonts w:ascii="Wingdings" w:hAnsi="Wingdings" w:hint="default"/>
      </w:rPr>
    </w:lvl>
  </w:abstractNum>
  <w:abstractNum w:abstractNumId="2" w15:restartNumberingAfterBreak="0">
    <w:nsid w:val="4BE30D54"/>
    <w:multiLevelType w:val="hybridMultilevel"/>
    <w:tmpl w:val="E57419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4"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2744280">
    <w:abstractNumId w:val="0"/>
  </w:num>
  <w:num w:numId="2" w16cid:durableId="932276904">
    <w:abstractNumId w:val="3"/>
  </w:num>
  <w:num w:numId="3" w16cid:durableId="248807217">
    <w:abstractNumId w:val="4"/>
  </w:num>
  <w:num w:numId="4" w16cid:durableId="1936860530">
    <w:abstractNumId w:val="1"/>
  </w:num>
  <w:num w:numId="5" w16cid:durableId="509490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13869"/>
    <w:rsid w:val="0002287F"/>
    <w:rsid w:val="00027AA3"/>
    <w:rsid w:val="000352E1"/>
    <w:rsid w:val="00035737"/>
    <w:rsid w:val="000407A4"/>
    <w:rsid w:val="000459D5"/>
    <w:rsid w:val="000518D3"/>
    <w:rsid w:val="0005401F"/>
    <w:rsid w:val="0005584A"/>
    <w:rsid w:val="00056D4D"/>
    <w:rsid w:val="0007109D"/>
    <w:rsid w:val="00073800"/>
    <w:rsid w:val="0008044F"/>
    <w:rsid w:val="00081488"/>
    <w:rsid w:val="000964FE"/>
    <w:rsid w:val="00097831"/>
    <w:rsid w:val="000A2AF9"/>
    <w:rsid w:val="000B0280"/>
    <w:rsid w:val="000B156E"/>
    <w:rsid w:val="000B1C10"/>
    <w:rsid w:val="000B23F7"/>
    <w:rsid w:val="000C4162"/>
    <w:rsid w:val="000F08DE"/>
    <w:rsid w:val="000F27AF"/>
    <w:rsid w:val="000F378D"/>
    <w:rsid w:val="000F3DB4"/>
    <w:rsid w:val="000F56AB"/>
    <w:rsid w:val="001039B4"/>
    <w:rsid w:val="00123624"/>
    <w:rsid w:val="00123B0F"/>
    <w:rsid w:val="00126823"/>
    <w:rsid w:val="00130A02"/>
    <w:rsid w:val="00132F6E"/>
    <w:rsid w:val="00137854"/>
    <w:rsid w:val="001563B0"/>
    <w:rsid w:val="00156793"/>
    <w:rsid w:val="001818D5"/>
    <w:rsid w:val="00196E87"/>
    <w:rsid w:val="001A0D7C"/>
    <w:rsid w:val="001A2BAA"/>
    <w:rsid w:val="001A63A4"/>
    <w:rsid w:val="001B16B0"/>
    <w:rsid w:val="001D1154"/>
    <w:rsid w:val="001D6B3C"/>
    <w:rsid w:val="001D7344"/>
    <w:rsid w:val="00204C8C"/>
    <w:rsid w:val="002135C8"/>
    <w:rsid w:val="0022110E"/>
    <w:rsid w:val="00224092"/>
    <w:rsid w:val="00224B4C"/>
    <w:rsid w:val="002401E9"/>
    <w:rsid w:val="00240BF0"/>
    <w:rsid w:val="00271187"/>
    <w:rsid w:val="002A3029"/>
    <w:rsid w:val="002B07D0"/>
    <w:rsid w:val="002B0F85"/>
    <w:rsid w:val="002C1795"/>
    <w:rsid w:val="002C6463"/>
    <w:rsid w:val="002C676D"/>
    <w:rsid w:val="002C6ED7"/>
    <w:rsid w:val="002D11E1"/>
    <w:rsid w:val="002D1859"/>
    <w:rsid w:val="002E2566"/>
    <w:rsid w:val="002E604B"/>
    <w:rsid w:val="002E7845"/>
    <w:rsid w:val="002F6390"/>
    <w:rsid w:val="002F65F2"/>
    <w:rsid w:val="0032119D"/>
    <w:rsid w:val="003265CA"/>
    <w:rsid w:val="00331227"/>
    <w:rsid w:val="00344120"/>
    <w:rsid w:val="00344FF2"/>
    <w:rsid w:val="00345F25"/>
    <w:rsid w:val="00354E3E"/>
    <w:rsid w:val="00361F49"/>
    <w:rsid w:val="00362DBB"/>
    <w:rsid w:val="0037013A"/>
    <w:rsid w:val="00382148"/>
    <w:rsid w:val="00382382"/>
    <w:rsid w:val="00382C98"/>
    <w:rsid w:val="00385687"/>
    <w:rsid w:val="00396E58"/>
    <w:rsid w:val="00397C33"/>
    <w:rsid w:val="003A456B"/>
    <w:rsid w:val="003A4806"/>
    <w:rsid w:val="003B230E"/>
    <w:rsid w:val="003B39B4"/>
    <w:rsid w:val="003C2D77"/>
    <w:rsid w:val="003C31D7"/>
    <w:rsid w:val="003C3935"/>
    <w:rsid w:val="003D025D"/>
    <w:rsid w:val="003D0C7D"/>
    <w:rsid w:val="003E4110"/>
    <w:rsid w:val="00402E1B"/>
    <w:rsid w:val="00405DB3"/>
    <w:rsid w:val="00405E72"/>
    <w:rsid w:val="0040654A"/>
    <w:rsid w:val="00411BD9"/>
    <w:rsid w:val="00423E5D"/>
    <w:rsid w:val="004415D5"/>
    <w:rsid w:val="00443E0C"/>
    <w:rsid w:val="00474879"/>
    <w:rsid w:val="00480D34"/>
    <w:rsid w:val="004931A5"/>
    <w:rsid w:val="004A02A3"/>
    <w:rsid w:val="004A329B"/>
    <w:rsid w:val="004B2DB7"/>
    <w:rsid w:val="004D1513"/>
    <w:rsid w:val="004E58B2"/>
    <w:rsid w:val="005028EE"/>
    <w:rsid w:val="00507CB7"/>
    <w:rsid w:val="005143EB"/>
    <w:rsid w:val="00514DDE"/>
    <w:rsid w:val="00516129"/>
    <w:rsid w:val="005167BD"/>
    <w:rsid w:val="0052584B"/>
    <w:rsid w:val="005375AA"/>
    <w:rsid w:val="00540CB6"/>
    <w:rsid w:val="00541FAA"/>
    <w:rsid w:val="00542B5A"/>
    <w:rsid w:val="0056182A"/>
    <w:rsid w:val="00562127"/>
    <w:rsid w:val="005669C9"/>
    <w:rsid w:val="00576309"/>
    <w:rsid w:val="0057777A"/>
    <w:rsid w:val="0059004B"/>
    <w:rsid w:val="00590459"/>
    <w:rsid w:val="00590D80"/>
    <w:rsid w:val="0059366C"/>
    <w:rsid w:val="00594609"/>
    <w:rsid w:val="0059553C"/>
    <w:rsid w:val="00596860"/>
    <w:rsid w:val="005A7D69"/>
    <w:rsid w:val="005B523C"/>
    <w:rsid w:val="005C3441"/>
    <w:rsid w:val="005D0129"/>
    <w:rsid w:val="005D2DFA"/>
    <w:rsid w:val="005E6462"/>
    <w:rsid w:val="00602544"/>
    <w:rsid w:val="00614E51"/>
    <w:rsid w:val="00615581"/>
    <w:rsid w:val="006175A9"/>
    <w:rsid w:val="006230CE"/>
    <w:rsid w:val="00623CED"/>
    <w:rsid w:val="0062579B"/>
    <w:rsid w:val="00635B19"/>
    <w:rsid w:val="00643DDF"/>
    <w:rsid w:val="006754D1"/>
    <w:rsid w:val="00687910"/>
    <w:rsid w:val="00692646"/>
    <w:rsid w:val="006A1C25"/>
    <w:rsid w:val="006A6371"/>
    <w:rsid w:val="006A79C2"/>
    <w:rsid w:val="006B5879"/>
    <w:rsid w:val="006B696B"/>
    <w:rsid w:val="006B6F46"/>
    <w:rsid w:val="006C190C"/>
    <w:rsid w:val="006D3872"/>
    <w:rsid w:val="006E1DB5"/>
    <w:rsid w:val="006E1ECB"/>
    <w:rsid w:val="006E3356"/>
    <w:rsid w:val="006E737A"/>
    <w:rsid w:val="006F1AB8"/>
    <w:rsid w:val="006F471D"/>
    <w:rsid w:val="00701DCF"/>
    <w:rsid w:val="00703100"/>
    <w:rsid w:val="00703B54"/>
    <w:rsid w:val="00706613"/>
    <w:rsid w:val="00717FA9"/>
    <w:rsid w:val="007205D4"/>
    <w:rsid w:val="00741B88"/>
    <w:rsid w:val="00743D1F"/>
    <w:rsid w:val="007468B8"/>
    <w:rsid w:val="00764CD0"/>
    <w:rsid w:val="00764E9F"/>
    <w:rsid w:val="00775749"/>
    <w:rsid w:val="00790C6F"/>
    <w:rsid w:val="007A6C3E"/>
    <w:rsid w:val="007C6E1E"/>
    <w:rsid w:val="007D2E33"/>
    <w:rsid w:val="007D5654"/>
    <w:rsid w:val="007E674D"/>
    <w:rsid w:val="007F0881"/>
    <w:rsid w:val="007F18D6"/>
    <w:rsid w:val="00834908"/>
    <w:rsid w:val="00834A7B"/>
    <w:rsid w:val="00837329"/>
    <w:rsid w:val="00837B91"/>
    <w:rsid w:val="0084202C"/>
    <w:rsid w:val="008423C6"/>
    <w:rsid w:val="00842771"/>
    <w:rsid w:val="008518EC"/>
    <w:rsid w:val="00851C04"/>
    <w:rsid w:val="0085266F"/>
    <w:rsid w:val="00857510"/>
    <w:rsid w:val="00863CDA"/>
    <w:rsid w:val="00865F46"/>
    <w:rsid w:val="00872AF0"/>
    <w:rsid w:val="00881659"/>
    <w:rsid w:val="008A4C34"/>
    <w:rsid w:val="008B29C1"/>
    <w:rsid w:val="008B34F1"/>
    <w:rsid w:val="008C6BCE"/>
    <w:rsid w:val="008D544A"/>
    <w:rsid w:val="008E2ECE"/>
    <w:rsid w:val="008E78DA"/>
    <w:rsid w:val="008F1D5E"/>
    <w:rsid w:val="00901BE3"/>
    <w:rsid w:val="0091634C"/>
    <w:rsid w:val="00917703"/>
    <w:rsid w:val="00925CF8"/>
    <w:rsid w:val="00926C7A"/>
    <w:rsid w:val="00927C49"/>
    <w:rsid w:val="0093793A"/>
    <w:rsid w:val="0094074D"/>
    <w:rsid w:val="009458BA"/>
    <w:rsid w:val="00953EDC"/>
    <w:rsid w:val="00963789"/>
    <w:rsid w:val="0096649A"/>
    <w:rsid w:val="00966FB7"/>
    <w:rsid w:val="009716D5"/>
    <w:rsid w:val="009914FF"/>
    <w:rsid w:val="009A4E2C"/>
    <w:rsid w:val="009A7EB0"/>
    <w:rsid w:val="009B08BB"/>
    <w:rsid w:val="009B0FD5"/>
    <w:rsid w:val="009B1D3C"/>
    <w:rsid w:val="009B4DCE"/>
    <w:rsid w:val="009B6D64"/>
    <w:rsid w:val="009C30D9"/>
    <w:rsid w:val="009C4236"/>
    <w:rsid w:val="009C4E96"/>
    <w:rsid w:val="009D2211"/>
    <w:rsid w:val="009E298A"/>
    <w:rsid w:val="009E5284"/>
    <w:rsid w:val="009E7A32"/>
    <w:rsid w:val="00A00D29"/>
    <w:rsid w:val="00A0680C"/>
    <w:rsid w:val="00A06A7A"/>
    <w:rsid w:val="00A14979"/>
    <w:rsid w:val="00A152B1"/>
    <w:rsid w:val="00A2468B"/>
    <w:rsid w:val="00A4786F"/>
    <w:rsid w:val="00A51688"/>
    <w:rsid w:val="00A54AFE"/>
    <w:rsid w:val="00A57EB5"/>
    <w:rsid w:val="00A74A48"/>
    <w:rsid w:val="00A76CB8"/>
    <w:rsid w:val="00A840AB"/>
    <w:rsid w:val="00A84574"/>
    <w:rsid w:val="00A861AA"/>
    <w:rsid w:val="00A91547"/>
    <w:rsid w:val="00A94776"/>
    <w:rsid w:val="00AA0B65"/>
    <w:rsid w:val="00AA4767"/>
    <w:rsid w:val="00AB0778"/>
    <w:rsid w:val="00AC4B9F"/>
    <w:rsid w:val="00AC7422"/>
    <w:rsid w:val="00AD0E2D"/>
    <w:rsid w:val="00AD1A00"/>
    <w:rsid w:val="00AD1C1E"/>
    <w:rsid w:val="00AD33CF"/>
    <w:rsid w:val="00AD4148"/>
    <w:rsid w:val="00AF1104"/>
    <w:rsid w:val="00AF5518"/>
    <w:rsid w:val="00AF615D"/>
    <w:rsid w:val="00B101AB"/>
    <w:rsid w:val="00B13D1B"/>
    <w:rsid w:val="00B13FA1"/>
    <w:rsid w:val="00B17D9F"/>
    <w:rsid w:val="00B31652"/>
    <w:rsid w:val="00B405AA"/>
    <w:rsid w:val="00B420AE"/>
    <w:rsid w:val="00B44C63"/>
    <w:rsid w:val="00B67DFD"/>
    <w:rsid w:val="00B77A2C"/>
    <w:rsid w:val="00B82EF6"/>
    <w:rsid w:val="00B96CD3"/>
    <w:rsid w:val="00BA16AC"/>
    <w:rsid w:val="00BB212F"/>
    <w:rsid w:val="00BC400A"/>
    <w:rsid w:val="00BE326C"/>
    <w:rsid w:val="00BF2411"/>
    <w:rsid w:val="00C106FB"/>
    <w:rsid w:val="00C231BC"/>
    <w:rsid w:val="00C32511"/>
    <w:rsid w:val="00C41949"/>
    <w:rsid w:val="00C45D8E"/>
    <w:rsid w:val="00C504D5"/>
    <w:rsid w:val="00C53515"/>
    <w:rsid w:val="00C62CF0"/>
    <w:rsid w:val="00C7601A"/>
    <w:rsid w:val="00C812DA"/>
    <w:rsid w:val="00C86022"/>
    <w:rsid w:val="00C86411"/>
    <w:rsid w:val="00C90E62"/>
    <w:rsid w:val="00C96C8C"/>
    <w:rsid w:val="00CA4A19"/>
    <w:rsid w:val="00CA6DBA"/>
    <w:rsid w:val="00CB210C"/>
    <w:rsid w:val="00CC5433"/>
    <w:rsid w:val="00CC6310"/>
    <w:rsid w:val="00CF078C"/>
    <w:rsid w:val="00D15A0A"/>
    <w:rsid w:val="00D15C96"/>
    <w:rsid w:val="00D1632C"/>
    <w:rsid w:val="00D21294"/>
    <w:rsid w:val="00D30BA1"/>
    <w:rsid w:val="00D34370"/>
    <w:rsid w:val="00D6033B"/>
    <w:rsid w:val="00D6391D"/>
    <w:rsid w:val="00D74055"/>
    <w:rsid w:val="00D74C7A"/>
    <w:rsid w:val="00D754EF"/>
    <w:rsid w:val="00D76179"/>
    <w:rsid w:val="00D76B9C"/>
    <w:rsid w:val="00D86E5A"/>
    <w:rsid w:val="00D9366C"/>
    <w:rsid w:val="00DA1766"/>
    <w:rsid w:val="00DA34DE"/>
    <w:rsid w:val="00DB113F"/>
    <w:rsid w:val="00DB54CD"/>
    <w:rsid w:val="00DC2DA4"/>
    <w:rsid w:val="00DC5012"/>
    <w:rsid w:val="00DE3717"/>
    <w:rsid w:val="00DE47DF"/>
    <w:rsid w:val="00DE4E64"/>
    <w:rsid w:val="00E074CB"/>
    <w:rsid w:val="00E109BC"/>
    <w:rsid w:val="00E12598"/>
    <w:rsid w:val="00E1428D"/>
    <w:rsid w:val="00E14A5A"/>
    <w:rsid w:val="00E17298"/>
    <w:rsid w:val="00E217C9"/>
    <w:rsid w:val="00E2678A"/>
    <w:rsid w:val="00E27548"/>
    <w:rsid w:val="00E31907"/>
    <w:rsid w:val="00E321E3"/>
    <w:rsid w:val="00E43104"/>
    <w:rsid w:val="00E44B22"/>
    <w:rsid w:val="00E468BE"/>
    <w:rsid w:val="00E477B3"/>
    <w:rsid w:val="00E53933"/>
    <w:rsid w:val="00E55D12"/>
    <w:rsid w:val="00E55D26"/>
    <w:rsid w:val="00E57D23"/>
    <w:rsid w:val="00E7797E"/>
    <w:rsid w:val="00E84F41"/>
    <w:rsid w:val="00E863F7"/>
    <w:rsid w:val="00E8663B"/>
    <w:rsid w:val="00EA1F10"/>
    <w:rsid w:val="00EB0E63"/>
    <w:rsid w:val="00EB4B50"/>
    <w:rsid w:val="00EC3B39"/>
    <w:rsid w:val="00EC4CB9"/>
    <w:rsid w:val="00ED2424"/>
    <w:rsid w:val="00ED48B3"/>
    <w:rsid w:val="00ED4D14"/>
    <w:rsid w:val="00EE51AC"/>
    <w:rsid w:val="00EE7DCD"/>
    <w:rsid w:val="00EF2A66"/>
    <w:rsid w:val="00EF36CF"/>
    <w:rsid w:val="00EF4A54"/>
    <w:rsid w:val="00F147C1"/>
    <w:rsid w:val="00F249EF"/>
    <w:rsid w:val="00F27476"/>
    <w:rsid w:val="00F311A0"/>
    <w:rsid w:val="00F646CF"/>
    <w:rsid w:val="00F6591B"/>
    <w:rsid w:val="00F710E5"/>
    <w:rsid w:val="00F71B9A"/>
    <w:rsid w:val="00F72165"/>
    <w:rsid w:val="00F834D5"/>
    <w:rsid w:val="00F906E0"/>
    <w:rsid w:val="00F976B6"/>
    <w:rsid w:val="00FA1819"/>
    <w:rsid w:val="00FA4F0A"/>
    <w:rsid w:val="00FA5380"/>
    <w:rsid w:val="00FA6CC8"/>
    <w:rsid w:val="00FB3F63"/>
    <w:rsid w:val="00FB66D7"/>
    <w:rsid w:val="00FC22C2"/>
    <w:rsid w:val="00FC2AA5"/>
    <w:rsid w:val="00FC6A19"/>
    <w:rsid w:val="00FE1782"/>
    <w:rsid w:val="00FE4646"/>
    <w:rsid w:val="00FE5B9B"/>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EA5F203"/>
  <w15:chartTrackingRefBased/>
  <w15:docId w15:val="{0D46B40C-E831-406E-8428-37B4CE96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rsid w:val="00E14A5A"/>
    <w:pPr>
      <w:keepNext/>
      <w:keepLines/>
      <w:spacing w:before="200" w:after="0"/>
      <w:outlineLvl w:val="1"/>
    </w:pPr>
    <w:rPr>
      <w:rFonts w:ascii="Cambria" w:hAnsi="Cambria"/>
      <w:b/>
      <w:bCs/>
      <w:color w:val="000000" w:themeColor="text1"/>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sid w:val="00E14A5A"/>
    <w:rPr>
      <w:rFonts w:ascii="Cambria" w:hAnsi="Cambria"/>
      <w:b/>
      <w:bCs/>
      <w:color w:val="000000" w:themeColor="text1"/>
      <w:sz w:val="26"/>
      <w:szCs w:val="26"/>
      <w:lang w:eastAsia="en-US"/>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val="en-GB"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ListParagraph">
    <w:name w:val="List Paragraph"/>
    <w:basedOn w:val="Normal"/>
    <w:uiPriority w:val="99"/>
    <w:qFormat/>
    <w:rsid w:val="009458BA"/>
    <w:pPr>
      <w:ind w:left="720"/>
      <w:contextualSpacing/>
    </w:pPr>
  </w:style>
  <w:style w:type="character" w:styleId="PlaceholderText">
    <w:name w:val="Placeholder Text"/>
    <w:basedOn w:val="DefaultParagraphFont"/>
    <w:uiPriority w:val="99"/>
    <w:unhideWhenUsed/>
    <w:rsid w:val="00927C49"/>
    <w:rPr>
      <w:color w:val="808080"/>
    </w:rPr>
  </w:style>
  <w:style w:type="character" w:styleId="UnresolvedMention">
    <w:name w:val="Unresolved Mention"/>
    <w:basedOn w:val="DefaultParagraphFont"/>
    <w:uiPriority w:val="99"/>
    <w:semiHidden/>
    <w:unhideWhenUsed/>
    <w:rsid w:val="006E737A"/>
    <w:rPr>
      <w:color w:val="605E5C"/>
      <w:shd w:val="clear" w:color="auto" w:fill="E1DFDD"/>
    </w:rPr>
  </w:style>
  <w:style w:type="paragraph" w:styleId="Caption">
    <w:name w:val="caption"/>
    <w:basedOn w:val="Normal"/>
    <w:next w:val="Normal"/>
    <w:uiPriority w:val="35"/>
    <w:unhideWhenUsed/>
    <w:qFormat/>
    <w:rsid w:val="00204C8C"/>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0837">
      <w:bodyDiv w:val="1"/>
      <w:marLeft w:val="0"/>
      <w:marRight w:val="0"/>
      <w:marTop w:val="0"/>
      <w:marBottom w:val="0"/>
      <w:divBdr>
        <w:top w:val="none" w:sz="0" w:space="0" w:color="auto"/>
        <w:left w:val="none" w:sz="0" w:space="0" w:color="auto"/>
        <w:bottom w:val="none" w:sz="0" w:space="0" w:color="auto"/>
        <w:right w:val="none" w:sz="0" w:space="0" w:color="auto"/>
      </w:divBdr>
    </w:div>
    <w:div w:id="152962868">
      <w:bodyDiv w:val="1"/>
      <w:marLeft w:val="0"/>
      <w:marRight w:val="0"/>
      <w:marTop w:val="0"/>
      <w:marBottom w:val="0"/>
      <w:divBdr>
        <w:top w:val="none" w:sz="0" w:space="0" w:color="auto"/>
        <w:left w:val="none" w:sz="0" w:space="0" w:color="auto"/>
        <w:bottom w:val="none" w:sz="0" w:space="0" w:color="auto"/>
        <w:right w:val="none" w:sz="0" w:space="0" w:color="auto"/>
      </w:divBdr>
    </w:div>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8800">
      <w:bodyDiv w:val="1"/>
      <w:marLeft w:val="0"/>
      <w:marRight w:val="0"/>
      <w:marTop w:val="0"/>
      <w:marBottom w:val="0"/>
      <w:divBdr>
        <w:top w:val="none" w:sz="0" w:space="0" w:color="auto"/>
        <w:left w:val="none" w:sz="0" w:space="0" w:color="auto"/>
        <w:bottom w:val="none" w:sz="0" w:space="0" w:color="auto"/>
        <w:right w:val="none" w:sz="0" w:space="0" w:color="auto"/>
      </w:divBdr>
    </w:div>
    <w:div w:id="538201777">
      <w:bodyDiv w:val="1"/>
      <w:marLeft w:val="0"/>
      <w:marRight w:val="0"/>
      <w:marTop w:val="0"/>
      <w:marBottom w:val="0"/>
      <w:divBdr>
        <w:top w:val="none" w:sz="0" w:space="0" w:color="auto"/>
        <w:left w:val="none" w:sz="0" w:space="0" w:color="auto"/>
        <w:bottom w:val="none" w:sz="0" w:space="0" w:color="auto"/>
        <w:right w:val="none" w:sz="0" w:space="0" w:color="auto"/>
      </w:divBdr>
    </w:div>
    <w:div w:id="592200299">
      <w:bodyDiv w:val="1"/>
      <w:marLeft w:val="0"/>
      <w:marRight w:val="0"/>
      <w:marTop w:val="0"/>
      <w:marBottom w:val="0"/>
      <w:divBdr>
        <w:top w:val="none" w:sz="0" w:space="0" w:color="auto"/>
        <w:left w:val="none" w:sz="0" w:space="0" w:color="auto"/>
        <w:bottom w:val="none" w:sz="0" w:space="0" w:color="auto"/>
        <w:right w:val="none" w:sz="0" w:space="0" w:color="auto"/>
      </w:divBdr>
    </w:div>
    <w:div w:id="607783869">
      <w:bodyDiv w:val="1"/>
      <w:marLeft w:val="0"/>
      <w:marRight w:val="0"/>
      <w:marTop w:val="0"/>
      <w:marBottom w:val="0"/>
      <w:divBdr>
        <w:top w:val="none" w:sz="0" w:space="0" w:color="auto"/>
        <w:left w:val="none" w:sz="0" w:space="0" w:color="auto"/>
        <w:bottom w:val="none" w:sz="0" w:space="0" w:color="auto"/>
        <w:right w:val="none" w:sz="0" w:space="0" w:color="auto"/>
      </w:divBdr>
    </w:div>
    <w:div w:id="637301619">
      <w:bodyDiv w:val="1"/>
      <w:marLeft w:val="0"/>
      <w:marRight w:val="0"/>
      <w:marTop w:val="0"/>
      <w:marBottom w:val="0"/>
      <w:divBdr>
        <w:top w:val="none" w:sz="0" w:space="0" w:color="auto"/>
        <w:left w:val="none" w:sz="0" w:space="0" w:color="auto"/>
        <w:bottom w:val="none" w:sz="0" w:space="0" w:color="auto"/>
        <w:right w:val="none" w:sz="0" w:space="0" w:color="auto"/>
      </w:divBdr>
    </w:div>
    <w:div w:id="680356030">
      <w:bodyDiv w:val="1"/>
      <w:marLeft w:val="0"/>
      <w:marRight w:val="0"/>
      <w:marTop w:val="0"/>
      <w:marBottom w:val="0"/>
      <w:divBdr>
        <w:top w:val="none" w:sz="0" w:space="0" w:color="auto"/>
        <w:left w:val="none" w:sz="0" w:space="0" w:color="auto"/>
        <w:bottom w:val="none" w:sz="0" w:space="0" w:color="auto"/>
        <w:right w:val="none" w:sz="0" w:space="0" w:color="auto"/>
      </w:divBdr>
    </w:div>
    <w:div w:id="765344223">
      <w:bodyDiv w:val="1"/>
      <w:marLeft w:val="0"/>
      <w:marRight w:val="0"/>
      <w:marTop w:val="0"/>
      <w:marBottom w:val="0"/>
      <w:divBdr>
        <w:top w:val="none" w:sz="0" w:space="0" w:color="auto"/>
        <w:left w:val="none" w:sz="0" w:space="0" w:color="auto"/>
        <w:bottom w:val="none" w:sz="0" w:space="0" w:color="auto"/>
        <w:right w:val="none" w:sz="0" w:space="0" w:color="auto"/>
      </w:divBdr>
    </w:div>
    <w:div w:id="775323464">
      <w:bodyDiv w:val="1"/>
      <w:marLeft w:val="0"/>
      <w:marRight w:val="0"/>
      <w:marTop w:val="0"/>
      <w:marBottom w:val="0"/>
      <w:divBdr>
        <w:top w:val="none" w:sz="0" w:space="0" w:color="auto"/>
        <w:left w:val="none" w:sz="0" w:space="0" w:color="auto"/>
        <w:bottom w:val="none" w:sz="0" w:space="0" w:color="auto"/>
        <w:right w:val="none" w:sz="0" w:space="0" w:color="auto"/>
      </w:divBdr>
    </w:div>
    <w:div w:id="1030839418">
      <w:bodyDiv w:val="1"/>
      <w:marLeft w:val="0"/>
      <w:marRight w:val="0"/>
      <w:marTop w:val="0"/>
      <w:marBottom w:val="0"/>
      <w:divBdr>
        <w:top w:val="none" w:sz="0" w:space="0" w:color="auto"/>
        <w:left w:val="none" w:sz="0" w:space="0" w:color="auto"/>
        <w:bottom w:val="none" w:sz="0" w:space="0" w:color="auto"/>
        <w:right w:val="none" w:sz="0" w:space="0" w:color="auto"/>
      </w:divBdr>
    </w:div>
    <w:div w:id="1036540631">
      <w:bodyDiv w:val="1"/>
      <w:marLeft w:val="0"/>
      <w:marRight w:val="0"/>
      <w:marTop w:val="0"/>
      <w:marBottom w:val="0"/>
      <w:divBdr>
        <w:top w:val="none" w:sz="0" w:space="0" w:color="auto"/>
        <w:left w:val="none" w:sz="0" w:space="0" w:color="auto"/>
        <w:bottom w:val="none" w:sz="0" w:space="0" w:color="auto"/>
        <w:right w:val="none" w:sz="0" w:space="0" w:color="auto"/>
      </w:divBdr>
    </w:div>
    <w:div w:id="1133132281">
      <w:bodyDiv w:val="1"/>
      <w:marLeft w:val="0"/>
      <w:marRight w:val="0"/>
      <w:marTop w:val="0"/>
      <w:marBottom w:val="0"/>
      <w:divBdr>
        <w:top w:val="none" w:sz="0" w:space="0" w:color="auto"/>
        <w:left w:val="none" w:sz="0" w:space="0" w:color="auto"/>
        <w:bottom w:val="none" w:sz="0" w:space="0" w:color="auto"/>
        <w:right w:val="none" w:sz="0" w:space="0" w:color="auto"/>
      </w:divBdr>
    </w:div>
    <w:div w:id="1179126014">
      <w:bodyDiv w:val="1"/>
      <w:marLeft w:val="0"/>
      <w:marRight w:val="0"/>
      <w:marTop w:val="0"/>
      <w:marBottom w:val="0"/>
      <w:divBdr>
        <w:top w:val="none" w:sz="0" w:space="0" w:color="auto"/>
        <w:left w:val="none" w:sz="0" w:space="0" w:color="auto"/>
        <w:bottom w:val="none" w:sz="0" w:space="0" w:color="auto"/>
        <w:right w:val="none" w:sz="0" w:space="0" w:color="auto"/>
      </w:divBdr>
    </w:div>
    <w:div w:id="1455179079">
      <w:bodyDiv w:val="1"/>
      <w:marLeft w:val="0"/>
      <w:marRight w:val="0"/>
      <w:marTop w:val="0"/>
      <w:marBottom w:val="0"/>
      <w:divBdr>
        <w:top w:val="none" w:sz="0" w:space="0" w:color="auto"/>
        <w:left w:val="none" w:sz="0" w:space="0" w:color="auto"/>
        <w:bottom w:val="none" w:sz="0" w:space="0" w:color="auto"/>
        <w:right w:val="none" w:sz="0" w:space="0" w:color="auto"/>
      </w:divBdr>
    </w:div>
    <w:div w:id="1568488712">
      <w:bodyDiv w:val="1"/>
      <w:marLeft w:val="0"/>
      <w:marRight w:val="0"/>
      <w:marTop w:val="0"/>
      <w:marBottom w:val="0"/>
      <w:divBdr>
        <w:top w:val="none" w:sz="0" w:space="0" w:color="auto"/>
        <w:left w:val="none" w:sz="0" w:space="0" w:color="auto"/>
        <w:bottom w:val="none" w:sz="0" w:space="0" w:color="auto"/>
        <w:right w:val="none" w:sz="0" w:space="0" w:color="auto"/>
      </w:divBdr>
    </w:div>
    <w:div w:id="1804804803">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1" ma:contentTypeDescription="Create a new document." ma:contentTypeScope="" ma:versionID="b47c6d071baee29b9a4513f828121b80">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6a704abfb0882c6486cea0d6c0198dfc"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8e8b8cd-314c-4bc9-b9bb-63827a76b119}"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documentManagement>
</p:properties>
</file>

<file path=customXml/itemProps1.xml><?xml version="1.0" encoding="utf-8"?>
<ds:datastoreItem xmlns:ds="http://schemas.openxmlformats.org/officeDocument/2006/customXml" ds:itemID="{03E802B9-5EE3-4C35-81FC-11799ACEA9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F23746-0384-419E-9E39-61C63C669DE0}">
  <ds:schemaRefs>
    <ds:schemaRef ds:uri="http://schemas.openxmlformats.org/officeDocument/2006/bibliography"/>
  </ds:schemaRefs>
</ds:datastoreItem>
</file>

<file path=customXml/itemProps3.xml><?xml version="1.0" encoding="utf-8"?>
<ds:datastoreItem xmlns:ds="http://schemas.openxmlformats.org/officeDocument/2006/customXml" ds:itemID="{3E417F30-C2B3-4191-8AF8-35600DAC1710}">
  <ds:schemaRefs>
    <ds:schemaRef ds:uri="http://schemas.microsoft.com/sharepoint/v3/contenttype/forms"/>
  </ds:schemaRefs>
</ds:datastoreItem>
</file>

<file path=customXml/itemProps4.xml><?xml version="1.0" encoding="utf-8"?>
<ds:datastoreItem xmlns:ds="http://schemas.openxmlformats.org/officeDocument/2006/customXml" ds:itemID="{060A96CF-3B3F-431D-8A33-477F3DF8EA20}">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10</Pages>
  <Words>2809</Words>
  <Characters>16016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18788</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Nathan Myer</cp:lastModifiedBy>
  <cp:revision>11</cp:revision>
  <cp:lastPrinted>2018-10-03T10:39:00Z</cp:lastPrinted>
  <dcterms:created xsi:type="dcterms:W3CDTF">2023-03-26T15:11:00Z</dcterms:created>
  <dcterms:modified xsi:type="dcterms:W3CDTF">2023-03-26T20:50:00Z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