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B31CD" w14:textId="500EB1B7" w:rsidR="002C20AE" w:rsidRDefault="002C20AE" w:rsidP="002C20AE">
      <w:pPr>
        <w:spacing w:line="360" w:lineRule="auto"/>
        <w:jc w:val="center"/>
        <w:rPr>
          <w:rStyle w:val="Heading1Char"/>
          <w:rFonts w:ascii="Arial" w:hAnsi="Arial" w:cs="Arial"/>
          <w:b/>
          <w:color w:val="auto"/>
          <w:sz w:val="32"/>
          <w:szCs w:val="32"/>
        </w:rPr>
      </w:pPr>
      <w:bookmarkStart w:id="0" w:name="_Toc213502872"/>
      <w:bookmarkStart w:id="1" w:name="_Toc213502888"/>
      <w:bookmarkStart w:id="2" w:name="_Toc211437169"/>
      <w:r w:rsidRPr="002C20AE">
        <w:rPr>
          <w:rStyle w:val="Heading1Char"/>
          <w:rFonts w:ascii="Arial" w:hAnsi="Arial" w:cs="Arial"/>
          <w:b/>
          <w:noProof/>
          <w:color w:val="auto"/>
          <w:sz w:val="32"/>
          <w:szCs w:val="32"/>
        </w:rPr>
        <w:drawing>
          <wp:inline distT="0" distB="0" distL="0" distR="0" wp14:anchorId="5EC4A5E6" wp14:editId="391D6264">
            <wp:extent cx="3077004" cy="120031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7004" cy="1200318"/>
                    </a:xfrm>
                    <a:prstGeom prst="rect">
                      <a:avLst/>
                    </a:prstGeom>
                  </pic:spPr>
                </pic:pic>
              </a:graphicData>
            </a:graphic>
          </wp:inline>
        </w:drawing>
      </w:r>
    </w:p>
    <w:p w14:paraId="7B92642E" w14:textId="77777777" w:rsidR="002C20AE" w:rsidRDefault="002C20AE" w:rsidP="002C20AE">
      <w:pPr>
        <w:spacing w:line="360" w:lineRule="auto"/>
        <w:jc w:val="center"/>
        <w:rPr>
          <w:rStyle w:val="Heading1Char"/>
          <w:rFonts w:ascii="Arial" w:hAnsi="Arial" w:cs="Arial"/>
          <w:b/>
          <w:color w:val="auto"/>
          <w:sz w:val="32"/>
          <w:szCs w:val="32"/>
        </w:rPr>
      </w:pPr>
    </w:p>
    <w:p w14:paraId="3A1A2954" w14:textId="77777777" w:rsidR="002C20AE" w:rsidRDefault="002C20AE" w:rsidP="002C20AE">
      <w:pPr>
        <w:spacing w:line="360" w:lineRule="auto"/>
        <w:jc w:val="center"/>
        <w:rPr>
          <w:rStyle w:val="Heading1Char"/>
          <w:rFonts w:ascii="Arial" w:hAnsi="Arial" w:cs="Arial"/>
          <w:b/>
          <w:color w:val="auto"/>
          <w:sz w:val="32"/>
          <w:szCs w:val="32"/>
        </w:rPr>
      </w:pPr>
    </w:p>
    <w:p w14:paraId="18B055A8" w14:textId="77777777" w:rsidR="002C20AE" w:rsidRDefault="002C20AE" w:rsidP="002C20AE">
      <w:pPr>
        <w:spacing w:line="360" w:lineRule="auto"/>
        <w:jc w:val="center"/>
        <w:rPr>
          <w:rStyle w:val="Heading1Char"/>
          <w:rFonts w:ascii="Arial" w:hAnsi="Arial" w:cs="Arial"/>
          <w:b/>
          <w:color w:val="auto"/>
          <w:sz w:val="32"/>
          <w:szCs w:val="32"/>
        </w:rPr>
      </w:pPr>
    </w:p>
    <w:p w14:paraId="3FD2D537" w14:textId="77777777" w:rsidR="002C20AE" w:rsidRDefault="002C20AE" w:rsidP="002C20AE">
      <w:pPr>
        <w:spacing w:line="360" w:lineRule="auto"/>
        <w:jc w:val="center"/>
        <w:rPr>
          <w:rStyle w:val="Heading1Char"/>
          <w:rFonts w:ascii="Arial" w:hAnsi="Arial" w:cs="Arial"/>
          <w:b/>
          <w:color w:val="auto"/>
          <w:sz w:val="32"/>
          <w:szCs w:val="32"/>
        </w:rPr>
      </w:pPr>
    </w:p>
    <w:p w14:paraId="0FA141A0" w14:textId="7079F72E" w:rsidR="002C20AE" w:rsidRPr="002C20AE" w:rsidRDefault="002C20AE" w:rsidP="002C20AE">
      <w:pPr>
        <w:spacing w:line="360" w:lineRule="auto"/>
        <w:jc w:val="center"/>
        <w:rPr>
          <w:rStyle w:val="Heading1Char"/>
          <w:rFonts w:ascii="Arial" w:hAnsi="Arial" w:cs="Arial"/>
          <w:b/>
          <w:color w:val="auto"/>
          <w:sz w:val="32"/>
          <w:szCs w:val="32"/>
        </w:rPr>
      </w:pPr>
      <w:r w:rsidRPr="002C20AE">
        <w:rPr>
          <w:rStyle w:val="Heading1Char"/>
          <w:rFonts w:ascii="Arial" w:hAnsi="Arial" w:cs="Arial"/>
          <w:b/>
          <w:color w:val="auto"/>
          <w:sz w:val="32"/>
          <w:szCs w:val="32"/>
        </w:rPr>
        <w:t>Student Name:</w:t>
      </w:r>
      <w:r w:rsidR="003573E9">
        <w:rPr>
          <w:rStyle w:val="Heading1Char"/>
          <w:rFonts w:ascii="Arial" w:hAnsi="Arial" w:cs="Arial"/>
          <w:b/>
          <w:color w:val="auto"/>
          <w:sz w:val="32"/>
          <w:szCs w:val="32"/>
        </w:rPr>
        <w:t xml:space="preserve"> Buha Viraj </w:t>
      </w:r>
      <w:r w:rsidR="00616BE8">
        <w:rPr>
          <w:rStyle w:val="Heading1Char"/>
          <w:rFonts w:ascii="Arial" w:hAnsi="Arial" w:cs="Arial"/>
          <w:b/>
          <w:color w:val="auto"/>
          <w:sz w:val="32"/>
          <w:szCs w:val="32"/>
        </w:rPr>
        <w:t>M</w:t>
      </w:r>
      <w:r w:rsidR="003573E9">
        <w:rPr>
          <w:rStyle w:val="Heading1Char"/>
          <w:rFonts w:ascii="Arial" w:hAnsi="Arial" w:cs="Arial"/>
          <w:b/>
          <w:color w:val="auto"/>
          <w:sz w:val="32"/>
          <w:szCs w:val="32"/>
        </w:rPr>
        <w:t>anishbhai</w:t>
      </w:r>
    </w:p>
    <w:p w14:paraId="4BB61610" w14:textId="77777777" w:rsidR="002C20AE" w:rsidRDefault="002C20AE" w:rsidP="002C20AE">
      <w:pPr>
        <w:spacing w:line="360" w:lineRule="auto"/>
        <w:jc w:val="center"/>
        <w:rPr>
          <w:rStyle w:val="Heading1Char"/>
          <w:rFonts w:ascii="Arial" w:hAnsi="Arial" w:cs="Arial"/>
          <w:b/>
          <w:color w:val="auto"/>
          <w:sz w:val="32"/>
          <w:szCs w:val="32"/>
        </w:rPr>
      </w:pPr>
    </w:p>
    <w:p w14:paraId="385F61E7" w14:textId="461BE56F" w:rsidR="002C20AE" w:rsidRPr="002C20AE" w:rsidRDefault="002C20AE" w:rsidP="002C20AE">
      <w:pPr>
        <w:spacing w:line="360" w:lineRule="auto"/>
        <w:jc w:val="center"/>
        <w:rPr>
          <w:rStyle w:val="Heading1Char"/>
          <w:rFonts w:ascii="Arial" w:hAnsi="Arial" w:cs="Arial"/>
          <w:b/>
          <w:color w:val="auto"/>
          <w:sz w:val="32"/>
          <w:szCs w:val="32"/>
        </w:rPr>
      </w:pPr>
      <w:r w:rsidRPr="002C20AE">
        <w:rPr>
          <w:rStyle w:val="Heading1Char"/>
          <w:rFonts w:ascii="Arial" w:hAnsi="Arial" w:cs="Arial"/>
          <w:b/>
          <w:color w:val="auto"/>
          <w:sz w:val="32"/>
          <w:szCs w:val="32"/>
        </w:rPr>
        <w:t>Student ID:</w:t>
      </w:r>
      <w:r w:rsidR="003573E9">
        <w:rPr>
          <w:rStyle w:val="Heading1Char"/>
          <w:rFonts w:ascii="Arial" w:hAnsi="Arial" w:cs="Arial"/>
          <w:b/>
          <w:color w:val="auto"/>
          <w:sz w:val="32"/>
          <w:szCs w:val="32"/>
        </w:rPr>
        <w:t xml:space="preserve"> 2506581</w:t>
      </w:r>
    </w:p>
    <w:p w14:paraId="3E3BBF66" w14:textId="77777777" w:rsidR="002C20AE" w:rsidRPr="002C20AE" w:rsidRDefault="002C20AE" w:rsidP="002C20AE">
      <w:pPr>
        <w:spacing w:line="360" w:lineRule="auto"/>
        <w:jc w:val="center"/>
        <w:rPr>
          <w:rStyle w:val="Heading1Char"/>
          <w:rFonts w:ascii="Arial" w:hAnsi="Arial" w:cs="Arial"/>
          <w:b/>
          <w:color w:val="auto"/>
          <w:sz w:val="32"/>
          <w:szCs w:val="32"/>
        </w:rPr>
      </w:pPr>
    </w:p>
    <w:p w14:paraId="152A75C9" w14:textId="77777777" w:rsidR="002C20AE" w:rsidRPr="002C20AE" w:rsidRDefault="002C20AE" w:rsidP="002C20AE">
      <w:pPr>
        <w:spacing w:line="360" w:lineRule="auto"/>
        <w:jc w:val="center"/>
        <w:rPr>
          <w:rStyle w:val="Heading1Char"/>
          <w:rFonts w:ascii="Arial" w:hAnsi="Arial" w:cs="Arial"/>
          <w:b/>
          <w:color w:val="auto"/>
          <w:sz w:val="32"/>
          <w:szCs w:val="32"/>
        </w:rPr>
      </w:pPr>
      <w:r w:rsidRPr="002C20AE">
        <w:rPr>
          <w:rStyle w:val="Heading1Char"/>
          <w:rFonts w:ascii="Arial" w:hAnsi="Arial" w:cs="Arial"/>
          <w:b/>
          <w:color w:val="auto"/>
          <w:sz w:val="32"/>
          <w:szCs w:val="32"/>
        </w:rPr>
        <w:t>Module Name: Marketing Management</w:t>
      </w:r>
    </w:p>
    <w:p w14:paraId="37545724" w14:textId="77777777" w:rsidR="002C20AE" w:rsidRDefault="002C20AE" w:rsidP="002C20AE">
      <w:pPr>
        <w:spacing w:line="360" w:lineRule="auto"/>
        <w:jc w:val="center"/>
        <w:rPr>
          <w:rStyle w:val="Heading1Char"/>
          <w:rFonts w:ascii="Arial" w:hAnsi="Arial" w:cs="Arial"/>
          <w:b/>
          <w:color w:val="auto"/>
          <w:sz w:val="32"/>
          <w:szCs w:val="32"/>
        </w:rPr>
      </w:pPr>
    </w:p>
    <w:p w14:paraId="399FDE7D" w14:textId="77777777" w:rsidR="002C20AE" w:rsidRDefault="002C20AE" w:rsidP="002C20AE">
      <w:pPr>
        <w:spacing w:line="360" w:lineRule="auto"/>
        <w:jc w:val="center"/>
        <w:rPr>
          <w:rStyle w:val="Heading1Char"/>
          <w:rFonts w:ascii="Arial" w:hAnsi="Arial" w:cs="Arial"/>
          <w:b/>
          <w:color w:val="auto"/>
          <w:sz w:val="32"/>
          <w:szCs w:val="32"/>
        </w:rPr>
      </w:pPr>
    </w:p>
    <w:p w14:paraId="18F56FAC" w14:textId="77777777" w:rsidR="002C20AE" w:rsidRPr="002C20AE" w:rsidRDefault="002C20AE" w:rsidP="002C20AE">
      <w:pPr>
        <w:spacing w:line="360" w:lineRule="auto"/>
        <w:jc w:val="center"/>
        <w:rPr>
          <w:rStyle w:val="Heading1Char"/>
          <w:rFonts w:ascii="Arial" w:hAnsi="Arial" w:cs="Arial"/>
          <w:b/>
          <w:color w:val="auto"/>
          <w:sz w:val="32"/>
          <w:szCs w:val="32"/>
        </w:rPr>
      </w:pPr>
      <w:r w:rsidRPr="002C20AE">
        <w:rPr>
          <w:rStyle w:val="Heading1Char"/>
          <w:rFonts w:ascii="Arial" w:hAnsi="Arial" w:cs="Arial"/>
          <w:b/>
          <w:color w:val="auto"/>
          <w:sz w:val="32"/>
          <w:szCs w:val="32"/>
        </w:rPr>
        <w:t>Module Code: LCMB7024</w:t>
      </w:r>
    </w:p>
    <w:p w14:paraId="1AC9D02F" w14:textId="77777777" w:rsidR="002C20AE" w:rsidRPr="002C20AE" w:rsidRDefault="002C20AE" w:rsidP="002C20AE">
      <w:pPr>
        <w:spacing w:line="360" w:lineRule="auto"/>
        <w:jc w:val="center"/>
        <w:rPr>
          <w:rStyle w:val="Heading1Char"/>
          <w:rFonts w:ascii="Arial" w:hAnsi="Arial" w:cs="Arial"/>
          <w:b/>
          <w:color w:val="auto"/>
          <w:sz w:val="32"/>
          <w:szCs w:val="32"/>
        </w:rPr>
      </w:pPr>
    </w:p>
    <w:p w14:paraId="426C318F" w14:textId="77777777" w:rsidR="002C20AE" w:rsidRDefault="002C20AE" w:rsidP="002C20AE">
      <w:pPr>
        <w:spacing w:line="360" w:lineRule="auto"/>
        <w:jc w:val="center"/>
        <w:rPr>
          <w:rStyle w:val="Heading1Char"/>
          <w:rFonts w:ascii="Arial" w:hAnsi="Arial" w:cs="Arial"/>
          <w:b/>
          <w:color w:val="auto"/>
          <w:sz w:val="32"/>
          <w:szCs w:val="32"/>
        </w:rPr>
      </w:pPr>
    </w:p>
    <w:p w14:paraId="4B44657A" w14:textId="2C8BD0ED" w:rsidR="002C20AE" w:rsidRPr="002C20AE" w:rsidRDefault="002C20AE" w:rsidP="002C20AE">
      <w:pPr>
        <w:spacing w:line="360" w:lineRule="auto"/>
        <w:jc w:val="center"/>
        <w:rPr>
          <w:rStyle w:val="Heading1Char"/>
          <w:rFonts w:ascii="Arial" w:hAnsi="Arial" w:cs="Arial"/>
          <w:b/>
          <w:color w:val="auto"/>
          <w:sz w:val="32"/>
          <w:szCs w:val="32"/>
        </w:rPr>
      </w:pPr>
      <w:r w:rsidRPr="002C20AE">
        <w:rPr>
          <w:rStyle w:val="Heading1Char"/>
          <w:rFonts w:ascii="Arial" w:hAnsi="Arial" w:cs="Arial"/>
          <w:b/>
          <w:color w:val="auto"/>
          <w:sz w:val="32"/>
          <w:szCs w:val="32"/>
        </w:rPr>
        <w:t>Lecturer’s Name:</w:t>
      </w:r>
      <w:r w:rsidR="003573E9">
        <w:rPr>
          <w:rStyle w:val="Heading1Char"/>
          <w:rFonts w:ascii="Arial" w:hAnsi="Arial" w:cs="Arial"/>
          <w:b/>
          <w:color w:val="auto"/>
          <w:sz w:val="32"/>
          <w:szCs w:val="32"/>
        </w:rPr>
        <w:t xml:space="preserve"> Dr Laila Maazouz</w:t>
      </w:r>
    </w:p>
    <w:p w14:paraId="19F5E153" w14:textId="77777777" w:rsidR="002C20AE" w:rsidRPr="002C20AE" w:rsidRDefault="002C20AE" w:rsidP="002C20AE">
      <w:pPr>
        <w:spacing w:line="360" w:lineRule="auto"/>
        <w:jc w:val="center"/>
        <w:rPr>
          <w:rStyle w:val="Heading1Char"/>
          <w:rFonts w:ascii="Arial" w:hAnsi="Arial" w:cs="Arial"/>
          <w:b/>
          <w:color w:val="auto"/>
          <w:sz w:val="32"/>
          <w:szCs w:val="32"/>
        </w:rPr>
      </w:pPr>
    </w:p>
    <w:p w14:paraId="45273627" w14:textId="77777777" w:rsidR="002C20AE" w:rsidRDefault="002C20AE" w:rsidP="002C20AE">
      <w:pPr>
        <w:spacing w:line="360" w:lineRule="auto"/>
        <w:jc w:val="center"/>
        <w:rPr>
          <w:rStyle w:val="Heading1Char"/>
          <w:rFonts w:ascii="Arial" w:hAnsi="Arial" w:cs="Arial"/>
          <w:b/>
          <w:color w:val="auto"/>
          <w:sz w:val="32"/>
          <w:szCs w:val="32"/>
        </w:rPr>
      </w:pPr>
    </w:p>
    <w:p w14:paraId="0C5560B8" w14:textId="77777777" w:rsidR="002C20AE" w:rsidRDefault="002C20AE" w:rsidP="002C20AE">
      <w:pPr>
        <w:spacing w:line="360" w:lineRule="auto"/>
        <w:jc w:val="center"/>
        <w:rPr>
          <w:rStyle w:val="Heading1Char"/>
          <w:rFonts w:ascii="Arial" w:hAnsi="Arial" w:cs="Arial"/>
          <w:b/>
          <w:color w:val="auto"/>
          <w:sz w:val="32"/>
          <w:szCs w:val="32"/>
        </w:rPr>
      </w:pPr>
    </w:p>
    <w:p w14:paraId="29B6AA9E" w14:textId="089CA7C1" w:rsidR="002C20AE" w:rsidRPr="002C20AE" w:rsidRDefault="002C20AE" w:rsidP="002C20AE">
      <w:pPr>
        <w:spacing w:line="360" w:lineRule="auto"/>
        <w:jc w:val="center"/>
        <w:rPr>
          <w:rStyle w:val="Heading1Char"/>
          <w:rFonts w:ascii="Arial" w:hAnsi="Arial" w:cs="Arial"/>
          <w:b/>
          <w:color w:val="auto"/>
          <w:sz w:val="24"/>
          <w:szCs w:val="24"/>
        </w:rPr>
      </w:pPr>
      <w:r w:rsidRPr="002C20AE">
        <w:rPr>
          <w:rStyle w:val="Heading1Char"/>
          <w:rFonts w:ascii="Arial" w:hAnsi="Arial" w:cs="Arial"/>
          <w:b/>
          <w:color w:val="auto"/>
          <w:sz w:val="32"/>
          <w:szCs w:val="32"/>
        </w:rPr>
        <w:t>Work Count: 272</w:t>
      </w:r>
      <w:r w:rsidR="003573E9">
        <w:rPr>
          <w:rStyle w:val="Heading1Char"/>
          <w:rFonts w:ascii="Arial" w:hAnsi="Arial" w:cs="Arial"/>
          <w:b/>
          <w:color w:val="auto"/>
          <w:sz w:val="32"/>
          <w:szCs w:val="32"/>
        </w:rPr>
        <w:t>8</w:t>
      </w:r>
      <w:r w:rsidRPr="002C20AE">
        <w:rPr>
          <w:rStyle w:val="Heading1Char"/>
          <w:rFonts w:ascii="Arial" w:hAnsi="Arial" w:cs="Arial"/>
          <w:b/>
          <w:color w:val="auto"/>
          <w:sz w:val="24"/>
          <w:szCs w:val="24"/>
        </w:rPr>
        <w:br w:type="page"/>
      </w:r>
    </w:p>
    <w:sdt>
      <w:sdtPr>
        <w:rPr>
          <w:rFonts w:asciiTheme="minorHAnsi" w:eastAsiaTheme="minorHAnsi" w:hAnsiTheme="minorHAnsi" w:cstheme="minorBidi"/>
          <w:b w:val="0"/>
          <w:bCs w:val="0"/>
          <w:color w:val="auto"/>
          <w:kern w:val="2"/>
          <w:sz w:val="24"/>
          <w:szCs w:val="24"/>
          <w:lang w:val="en-GB"/>
          <w14:ligatures w14:val="standardContextual"/>
        </w:rPr>
        <w:id w:val="-883095513"/>
        <w:docPartObj>
          <w:docPartGallery w:val="Table of Contents"/>
          <w:docPartUnique/>
        </w:docPartObj>
      </w:sdtPr>
      <w:sdtEndPr>
        <w:rPr>
          <w:noProof/>
        </w:rPr>
      </w:sdtEndPr>
      <w:sdtContent>
        <w:p w14:paraId="7DECD30B" w14:textId="4403ED2F" w:rsidR="002C20AE" w:rsidRPr="002C20AE" w:rsidRDefault="002C20AE" w:rsidP="002C20AE">
          <w:pPr>
            <w:pStyle w:val="TOCHeading"/>
            <w:spacing w:line="360" w:lineRule="auto"/>
            <w:rPr>
              <w:rFonts w:ascii="Arial" w:hAnsi="Arial" w:cs="Arial"/>
              <w:color w:val="auto"/>
              <w:sz w:val="24"/>
              <w:szCs w:val="24"/>
            </w:rPr>
          </w:pPr>
          <w:r w:rsidRPr="002C20AE">
            <w:rPr>
              <w:rFonts w:ascii="Arial" w:hAnsi="Arial" w:cs="Arial"/>
              <w:color w:val="auto"/>
              <w:sz w:val="24"/>
              <w:szCs w:val="24"/>
            </w:rPr>
            <w:t>Table of Contents</w:t>
          </w:r>
        </w:p>
        <w:p w14:paraId="2DE8117D" w14:textId="1788F676" w:rsidR="002C20AE" w:rsidRPr="002C20AE" w:rsidRDefault="002C20AE" w:rsidP="002C20AE">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r w:rsidRPr="002C20AE">
            <w:rPr>
              <w:rFonts w:ascii="Arial" w:hAnsi="Arial" w:cs="Arial"/>
              <w:sz w:val="24"/>
              <w:szCs w:val="24"/>
            </w:rPr>
            <w:fldChar w:fldCharType="begin"/>
          </w:r>
          <w:r w:rsidRPr="002C20AE">
            <w:rPr>
              <w:rFonts w:ascii="Arial" w:hAnsi="Arial" w:cs="Arial"/>
              <w:sz w:val="24"/>
              <w:szCs w:val="24"/>
            </w:rPr>
            <w:instrText xml:space="preserve"> TOC \o "1-3" \h \z \u </w:instrText>
          </w:r>
          <w:r w:rsidRPr="002C20AE">
            <w:rPr>
              <w:rFonts w:ascii="Arial" w:hAnsi="Arial" w:cs="Arial"/>
              <w:sz w:val="24"/>
              <w:szCs w:val="24"/>
            </w:rPr>
            <w:fldChar w:fldCharType="separate"/>
          </w:r>
          <w:hyperlink w:anchor="_Toc214431732" w:history="1">
            <w:r w:rsidRPr="002C20AE">
              <w:rPr>
                <w:rStyle w:val="Hyperlink"/>
                <w:rFonts w:ascii="Arial" w:hAnsi="Arial" w:cs="Arial"/>
                <w:b w:val="0"/>
                <w:noProof/>
                <w:color w:val="auto"/>
                <w:sz w:val="24"/>
                <w:szCs w:val="24"/>
              </w:rPr>
              <w:t>1.0 Introduction</w:t>
            </w:r>
            <w:r w:rsidRPr="002C20AE">
              <w:rPr>
                <w:rFonts w:ascii="Arial" w:hAnsi="Arial" w:cs="Arial"/>
                <w:b w:val="0"/>
                <w:noProof/>
                <w:webHidden/>
                <w:sz w:val="24"/>
                <w:szCs w:val="24"/>
              </w:rPr>
              <w:tab/>
            </w:r>
            <w:r w:rsidRPr="002C20AE">
              <w:rPr>
                <w:rFonts w:ascii="Arial" w:hAnsi="Arial" w:cs="Arial"/>
                <w:b w:val="0"/>
                <w:noProof/>
                <w:webHidden/>
                <w:sz w:val="24"/>
                <w:szCs w:val="24"/>
              </w:rPr>
              <w:fldChar w:fldCharType="begin"/>
            </w:r>
            <w:r w:rsidRPr="002C20AE">
              <w:rPr>
                <w:rFonts w:ascii="Arial" w:hAnsi="Arial" w:cs="Arial"/>
                <w:b w:val="0"/>
                <w:noProof/>
                <w:webHidden/>
                <w:sz w:val="24"/>
                <w:szCs w:val="24"/>
              </w:rPr>
              <w:instrText xml:space="preserve"> PAGEREF _Toc214431732 \h </w:instrText>
            </w:r>
            <w:r w:rsidRPr="002C20AE">
              <w:rPr>
                <w:rFonts w:ascii="Arial" w:hAnsi="Arial" w:cs="Arial"/>
                <w:b w:val="0"/>
                <w:noProof/>
                <w:webHidden/>
                <w:sz w:val="24"/>
                <w:szCs w:val="24"/>
              </w:rPr>
            </w:r>
            <w:r w:rsidRPr="002C20AE">
              <w:rPr>
                <w:rFonts w:ascii="Arial" w:hAnsi="Arial" w:cs="Arial"/>
                <w:b w:val="0"/>
                <w:noProof/>
                <w:webHidden/>
                <w:sz w:val="24"/>
                <w:szCs w:val="24"/>
              </w:rPr>
              <w:fldChar w:fldCharType="separate"/>
            </w:r>
            <w:r w:rsidR="00E401A9">
              <w:rPr>
                <w:rFonts w:ascii="Arial" w:hAnsi="Arial" w:cs="Arial"/>
                <w:b w:val="0"/>
                <w:noProof/>
                <w:webHidden/>
                <w:sz w:val="24"/>
                <w:szCs w:val="24"/>
              </w:rPr>
              <w:t>3</w:t>
            </w:r>
            <w:r w:rsidRPr="002C20AE">
              <w:rPr>
                <w:rFonts w:ascii="Arial" w:hAnsi="Arial" w:cs="Arial"/>
                <w:b w:val="0"/>
                <w:noProof/>
                <w:webHidden/>
                <w:sz w:val="24"/>
                <w:szCs w:val="24"/>
              </w:rPr>
              <w:fldChar w:fldCharType="end"/>
            </w:r>
          </w:hyperlink>
        </w:p>
        <w:p w14:paraId="3AF3ABA0" w14:textId="24E74A43" w:rsidR="002C20AE" w:rsidRPr="002C20AE" w:rsidRDefault="003B2079" w:rsidP="002C20AE">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4431733" w:history="1">
            <w:r w:rsidR="002C20AE" w:rsidRPr="002C20AE">
              <w:rPr>
                <w:rStyle w:val="Hyperlink"/>
                <w:rFonts w:ascii="Arial" w:hAnsi="Arial" w:cs="Arial"/>
                <w:b w:val="0"/>
                <w:noProof/>
                <w:color w:val="auto"/>
                <w:sz w:val="24"/>
                <w:szCs w:val="24"/>
              </w:rPr>
              <w:t>2.0 Task 1: Critical Analysis of the Macro Marketing Environment</w:t>
            </w:r>
            <w:r w:rsidR="002C20AE" w:rsidRPr="002C20AE">
              <w:rPr>
                <w:rFonts w:ascii="Arial" w:hAnsi="Arial" w:cs="Arial"/>
                <w:b w:val="0"/>
                <w:noProof/>
                <w:webHidden/>
                <w:sz w:val="24"/>
                <w:szCs w:val="24"/>
              </w:rPr>
              <w:tab/>
            </w:r>
            <w:r w:rsidR="002C20AE" w:rsidRPr="002C20AE">
              <w:rPr>
                <w:rFonts w:ascii="Arial" w:hAnsi="Arial" w:cs="Arial"/>
                <w:b w:val="0"/>
                <w:noProof/>
                <w:webHidden/>
                <w:sz w:val="24"/>
                <w:szCs w:val="24"/>
              </w:rPr>
              <w:fldChar w:fldCharType="begin"/>
            </w:r>
            <w:r w:rsidR="002C20AE" w:rsidRPr="002C20AE">
              <w:rPr>
                <w:rFonts w:ascii="Arial" w:hAnsi="Arial" w:cs="Arial"/>
                <w:b w:val="0"/>
                <w:noProof/>
                <w:webHidden/>
                <w:sz w:val="24"/>
                <w:szCs w:val="24"/>
              </w:rPr>
              <w:instrText xml:space="preserve"> PAGEREF _Toc214431733 \h </w:instrText>
            </w:r>
            <w:r w:rsidR="002C20AE" w:rsidRPr="002C20AE">
              <w:rPr>
                <w:rFonts w:ascii="Arial" w:hAnsi="Arial" w:cs="Arial"/>
                <w:b w:val="0"/>
                <w:noProof/>
                <w:webHidden/>
                <w:sz w:val="24"/>
                <w:szCs w:val="24"/>
              </w:rPr>
            </w:r>
            <w:r w:rsidR="002C20AE" w:rsidRPr="002C20AE">
              <w:rPr>
                <w:rFonts w:ascii="Arial" w:hAnsi="Arial" w:cs="Arial"/>
                <w:b w:val="0"/>
                <w:noProof/>
                <w:webHidden/>
                <w:sz w:val="24"/>
                <w:szCs w:val="24"/>
              </w:rPr>
              <w:fldChar w:fldCharType="separate"/>
            </w:r>
            <w:r w:rsidR="00E401A9">
              <w:rPr>
                <w:rFonts w:ascii="Arial" w:hAnsi="Arial" w:cs="Arial"/>
                <w:b w:val="0"/>
                <w:noProof/>
                <w:webHidden/>
                <w:sz w:val="24"/>
                <w:szCs w:val="24"/>
              </w:rPr>
              <w:t>4</w:t>
            </w:r>
            <w:r w:rsidR="002C20AE" w:rsidRPr="002C20AE">
              <w:rPr>
                <w:rFonts w:ascii="Arial" w:hAnsi="Arial" w:cs="Arial"/>
                <w:b w:val="0"/>
                <w:noProof/>
                <w:webHidden/>
                <w:sz w:val="24"/>
                <w:szCs w:val="24"/>
              </w:rPr>
              <w:fldChar w:fldCharType="end"/>
            </w:r>
          </w:hyperlink>
        </w:p>
        <w:p w14:paraId="310BE0FC" w14:textId="0AB89DDB" w:rsidR="002C20AE" w:rsidRPr="002C20AE" w:rsidRDefault="003B2079" w:rsidP="002C20AE">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4431734" w:history="1">
            <w:r w:rsidR="002C20AE" w:rsidRPr="002C20AE">
              <w:rPr>
                <w:rStyle w:val="Hyperlink"/>
                <w:rFonts w:ascii="Arial" w:hAnsi="Arial" w:cs="Arial"/>
                <w:noProof/>
                <w:color w:val="auto"/>
                <w:sz w:val="24"/>
                <w:szCs w:val="24"/>
              </w:rPr>
              <w:t>2.1 Overview of the Macro Marketing Environment</w:t>
            </w:r>
            <w:r w:rsidR="002C20AE" w:rsidRPr="002C20AE">
              <w:rPr>
                <w:rFonts w:ascii="Arial" w:hAnsi="Arial" w:cs="Arial"/>
                <w:noProof/>
                <w:webHidden/>
                <w:sz w:val="24"/>
                <w:szCs w:val="24"/>
              </w:rPr>
              <w:tab/>
            </w:r>
            <w:r w:rsidR="002C20AE" w:rsidRPr="002C20AE">
              <w:rPr>
                <w:rFonts w:ascii="Arial" w:hAnsi="Arial" w:cs="Arial"/>
                <w:noProof/>
                <w:webHidden/>
                <w:sz w:val="24"/>
                <w:szCs w:val="24"/>
              </w:rPr>
              <w:fldChar w:fldCharType="begin"/>
            </w:r>
            <w:r w:rsidR="002C20AE" w:rsidRPr="002C20AE">
              <w:rPr>
                <w:rFonts w:ascii="Arial" w:hAnsi="Arial" w:cs="Arial"/>
                <w:noProof/>
                <w:webHidden/>
                <w:sz w:val="24"/>
                <w:szCs w:val="24"/>
              </w:rPr>
              <w:instrText xml:space="preserve"> PAGEREF _Toc214431734 \h </w:instrText>
            </w:r>
            <w:r w:rsidR="002C20AE" w:rsidRPr="002C20AE">
              <w:rPr>
                <w:rFonts w:ascii="Arial" w:hAnsi="Arial" w:cs="Arial"/>
                <w:noProof/>
                <w:webHidden/>
                <w:sz w:val="24"/>
                <w:szCs w:val="24"/>
              </w:rPr>
            </w:r>
            <w:r w:rsidR="002C20AE" w:rsidRPr="002C20AE">
              <w:rPr>
                <w:rFonts w:ascii="Arial" w:hAnsi="Arial" w:cs="Arial"/>
                <w:noProof/>
                <w:webHidden/>
                <w:sz w:val="24"/>
                <w:szCs w:val="24"/>
              </w:rPr>
              <w:fldChar w:fldCharType="separate"/>
            </w:r>
            <w:r w:rsidR="00E401A9">
              <w:rPr>
                <w:rFonts w:ascii="Arial" w:hAnsi="Arial" w:cs="Arial"/>
                <w:noProof/>
                <w:webHidden/>
                <w:sz w:val="24"/>
                <w:szCs w:val="24"/>
              </w:rPr>
              <w:t>4</w:t>
            </w:r>
            <w:r w:rsidR="002C20AE" w:rsidRPr="002C20AE">
              <w:rPr>
                <w:rFonts w:ascii="Arial" w:hAnsi="Arial" w:cs="Arial"/>
                <w:noProof/>
                <w:webHidden/>
                <w:sz w:val="24"/>
                <w:szCs w:val="24"/>
              </w:rPr>
              <w:fldChar w:fldCharType="end"/>
            </w:r>
          </w:hyperlink>
        </w:p>
        <w:p w14:paraId="2FC2DE71" w14:textId="58FB4C3F" w:rsidR="002C20AE" w:rsidRPr="002C20AE" w:rsidRDefault="003B2079" w:rsidP="002C20AE">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4431735" w:history="1">
            <w:r w:rsidR="002C20AE" w:rsidRPr="002C20AE">
              <w:rPr>
                <w:rStyle w:val="Hyperlink"/>
                <w:rFonts w:ascii="Arial" w:hAnsi="Arial" w:cs="Arial"/>
                <w:noProof/>
                <w:color w:val="auto"/>
                <w:sz w:val="24"/>
                <w:szCs w:val="24"/>
              </w:rPr>
              <w:t>2.2 Selection of Two External Macro Marketing Actors</w:t>
            </w:r>
            <w:r w:rsidR="002C20AE" w:rsidRPr="002C20AE">
              <w:rPr>
                <w:rFonts w:ascii="Arial" w:hAnsi="Arial" w:cs="Arial"/>
                <w:noProof/>
                <w:webHidden/>
                <w:sz w:val="24"/>
                <w:szCs w:val="24"/>
              </w:rPr>
              <w:tab/>
            </w:r>
            <w:r w:rsidR="002C20AE" w:rsidRPr="002C20AE">
              <w:rPr>
                <w:rFonts w:ascii="Arial" w:hAnsi="Arial" w:cs="Arial"/>
                <w:noProof/>
                <w:webHidden/>
                <w:sz w:val="24"/>
                <w:szCs w:val="24"/>
              </w:rPr>
              <w:fldChar w:fldCharType="begin"/>
            </w:r>
            <w:r w:rsidR="002C20AE" w:rsidRPr="002C20AE">
              <w:rPr>
                <w:rFonts w:ascii="Arial" w:hAnsi="Arial" w:cs="Arial"/>
                <w:noProof/>
                <w:webHidden/>
                <w:sz w:val="24"/>
                <w:szCs w:val="24"/>
              </w:rPr>
              <w:instrText xml:space="preserve"> PAGEREF _Toc214431735 \h </w:instrText>
            </w:r>
            <w:r w:rsidR="002C20AE" w:rsidRPr="002C20AE">
              <w:rPr>
                <w:rFonts w:ascii="Arial" w:hAnsi="Arial" w:cs="Arial"/>
                <w:noProof/>
                <w:webHidden/>
                <w:sz w:val="24"/>
                <w:szCs w:val="24"/>
              </w:rPr>
            </w:r>
            <w:r w:rsidR="002C20AE" w:rsidRPr="002C20AE">
              <w:rPr>
                <w:rFonts w:ascii="Arial" w:hAnsi="Arial" w:cs="Arial"/>
                <w:noProof/>
                <w:webHidden/>
                <w:sz w:val="24"/>
                <w:szCs w:val="24"/>
              </w:rPr>
              <w:fldChar w:fldCharType="separate"/>
            </w:r>
            <w:r w:rsidR="00E401A9">
              <w:rPr>
                <w:rFonts w:ascii="Arial" w:hAnsi="Arial" w:cs="Arial"/>
                <w:noProof/>
                <w:webHidden/>
                <w:sz w:val="24"/>
                <w:szCs w:val="24"/>
              </w:rPr>
              <w:t>4</w:t>
            </w:r>
            <w:r w:rsidR="002C20AE" w:rsidRPr="002C20AE">
              <w:rPr>
                <w:rFonts w:ascii="Arial" w:hAnsi="Arial" w:cs="Arial"/>
                <w:noProof/>
                <w:webHidden/>
                <w:sz w:val="24"/>
                <w:szCs w:val="24"/>
              </w:rPr>
              <w:fldChar w:fldCharType="end"/>
            </w:r>
          </w:hyperlink>
        </w:p>
        <w:p w14:paraId="61DC660C" w14:textId="06357013" w:rsidR="002C20AE" w:rsidRPr="002C20AE" w:rsidRDefault="003B2079" w:rsidP="002C20AE">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4431736" w:history="1">
            <w:r w:rsidR="002C20AE" w:rsidRPr="002C20AE">
              <w:rPr>
                <w:rStyle w:val="Hyperlink"/>
                <w:rFonts w:ascii="Arial" w:hAnsi="Arial" w:cs="Arial"/>
                <w:noProof/>
                <w:color w:val="auto"/>
                <w:sz w:val="24"/>
                <w:szCs w:val="24"/>
              </w:rPr>
              <w:t>2.3 Critical Analysis of Each Actor</w:t>
            </w:r>
            <w:r w:rsidR="002C20AE" w:rsidRPr="002C20AE">
              <w:rPr>
                <w:rFonts w:ascii="Arial" w:hAnsi="Arial" w:cs="Arial"/>
                <w:noProof/>
                <w:webHidden/>
                <w:sz w:val="24"/>
                <w:szCs w:val="24"/>
              </w:rPr>
              <w:tab/>
            </w:r>
            <w:r w:rsidR="002C20AE" w:rsidRPr="002C20AE">
              <w:rPr>
                <w:rFonts w:ascii="Arial" w:hAnsi="Arial" w:cs="Arial"/>
                <w:noProof/>
                <w:webHidden/>
                <w:sz w:val="24"/>
                <w:szCs w:val="24"/>
              </w:rPr>
              <w:fldChar w:fldCharType="begin"/>
            </w:r>
            <w:r w:rsidR="002C20AE" w:rsidRPr="002C20AE">
              <w:rPr>
                <w:rFonts w:ascii="Arial" w:hAnsi="Arial" w:cs="Arial"/>
                <w:noProof/>
                <w:webHidden/>
                <w:sz w:val="24"/>
                <w:szCs w:val="24"/>
              </w:rPr>
              <w:instrText xml:space="preserve"> PAGEREF _Toc214431736 \h </w:instrText>
            </w:r>
            <w:r w:rsidR="002C20AE" w:rsidRPr="002C20AE">
              <w:rPr>
                <w:rFonts w:ascii="Arial" w:hAnsi="Arial" w:cs="Arial"/>
                <w:noProof/>
                <w:webHidden/>
                <w:sz w:val="24"/>
                <w:szCs w:val="24"/>
              </w:rPr>
            </w:r>
            <w:r w:rsidR="002C20AE" w:rsidRPr="002C20AE">
              <w:rPr>
                <w:rFonts w:ascii="Arial" w:hAnsi="Arial" w:cs="Arial"/>
                <w:noProof/>
                <w:webHidden/>
                <w:sz w:val="24"/>
                <w:szCs w:val="24"/>
              </w:rPr>
              <w:fldChar w:fldCharType="separate"/>
            </w:r>
            <w:r w:rsidR="00E401A9">
              <w:rPr>
                <w:rFonts w:ascii="Arial" w:hAnsi="Arial" w:cs="Arial"/>
                <w:noProof/>
                <w:webHidden/>
                <w:sz w:val="24"/>
                <w:szCs w:val="24"/>
              </w:rPr>
              <w:t>6</w:t>
            </w:r>
            <w:r w:rsidR="002C20AE" w:rsidRPr="002C20AE">
              <w:rPr>
                <w:rFonts w:ascii="Arial" w:hAnsi="Arial" w:cs="Arial"/>
                <w:noProof/>
                <w:webHidden/>
                <w:sz w:val="24"/>
                <w:szCs w:val="24"/>
              </w:rPr>
              <w:fldChar w:fldCharType="end"/>
            </w:r>
          </w:hyperlink>
        </w:p>
        <w:p w14:paraId="5F43C1C2" w14:textId="1FD9F597" w:rsidR="002C20AE" w:rsidRPr="002C20AE" w:rsidRDefault="003B2079" w:rsidP="002C20AE">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4431737" w:history="1">
            <w:r w:rsidR="002C20AE" w:rsidRPr="002C20AE">
              <w:rPr>
                <w:rStyle w:val="Hyperlink"/>
                <w:rFonts w:ascii="Arial" w:hAnsi="Arial" w:cs="Arial"/>
                <w:b w:val="0"/>
                <w:noProof/>
                <w:color w:val="auto"/>
                <w:sz w:val="24"/>
                <w:szCs w:val="24"/>
              </w:rPr>
              <w:t>3.0 Task 2: Strategic Responses of Pioneering and Follower Organisations</w:t>
            </w:r>
            <w:r w:rsidR="002C20AE" w:rsidRPr="002C20AE">
              <w:rPr>
                <w:rFonts w:ascii="Arial" w:hAnsi="Arial" w:cs="Arial"/>
                <w:b w:val="0"/>
                <w:noProof/>
                <w:webHidden/>
                <w:sz w:val="24"/>
                <w:szCs w:val="24"/>
              </w:rPr>
              <w:tab/>
            </w:r>
            <w:r w:rsidR="002C20AE" w:rsidRPr="002C20AE">
              <w:rPr>
                <w:rFonts w:ascii="Arial" w:hAnsi="Arial" w:cs="Arial"/>
                <w:b w:val="0"/>
                <w:noProof/>
                <w:webHidden/>
                <w:sz w:val="24"/>
                <w:szCs w:val="24"/>
              </w:rPr>
              <w:fldChar w:fldCharType="begin"/>
            </w:r>
            <w:r w:rsidR="002C20AE" w:rsidRPr="002C20AE">
              <w:rPr>
                <w:rFonts w:ascii="Arial" w:hAnsi="Arial" w:cs="Arial"/>
                <w:b w:val="0"/>
                <w:noProof/>
                <w:webHidden/>
                <w:sz w:val="24"/>
                <w:szCs w:val="24"/>
              </w:rPr>
              <w:instrText xml:space="preserve"> PAGEREF _Toc214431737 \h </w:instrText>
            </w:r>
            <w:r w:rsidR="002C20AE" w:rsidRPr="002C20AE">
              <w:rPr>
                <w:rFonts w:ascii="Arial" w:hAnsi="Arial" w:cs="Arial"/>
                <w:b w:val="0"/>
                <w:noProof/>
                <w:webHidden/>
                <w:sz w:val="24"/>
                <w:szCs w:val="24"/>
              </w:rPr>
            </w:r>
            <w:r w:rsidR="002C20AE" w:rsidRPr="002C20AE">
              <w:rPr>
                <w:rFonts w:ascii="Arial" w:hAnsi="Arial" w:cs="Arial"/>
                <w:b w:val="0"/>
                <w:noProof/>
                <w:webHidden/>
                <w:sz w:val="24"/>
                <w:szCs w:val="24"/>
              </w:rPr>
              <w:fldChar w:fldCharType="separate"/>
            </w:r>
            <w:r w:rsidR="00E401A9">
              <w:rPr>
                <w:rFonts w:ascii="Arial" w:hAnsi="Arial" w:cs="Arial"/>
                <w:b w:val="0"/>
                <w:noProof/>
                <w:webHidden/>
                <w:sz w:val="24"/>
                <w:szCs w:val="24"/>
              </w:rPr>
              <w:t>11</w:t>
            </w:r>
            <w:r w:rsidR="002C20AE" w:rsidRPr="002C20AE">
              <w:rPr>
                <w:rFonts w:ascii="Arial" w:hAnsi="Arial" w:cs="Arial"/>
                <w:b w:val="0"/>
                <w:noProof/>
                <w:webHidden/>
                <w:sz w:val="24"/>
                <w:szCs w:val="24"/>
              </w:rPr>
              <w:fldChar w:fldCharType="end"/>
            </w:r>
          </w:hyperlink>
        </w:p>
        <w:p w14:paraId="456D22CB" w14:textId="370A4CC0" w:rsidR="002C20AE" w:rsidRPr="002C20AE" w:rsidRDefault="003B2079" w:rsidP="002C20AE">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4431738" w:history="1">
            <w:r w:rsidR="002C20AE" w:rsidRPr="002C20AE">
              <w:rPr>
                <w:rStyle w:val="Hyperlink"/>
                <w:rFonts w:ascii="Arial" w:hAnsi="Arial" w:cs="Arial"/>
                <w:noProof/>
                <w:color w:val="auto"/>
                <w:sz w:val="24"/>
                <w:szCs w:val="24"/>
              </w:rPr>
              <w:t>3.1 Pioneering Organisations’ Strategic Responses</w:t>
            </w:r>
            <w:r w:rsidR="002C20AE" w:rsidRPr="002C20AE">
              <w:rPr>
                <w:rFonts w:ascii="Arial" w:hAnsi="Arial" w:cs="Arial"/>
                <w:noProof/>
                <w:webHidden/>
                <w:sz w:val="24"/>
                <w:szCs w:val="24"/>
              </w:rPr>
              <w:tab/>
            </w:r>
            <w:r w:rsidR="002C20AE" w:rsidRPr="002C20AE">
              <w:rPr>
                <w:rFonts w:ascii="Arial" w:hAnsi="Arial" w:cs="Arial"/>
                <w:noProof/>
                <w:webHidden/>
                <w:sz w:val="24"/>
                <w:szCs w:val="24"/>
              </w:rPr>
              <w:fldChar w:fldCharType="begin"/>
            </w:r>
            <w:r w:rsidR="002C20AE" w:rsidRPr="002C20AE">
              <w:rPr>
                <w:rFonts w:ascii="Arial" w:hAnsi="Arial" w:cs="Arial"/>
                <w:noProof/>
                <w:webHidden/>
                <w:sz w:val="24"/>
                <w:szCs w:val="24"/>
              </w:rPr>
              <w:instrText xml:space="preserve"> PAGEREF _Toc214431738 \h </w:instrText>
            </w:r>
            <w:r w:rsidR="002C20AE" w:rsidRPr="002C20AE">
              <w:rPr>
                <w:rFonts w:ascii="Arial" w:hAnsi="Arial" w:cs="Arial"/>
                <w:noProof/>
                <w:webHidden/>
                <w:sz w:val="24"/>
                <w:szCs w:val="24"/>
              </w:rPr>
            </w:r>
            <w:r w:rsidR="002C20AE" w:rsidRPr="002C20AE">
              <w:rPr>
                <w:rFonts w:ascii="Arial" w:hAnsi="Arial" w:cs="Arial"/>
                <w:noProof/>
                <w:webHidden/>
                <w:sz w:val="24"/>
                <w:szCs w:val="24"/>
              </w:rPr>
              <w:fldChar w:fldCharType="separate"/>
            </w:r>
            <w:r w:rsidR="00E401A9">
              <w:rPr>
                <w:rFonts w:ascii="Arial" w:hAnsi="Arial" w:cs="Arial"/>
                <w:noProof/>
                <w:webHidden/>
                <w:sz w:val="24"/>
                <w:szCs w:val="24"/>
              </w:rPr>
              <w:t>11</w:t>
            </w:r>
            <w:r w:rsidR="002C20AE" w:rsidRPr="002C20AE">
              <w:rPr>
                <w:rFonts w:ascii="Arial" w:hAnsi="Arial" w:cs="Arial"/>
                <w:noProof/>
                <w:webHidden/>
                <w:sz w:val="24"/>
                <w:szCs w:val="24"/>
              </w:rPr>
              <w:fldChar w:fldCharType="end"/>
            </w:r>
          </w:hyperlink>
        </w:p>
        <w:p w14:paraId="06DC8E21" w14:textId="5FF79236" w:rsidR="002C20AE" w:rsidRPr="002C20AE" w:rsidRDefault="003B2079" w:rsidP="002C20AE">
          <w:pPr>
            <w:pStyle w:val="TOC2"/>
            <w:tabs>
              <w:tab w:val="right" w:leader="dot" w:pos="9016"/>
            </w:tabs>
            <w:spacing w:line="360" w:lineRule="auto"/>
            <w:jc w:val="both"/>
            <w:rPr>
              <w:rFonts w:ascii="Arial" w:eastAsiaTheme="minorEastAsia" w:hAnsi="Arial" w:cs="Arial"/>
              <w:smallCaps w:val="0"/>
              <w:noProof/>
              <w:kern w:val="0"/>
              <w:sz w:val="24"/>
              <w:szCs w:val="24"/>
              <w:lang w:val="en-IN" w:eastAsia="en-IN"/>
              <w14:ligatures w14:val="none"/>
            </w:rPr>
          </w:pPr>
          <w:hyperlink w:anchor="_Toc214431739" w:history="1">
            <w:r w:rsidR="002C20AE" w:rsidRPr="002C20AE">
              <w:rPr>
                <w:rStyle w:val="Hyperlink"/>
                <w:rFonts w:ascii="Arial" w:hAnsi="Arial" w:cs="Arial"/>
                <w:noProof/>
                <w:color w:val="auto"/>
                <w:sz w:val="24"/>
                <w:szCs w:val="24"/>
              </w:rPr>
              <w:t>3.2 Follower Organisations’ Strategic Responses</w:t>
            </w:r>
            <w:r w:rsidR="002C20AE" w:rsidRPr="002C20AE">
              <w:rPr>
                <w:rFonts w:ascii="Arial" w:hAnsi="Arial" w:cs="Arial"/>
                <w:noProof/>
                <w:webHidden/>
                <w:sz w:val="24"/>
                <w:szCs w:val="24"/>
              </w:rPr>
              <w:tab/>
            </w:r>
            <w:r w:rsidR="002C20AE" w:rsidRPr="002C20AE">
              <w:rPr>
                <w:rFonts w:ascii="Arial" w:hAnsi="Arial" w:cs="Arial"/>
                <w:noProof/>
                <w:webHidden/>
                <w:sz w:val="24"/>
                <w:szCs w:val="24"/>
              </w:rPr>
              <w:fldChar w:fldCharType="begin"/>
            </w:r>
            <w:r w:rsidR="002C20AE" w:rsidRPr="002C20AE">
              <w:rPr>
                <w:rFonts w:ascii="Arial" w:hAnsi="Arial" w:cs="Arial"/>
                <w:noProof/>
                <w:webHidden/>
                <w:sz w:val="24"/>
                <w:szCs w:val="24"/>
              </w:rPr>
              <w:instrText xml:space="preserve"> PAGEREF _Toc214431739 \h </w:instrText>
            </w:r>
            <w:r w:rsidR="002C20AE" w:rsidRPr="002C20AE">
              <w:rPr>
                <w:rFonts w:ascii="Arial" w:hAnsi="Arial" w:cs="Arial"/>
                <w:noProof/>
                <w:webHidden/>
                <w:sz w:val="24"/>
                <w:szCs w:val="24"/>
              </w:rPr>
            </w:r>
            <w:r w:rsidR="002C20AE" w:rsidRPr="002C20AE">
              <w:rPr>
                <w:rFonts w:ascii="Arial" w:hAnsi="Arial" w:cs="Arial"/>
                <w:noProof/>
                <w:webHidden/>
                <w:sz w:val="24"/>
                <w:szCs w:val="24"/>
              </w:rPr>
              <w:fldChar w:fldCharType="separate"/>
            </w:r>
            <w:r w:rsidR="00E401A9">
              <w:rPr>
                <w:rFonts w:ascii="Arial" w:hAnsi="Arial" w:cs="Arial"/>
                <w:noProof/>
                <w:webHidden/>
                <w:sz w:val="24"/>
                <w:szCs w:val="24"/>
              </w:rPr>
              <w:t>12</w:t>
            </w:r>
            <w:r w:rsidR="002C20AE" w:rsidRPr="002C20AE">
              <w:rPr>
                <w:rFonts w:ascii="Arial" w:hAnsi="Arial" w:cs="Arial"/>
                <w:noProof/>
                <w:webHidden/>
                <w:sz w:val="24"/>
                <w:szCs w:val="24"/>
              </w:rPr>
              <w:fldChar w:fldCharType="end"/>
            </w:r>
          </w:hyperlink>
        </w:p>
        <w:p w14:paraId="56454D4C" w14:textId="5F1C3306" w:rsidR="002C20AE" w:rsidRPr="002C20AE" w:rsidRDefault="003B2079" w:rsidP="002C20AE">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4431740" w:history="1">
            <w:r w:rsidR="002C20AE" w:rsidRPr="002C20AE">
              <w:rPr>
                <w:rStyle w:val="Hyperlink"/>
                <w:rFonts w:ascii="Arial" w:hAnsi="Arial" w:cs="Arial"/>
                <w:b w:val="0"/>
                <w:noProof/>
                <w:color w:val="auto"/>
                <w:sz w:val="24"/>
                <w:szCs w:val="24"/>
              </w:rPr>
              <w:t>4.0 Conclusion</w:t>
            </w:r>
            <w:r w:rsidR="002C20AE" w:rsidRPr="002C20AE">
              <w:rPr>
                <w:rFonts w:ascii="Arial" w:hAnsi="Arial" w:cs="Arial"/>
                <w:b w:val="0"/>
                <w:noProof/>
                <w:webHidden/>
                <w:sz w:val="24"/>
                <w:szCs w:val="24"/>
              </w:rPr>
              <w:tab/>
            </w:r>
            <w:r w:rsidR="002C20AE" w:rsidRPr="002C20AE">
              <w:rPr>
                <w:rFonts w:ascii="Arial" w:hAnsi="Arial" w:cs="Arial"/>
                <w:b w:val="0"/>
                <w:noProof/>
                <w:webHidden/>
                <w:sz w:val="24"/>
                <w:szCs w:val="24"/>
              </w:rPr>
              <w:fldChar w:fldCharType="begin"/>
            </w:r>
            <w:r w:rsidR="002C20AE" w:rsidRPr="002C20AE">
              <w:rPr>
                <w:rFonts w:ascii="Arial" w:hAnsi="Arial" w:cs="Arial"/>
                <w:b w:val="0"/>
                <w:noProof/>
                <w:webHidden/>
                <w:sz w:val="24"/>
                <w:szCs w:val="24"/>
              </w:rPr>
              <w:instrText xml:space="preserve"> PAGEREF _Toc214431740 \h </w:instrText>
            </w:r>
            <w:r w:rsidR="002C20AE" w:rsidRPr="002C20AE">
              <w:rPr>
                <w:rFonts w:ascii="Arial" w:hAnsi="Arial" w:cs="Arial"/>
                <w:b w:val="0"/>
                <w:noProof/>
                <w:webHidden/>
                <w:sz w:val="24"/>
                <w:szCs w:val="24"/>
              </w:rPr>
            </w:r>
            <w:r w:rsidR="002C20AE" w:rsidRPr="002C20AE">
              <w:rPr>
                <w:rFonts w:ascii="Arial" w:hAnsi="Arial" w:cs="Arial"/>
                <w:b w:val="0"/>
                <w:noProof/>
                <w:webHidden/>
                <w:sz w:val="24"/>
                <w:szCs w:val="24"/>
              </w:rPr>
              <w:fldChar w:fldCharType="separate"/>
            </w:r>
            <w:r w:rsidR="00E401A9">
              <w:rPr>
                <w:rFonts w:ascii="Arial" w:hAnsi="Arial" w:cs="Arial"/>
                <w:b w:val="0"/>
                <w:noProof/>
                <w:webHidden/>
                <w:sz w:val="24"/>
                <w:szCs w:val="24"/>
              </w:rPr>
              <w:t>16</w:t>
            </w:r>
            <w:r w:rsidR="002C20AE" w:rsidRPr="002C20AE">
              <w:rPr>
                <w:rFonts w:ascii="Arial" w:hAnsi="Arial" w:cs="Arial"/>
                <w:b w:val="0"/>
                <w:noProof/>
                <w:webHidden/>
                <w:sz w:val="24"/>
                <w:szCs w:val="24"/>
              </w:rPr>
              <w:fldChar w:fldCharType="end"/>
            </w:r>
          </w:hyperlink>
        </w:p>
        <w:p w14:paraId="3BB33720" w14:textId="49E74379" w:rsidR="002C20AE" w:rsidRPr="002C20AE" w:rsidRDefault="003B2079" w:rsidP="002C20AE">
          <w:pPr>
            <w:pStyle w:val="TOC1"/>
            <w:tabs>
              <w:tab w:val="right" w:leader="dot" w:pos="9016"/>
            </w:tabs>
            <w:spacing w:line="360" w:lineRule="auto"/>
            <w:jc w:val="both"/>
            <w:rPr>
              <w:rFonts w:ascii="Arial" w:eastAsiaTheme="minorEastAsia" w:hAnsi="Arial" w:cs="Arial"/>
              <w:b w:val="0"/>
              <w:bCs w:val="0"/>
              <w:caps w:val="0"/>
              <w:noProof/>
              <w:kern w:val="0"/>
              <w:sz w:val="24"/>
              <w:szCs w:val="24"/>
              <w:lang w:val="en-IN" w:eastAsia="en-IN"/>
              <w14:ligatures w14:val="none"/>
            </w:rPr>
          </w:pPr>
          <w:hyperlink w:anchor="_Toc214431741" w:history="1">
            <w:r w:rsidR="002C20AE" w:rsidRPr="002C20AE">
              <w:rPr>
                <w:rStyle w:val="Hyperlink"/>
                <w:rFonts w:ascii="Arial" w:hAnsi="Arial" w:cs="Arial"/>
                <w:b w:val="0"/>
                <w:noProof/>
                <w:color w:val="auto"/>
                <w:sz w:val="24"/>
                <w:szCs w:val="24"/>
              </w:rPr>
              <w:t>5.0 References</w:t>
            </w:r>
            <w:r w:rsidR="002C20AE" w:rsidRPr="002C20AE">
              <w:rPr>
                <w:rFonts w:ascii="Arial" w:hAnsi="Arial" w:cs="Arial"/>
                <w:b w:val="0"/>
                <w:noProof/>
                <w:webHidden/>
                <w:sz w:val="24"/>
                <w:szCs w:val="24"/>
              </w:rPr>
              <w:tab/>
            </w:r>
            <w:r w:rsidR="002C20AE" w:rsidRPr="002C20AE">
              <w:rPr>
                <w:rFonts w:ascii="Arial" w:hAnsi="Arial" w:cs="Arial"/>
                <w:b w:val="0"/>
                <w:noProof/>
                <w:webHidden/>
                <w:sz w:val="24"/>
                <w:szCs w:val="24"/>
              </w:rPr>
              <w:fldChar w:fldCharType="begin"/>
            </w:r>
            <w:r w:rsidR="002C20AE" w:rsidRPr="002C20AE">
              <w:rPr>
                <w:rFonts w:ascii="Arial" w:hAnsi="Arial" w:cs="Arial"/>
                <w:b w:val="0"/>
                <w:noProof/>
                <w:webHidden/>
                <w:sz w:val="24"/>
                <w:szCs w:val="24"/>
              </w:rPr>
              <w:instrText xml:space="preserve"> PAGEREF _Toc214431741 \h </w:instrText>
            </w:r>
            <w:r w:rsidR="002C20AE" w:rsidRPr="002C20AE">
              <w:rPr>
                <w:rFonts w:ascii="Arial" w:hAnsi="Arial" w:cs="Arial"/>
                <w:b w:val="0"/>
                <w:noProof/>
                <w:webHidden/>
                <w:sz w:val="24"/>
                <w:szCs w:val="24"/>
              </w:rPr>
            </w:r>
            <w:r w:rsidR="002C20AE" w:rsidRPr="002C20AE">
              <w:rPr>
                <w:rFonts w:ascii="Arial" w:hAnsi="Arial" w:cs="Arial"/>
                <w:b w:val="0"/>
                <w:noProof/>
                <w:webHidden/>
                <w:sz w:val="24"/>
                <w:szCs w:val="24"/>
              </w:rPr>
              <w:fldChar w:fldCharType="separate"/>
            </w:r>
            <w:r w:rsidR="00E401A9">
              <w:rPr>
                <w:rFonts w:ascii="Arial" w:hAnsi="Arial" w:cs="Arial"/>
                <w:b w:val="0"/>
                <w:noProof/>
                <w:webHidden/>
                <w:sz w:val="24"/>
                <w:szCs w:val="24"/>
              </w:rPr>
              <w:t>17</w:t>
            </w:r>
            <w:r w:rsidR="002C20AE" w:rsidRPr="002C20AE">
              <w:rPr>
                <w:rFonts w:ascii="Arial" w:hAnsi="Arial" w:cs="Arial"/>
                <w:b w:val="0"/>
                <w:noProof/>
                <w:webHidden/>
                <w:sz w:val="24"/>
                <w:szCs w:val="24"/>
              </w:rPr>
              <w:fldChar w:fldCharType="end"/>
            </w:r>
          </w:hyperlink>
        </w:p>
        <w:p w14:paraId="01694ACE" w14:textId="65568A49" w:rsidR="002C20AE" w:rsidRPr="002C20AE" w:rsidRDefault="002C20AE" w:rsidP="002C20AE">
          <w:pPr>
            <w:spacing w:line="360" w:lineRule="auto"/>
          </w:pPr>
          <w:r w:rsidRPr="002C20AE">
            <w:rPr>
              <w:rFonts w:ascii="Arial" w:hAnsi="Arial" w:cs="Arial"/>
              <w:b/>
              <w:bCs/>
              <w:noProof/>
            </w:rPr>
            <w:fldChar w:fldCharType="end"/>
          </w:r>
        </w:p>
      </w:sdtContent>
    </w:sdt>
    <w:p w14:paraId="53D9EBC6" w14:textId="77777777" w:rsidR="002C20AE" w:rsidRPr="002C20AE" w:rsidRDefault="002C20AE">
      <w:pPr>
        <w:rPr>
          <w:rStyle w:val="Heading1Char"/>
          <w:rFonts w:ascii="Arial" w:hAnsi="Arial" w:cs="Arial"/>
          <w:b/>
          <w:color w:val="auto"/>
          <w:sz w:val="24"/>
          <w:szCs w:val="24"/>
        </w:rPr>
      </w:pPr>
      <w:r w:rsidRPr="002C20AE">
        <w:rPr>
          <w:rStyle w:val="Heading1Char"/>
          <w:rFonts w:ascii="Arial" w:hAnsi="Arial" w:cs="Arial"/>
          <w:b/>
          <w:color w:val="auto"/>
          <w:sz w:val="24"/>
          <w:szCs w:val="24"/>
        </w:rPr>
        <w:br w:type="page"/>
      </w:r>
    </w:p>
    <w:p w14:paraId="14B123F0" w14:textId="5FBC3F6C" w:rsidR="00DE5D5B" w:rsidRPr="002C20AE" w:rsidRDefault="00DE5D5B" w:rsidP="00E8000C">
      <w:pPr>
        <w:pStyle w:val="Heading1"/>
        <w:spacing w:line="360" w:lineRule="auto"/>
        <w:jc w:val="both"/>
        <w:rPr>
          <w:rFonts w:ascii="Arial" w:hAnsi="Arial" w:cs="Arial"/>
          <w:bCs/>
          <w:color w:val="auto"/>
          <w:sz w:val="24"/>
          <w:szCs w:val="24"/>
        </w:rPr>
      </w:pPr>
      <w:bookmarkStart w:id="3" w:name="_Toc214431732"/>
      <w:r w:rsidRPr="002C20AE">
        <w:rPr>
          <w:rStyle w:val="Heading1Char"/>
          <w:rFonts w:ascii="Arial" w:hAnsi="Arial" w:cs="Arial"/>
          <w:b/>
          <w:color w:val="auto"/>
          <w:sz w:val="24"/>
          <w:szCs w:val="24"/>
        </w:rPr>
        <w:lastRenderedPageBreak/>
        <w:t>1.</w:t>
      </w:r>
      <w:r w:rsidR="005F7476" w:rsidRPr="002C20AE">
        <w:rPr>
          <w:rStyle w:val="Heading1Char"/>
          <w:rFonts w:ascii="Arial" w:hAnsi="Arial" w:cs="Arial"/>
          <w:b/>
          <w:color w:val="auto"/>
          <w:sz w:val="24"/>
          <w:szCs w:val="24"/>
        </w:rPr>
        <w:t>0</w:t>
      </w:r>
      <w:r w:rsidRPr="002C20AE">
        <w:rPr>
          <w:rStyle w:val="Heading1Char"/>
          <w:rFonts w:ascii="Arial" w:hAnsi="Arial" w:cs="Arial"/>
          <w:b/>
          <w:color w:val="auto"/>
          <w:sz w:val="24"/>
          <w:szCs w:val="24"/>
        </w:rPr>
        <w:t xml:space="preserve"> Introduction</w:t>
      </w:r>
      <w:bookmarkEnd w:id="0"/>
      <w:bookmarkEnd w:id="1"/>
      <w:bookmarkEnd w:id="3"/>
      <w:r w:rsidRPr="002C20AE">
        <w:rPr>
          <w:rStyle w:val="Heading1Char"/>
          <w:rFonts w:ascii="Arial" w:hAnsi="Arial" w:cs="Arial"/>
          <w:b/>
          <w:color w:val="auto"/>
          <w:sz w:val="24"/>
          <w:szCs w:val="24"/>
        </w:rPr>
        <w:t xml:space="preserve"> </w:t>
      </w:r>
      <w:bookmarkEnd w:id="2"/>
    </w:p>
    <w:p w14:paraId="6ABC6389" w14:textId="039B310A" w:rsidR="00DE5D5B" w:rsidRPr="002C20AE" w:rsidRDefault="005D0C39" w:rsidP="00E8000C">
      <w:pPr>
        <w:spacing w:line="360" w:lineRule="auto"/>
        <w:jc w:val="both"/>
        <w:rPr>
          <w:rFonts w:ascii="Arial" w:eastAsiaTheme="majorEastAsia" w:hAnsi="Arial" w:cs="Arial"/>
          <w:b/>
        </w:rPr>
      </w:pPr>
      <w:r w:rsidRPr="002C20AE">
        <w:rPr>
          <w:rFonts w:ascii="Arial" w:eastAsiaTheme="majorEastAsia" w:hAnsi="Arial" w:cs="Arial"/>
          <w:b/>
        </w:rPr>
        <w:t>P</w:t>
      </w:r>
      <w:r w:rsidR="00DE5D5B" w:rsidRPr="002C20AE">
        <w:rPr>
          <w:rFonts w:ascii="Arial" w:eastAsiaTheme="majorEastAsia" w:hAnsi="Arial" w:cs="Arial"/>
          <w:b/>
        </w:rPr>
        <w:t xml:space="preserve">urpose and focus of the report </w:t>
      </w:r>
    </w:p>
    <w:p w14:paraId="43EB95AD" w14:textId="698750CB" w:rsidR="005D0C39" w:rsidRPr="002C20AE" w:rsidRDefault="004470F8"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This report aims at critically discussing the role of strategic marketing management in banking industry in terms of its sensitivity to the external macro-environmental forces and their impact on the strategic response of the pioneer and follower organisations. The report will focus on illustrating the impact of external forces on innovation, adaptation, and long-term competitive positioning in contemporary banking markets by identifying strategic behaviours of both early-mover and late-mover institutions.</w:t>
      </w:r>
    </w:p>
    <w:p w14:paraId="58436532" w14:textId="178C7CC4" w:rsidR="00DE5D5B" w:rsidRPr="002C20AE" w:rsidRDefault="002C20AE" w:rsidP="00E8000C">
      <w:pPr>
        <w:spacing w:line="360" w:lineRule="auto"/>
        <w:jc w:val="both"/>
        <w:rPr>
          <w:rFonts w:ascii="Arial" w:eastAsiaTheme="majorEastAsia" w:hAnsi="Arial" w:cs="Arial"/>
          <w:b/>
        </w:rPr>
      </w:pPr>
      <w:r w:rsidRPr="002C20AE">
        <w:rPr>
          <w:rFonts w:ascii="Arial" w:eastAsiaTheme="majorEastAsia" w:hAnsi="Arial" w:cs="Arial"/>
          <w:b/>
        </w:rPr>
        <w:t>M</w:t>
      </w:r>
      <w:r w:rsidR="00DE5D5B" w:rsidRPr="002C20AE">
        <w:rPr>
          <w:rFonts w:ascii="Arial" w:eastAsiaTheme="majorEastAsia" w:hAnsi="Arial" w:cs="Arial"/>
          <w:b/>
        </w:rPr>
        <w:t xml:space="preserve">acro marketing environment as part of strategic </w:t>
      </w:r>
      <w:r w:rsidR="005D0C39" w:rsidRPr="002C20AE">
        <w:rPr>
          <w:rFonts w:ascii="Arial" w:eastAsiaTheme="majorEastAsia" w:hAnsi="Arial" w:cs="Arial"/>
          <w:b/>
        </w:rPr>
        <w:t>decision-making</w:t>
      </w:r>
    </w:p>
    <w:p w14:paraId="60805DBB" w14:textId="2F5B74DC" w:rsidR="005D0C39" w:rsidRPr="002C20AE" w:rsidRDefault="004470F8"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 xml:space="preserve">The macro marketing environment is critical in good strategic decision-making process since organisations are able to predict the opportunities and threats to be posed by political, economic, social, technological, environmental, and legal forces. </w:t>
      </w:r>
    </w:p>
    <w:p w14:paraId="61B9C8FD" w14:textId="02EFDD84" w:rsidR="00DE5D5B" w:rsidRPr="002C20AE" w:rsidRDefault="002C20AE" w:rsidP="00E8000C">
      <w:pPr>
        <w:spacing w:line="360" w:lineRule="auto"/>
        <w:jc w:val="both"/>
        <w:rPr>
          <w:rFonts w:ascii="Arial" w:eastAsiaTheme="majorEastAsia" w:hAnsi="Arial" w:cs="Arial"/>
          <w:b/>
        </w:rPr>
      </w:pPr>
      <w:r w:rsidRPr="002C20AE">
        <w:rPr>
          <w:rFonts w:ascii="Arial" w:eastAsiaTheme="majorEastAsia" w:hAnsi="Arial" w:cs="Arial"/>
          <w:b/>
        </w:rPr>
        <w:t>S</w:t>
      </w:r>
      <w:r w:rsidR="00DE5D5B" w:rsidRPr="002C20AE">
        <w:rPr>
          <w:rFonts w:ascii="Arial" w:eastAsiaTheme="majorEastAsia" w:hAnsi="Arial" w:cs="Arial"/>
          <w:b/>
        </w:rPr>
        <w:t>tructure and scope of the r</w:t>
      </w:r>
      <w:r w:rsidRPr="002C20AE">
        <w:rPr>
          <w:rFonts w:ascii="Arial" w:eastAsiaTheme="majorEastAsia" w:hAnsi="Arial" w:cs="Arial"/>
          <w:b/>
        </w:rPr>
        <w:t>eport</w:t>
      </w:r>
    </w:p>
    <w:p w14:paraId="3798A746" w14:textId="629EF024" w:rsidR="005D0C39" w:rsidRPr="002C20AE" w:rsidRDefault="004470F8"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 xml:space="preserve">The report is designed based on two significant analytical tasks. Task 1 entails critical examination of the macro marketing environment with the use of theoretical concepts like PESTEL whereby the selected external players, that is, the technological and regulatory forces, determine strategic opportunities, threats, and industry dynamics of both pioneering and follower banks. Task 2 compares strategic reactions of pioneering and follower organisations using models like Growth Matrix (Ansoff) and Generic Strategies (Porter) to compare how both groups development of the market, product development, competitive positioning, and reaction to external pressure. </w:t>
      </w:r>
    </w:p>
    <w:p w14:paraId="2A641534" w14:textId="77777777" w:rsidR="004470F8" w:rsidRPr="002C20AE" w:rsidRDefault="004470F8" w:rsidP="00E8000C">
      <w:pPr>
        <w:jc w:val="both"/>
        <w:rPr>
          <w:rStyle w:val="Heading1Char"/>
          <w:rFonts w:ascii="Arial" w:hAnsi="Arial" w:cs="Arial"/>
          <w:b/>
          <w:bCs/>
          <w:color w:val="auto"/>
          <w:sz w:val="24"/>
          <w:szCs w:val="24"/>
        </w:rPr>
      </w:pPr>
      <w:bookmarkStart w:id="4" w:name="_Toc213502873"/>
      <w:bookmarkStart w:id="5" w:name="_Toc213502889"/>
      <w:bookmarkStart w:id="6" w:name="_Toc211437170"/>
      <w:r w:rsidRPr="002C20AE">
        <w:rPr>
          <w:rStyle w:val="Heading1Char"/>
          <w:rFonts w:ascii="Arial" w:hAnsi="Arial" w:cs="Arial"/>
          <w:b/>
          <w:bCs/>
          <w:color w:val="auto"/>
          <w:sz w:val="24"/>
          <w:szCs w:val="24"/>
        </w:rPr>
        <w:br w:type="page"/>
      </w:r>
    </w:p>
    <w:p w14:paraId="2F6078B7" w14:textId="3711367C" w:rsidR="00DE5D5B" w:rsidRPr="002C20AE" w:rsidRDefault="00DE5D5B" w:rsidP="00E8000C">
      <w:pPr>
        <w:pStyle w:val="Heading1"/>
        <w:spacing w:line="360" w:lineRule="auto"/>
        <w:jc w:val="both"/>
        <w:rPr>
          <w:rStyle w:val="Heading1Char"/>
          <w:rFonts w:ascii="Arial" w:hAnsi="Arial" w:cs="Arial"/>
          <w:b/>
          <w:bCs/>
          <w:color w:val="auto"/>
          <w:sz w:val="24"/>
          <w:szCs w:val="24"/>
        </w:rPr>
      </w:pPr>
      <w:bookmarkStart w:id="7" w:name="_Toc214431733"/>
      <w:r w:rsidRPr="002C20AE">
        <w:rPr>
          <w:rStyle w:val="Heading1Char"/>
          <w:rFonts w:ascii="Arial" w:hAnsi="Arial" w:cs="Arial"/>
          <w:b/>
          <w:bCs/>
          <w:color w:val="auto"/>
          <w:sz w:val="24"/>
          <w:szCs w:val="24"/>
        </w:rPr>
        <w:lastRenderedPageBreak/>
        <w:t>2.</w:t>
      </w:r>
      <w:r w:rsidR="005F7476" w:rsidRPr="002C20AE">
        <w:rPr>
          <w:rStyle w:val="Heading1Char"/>
          <w:rFonts w:ascii="Arial" w:hAnsi="Arial" w:cs="Arial"/>
          <w:b/>
          <w:bCs/>
          <w:color w:val="auto"/>
          <w:sz w:val="24"/>
          <w:szCs w:val="24"/>
        </w:rPr>
        <w:t>0</w:t>
      </w:r>
      <w:r w:rsidRPr="002C20AE">
        <w:rPr>
          <w:rStyle w:val="Heading1Char"/>
          <w:rFonts w:ascii="Arial" w:hAnsi="Arial" w:cs="Arial"/>
          <w:b/>
          <w:bCs/>
          <w:color w:val="auto"/>
          <w:sz w:val="24"/>
          <w:szCs w:val="24"/>
        </w:rPr>
        <w:t xml:space="preserve"> Task 1: Critical </w:t>
      </w:r>
      <w:r w:rsidR="005F7476" w:rsidRPr="002C20AE">
        <w:rPr>
          <w:rStyle w:val="Heading1Char"/>
          <w:rFonts w:ascii="Arial" w:hAnsi="Arial" w:cs="Arial"/>
          <w:b/>
          <w:bCs/>
          <w:color w:val="auto"/>
          <w:sz w:val="24"/>
          <w:szCs w:val="24"/>
        </w:rPr>
        <w:t xml:space="preserve">Analysis of the Macro Marketing </w:t>
      </w:r>
      <w:r w:rsidRPr="002C20AE">
        <w:rPr>
          <w:rStyle w:val="Heading1Char"/>
          <w:rFonts w:ascii="Arial" w:hAnsi="Arial" w:cs="Arial"/>
          <w:b/>
          <w:bCs/>
          <w:color w:val="auto"/>
          <w:sz w:val="24"/>
          <w:szCs w:val="24"/>
        </w:rPr>
        <w:t>Environment</w:t>
      </w:r>
      <w:bookmarkEnd w:id="4"/>
      <w:bookmarkEnd w:id="5"/>
      <w:bookmarkEnd w:id="7"/>
      <w:r w:rsidRPr="002C20AE">
        <w:rPr>
          <w:rStyle w:val="Heading1Char"/>
          <w:rFonts w:ascii="Arial" w:hAnsi="Arial" w:cs="Arial"/>
          <w:b/>
          <w:bCs/>
          <w:color w:val="auto"/>
          <w:sz w:val="24"/>
          <w:szCs w:val="24"/>
        </w:rPr>
        <w:t xml:space="preserve"> </w:t>
      </w:r>
      <w:bookmarkEnd w:id="6"/>
    </w:p>
    <w:p w14:paraId="2303C00D" w14:textId="77777777" w:rsidR="00DE5D5B" w:rsidRPr="002C20AE" w:rsidRDefault="00DE5D5B" w:rsidP="00E8000C">
      <w:pPr>
        <w:pStyle w:val="Heading2"/>
        <w:spacing w:line="360" w:lineRule="auto"/>
        <w:jc w:val="both"/>
        <w:rPr>
          <w:rFonts w:ascii="Arial" w:hAnsi="Arial" w:cs="Arial"/>
          <w:b/>
          <w:color w:val="auto"/>
          <w:sz w:val="24"/>
          <w:szCs w:val="24"/>
        </w:rPr>
      </w:pPr>
      <w:bookmarkStart w:id="8" w:name="_Toc211437171"/>
      <w:bookmarkStart w:id="9" w:name="_Toc213502874"/>
      <w:bookmarkStart w:id="10" w:name="_Toc213502890"/>
      <w:bookmarkStart w:id="11" w:name="_Toc214431734"/>
      <w:r w:rsidRPr="002C20AE">
        <w:rPr>
          <w:rFonts w:ascii="Arial" w:hAnsi="Arial" w:cs="Arial"/>
          <w:b/>
          <w:color w:val="auto"/>
          <w:sz w:val="24"/>
          <w:szCs w:val="24"/>
        </w:rPr>
        <w:t>2.1 Overview of the Macro Marketing Environment</w:t>
      </w:r>
      <w:bookmarkEnd w:id="8"/>
      <w:bookmarkEnd w:id="9"/>
      <w:bookmarkEnd w:id="10"/>
      <w:bookmarkEnd w:id="11"/>
    </w:p>
    <w:p w14:paraId="61EB75B5" w14:textId="620164DE" w:rsidR="00DE5D5B" w:rsidRPr="002C20AE" w:rsidRDefault="005D0C39" w:rsidP="00E8000C">
      <w:pPr>
        <w:spacing w:line="360" w:lineRule="auto"/>
        <w:jc w:val="both"/>
        <w:rPr>
          <w:rFonts w:ascii="Arial" w:eastAsiaTheme="majorEastAsia" w:hAnsi="Arial" w:cs="Arial"/>
          <w:b/>
        </w:rPr>
      </w:pPr>
      <w:r w:rsidRPr="002C20AE">
        <w:rPr>
          <w:rFonts w:ascii="Arial" w:eastAsiaTheme="majorEastAsia" w:hAnsi="Arial" w:cs="Arial"/>
          <w:b/>
        </w:rPr>
        <w:t>O</w:t>
      </w:r>
      <w:r w:rsidR="00DE5D5B" w:rsidRPr="002C20AE">
        <w:rPr>
          <w:rFonts w:ascii="Arial" w:eastAsiaTheme="majorEastAsia" w:hAnsi="Arial" w:cs="Arial"/>
          <w:b/>
        </w:rPr>
        <w:t xml:space="preserve">verview of the macro environment and its </w:t>
      </w:r>
      <w:r w:rsidRPr="002C20AE">
        <w:rPr>
          <w:rFonts w:ascii="Arial" w:eastAsiaTheme="majorEastAsia" w:hAnsi="Arial" w:cs="Arial"/>
          <w:b/>
        </w:rPr>
        <w:t>relevance to marketing strategy</w:t>
      </w:r>
    </w:p>
    <w:p w14:paraId="451D4F3C" w14:textId="3FD72FC2" w:rsidR="007D4FBE" w:rsidRPr="002C20AE" w:rsidRDefault="00E8000C" w:rsidP="00023BD4">
      <w:pPr>
        <w:pStyle w:val="NormalWeb"/>
        <w:spacing w:line="360" w:lineRule="auto"/>
        <w:jc w:val="both"/>
        <w:rPr>
          <w:rFonts w:ascii="Arial" w:hAnsi="Arial" w:cs="Arial"/>
        </w:rPr>
      </w:pPr>
      <w:r w:rsidRPr="002C20AE">
        <w:rPr>
          <w:rFonts w:ascii="Arial" w:hAnsi="Arial" w:cs="Arial"/>
        </w:rPr>
        <w:t>The macro marketing environment can be defined as the general external influences of a political, economic, social, technological, environmental and legal (PESTEL) nature that influence the opportunities available to an organisation, its risks as well as its long term strategic orientation</w:t>
      </w:r>
      <w:r w:rsidR="00023BD4" w:rsidRPr="002C20AE">
        <w:rPr>
          <w:rFonts w:ascii="Arial" w:hAnsi="Arial" w:cs="Arial"/>
        </w:rPr>
        <w:t xml:space="preserve"> (Wifitalents.com, 2025)</w:t>
      </w:r>
      <w:r w:rsidRPr="002C20AE">
        <w:rPr>
          <w:rFonts w:ascii="Arial" w:hAnsi="Arial" w:cs="Arial"/>
        </w:rPr>
        <w:t xml:space="preserve">. These are very powerful external factors in the case of banks since they influence the customer behaviour, regulatory pressures, competition and the rate of digital innovation. </w:t>
      </w:r>
    </w:p>
    <w:p w14:paraId="40B22855" w14:textId="65F65EE9" w:rsidR="00236677" w:rsidRPr="002C20AE" w:rsidRDefault="00236677" w:rsidP="00236677">
      <w:pPr>
        <w:pStyle w:val="NormalWeb"/>
        <w:spacing w:line="360" w:lineRule="auto"/>
        <w:jc w:val="center"/>
        <w:rPr>
          <w:rFonts w:ascii="Arial" w:hAnsi="Arial" w:cs="Arial"/>
          <w:b/>
        </w:rPr>
      </w:pPr>
      <w:r w:rsidRPr="002C20AE">
        <w:rPr>
          <w:rFonts w:ascii="Arial" w:hAnsi="Arial" w:cs="Arial"/>
          <w:b/>
          <w:noProof/>
        </w:rPr>
        <w:drawing>
          <wp:inline distT="0" distB="0" distL="0" distR="0" wp14:anchorId="37A3F304" wp14:editId="4F8DD126">
            <wp:extent cx="5731510" cy="14408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40815"/>
                    </a:xfrm>
                    <a:prstGeom prst="rect">
                      <a:avLst/>
                    </a:prstGeom>
                  </pic:spPr>
                </pic:pic>
              </a:graphicData>
            </a:graphic>
          </wp:inline>
        </w:drawing>
      </w:r>
    </w:p>
    <w:p w14:paraId="0E9D8BC1" w14:textId="6E653881" w:rsidR="00236677" w:rsidRPr="002C20AE" w:rsidRDefault="00236677" w:rsidP="00236677">
      <w:pPr>
        <w:pStyle w:val="NormalWeb"/>
        <w:spacing w:line="360" w:lineRule="auto"/>
        <w:jc w:val="center"/>
        <w:rPr>
          <w:rFonts w:ascii="Arial" w:hAnsi="Arial" w:cs="Arial"/>
          <w:b/>
        </w:rPr>
      </w:pPr>
      <w:r w:rsidRPr="002C20AE">
        <w:rPr>
          <w:rFonts w:ascii="Arial" w:hAnsi="Arial" w:cs="Arial"/>
          <w:b/>
        </w:rPr>
        <w:t>Fig 1: PESTLE Analysis</w:t>
      </w:r>
    </w:p>
    <w:p w14:paraId="3C35A653" w14:textId="3EE11C9A" w:rsidR="00236677" w:rsidRPr="002C20AE" w:rsidRDefault="00236677" w:rsidP="00236677">
      <w:pPr>
        <w:pStyle w:val="NormalWeb"/>
        <w:spacing w:line="360" w:lineRule="auto"/>
        <w:jc w:val="center"/>
        <w:rPr>
          <w:rFonts w:ascii="Arial" w:hAnsi="Arial" w:cs="Arial"/>
        </w:rPr>
      </w:pPr>
      <w:r w:rsidRPr="002C20AE">
        <w:rPr>
          <w:rFonts w:ascii="Arial" w:hAnsi="Arial" w:cs="Arial"/>
          <w:b/>
        </w:rPr>
        <w:t xml:space="preserve">Source: </w:t>
      </w:r>
      <w:r w:rsidRPr="002C20AE">
        <w:rPr>
          <w:rFonts w:ascii="Arial" w:hAnsi="Arial" w:cs="Arial"/>
        </w:rPr>
        <w:t>(</w:t>
      </w:r>
      <w:proofErr w:type="spellStart"/>
      <w:r w:rsidRPr="002C20AE">
        <w:rPr>
          <w:rFonts w:ascii="Arial" w:hAnsi="Arial" w:cs="Arial"/>
        </w:rPr>
        <w:t>Vecteezy</w:t>
      </w:r>
      <w:proofErr w:type="spellEnd"/>
      <w:r w:rsidRPr="002C20AE">
        <w:rPr>
          <w:rFonts w:ascii="Arial" w:hAnsi="Arial" w:cs="Arial"/>
        </w:rPr>
        <w:t>, 2025)</w:t>
      </w:r>
    </w:p>
    <w:p w14:paraId="6C181148" w14:textId="77777777" w:rsidR="00DE5D5B" w:rsidRPr="002C20AE" w:rsidRDefault="00DE5D5B" w:rsidP="00E8000C">
      <w:pPr>
        <w:pStyle w:val="Heading2"/>
        <w:spacing w:line="360" w:lineRule="auto"/>
        <w:jc w:val="both"/>
        <w:rPr>
          <w:rFonts w:ascii="Arial" w:hAnsi="Arial" w:cs="Arial"/>
          <w:b/>
          <w:color w:val="auto"/>
          <w:sz w:val="24"/>
          <w:szCs w:val="24"/>
        </w:rPr>
      </w:pPr>
      <w:bookmarkStart w:id="12" w:name="_Toc211437172"/>
      <w:bookmarkStart w:id="13" w:name="_Toc213502875"/>
      <w:bookmarkStart w:id="14" w:name="_Toc213502891"/>
      <w:bookmarkStart w:id="15" w:name="_Toc214431735"/>
      <w:r w:rsidRPr="002C20AE">
        <w:rPr>
          <w:rFonts w:ascii="Arial" w:hAnsi="Arial" w:cs="Arial"/>
          <w:b/>
          <w:color w:val="auto"/>
          <w:sz w:val="24"/>
          <w:szCs w:val="24"/>
        </w:rPr>
        <w:t>2.2 Selection of Two External Macro Marketing Actors</w:t>
      </w:r>
      <w:bookmarkEnd w:id="12"/>
      <w:bookmarkEnd w:id="13"/>
      <w:bookmarkEnd w:id="14"/>
      <w:bookmarkEnd w:id="15"/>
    </w:p>
    <w:p w14:paraId="3EA746FD" w14:textId="2EC1DC78" w:rsidR="005D0C39" w:rsidRPr="002C20AE" w:rsidRDefault="004470F8" w:rsidP="00E8000C">
      <w:pPr>
        <w:spacing w:line="360" w:lineRule="auto"/>
        <w:jc w:val="both"/>
        <w:rPr>
          <w:rFonts w:ascii="Arial" w:eastAsiaTheme="majorEastAsia" w:hAnsi="Arial" w:cs="Arial"/>
          <w:b/>
        </w:rPr>
      </w:pPr>
      <w:r w:rsidRPr="002C20AE">
        <w:rPr>
          <w:rFonts w:ascii="Arial" w:eastAsiaTheme="majorEastAsia" w:hAnsi="Arial" w:cs="Arial"/>
          <w:b/>
        </w:rPr>
        <w:t xml:space="preserve">Identification and Justification of </w:t>
      </w:r>
      <w:r w:rsidR="005D0C39" w:rsidRPr="002C20AE">
        <w:rPr>
          <w:rFonts w:ascii="Arial" w:eastAsiaTheme="majorEastAsia" w:hAnsi="Arial" w:cs="Arial"/>
          <w:b/>
        </w:rPr>
        <w:t>T</w:t>
      </w:r>
      <w:r w:rsidR="00DE5D5B" w:rsidRPr="002C20AE">
        <w:rPr>
          <w:rFonts w:ascii="Arial" w:eastAsiaTheme="majorEastAsia" w:hAnsi="Arial" w:cs="Arial"/>
          <w:b/>
        </w:rPr>
        <w:t xml:space="preserve">wo </w:t>
      </w:r>
      <w:r w:rsidR="005D0C39" w:rsidRPr="002C20AE">
        <w:rPr>
          <w:rFonts w:ascii="Arial" w:eastAsiaTheme="majorEastAsia" w:hAnsi="Arial" w:cs="Arial"/>
          <w:b/>
        </w:rPr>
        <w:t>external actors </w:t>
      </w:r>
    </w:p>
    <w:p w14:paraId="0A4921F7" w14:textId="54174CF1" w:rsidR="005D0C39" w:rsidRPr="002C20AE" w:rsidRDefault="004470F8" w:rsidP="00E8000C">
      <w:pPr>
        <w:spacing w:line="360" w:lineRule="auto"/>
        <w:jc w:val="both"/>
        <w:rPr>
          <w:rStyle w:val="Strong"/>
          <w:rFonts w:ascii="Arial" w:hAnsi="Arial" w:cs="Arial"/>
        </w:rPr>
      </w:pPr>
      <w:r w:rsidRPr="002C20AE">
        <w:rPr>
          <w:rStyle w:val="Strong"/>
          <w:rFonts w:ascii="Arial" w:hAnsi="Arial" w:cs="Arial"/>
        </w:rPr>
        <w:t>Technological Actor</w:t>
      </w:r>
    </w:p>
    <w:p w14:paraId="5FF8EE41" w14:textId="17D20078" w:rsidR="00E8000C" w:rsidRPr="002C20AE" w:rsidRDefault="00E8000C" w:rsidP="00023BD4">
      <w:pPr>
        <w:pStyle w:val="NormalWeb"/>
        <w:spacing w:line="360" w:lineRule="auto"/>
        <w:jc w:val="both"/>
        <w:rPr>
          <w:rFonts w:ascii="Arial" w:hAnsi="Arial" w:cs="Arial"/>
        </w:rPr>
      </w:pPr>
      <w:r w:rsidRPr="002C20AE">
        <w:rPr>
          <w:rFonts w:ascii="Arial" w:hAnsi="Arial" w:cs="Arial"/>
        </w:rPr>
        <w:t>The technology is chosen as one of the main external actors since the fast development of digital banking, artificial intelligence, automation, and cybersecurity is fundamentally changing the way banks provide services, interact with customers, and compete</w:t>
      </w:r>
      <w:r w:rsidR="00023BD4" w:rsidRPr="002C20AE">
        <w:rPr>
          <w:rFonts w:ascii="Arial" w:hAnsi="Arial" w:cs="Arial"/>
        </w:rPr>
        <w:t xml:space="preserve"> (Sustainable Banking &amp; Finance Network, 2025)</w:t>
      </w:r>
      <w:r w:rsidRPr="002C20AE">
        <w:rPr>
          <w:rFonts w:ascii="Arial" w:hAnsi="Arial" w:cs="Arial"/>
        </w:rPr>
        <w:t xml:space="preserve">. </w:t>
      </w:r>
    </w:p>
    <w:p w14:paraId="0453E356" w14:textId="0B61DD5A" w:rsidR="005D0C39" w:rsidRPr="002C20AE" w:rsidRDefault="005D0C39" w:rsidP="00E8000C">
      <w:pPr>
        <w:spacing w:line="360" w:lineRule="auto"/>
        <w:jc w:val="both"/>
        <w:rPr>
          <w:rStyle w:val="Strong"/>
          <w:rFonts w:ascii="Arial" w:hAnsi="Arial" w:cs="Arial"/>
        </w:rPr>
      </w:pPr>
      <w:r w:rsidRPr="002C20AE">
        <w:rPr>
          <w:rStyle w:val="Strong"/>
          <w:rFonts w:ascii="Arial" w:hAnsi="Arial" w:cs="Arial"/>
        </w:rPr>
        <w:t xml:space="preserve">Environmental </w:t>
      </w:r>
      <w:r w:rsidR="004470F8" w:rsidRPr="002C20AE">
        <w:rPr>
          <w:rStyle w:val="Strong"/>
          <w:rFonts w:ascii="Arial" w:hAnsi="Arial" w:cs="Arial"/>
        </w:rPr>
        <w:t>Actor</w:t>
      </w:r>
    </w:p>
    <w:p w14:paraId="4A4B29BE" w14:textId="5B27A39E" w:rsidR="00E8000C" w:rsidRPr="002C20AE" w:rsidRDefault="00E8000C" w:rsidP="00E8000C">
      <w:pPr>
        <w:spacing w:line="360" w:lineRule="auto"/>
        <w:jc w:val="both"/>
        <w:rPr>
          <w:rFonts w:ascii="Arial" w:hAnsi="Arial" w:cs="Arial"/>
        </w:rPr>
      </w:pPr>
      <w:r w:rsidRPr="002C20AE">
        <w:rPr>
          <w:rFonts w:ascii="Arial" w:hAnsi="Arial" w:cs="Arial"/>
        </w:rPr>
        <w:t>The environmental actor is selected because of the increased role of sustainability, climate-risk management and green finance in determining the banking activi</w:t>
      </w:r>
      <w:r w:rsidR="006753D2" w:rsidRPr="002C20AE">
        <w:rPr>
          <w:rFonts w:ascii="Arial" w:hAnsi="Arial" w:cs="Arial"/>
        </w:rPr>
        <w:t xml:space="preserve">ties and marketing efforts. </w:t>
      </w:r>
    </w:p>
    <w:p w14:paraId="4B8F68CB" w14:textId="54F47878" w:rsidR="00DE5D5B" w:rsidRPr="002C20AE" w:rsidRDefault="004470F8" w:rsidP="00E8000C">
      <w:pPr>
        <w:spacing w:before="100" w:beforeAutospacing="1" w:after="100" w:afterAutospacing="1"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lastRenderedPageBreak/>
        <w:t>Relevance and current influence within the banking industry</w:t>
      </w:r>
    </w:p>
    <w:p w14:paraId="07ECCB0C" w14:textId="77777777" w:rsidR="00E8000C" w:rsidRPr="002C20AE" w:rsidRDefault="00E8000C" w:rsidP="00236677">
      <w:pPr>
        <w:spacing w:line="360" w:lineRule="auto"/>
        <w:jc w:val="both"/>
        <w:rPr>
          <w:rStyle w:val="Strong"/>
          <w:rFonts w:ascii="Arial" w:hAnsi="Arial" w:cs="Arial"/>
        </w:rPr>
      </w:pPr>
      <w:r w:rsidRPr="002C20AE">
        <w:rPr>
          <w:rStyle w:val="Strong"/>
          <w:rFonts w:ascii="Arial" w:hAnsi="Arial" w:cs="Arial"/>
        </w:rPr>
        <w:t>Technological Actor</w:t>
      </w:r>
    </w:p>
    <w:p w14:paraId="66E15DFD" w14:textId="305309FF" w:rsidR="00E8000C" w:rsidRPr="002C20AE" w:rsidRDefault="00E8000C" w:rsidP="00236677">
      <w:pPr>
        <w:spacing w:line="360" w:lineRule="auto"/>
        <w:jc w:val="both"/>
        <w:rPr>
          <w:rStyle w:val="Strong"/>
          <w:b w:val="0"/>
          <w:bCs w:val="0"/>
        </w:rPr>
      </w:pPr>
      <w:r w:rsidRPr="002C20AE">
        <w:rPr>
          <w:rStyle w:val="Strong"/>
          <w:rFonts w:ascii="Arial" w:hAnsi="Arial" w:cs="Arial"/>
          <w:b w:val="0"/>
        </w:rPr>
        <w:t>In 2025, technological change is very pertinent since digital and AI-based banking are now the main form of interaction with the banks: mobile banking is available to about 66 percent of the world population, whereas in such markets as the US, 77 percent of the consumers would use a digital banking channel. Examples of this impact can be seen in pioneer banks like DBS Bank, which predicts over 1,500 AI models operating within 370+ use cases and estimates over S$1 billion (US 768 m) of AI</w:t>
      </w:r>
      <w:r w:rsidR="00236677" w:rsidRPr="002C20AE">
        <w:rPr>
          <w:rStyle w:val="Strong"/>
          <w:rFonts w:ascii="Arial" w:hAnsi="Arial" w:cs="Arial"/>
          <w:b w:val="0"/>
        </w:rPr>
        <w:t xml:space="preserve">-driven economic value in 2025. </w:t>
      </w:r>
      <w:r w:rsidR="00236677" w:rsidRPr="002C20AE">
        <w:t xml:space="preserve">DBS earned SGD 22.3 billion, netted SGD 11.4 billion, had 18% ROE, 827 billion assets, and pledged SGD 89 billion to sustainable finance in 2024 </w:t>
      </w:r>
      <w:r w:rsidR="00023BD4" w:rsidRPr="002C20AE">
        <w:rPr>
          <w:rFonts w:ascii="Arial" w:hAnsi="Arial" w:cs="Arial"/>
        </w:rPr>
        <w:t>(</w:t>
      </w:r>
      <w:proofErr w:type="spellStart"/>
      <w:r w:rsidR="00023BD4" w:rsidRPr="002C20AE">
        <w:rPr>
          <w:rFonts w:ascii="Arial" w:hAnsi="Arial" w:cs="Arial"/>
        </w:rPr>
        <w:t>Alkami</w:t>
      </w:r>
      <w:proofErr w:type="spellEnd"/>
      <w:r w:rsidR="00023BD4" w:rsidRPr="002C20AE">
        <w:rPr>
          <w:rFonts w:ascii="Arial" w:hAnsi="Arial" w:cs="Arial"/>
        </w:rPr>
        <w:t xml:space="preserve"> Technology, 2025)</w:t>
      </w:r>
      <w:r w:rsidRPr="002C20AE">
        <w:rPr>
          <w:rStyle w:val="Strong"/>
          <w:rFonts w:ascii="Arial" w:hAnsi="Arial" w:cs="Arial"/>
          <w:b w:val="0"/>
        </w:rPr>
        <w:t>.</w:t>
      </w:r>
    </w:p>
    <w:p w14:paraId="4B8224F3" w14:textId="6DACD757" w:rsidR="00236677" w:rsidRPr="002C20AE" w:rsidRDefault="00236677" w:rsidP="00236677">
      <w:pPr>
        <w:pStyle w:val="NormalWeb"/>
        <w:spacing w:line="360" w:lineRule="auto"/>
        <w:jc w:val="center"/>
        <w:rPr>
          <w:rStyle w:val="Strong"/>
          <w:rFonts w:ascii="Arial" w:hAnsi="Arial" w:cs="Arial"/>
          <w:b w:val="0"/>
          <w:bCs w:val="0"/>
        </w:rPr>
      </w:pPr>
      <w:r w:rsidRPr="002C20AE">
        <w:rPr>
          <w:rStyle w:val="Strong"/>
          <w:rFonts w:ascii="Arial" w:hAnsi="Arial" w:cs="Arial"/>
          <w:b w:val="0"/>
          <w:bCs w:val="0"/>
          <w:noProof/>
        </w:rPr>
        <w:drawing>
          <wp:inline distT="0" distB="0" distL="0" distR="0" wp14:anchorId="1ACE06C4" wp14:editId="358C2463">
            <wp:extent cx="4809490" cy="3367602"/>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17013" cy="3372869"/>
                    </a:xfrm>
                    <a:prstGeom prst="rect">
                      <a:avLst/>
                    </a:prstGeom>
                  </pic:spPr>
                </pic:pic>
              </a:graphicData>
            </a:graphic>
          </wp:inline>
        </w:drawing>
      </w:r>
    </w:p>
    <w:p w14:paraId="5C5CC97F" w14:textId="589587EF" w:rsidR="00236677" w:rsidRPr="002C20AE" w:rsidRDefault="00236677" w:rsidP="00236677">
      <w:pPr>
        <w:pStyle w:val="NormalWeb"/>
        <w:spacing w:line="360" w:lineRule="auto"/>
        <w:jc w:val="center"/>
        <w:rPr>
          <w:rStyle w:val="Strong"/>
          <w:rFonts w:ascii="Arial" w:hAnsi="Arial" w:cs="Arial"/>
          <w:bCs w:val="0"/>
        </w:rPr>
      </w:pPr>
      <w:r w:rsidRPr="002C20AE">
        <w:rPr>
          <w:rStyle w:val="Strong"/>
          <w:rFonts w:ascii="Arial" w:hAnsi="Arial" w:cs="Arial"/>
          <w:bCs w:val="0"/>
        </w:rPr>
        <w:t xml:space="preserve">Fig </w:t>
      </w:r>
      <w:r w:rsidR="00846046" w:rsidRPr="002C20AE">
        <w:rPr>
          <w:rStyle w:val="Strong"/>
          <w:rFonts w:ascii="Arial" w:hAnsi="Arial" w:cs="Arial"/>
          <w:bCs w:val="0"/>
        </w:rPr>
        <w:t>2</w:t>
      </w:r>
      <w:r w:rsidRPr="002C20AE">
        <w:rPr>
          <w:rStyle w:val="Strong"/>
          <w:rFonts w:ascii="Arial" w:hAnsi="Arial" w:cs="Arial"/>
          <w:bCs w:val="0"/>
        </w:rPr>
        <w:t>: Business highlights of DBS Bank</w:t>
      </w:r>
    </w:p>
    <w:p w14:paraId="0681D13B" w14:textId="029D735F" w:rsidR="00236677" w:rsidRPr="002C20AE" w:rsidRDefault="00236677" w:rsidP="00236677">
      <w:pPr>
        <w:pStyle w:val="NormalWeb"/>
        <w:spacing w:line="360" w:lineRule="auto"/>
        <w:jc w:val="center"/>
        <w:rPr>
          <w:rStyle w:val="Strong"/>
          <w:rFonts w:ascii="Arial" w:hAnsi="Arial" w:cs="Arial"/>
          <w:b w:val="0"/>
          <w:bCs w:val="0"/>
        </w:rPr>
      </w:pPr>
      <w:r w:rsidRPr="002C20AE">
        <w:rPr>
          <w:rStyle w:val="Strong"/>
          <w:rFonts w:ascii="Arial" w:hAnsi="Arial" w:cs="Arial"/>
          <w:bCs w:val="0"/>
        </w:rPr>
        <w:t xml:space="preserve">Source: </w:t>
      </w:r>
      <w:r w:rsidRPr="002C20AE">
        <w:rPr>
          <w:rStyle w:val="Strong"/>
          <w:rFonts w:ascii="Arial" w:hAnsi="Arial" w:cs="Arial"/>
          <w:b w:val="0"/>
          <w:bCs w:val="0"/>
        </w:rPr>
        <w:t>(DBS Bank Ltd, 2025)</w:t>
      </w:r>
    </w:p>
    <w:p w14:paraId="13F0621E" w14:textId="77777777" w:rsidR="00E8000C" w:rsidRPr="002C20AE" w:rsidRDefault="00E8000C" w:rsidP="00E8000C">
      <w:pPr>
        <w:spacing w:line="360" w:lineRule="auto"/>
        <w:jc w:val="both"/>
        <w:rPr>
          <w:rStyle w:val="Strong"/>
          <w:rFonts w:ascii="Arial" w:hAnsi="Arial" w:cs="Arial"/>
        </w:rPr>
      </w:pPr>
      <w:r w:rsidRPr="002C20AE">
        <w:rPr>
          <w:rStyle w:val="Strong"/>
          <w:rFonts w:ascii="Arial" w:hAnsi="Arial" w:cs="Arial"/>
        </w:rPr>
        <w:t>Environmental Actor</w:t>
      </w:r>
    </w:p>
    <w:p w14:paraId="43FBE196" w14:textId="153CF3EC" w:rsidR="00E8000C" w:rsidRPr="002C20AE" w:rsidRDefault="00E8000C" w:rsidP="00236677">
      <w:pPr>
        <w:pStyle w:val="NormalWeb"/>
        <w:spacing w:line="360" w:lineRule="auto"/>
        <w:jc w:val="both"/>
        <w:rPr>
          <w:rFonts w:ascii="Arial" w:hAnsi="Arial" w:cs="Arial"/>
        </w:rPr>
      </w:pPr>
      <w:r w:rsidRPr="002C20AE">
        <w:rPr>
          <w:rFonts w:ascii="Arial" w:hAnsi="Arial" w:cs="Arial"/>
        </w:rPr>
        <w:t xml:space="preserve">The environmental actor is becoming more and more influential given that sustainable finance is now a central strategic focus of the global banks with sustainable finance </w:t>
      </w:r>
      <w:r w:rsidRPr="002C20AE">
        <w:rPr>
          <w:rFonts w:ascii="Arial" w:hAnsi="Arial" w:cs="Arial"/>
        </w:rPr>
        <w:lastRenderedPageBreak/>
        <w:t>market currently estimated to reach about US 7.95 trillion in 2025 and is expected to increase by almost 20 percent CAGR by 2034</w:t>
      </w:r>
      <w:r w:rsidR="00236677" w:rsidRPr="002C20AE">
        <w:rPr>
          <w:rFonts w:ascii="Arial" w:hAnsi="Arial" w:cs="Arial"/>
        </w:rPr>
        <w:t xml:space="preserve"> (</w:t>
      </w:r>
      <w:proofErr w:type="spellStart"/>
      <w:r w:rsidR="00236677" w:rsidRPr="002C20AE">
        <w:rPr>
          <w:rFonts w:ascii="Arial" w:hAnsi="Arial" w:cs="Arial"/>
        </w:rPr>
        <w:t>CoinLaw</w:t>
      </w:r>
      <w:proofErr w:type="spellEnd"/>
      <w:r w:rsidR="00236677" w:rsidRPr="002C20AE">
        <w:rPr>
          <w:rFonts w:ascii="Arial" w:hAnsi="Arial" w:cs="Arial"/>
        </w:rPr>
        <w:t>, 2025)</w:t>
      </w:r>
      <w:r w:rsidRPr="002C20AE">
        <w:rPr>
          <w:rFonts w:ascii="Arial" w:hAnsi="Arial" w:cs="Arial"/>
        </w:rPr>
        <w:t>. The major financial institutions, including HSBC, have already mobilised US54.1 billion of sustainable finance in the first half of 2025 alone, and nearly US447.7 billion of green loans, transition finance, and sustainability-linked products were already part of their marketing propositions and competitive differentiation.</w:t>
      </w:r>
    </w:p>
    <w:p w14:paraId="57B3FFCC" w14:textId="18B30720" w:rsidR="00DE5D5B" w:rsidRPr="002C20AE" w:rsidRDefault="005D0C39" w:rsidP="00E8000C">
      <w:pPr>
        <w:pStyle w:val="Heading2"/>
        <w:spacing w:line="360" w:lineRule="auto"/>
        <w:jc w:val="both"/>
        <w:rPr>
          <w:rFonts w:ascii="Arial" w:hAnsi="Arial" w:cs="Arial"/>
          <w:b/>
          <w:color w:val="auto"/>
          <w:sz w:val="24"/>
          <w:szCs w:val="24"/>
        </w:rPr>
      </w:pPr>
      <w:bookmarkStart w:id="16" w:name="_Toc211437173"/>
      <w:bookmarkStart w:id="17" w:name="_Toc213502876"/>
      <w:bookmarkStart w:id="18" w:name="_Toc213502892"/>
      <w:bookmarkStart w:id="19" w:name="_Toc214431736"/>
      <w:r w:rsidRPr="002C20AE">
        <w:rPr>
          <w:rFonts w:ascii="Arial" w:hAnsi="Arial" w:cs="Arial"/>
          <w:b/>
          <w:color w:val="auto"/>
          <w:sz w:val="24"/>
          <w:szCs w:val="24"/>
        </w:rPr>
        <w:t>2.3 Critical Analysis of Each A</w:t>
      </w:r>
      <w:r w:rsidR="00DE5D5B" w:rsidRPr="002C20AE">
        <w:rPr>
          <w:rFonts w:ascii="Arial" w:hAnsi="Arial" w:cs="Arial"/>
          <w:b/>
          <w:color w:val="auto"/>
          <w:sz w:val="24"/>
          <w:szCs w:val="24"/>
        </w:rPr>
        <w:t>ctor</w:t>
      </w:r>
      <w:bookmarkEnd w:id="16"/>
      <w:bookmarkEnd w:id="17"/>
      <w:bookmarkEnd w:id="18"/>
      <w:bookmarkEnd w:id="19"/>
    </w:p>
    <w:p w14:paraId="27761FA0" w14:textId="40E9202D" w:rsidR="00DE5D5B" w:rsidRPr="002C20AE" w:rsidRDefault="00E40D19" w:rsidP="00E8000C">
      <w:pPr>
        <w:spacing w:line="360" w:lineRule="auto"/>
        <w:jc w:val="both"/>
        <w:rPr>
          <w:rStyle w:val="Strong"/>
          <w:rFonts w:ascii="Arial" w:hAnsi="Arial" w:cs="Arial"/>
        </w:rPr>
      </w:pPr>
      <w:r w:rsidRPr="002C20AE">
        <w:rPr>
          <w:rStyle w:val="Strong"/>
          <w:rFonts w:ascii="Arial" w:hAnsi="Arial" w:cs="Arial"/>
        </w:rPr>
        <w:t xml:space="preserve">Technological </w:t>
      </w:r>
      <w:r w:rsidR="004470F8" w:rsidRPr="002C20AE">
        <w:rPr>
          <w:rStyle w:val="Strong"/>
          <w:rFonts w:ascii="Arial" w:hAnsi="Arial" w:cs="Arial"/>
        </w:rPr>
        <w:t>Actor</w:t>
      </w:r>
    </w:p>
    <w:p w14:paraId="0C8A5ABD" w14:textId="74F3D81A" w:rsidR="00E8000C" w:rsidRPr="002C20AE" w:rsidRDefault="004470F8"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 xml:space="preserve">Way these changes impact pioneering and follower organisations differently </w:t>
      </w:r>
    </w:p>
    <w:p w14:paraId="45A52F9D" w14:textId="2B95B57C"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Pioneering organisations</w:t>
      </w:r>
    </w:p>
    <w:p w14:paraId="3984125C" w14:textId="30AA4236" w:rsidR="00E8000C" w:rsidRPr="002C20AE" w:rsidRDefault="00E8000C"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 xml:space="preserve">As an example, the DBS Bank (Singapore) exemplifies a pioneer who benefits when </w:t>
      </w:r>
      <w:r w:rsidR="006753D2" w:rsidRPr="002C20AE">
        <w:rPr>
          <w:rFonts w:ascii="Arial" w:eastAsia="Times New Roman" w:hAnsi="Arial" w:cs="Arial"/>
          <w:kern w:val="0"/>
          <w:lang w:val="en-IN" w:eastAsia="en-IN"/>
          <w14:ligatures w14:val="none"/>
        </w:rPr>
        <w:t>there is a change in technology.</w:t>
      </w:r>
      <w:r w:rsidRPr="002C20AE">
        <w:rPr>
          <w:rFonts w:ascii="Arial" w:eastAsia="Times New Roman" w:hAnsi="Arial" w:cs="Arial"/>
          <w:kern w:val="0"/>
          <w:lang w:val="en-IN" w:eastAsia="en-IN"/>
          <w14:ligatures w14:val="none"/>
        </w:rPr>
        <w:t xml:space="preserve"> </w:t>
      </w:r>
      <w:r w:rsidR="006753D2" w:rsidRPr="002C20AE">
        <w:rPr>
          <w:rFonts w:ascii="Arial" w:eastAsia="Times New Roman" w:hAnsi="Arial" w:cs="Arial"/>
          <w:kern w:val="0"/>
          <w:lang w:val="en-IN" w:eastAsia="en-IN"/>
          <w14:ligatures w14:val="none"/>
        </w:rPr>
        <w:t>B</w:t>
      </w:r>
      <w:r w:rsidRPr="002C20AE">
        <w:rPr>
          <w:rFonts w:ascii="Arial" w:eastAsia="Times New Roman" w:hAnsi="Arial" w:cs="Arial"/>
          <w:kern w:val="0"/>
          <w:lang w:val="en-IN" w:eastAsia="en-IN"/>
          <w14:ligatures w14:val="none"/>
        </w:rPr>
        <w:t xml:space="preserve">y 2025 the global AI-in-banking market will be worth US $34.58 billion, and the total spend by leading banks on AI is estimated to rise to more than US $73 billion in 2025. </w:t>
      </w:r>
    </w:p>
    <w:p w14:paraId="49B65541" w14:textId="052AE920"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Follower organisations</w:t>
      </w:r>
    </w:p>
    <w:p w14:paraId="1AC11955" w14:textId="6BB81B8E" w:rsidR="00E8000C" w:rsidRPr="002C20AE" w:rsidRDefault="006753D2" w:rsidP="00236677">
      <w:pPr>
        <w:pStyle w:val="NormalWeb"/>
        <w:spacing w:line="360" w:lineRule="auto"/>
        <w:jc w:val="both"/>
        <w:rPr>
          <w:rFonts w:ascii="Arial" w:hAnsi="Arial" w:cs="Arial"/>
        </w:rPr>
      </w:pPr>
      <w:r w:rsidRPr="002C20AE">
        <w:rPr>
          <w:rFonts w:ascii="Arial" w:hAnsi="Arial" w:cs="Arial"/>
        </w:rPr>
        <w:t>By contrast a regional bank like Regions Bank (USA) demonstrates the follower case. The bank was not among the first to adopt all emerging technologies, but in 2025 the bank announced that its technology and talent investment initiatives had helped it to achieve a 10% annual growth in revenues in Q2</w:t>
      </w:r>
      <w:r w:rsidR="00236677" w:rsidRPr="002C20AE">
        <w:rPr>
          <w:rFonts w:ascii="Arial" w:hAnsi="Arial" w:cs="Arial"/>
        </w:rPr>
        <w:t xml:space="preserve"> (Scotiabank, 2025)</w:t>
      </w:r>
      <w:r w:rsidRPr="002C20AE">
        <w:rPr>
          <w:rFonts w:ascii="Arial" w:hAnsi="Arial" w:cs="Arial"/>
        </w:rPr>
        <w:t xml:space="preserve">. Regions can take advantage of the fact that, as a follower, it is a beneficiary of utilizing proven digital tools instead of an innovative one, which reduces the risk and cost. </w:t>
      </w:r>
    </w:p>
    <w:p w14:paraId="4B6B1704" w14:textId="5EC961FE" w:rsidR="00E40D19"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O</w:t>
      </w:r>
      <w:r w:rsidR="004470F8" w:rsidRPr="002C20AE">
        <w:rPr>
          <w:rFonts w:ascii="Arial" w:eastAsia="Times New Roman" w:hAnsi="Arial" w:cs="Arial"/>
          <w:b/>
          <w:kern w:val="0"/>
          <w:lang w:val="en-IN" w:eastAsia="en-IN"/>
          <w14:ligatures w14:val="none"/>
        </w:rPr>
        <w:t xml:space="preserve">pportunities and threats within the </w:t>
      </w:r>
      <w:r w:rsidRPr="002C20AE">
        <w:rPr>
          <w:rFonts w:ascii="Arial" w:eastAsia="Times New Roman" w:hAnsi="Arial" w:cs="Arial"/>
          <w:b/>
          <w:kern w:val="0"/>
          <w:lang w:val="en-IN" w:eastAsia="en-IN"/>
          <w14:ligatures w14:val="none"/>
        </w:rPr>
        <w:t xml:space="preserve">banking </w:t>
      </w:r>
      <w:r w:rsidR="004470F8" w:rsidRPr="002C20AE">
        <w:rPr>
          <w:rFonts w:ascii="Arial" w:eastAsia="Times New Roman" w:hAnsi="Arial" w:cs="Arial"/>
          <w:b/>
          <w:kern w:val="0"/>
          <w:lang w:val="en-IN" w:eastAsia="en-IN"/>
          <w14:ligatures w14:val="none"/>
        </w:rPr>
        <w:t>industry</w:t>
      </w:r>
    </w:p>
    <w:p w14:paraId="2C75BD51" w14:textId="567914B8" w:rsidR="00E8000C" w:rsidRPr="002C20AE" w:rsidRDefault="006753D2"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 xml:space="preserve">Opportunities: </w:t>
      </w:r>
      <w:r w:rsidRPr="002C20AE">
        <w:rPr>
          <w:rFonts w:ascii="Arial" w:eastAsia="Times New Roman" w:hAnsi="Arial" w:cs="Arial"/>
          <w:kern w:val="0"/>
          <w:lang w:val="en-IN" w:eastAsia="en-IN"/>
          <w14:ligatures w14:val="none"/>
        </w:rPr>
        <w:t xml:space="preserve">Technologies provide significant opportunities to banks to develop digital services, increase efficiency, and access new groups of customers. JPMorgan Chase, as an example, is operating sophisticated AI systems to simplify fraud detection and task customer support, decreasing the cost of operations but enhancing the quality of service. Another benefit of digital payments is the ability of banks to enter new markets and this is evident in the case of Revolut, which was able to grow at a rapid rate by providing app-based international payments and cheap international remittances. </w:t>
      </w:r>
    </w:p>
    <w:p w14:paraId="1E8C3D9E" w14:textId="0016196E" w:rsidR="006753D2" w:rsidRPr="002C20AE" w:rsidRDefault="006753D2" w:rsidP="00236677">
      <w:pPr>
        <w:pStyle w:val="NormalWeb"/>
        <w:spacing w:line="360" w:lineRule="auto"/>
        <w:jc w:val="both"/>
        <w:rPr>
          <w:rFonts w:ascii="Arial" w:hAnsi="Arial" w:cs="Arial"/>
        </w:rPr>
      </w:pPr>
      <w:r w:rsidRPr="002C20AE">
        <w:rPr>
          <w:rFonts w:ascii="Arial" w:hAnsi="Arial" w:cs="Arial"/>
          <w:b/>
        </w:rPr>
        <w:lastRenderedPageBreak/>
        <w:t xml:space="preserve">Threats: </w:t>
      </w:r>
      <w:r w:rsidRPr="002C20AE">
        <w:rPr>
          <w:rFonts w:ascii="Arial" w:hAnsi="Arial" w:cs="Arial"/>
        </w:rPr>
        <w:t xml:space="preserve">Simultaneously, the high speed of technological evolution presents some dangers, particularly, with the advent of non-bank </w:t>
      </w:r>
      <w:proofErr w:type="spellStart"/>
      <w:r w:rsidRPr="002C20AE">
        <w:rPr>
          <w:rFonts w:ascii="Arial" w:hAnsi="Arial" w:cs="Arial"/>
        </w:rPr>
        <w:t>fintechs</w:t>
      </w:r>
      <w:proofErr w:type="spellEnd"/>
      <w:r w:rsidRPr="002C20AE">
        <w:rPr>
          <w:rFonts w:ascii="Arial" w:hAnsi="Arial" w:cs="Arial"/>
        </w:rPr>
        <w:t xml:space="preserve"> that threaten the existence of traditional banks. As an example, Monzo and N26 have gained millions of users through their mobile-only banking experiences which have caused other, more traditional banks to shift at a slower pace</w:t>
      </w:r>
      <w:r w:rsidR="00236677" w:rsidRPr="002C20AE">
        <w:rPr>
          <w:rFonts w:ascii="Arial" w:hAnsi="Arial" w:cs="Arial"/>
        </w:rPr>
        <w:t xml:space="preserve"> (Market.biz, 2025)</w:t>
      </w:r>
      <w:r w:rsidRPr="002C20AE">
        <w:rPr>
          <w:rFonts w:ascii="Arial" w:hAnsi="Arial" w:cs="Arial"/>
        </w:rPr>
        <w:t xml:space="preserve">. </w:t>
      </w:r>
    </w:p>
    <w:p w14:paraId="596D84F3" w14:textId="7E067291" w:rsidR="004470F8" w:rsidRPr="002C20AE" w:rsidRDefault="004470F8"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Key strategic implications for both pioneers and followers</w:t>
      </w:r>
    </w:p>
    <w:p w14:paraId="4F67F2AD"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Pioneers</w:t>
      </w:r>
    </w:p>
    <w:p w14:paraId="1876C171" w14:textId="0FE848D5" w:rsidR="00846046" w:rsidRPr="002C20AE" w:rsidRDefault="006753D2" w:rsidP="00846046">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The early investment in new technologies, particularly those based on AI and risk m</w:t>
      </w:r>
      <w:r w:rsidR="00846046" w:rsidRPr="002C20AE">
        <w:rPr>
          <w:rFonts w:ascii="Arial" w:eastAsia="Times New Roman" w:hAnsi="Arial" w:cs="Arial"/>
          <w:kern w:val="0"/>
          <w:lang w:val="en-IN" w:eastAsia="en-IN"/>
          <w14:ligatures w14:val="none"/>
        </w:rPr>
        <w:t>odelling and digital on-boarding.</w:t>
      </w:r>
      <w:r w:rsidRPr="002C20AE">
        <w:rPr>
          <w:rFonts w:ascii="Arial" w:eastAsia="Times New Roman" w:hAnsi="Arial" w:cs="Arial"/>
          <w:kern w:val="0"/>
          <w:lang w:val="en-IN" w:eastAsia="en-IN"/>
          <w14:ligatures w14:val="none"/>
        </w:rPr>
        <w:t xml:space="preserve"> </w:t>
      </w:r>
      <w:r w:rsidR="00846046" w:rsidRPr="002C20AE">
        <w:rPr>
          <w:rFonts w:ascii="Arial" w:eastAsia="Times New Roman" w:hAnsi="Arial" w:cs="Arial"/>
          <w:kern w:val="0"/>
          <w:lang w:val="en-IN" w:eastAsia="en-IN"/>
          <w14:ligatures w14:val="none"/>
        </w:rPr>
        <w:t>I</w:t>
      </w:r>
      <w:r w:rsidRPr="002C20AE">
        <w:rPr>
          <w:rFonts w:ascii="Arial" w:eastAsia="Times New Roman" w:hAnsi="Arial" w:cs="Arial"/>
          <w:kern w:val="0"/>
          <w:lang w:val="en-IN" w:eastAsia="en-IN"/>
          <w14:ligatures w14:val="none"/>
        </w:rPr>
        <w:t>n the case of innovative banks, such as JPMorgan Chase, strengthens their competitive edge, enabling them to innovate more rapidly and provide their customers with improved customer experience.</w:t>
      </w:r>
      <w:r w:rsidR="00846046" w:rsidRPr="002C20AE">
        <w:rPr>
          <w:rFonts w:ascii="Arial" w:eastAsia="Times New Roman" w:hAnsi="Arial" w:cs="Arial"/>
          <w:kern w:val="0"/>
          <w:lang w:val="en-IN" w:eastAsia="en-IN"/>
          <w14:ligatures w14:val="none"/>
        </w:rPr>
        <w:t xml:space="preserve"> JPMorgan Chase's 2024 net income was $58.5 billion, with ROTCE at 22%, its best result in 20 years.</w:t>
      </w:r>
    </w:p>
    <w:p w14:paraId="5619DE2F" w14:textId="0BA97FB7" w:rsidR="006753D2" w:rsidRPr="002C20AE" w:rsidRDefault="00846046" w:rsidP="00846046">
      <w:pPr>
        <w:spacing w:line="360" w:lineRule="auto"/>
        <w:jc w:val="center"/>
        <w:rPr>
          <w:rFonts w:ascii="Arial" w:eastAsia="Times New Roman" w:hAnsi="Arial" w:cs="Arial"/>
          <w:b/>
          <w:kern w:val="0"/>
          <w:lang w:val="en-IN" w:eastAsia="en-IN"/>
          <w14:ligatures w14:val="none"/>
        </w:rPr>
      </w:pPr>
      <w:r w:rsidRPr="002C20AE">
        <w:rPr>
          <w:rFonts w:ascii="Arial" w:eastAsia="Times New Roman" w:hAnsi="Arial" w:cs="Arial"/>
          <w:b/>
          <w:noProof/>
          <w:kern w:val="0"/>
          <w:lang w:val="en-IN" w:eastAsia="en-IN"/>
          <w14:ligatures w14:val="none"/>
        </w:rPr>
        <w:drawing>
          <wp:inline distT="0" distB="0" distL="0" distR="0" wp14:anchorId="5C90690A" wp14:editId="05EDB79C">
            <wp:extent cx="4491099" cy="449707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93004" cy="4498978"/>
                    </a:xfrm>
                    <a:prstGeom prst="rect">
                      <a:avLst/>
                    </a:prstGeom>
                  </pic:spPr>
                </pic:pic>
              </a:graphicData>
            </a:graphic>
          </wp:inline>
        </w:drawing>
      </w:r>
    </w:p>
    <w:p w14:paraId="2C74D774" w14:textId="3DB99EA3" w:rsidR="00846046" w:rsidRPr="002C20AE" w:rsidRDefault="00846046" w:rsidP="00846046">
      <w:pPr>
        <w:spacing w:line="360" w:lineRule="auto"/>
        <w:jc w:val="center"/>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Fig 3: JP Morgan Highlights</w:t>
      </w:r>
    </w:p>
    <w:p w14:paraId="1507A617" w14:textId="7A539482" w:rsidR="00846046" w:rsidRPr="002C20AE" w:rsidRDefault="00846046" w:rsidP="00846046">
      <w:pPr>
        <w:spacing w:line="360" w:lineRule="auto"/>
        <w:jc w:val="center"/>
        <w:rPr>
          <w:rFonts w:ascii="Arial" w:eastAsia="Times New Roman" w:hAnsi="Arial" w:cs="Arial"/>
          <w:kern w:val="0"/>
          <w:lang w:val="en-IN" w:eastAsia="en-IN"/>
          <w14:ligatures w14:val="none"/>
        </w:rPr>
      </w:pPr>
      <w:r w:rsidRPr="002C20AE">
        <w:rPr>
          <w:rFonts w:ascii="Arial" w:eastAsia="Times New Roman" w:hAnsi="Arial" w:cs="Arial"/>
          <w:b/>
          <w:kern w:val="0"/>
          <w:lang w:val="en-IN" w:eastAsia="en-IN"/>
          <w14:ligatures w14:val="none"/>
        </w:rPr>
        <w:t xml:space="preserve">Source: </w:t>
      </w:r>
      <w:r w:rsidRPr="002C20AE">
        <w:rPr>
          <w:rFonts w:ascii="Arial" w:eastAsia="Times New Roman" w:hAnsi="Arial" w:cs="Arial"/>
          <w:kern w:val="0"/>
          <w:lang w:val="en-IN" w:eastAsia="en-IN"/>
          <w14:ligatures w14:val="none"/>
        </w:rPr>
        <w:t>(JPMorgan Chase&amp; Co., 2025)</w:t>
      </w:r>
    </w:p>
    <w:p w14:paraId="159990E9" w14:textId="79421519"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Followers</w:t>
      </w:r>
    </w:p>
    <w:p w14:paraId="4D556851" w14:textId="4922739B" w:rsidR="006753D2" w:rsidRPr="002C20AE" w:rsidRDefault="006753D2"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lastRenderedPageBreak/>
        <w:t xml:space="preserve">Followers’ banks like TD bank implement technologies more slowly and have less risk of implementation and have solutions that have been proven but are under pressure to differentiate themselves against more fast-moving competitors. </w:t>
      </w:r>
    </w:p>
    <w:p w14:paraId="40D52176" w14:textId="7A005075" w:rsidR="00E40D19" w:rsidRPr="002C20AE" w:rsidRDefault="00E40D19" w:rsidP="00E8000C">
      <w:pPr>
        <w:spacing w:line="360" w:lineRule="auto"/>
        <w:jc w:val="both"/>
        <w:rPr>
          <w:rStyle w:val="Strong"/>
          <w:rFonts w:ascii="Arial" w:hAnsi="Arial" w:cs="Arial"/>
        </w:rPr>
      </w:pPr>
      <w:r w:rsidRPr="002C20AE">
        <w:rPr>
          <w:rStyle w:val="Strong"/>
          <w:rFonts w:ascii="Arial" w:hAnsi="Arial" w:cs="Arial"/>
        </w:rPr>
        <w:t xml:space="preserve">Environmental </w:t>
      </w:r>
      <w:r w:rsidR="004470F8" w:rsidRPr="002C20AE">
        <w:rPr>
          <w:rStyle w:val="Strong"/>
          <w:rFonts w:ascii="Arial" w:hAnsi="Arial" w:cs="Arial"/>
        </w:rPr>
        <w:t>Actor</w:t>
      </w:r>
    </w:p>
    <w:p w14:paraId="650C9E07"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bookmarkStart w:id="20" w:name="_Toc211437174"/>
      <w:r w:rsidRPr="002C20AE">
        <w:rPr>
          <w:rFonts w:ascii="Arial" w:eastAsia="Times New Roman" w:hAnsi="Arial" w:cs="Arial"/>
          <w:b/>
          <w:kern w:val="0"/>
          <w:lang w:val="en-IN" w:eastAsia="en-IN"/>
          <w14:ligatures w14:val="none"/>
        </w:rPr>
        <w:t xml:space="preserve">Way these changes impact pioneering and follower organisations differently </w:t>
      </w:r>
    </w:p>
    <w:p w14:paraId="3017505B"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Pioneering organisations</w:t>
      </w:r>
    </w:p>
    <w:p w14:paraId="485A5ADE" w14:textId="282C01E0" w:rsidR="006753D2" w:rsidRPr="002C20AE" w:rsidRDefault="006753D2" w:rsidP="00236677">
      <w:pPr>
        <w:pStyle w:val="NormalWeb"/>
        <w:spacing w:line="360" w:lineRule="auto"/>
        <w:jc w:val="both"/>
        <w:rPr>
          <w:rFonts w:ascii="Arial" w:hAnsi="Arial" w:cs="Arial"/>
        </w:rPr>
      </w:pPr>
      <w:r w:rsidRPr="002C20AE">
        <w:rPr>
          <w:rFonts w:ascii="Arial" w:hAnsi="Arial" w:cs="Arial"/>
        </w:rPr>
        <w:t>Leading banks like HSBC (UK) and BNP Paribas (France) are in the process of defining the direction of environmental strategy in the world banking arena. One example is HSBC that had already raised over US447 billion in green finance by 2020-25, making it the worldwide leader in green lending</w:t>
      </w:r>
      <w:r w:rsidR="00236677" w:rsidRPr="002C20AE">
        <w:rPr>
          <w:rFonts w:ascii="Arial" w:hAnsi="Arial" w:cs="Arial"/>
        </w:rPr>
        <w:t xml:space="preserve"> (UNCTAD, 2025)</w:t>
      </w:r>
      <w:r w:rsidRPr="002C20AE">
        <w:rPr>
          <w:rFonts w:ascii="Arial" w:hAnsi="Arial" w:cs="Arial"/>
        </w:rPr>
        <w:t xml:space="preserve">. </w:t>
      </w:r>
    </w:p>
    <w:p w14:paraId="0972766C"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Follower organisations</w:t>
      </w:r>
    </w:p>
    <w:p w14:paraId="644B158B" w14:textId="0EBAD2BC" w:rsidR="006753D2" w:rsidRPr="002C20AE" w:rsidRDefault="006753D2"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 xml:space="preserve">The Bank of the Philippine Islands (Philippines) and FNB (South Africa) are both examples of follower banks who are undertaking environmental initiatives at a slower pace, usually as a reaction to a regulatory pressure or benchmarking by competitors instead of being causative of change. </w:t>
      </w:r>
    </w:p>
    <w:p w14:paraId="0735CC07"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Opportunities and threats within the banking industry</w:t>
      </w:r>
    </w:p>
    <w:p w14:paraId="35E0E443" w14:textId="636C86E4" w:rsidR="00E8000C" w:rsidRPr="002C20AE" w:rsidRDefault="006753D2" w:rsidP="00846046">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Opportunities</w:t>
      </w:r>
    </w:p>
    <w:p w14:paraId="0D01CDD3" w14:textId="7ED10FED" w:rsidR="006753D2" w:rsidRPr="002C20AE" w:rsidRDefault="006753D2" w:rsidP="00846046">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The environmental forces provide banks with opportunities to grow the lucrative green finance markets, including sustainability-related loans, the financing of renewable energy projects and green bond markets.</w:t>
      </w:r>
      <w:r w:rsidR="00846046" w:rsidRPr="002C20AE">
        <w:rPr>
          <w:rFonts w:ascii="Arial" w:eastAsia="Times New Roman" w:hAnsi="Arial" w:cs="Arial"/>
          <w:kern w:val="0"/>
          <w:lang w:val="en-IN" w:eastAsia="en-IN"/>
          <w14:ligatures w14:val="none"/>
        </w:rPr>
        <w:t xml:space="preserve"> For example, BNP Paribas</w:t>
      </w:r>
      <w:r w:rsidRPr="002C20AE">
        <w:rPr>
          <w:rFonts w:ascii="Arial" w:eastAsia="Times New Roman" w:hAnsi="Arial" w:cs="Arial"/>
          <w:kern w:val="0"/>
          <w:lang w:val="en-IN" w:eastAsia="en-IN"/>
          <w14:ligatures w14:val="none"/>
        </w:rPr>
        <w:t xml:space="preserve"> </w:t>
      </w:r>
      <w:r w:rsidR="00846046" w:rsidRPr="002C20AE">
        <w:rPr>
          <w:rFonts w:ascii="Arial" w:eastAsia="Times New Roman" w:hAnsi="Arial" w:cs="Arial"/>
          <w:kern w:val="0"/>
          <w:lang w:val="en-IN" w:eastAsia="en-IN"/>
          <w14:ligatures w14:val="none"/>
        </w:rPr>
        <w:t xml:space="preserve">strong corporate, personal, and investment banking performances boosted Q2 2025 overall revenue 2.5% to €12,581m. </w:t>
      </w:r>
      <w:r w:rsidRPr="002C20AE">
        <w:rPr>
          <w:rFonts w:ascii="Arial" w:eastAsia="Times New Roman" w:hAnsi="Arial" w:cs="Arial"/>
          <w:kern w:val="0"/>
          <w:lang w:val="en-IN" w:eastAsia="en-IN"/>
          <w14:ligatures w14:val="none"/>
        </w:rPr>
        <w:t>The case of BNP Paribas, where the global green-bond portfolio has been expanded in line with the increased interest of low-carbon investment products, c</w:t>
      </w:r>
      <w:r w:rsidR="00846046" w:rsidRPr="002C20AE">
        <w:rPr>
          <w:rFonts w:ascii="Arial" w:eastAsia="Times New Roman" w:hAnsi="Arial" w:cs="Arial"/>
          <w:kern w:val="0"/>
          <w:lang w:val="en-IN" w:eastAsia="en-IN"/>
          <w14:ligatures w14:val="none"/>
        </w:rPr>
        <w:t xml:space="preserve">an be used as evidence of this </w:t>
      </w:r>
      <w:r w:rsidR="00236677" w:rsidRPr="002C20AE">
        <w:rPr>
          <w:rFonts w:ascii="Arial" w:hAnsi="Arial" w:cs="Arial"/>
        </w:rPr>
        <w:t>(Wipfli LLP, 2025)</w:t>
      </w:r>
      <w:r w:rsidRPr="002C20AE">
        <w:rPr>
          <w:rFonts w:ascii="Arial" w:eastAsia="Times New Roman" w:hAnsi="Arial" w:cs="Arial"/>
          <w:kern w:val="0"/>
          <w:lang w:val="en-IN" w:eastAsia="en-IN"/>
          <w14:ligatures w14:val="none"/>
        </w:rPr>
        <w:t>.</w:t>
      </w:r>
    </w:p>
    <w:p w14:paraId="747F7B44" w14:textId="71AFD149" w:rsidR="00846046" w:rsidRPr="002C20AE" w:rsidRDefault="00846046" w:rsidP="00236677">
      <w:pPr>
        <w:pStyle w:val="NormalWeb"/>
        <w:spacing w:line="360" w:lineRule="auto"/>
        <w:jc w:val="both"/>
        <w:rPr>
          <w:rFonts w:ascii="Arial" w:hAnsi="Arial" w:cs="Arial"/>
          <w:b/>
        </w:rPr>
      </w:pPr>
      <w:r w:rsidRPr="002C20AE">
        <w:rPr>
          <w:b/>
          <w:noProof/>
        </w:rPr>
        <w:lastRenderedPageBreak/>
        <w:drawing>
          <wp:inline distT="0" distB="0" distL="0" distR="0" wp14:anchorId="77ED2E0F" wp14:editId="5B6C058E">
            <wp:extent cx="5731506" cy="3505200"/>
            <wp:effectExtent l="0" t="0" r="3175" b="0"/>
            <wp:docPr id="9" name="Picture 9" descr="https://csv-storage.forexpros.com/slides/41e034141796c2a74c3b96aeae5e2c839faa388f1dd443e97f53c653333d56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sv-storage.forexpros.com/slides/41e034141796c2a74c3b96aeae5e2c839faa388f1dd443e97f53c653333d5669.png"/>
                    <pic:cNvPicPr>
                      <a:picLocks noChangeAspect="1" noChangeArrowheads="1"/>
                    </pic:cNvPicPr>
                  </pic:nvPicPr>
                  <pic:blipFill rotWithShape="1">
                    <a:blip r:embed="rId12">
                      <a:extLst>
                        <a:ext uri="{28A0092B-C50C-407E-A947-70E740481C1C}">
                          <a14:useLocalDpi xmlns:a14="http://schemas.microsoft.com/office/drawing/2010/main" val="0"/>
                        </a:ext>
                      </a:extLst>
                    </a:blip>
                    <a:srcRect b="10694"/>
                    <a:stretch/>
                  </pic:blipFill>
                  <pic:spPr bwMode="auto">
                    <a:xfrm>
                      <a:off x="0" y="0"/>
                      <a:ext cx="5731510" cy="3505203"/>
                    </a:xfrm>
                    <a:prstGeom prst="rect">
                      <a:avLst/>
                    </a:prstGeom>
                    <a:noFill/>
                    <a:ln>
                      <a:noFill/>
                    </a:ln>
                    <a:extLst>
                      <a:ext uri="{53640926-AAD7-44D8-BBD7-CCE9431645EC}">
                        <a14:shadowObscured xmlns:a14="http://schemas.microsoft.com/office/drawing/2010/main"/>
                      </a:ext>
                    </a:extLst>
                  </pic:spPr>
                </pic:pic>
              </a:graphicData>
            </a:graphic>
          </wp:inline>
        </w:drawing>
      </w:r>
    </w:p>
    <w:p w14:paraId="40CF0E30" w14:textId="6ADA7895" w:rsidR="00846046" w:rsidRPr="002C20AE" w:rsidRDefault="00846046" w:rsidP="00846046">
      <w:pPr>
        <w:pStyle w:val="NormalWeb"/>
        <w:spacing w:line="360" w:lineRule="auto"/>
        <w:jc w:val="center"/>
        <w:rPr>
          <w:rFonts w:ascii="Arial" w:hAnsi="Arial" w:cs="Arial"/>
          <w:b/>
        </w:rPr>
      </w:pPr>
      <w:r w:rsidRPr="002C20AE">
        <w:rPr>
          <w:rFonts w:ascii="Arial" w:hAnsi="Arial" w:cs="Arial"/>
          <w:b/>
        </w:rPr>
        <w:t>Fig 4: BNP Paribas key stats</w:t>
      </w:r>
    </w:p>
    <w:p w14:paraId="5A50D268" w14:textId="7C314EDC" w:rsidR="00846046" w:rsidRPr="002C20AE" w:rsidRDefault="00846046" w:rsidP="00846046">
      <w:pPr>
        <w:pStyle w:val="NormalWeb"/>
        <w:spacing w:line="360" w:lineRule="auto"/>
        <w:jc w:val="center"/>
        <w:rPr>
          <w:rFonts w:ascii="Arial" w:hAnsi="Arial" w:cs="Arial"/>
        </w:rPr>
      </w:pPr>
      <w:r w:rsidRPr="002C20AE">
        <w:rPr>
          <w:rFonts w:ascii="Arial" w:hAnsi="Arial" w:cs="Arial"/>
          <w:b/>
        </w:rPr>
        <w:t xml:space="preserve">Source: </w:t>
      </w:r>
      <w:r w:rsidRPr="002C20AE">
        <w:rPr>
          <w:rFonts w:ascii="Arial" w:hAnsi="Arial" w:cs="Arial"/>
        </w:rPr>
        <w:t>(Investing.com, 2025)</w:t>
      </w:r>
    </w:p>
    <w:p w14:paraId="557FCED7" w14:textId="3D129598" w:rsidR="006753D2" w:rsidRPr="002C20AE" w:rsidRDefault="006753D2"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Threats</w:t>
      </w:r>
    </w:p>
    <w:p w14:paraId="35DBDAE1" w14:textId="00B500A8" w:rsidR="006753D2" w:rsidRPr="002C20AE" w:rsidRDefault="006753D2"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Simultaneously, there are environmental expectations, which can act as a threat because banks failing to proceed with the integration of sustainability face chances of incurring regulatory punishments, the loss of reputation, and the deprivation of customers who are climate-aware. As an example, Wells Fargo has encountered increasing criticisms over the perceived slowness in its progress on fossil-fuel exposure.</w:t>
      </w:r>
    </w:p>
    <w:p w14:paraId="0FA1AF44"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Key strategic implications for both pioneers and followers</w:t>
      </w:r>
    </w:p>
    <w:p w14:paraId="48CD7DC6"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t>Pioneers</w:t>
      </w:r>
    </w:p>
    <w:p w14:paraId="4A71192F" w14:textId="4665FD25" w:rsidR="006753D2" w:rsidRPr="002C20AE" w:rsidRDefault="006753D2" w:rsidP="00236677">
      <w:pPr>
        <w:pStyle w:val="NormalWeb"/>
        <w:spacing w:line="360" w:lineRule="auto"/>
        <w:jc w:val="both"/>
        <w:rPr>
          <w:rFonts w:ascii="Arial" w:hAnsi="Arial" w:cs="Arial"/>
        </w:rPr>
      </w:pPr>
      <w:r w:rsidRPr="002C20AE">
        <w:rPr>
          <w:rFonts w:ascii="Arial" w:hAnsi="Arial" w:cs="Arial"/>
        </w:rPr>
        <w:t>In the case of such innovative banks like HSBC, the mobilisation of US$54.1 billion in sustainable finance by the end of the first half of 2025 would substantially bolster their green banking leadership and improve the brand value relating to their ESG</w:t>
      </w:r>
      <w:r w:rsidR="00236677" w:rsidRPr="002C20AE">
        <w:rPr>
          <w:rFonts w:ascii="Arial" w:hAnsi="Arial" w:cs="Arial"/>
        </w:rPr>
        <w:t xml:space="preserve"> (Moody’s, 2025)</w:t>
      </w:r>
      <w:r w:rsidRPr="002C20AE">
        <w:rPr>
          <w:rFonts w:ascii="Arial" w:hAnsi="Arial" w:cs="Arial"/>
        </w:rPr>
        <w:t>. It has a strategic implication in that pioneers attain early market positioning and customer confidence but are faced with the challenge of maintaining high investment and transparency as a way of ensuring credibility.</w:t>
      </w:r>
    </w:p>
    <w:p w14:paraId="0E5EE601" w14:textId="77777777" w:rsidR="00E8000C" w:rsidRPr="002C20AE" w:rsidRDefault="00E8000C" w:rsidP="00E8000C">
      <w:pPr>
        <w:spacing w:line="360" w:lineRule="auto"/>
        <w:jc w:val="both"/>
        <w:rPr>
          <w:rFonts w:ascii="Arial" w:eastAsia="Times New Roman" w:hAnsi="Arial" w:cs="Arial"/>
          <w:b/>
          <w:kern w:val="0"/>
          <w:lang w:val="en-IN" w:eastAsia="en-IN"/>
          <w14:ligatures w14:val="none"/>
        </w:rPr>
      </w:pPr>
      <w:r w:rsidRPr="002C20AE">
        <w:rPr>
          <w:rFonts w:ascii="Arial" w:eastAsia="Times New Roman" w:hAnsi="Arial" w:cs="Arial"/>
          <w:b/>
          <w:kern w:val="0"/>
          <w:lang w:val="en-IN" w:eastAsia="en-IN"/>
          <w14:ligatures w14:val="none"/>
        </w:rPr>
        <w:lastRenderedPageBreak/>
        <w:t>Followers</w:t>
      </w:r>
    </w:p>
    <w:p w14:paraId="6FDFFEC8" w14:textId="0518CAC6" w:rsidR="006753D2" w:rsidRPr="002C20AE" w:rsidRDefault="006753D2" w:rsidP="00236677">
      <w:pPr>
        <w:pStyle w:val="NormalWeb"/>
        <w:spacing w:line="360" w:lineRule="auto"/>
        <w:jc w:val="both"/>
        <w:rPr>
          <w:rFonts w:ascii="Arial" w:hAnsi="Arial" w:cs="Arial"/>
        </w:rPr>
      </w:pPr>
      <w:r w:rsidRPr="002C20AE">
        <w:rPr>
          <w:rFonts w:ascii="Arial" w:hAnsi="Arial" w:cs="Arial"/>
        </w:rPr>
        <w:t>In the case of follower banks like Scotiabank which is building sustainability initiatives at a slower pace, the strategic implication is the capability to embrace verified environmentally friendly practices at a reduced risk and cost. Nevertheless, the slower development makes it more likely that they will lag behind the developing regulatory requirements and lose customers who are environmentally oriented</w:t>
      </w:r>
      <w:r w:rsidR="00236677" w:rsidRPr="002C20AE">
        <w:rPr>
          <w:rFonts w:ascii="Arial" w:hAnsi="Arial" w:cs="Arial"/>
        </w:rPr>
        <w:t xml:space="preserve"> (</w:t>
      </w:r>
      <w:proofErr w:type="spellStart"/>
      <w:r w:rsidR="00236677" w:rsidRPr="002C20AE">
        <w:rPr>
          <w:rFonts w:ascii="Arial" w:hAnsi="Arial" w:cs="Arial"/>
        </w:rPr>
        <w:t>StartUs</w:t>
      </w:r>
      <w:proofErr w:type="spellEnd"/>
      <w:r w:rsidR="00236677" w:rsidRPr="002C20AE">
        <w:rPr>
          <w:rFonts w:ascii="Arial" w:hAnsi="Arial" w:cs="Arial"/>
        </w:rPr>
        <w:t xml:space="preserve"> Insights, 2025)</w:t>
      </w:r>
      <w:r w:rsidRPr="002C20AE">
        <w:rPr>
          <w:rFonts w:ascii="Arial" w:hAnsi="Arial" w:cs="Arial"/>
        </w:rPr>
        <w:t>.</w:t>
      </w:r>
    </w:p>
    <w:p w14:paraId="3DBC8FC7" w14:textId="77777777" w:rsidR="006D48D1" w:rsidRPr="002C20AE" w:rsidRDefault="006D48D1" w:rsidP="00E8000C">
      <w:pPr>
        <w:spacing w:line="360" w:lineRule="auto"/>
        <w:jc w:val="both"/>
        <w:rPr>
          <w:rStyle w:val="Heading1Char"/>
          <w:rFonts w:ascii="Arial" w:hAnsi="Arial" w:cs="Arial"/>
          <w:b/>
          <w:bCs/>
          <w:color w:val="auto"/>
          <w:sz w:val="24"/>
          <w:szCs w:val="24"/>
        </w:rPr>
      </w:pPr>
      <w:r w:rsidRPr="002C20AE">
        <w:rPr>
          <w:rStyle w:val="Heading1Char"/>
          <w:rFonts w:ascii="Arial" w:hAnsi="Arial" w:cs="Arial"/>
          <w:b/>
          <w:bCs/>
          <w:color w:val="auto"/>
          <w:sz w:val="24"/>
          <w:szCs w:val="24"/>
        </w:rPr>
        <w:br w:type="page"/>
      </w:r>
    </w:p>
    <w:p w14:paraId="79A80A99" w14:textId="6361E5DF" w:rsidR="00DE5D5B" w:rsidRPr="002C20AE" w:rsidRDefault="00DE5D5B" w:rsidP="00E8000C">
      <w:pPr>
        <w:pStyle w:val="Heading1"/>
        <w:spacing w:line="360" w:lineRule="auto"/>
        <w:jc w:val="both"/>
        <w:rPr>
          <w:rStyle w:val="Heading1Char"/>
          <w:rFonts w:ascii="Arial" w:hAnsi="Arial" w:cs="Arial"/>
          <w:b/>
          <w:bCs/>
          <w:color w:val="auto"/>
          <w:sz w:val="24"/>
          <w:szCs w:val="24"/>
        </w:rPr>
      </w:pPr>
      <w:bookmarkStart w:id="21" w:name="_Toc213502877"/>
      <w:bookmarkStart w:id="22" w:name="_Toc213502893"/>
      <w:bookmarkStart w:id="23" w:name="_Toc214431737"/>
      <w:r w:rsidRPr="002C20AE">
        <w:rPr>
          <w:rStyle w:val="Heading1Char"/>
          <w:rFonts w:ascii="Arial" w:hAnsi="Arial" w:cs="Arial"/>
          <w:b/>
          <w:bCs/>
          <w:color w:val="auto"/>
          <w:sz w:val="24"/>
          <w:szCs w:val="24"/>
        </w:rPr>
        <w:lastRenderedPageBreak/>
        <w:t>3.</w:t>
      </w:r>
      <w:r w:rsidR="005F7476" w:rsidRPr="002C20AE">
        <w:rPr>
          <w:rStyle w:val="Heading1Char"/>
          <w:rFonts w:ascii="Arial" w:hAnsi="Arial" w:cs="Arial"/>
          <w:b/>
          <w:bCs/>
          <w:color w:val="auto"/>
          <w:sz w:val="24"/>
          <w:szCs w:val="24"/>
        </w:rPr>
        <w:t>0</w:t>
      </w:r>
      <w:r w:rsidRPr="002C20AE">
        <w:rPr>
          <w:rStyle w:val="Heading1Char"/>
          <w:rFonts w:ascii="Arial" w:hAnsi="Arial" w:cs="Arial"/>
          <w:b/>
          <w:bCs/>
          <w:color w:val="auto"/>
          <w:sz w:val="24"/>
          <w:szCs w:val="24"/>
        </w:rPr>
        <w:t xml:space="preserve"> Task 2: Strate</w:t>
      </w:r>
      <w:r w:rsidR="005F7476" w:rsidRPr="002C20AE">
        <w:rPr>
          <w:rStyle w:val="Heading1Char"/>
          <w:rFonts w:ascii="Arial" w:hAnsi="Arial" w:cs="Arial"/>
          <w:b/>
          <w:bCs/>
          <w:color w:val="auto"/>
          <w:sz w:val="24"/>
          <w:szCs w:val="24"/>
        </w:rPr>
        <w:t xml:space="preserve">gic Responses of Pioneering and </w:t>
      </w:r>
      <w:r w:rsidRPr="002C20AE">
        <w:rPr>
          <w:rStyle w:val="Heading1Char"/>
          <w:rFonts w:ascii="Arial" w:hAnsi="Arial" w:cs="Arial"/>
          <w:b/>
          <w:bCs/>
          <w:color w:val="auto"/>
          <w:sz w:val="24"/>
          <w:szCs w:val="24"/>
        </w:rPr>
        <w:t>Follower Organisations</w:t>
      </w:r>
      <w:bookmarkEnd w:id="20"/>
      <w:bookmarkEnd w:id="21"/>
      <w:bookmarkEnd w:id="22"/>
      <w:bookmarkEnd w:id="23"/>
    </w:p>
    <w:p w14:paraId="3EC8095B" w14:textId="614ACF16" w:rsidR="00DE5D5B" w:rsidRPr="002C20AE" w:rsidRDefault="00DE5D5B" w:rsidP="00E8000C">
      <w:pPr>
        <w:pStyle w:val="Heading2"/>
        <w:spacing w:line="360" w:lineRule="auto"/>
        <w:jc w:val="both"/>
        <w:rPr>
          <w:rFonts w:ascii="Arial" w:hAnsi="Arial" w:cs="Arial"/>
          <w:b/>
          <w:color w:val="auto"/>
          <w:sz w:val="24"/>
          <w:szCs w:val="24"/>
        </w:rPr>
      </w:pPr>
      <w:bookmarkStart w:id="24" w:name="_Toc211437175"/>
      <w:bookmarkStart w:id="25" w:name="_Toc213502878"/>
      <w:bookmarkStart w:id="26" w:name="_Toc213502894"/>
      <w:bookmarkStart w:id="27" w:name="_Toc214431738"/>
      <w:r w:rsidRPr="002C20AE">
        <w:rPr>
          <w:rFonts w:ascii="Arial" w:hAnsi="Arial" w:cs="Arial"/>
          <w:b/>
          <w:color w:val="auto"/>
          <w:sz w:val="24"/>
          <w:szCs w:val="24"/>
        </w:rPr>
        <w:t>3.1 Pioneering Organisations’ Strategic Responses</w:t>
      </w:r>
      <w:bookmarkEnd w:id="24"/>
      <w:bookmarkEnd w:id="25"/>
      <w:bookmarkEnd w:id="26"/>
      <w:bookmarkEnd w:id="27"/>
    </w:p>
    <w:p w14:paraId="287CFCA9" w14:textId="3039ADCB" w:rsidR="00881DE1" w:rsidRPr="002C20AE" w:rsidRDefault="00881DE1" w:rsidP="00E8000C">
      <w:pPr>
        <w:spacing w:line="360" w:lineRule="auto"/>
        <w:jc w:val="both"/>
        <w:rPr>
          <w:rFonts w:ascii="Arial" w:eastAsiaTheme="majorEastAsia" w:hAnsi="Arial" w:cs="Arial"/>
          <w:b/>
        </w:rPr>
      </w:pPr>
      <w:r w:rsidRPr="002C20AE">
        <w:rPr>
          <w:rFonts w:ascii="Arial" w:eastAsiaTheme="majorEastAsia" w:hAnsi="Arial" w:cs="Arial"/>
          <w:b/>
        </w:rPr>
        <w:t>Way</w:t>
      </w:r>
      <w:r w:rsidR="00DE5D5B" w:rsidRPr="002C20AE">
        <w:rPr>
          <w:rFonts w:ascii="Arial" w:eastAsiaTheme="majorEastAsia" w:hAnsi="Arial" w:cs="Arial"/>
          <w:b/>
        </w:rPr>
        <w:t xml:space="preserve"> pioneering firms respond to external challenges and op</w:t>
      </w:r>
      <w:r w:rsidRPr="002C20AE">
        <w:rPr>
          <w:rFonts w:ascii="Arial" w:eastAsiaTheme="majorEastAsia" w:hAnsi="Arial" w:cs="Arial"/>
          <w:b/>
        </w:rPr>
        <w:t>portunities using</w:t>
      </w:r>
    </w:p>
    <w:p w14:paraId="259C1744" w14:textId="5DF59E1C" w:rsidR="00DE5D5B" w:rsidRPr="002C20AE" w:rsidRDefault="00DE5D5B" w:rsidP="00E8000C">
      <w:pPr>
        <w:spacing w:line="360" w:lineRule="auto"/>
        <w:jc w:val="both"/>
        <w:rPr>
          <w:rFonts w:ascii="Arial" w:eastAsiaTheme="majorEastAsia" w:hAnsi="Arial" w:cs="Arial"/>
          <w:b/>
        </w:rPr>
      </w:pPr>
      <w:r w:rsidRPr="002C20AE">
        <w:rPr>
          <w:rFonts w:ascii="Arial" w:eastAsiaTheme="majorEastAsia" w:hAnsi="Arial" w:cs="Arial"/>
          <w:b/>
        </w:rPr>
        <w:t>Ansoff’s Growth Matrix</w:t>
      </w:r>
    </w:p>
    <w:p w14:paraId="5855A558" w14:textId="77777777" w:rsidR="00881DE1" w:rsidRPr="002C20AE" w:rsidRDefault="00881DE1" w:rsidP="00E8000C">
      <w:pPr>
        <w:spacing w:line="360" w:lineRule="auto"/>
        <w:jc w:val="both"/>
        <w:rPr>
          <w:rFonts w:ascii="Arial" w:hAnsi="Arial" w:cs="Arial"/>
          <w:b/>
        </w:rPr>
      </w:pPr>
      <w:r w:rsidRPr="002C20AE">
        <w:rPr>
          <w:rFonts w:ascii="Arial" w:hAnsi="Arial" w:cs="Arial"/>
          <w:b/>
        </w:rPr>
        <w:t>Market Penetration</w:t>
      </w:r>
    </w:p>
    <w:p w14:paraId="303323DB" w14:textId="4E7F6F06" w:rsidR="006753D2" w:rsidRPr="002C20AE" w:rsidRDefault="006753D2" w:rsidP="00236677">
      <w:pPr>
        <w:pStyle w:val="NormalWeb"/>
        <w:spacing w:line="360" w:lineRule="auto"/>
        <w:jc w:val="both"/>
        <w:rPr>
          <w:rFonts w:ascii="Arial" w:hAnsi="Arial" w:cs="Arial"/>
        </w:rPr>
      </w:pPr>
      <w:r w:rsidRPr="002C20AE">
        <w:rPr>
          <w:rFonts w:ascii="Arial" w:hAnsi="Arial" w:cs="Arial"/>
        </w:rPr>
        <w:t>An innovative bank such as State Bank of India used its digital banking group to propel the records of US $9.2 billion profits in FY 2025, which demonstrated that intensified services to the current customers and online platforms could contribute to increasing shares in the existing markets</w:t>
      </w:r>
      <w:r w:rsidR="00236677" w:rsidRPr="002C20AE">
        <w:rPr>
          <w:rFonts w:ascii="Arial" w:hAnsi="Arial" w:cs="Arial"/>
        </w:rPr>
        <w:t xml:space="preserve"> (Climate Policy Initiative, 2025)</w:t>
      </w:r>
      <w:r w:rsidRPr="002C20AE">
        <w:rPr>
          <w:rFonts w:ascii="Arial" w:hAnsi="Arial" w:cs="Arial"/>
        </w:rPr>
        <w:t>.</w:t>
      </w:r>
    </w:p>
    <w:p w14:paraId="787B1A26" w14:textId="4F356DB1" w:rsidR="00C235E6" w:rsidRPr="002C20AE" w:rsidRDefault="00881DE1" w:rsidP="002C20AE">
      <w:pPr>
        <w:spacing w:line="360" w:lineRule="auto"/>
        <w:jc w:val="both"/>
        <w:rPr>
          <w:rFonts w:ascii="Arial" w:hAnsi="Arial" w:cs="Arial"/>
          <w:b/>
        </w:rPr>
      </w:pPr>
      <w:r w:rsidRPr="002C20AE">
        <w:rPr>
          <w:rFonts w:ascii="Arial" w:hAnsi="Arial" w:cs="Arial"/>
          <w:b/>
        </w:rPr>
        <w:t>Market Development</w:t>
      </w:r>
    </w:p>
    <w:p w14:paraId="34F34CD2" w14:textId="28150267" w:rsidR="006753D2" w:rsidRPr="002C20AE" w:rsidRDefault="002C20AE" w:rsidP="002C20AE">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 xml:space="preserve">With 52.5M customers (+38%), £3.1B sales (+72%), and £1.089B profit before tax (+149%), Revolut 2024 had remarkable growth. </w:t>
      </w:r>
      <w:r w:rsidR="006753D2" w:rsidRPr="002C20AE">
        <w:rPr>
          <w:rFonts w:ascii="Arial" w:hAnsi="Arial" w:cs="Arial"/>
        </w:rPr>
        <w:t>An international digital-platform bank like Revolut grew its operations into new geographies, such as Latin America and the Middle East in 2025, increasing its number of users to approximat</w:t>
      </w:r>
      <w:r w:rsidRPr="002C20AE">
        <w:rPr>
          <w:rFonts w:ascii="Arial" w:hAnsi="Arial" w:cs="Arial"/>
        </w:rPr>
        <w:t>ely 60 million around the world.</w:t>
      </w:r>
    </w:p>
    <w:p w14:paraId="665FF022" w14:textId="78D31DA2" w:rsidR="00846046" w:rsidRPr="002C20AE" w:rsidRDefault="00846046" w:rsidP="00E8000C">
      <w:pPr>
        <w:spacing w:line="360" w:lineRule="auto"/>
        <w:jc w:val="both"/>
        <w:rPr>
          <w:rFonts w:ascii="Arial" w:hAnsi="Arial" w:cs="Arial"/>
          <w:b/>
        </w:rPr>
      </w:pPr>
      <w:r w:rsidRPr="002C20AE">
        <w:rPr>
          <w:rFonts w:ascii="Arial" w:hAnsi="Arial" w:cs="Arial"/>
          <w:b/>
          <w:noProof/>
        </w:rPr>
        <w:drawing>
          <wp:inline distT="0" distB="0" distL="0" distR="0" wp14:anchorId="5624D719" wp14:editId="0F333105">
            <wp:extent cx="5731510" cy="172339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723390"/>
                    </a:xfrm>
                    <a:prstGeom prst="rect">
                      <a:avLst/>
                    </a:prstGeom>
                  </pic:spPr>
                </pic:pic>
              </a:graphicData>
            </a:graphic>
          </wp:inline>
        </w:drawing>
      </w:r>
    </w:p>
    <w:p w14:paraId="39EC428A" w14:textId="61666755" w:rsidR="00846046" w:rsidRPr="002C20AE" w:rsidRDefault="002C20AE" w:rsidP="00846046">
      <w:pPr>
        <w:spacing w:line="360" w:lineRule="auto"/>
        <w:jc w:val="center"/>
        <w:rPr>
          <w:rFonts w:ascii="Arial" w:hAnsi="Arial" w:cs="Arial"/>
          <w:b/>
        </w:rPr>
      </w:pPr>
      <w:r w:rsidRPr="002C20AE">
        <w:rPr>
          <w:rFonts w:ascii="Arial" w:hAnsi="Arial" w:cs="Arial"/>
          <w:b/>
        </w:rPr>
        <w:t>Fig 5: Revolut Highlights</w:t>
      </w:r>
    </w:p>
    <w:p w14:paraId="30970EFB" w14:textId="148BA6C2" w:rsidR="002C20AE" w:rsidRPr="002C20AE" w:rsidRDefault="002C20AE" w:rsidP="00846046">
      <w:pPr>
        <w:spacing w:line="360" w:lineRule="auto"/>
        <w:jc w:val="center"/>
        <w:rPr>
          <w:rFonts w:ascii="Arial" w:hAnsi="Arial" w:cs="Arial"/>
        </w:rPr>
      </w:pPr>
      <w:r w:rsidRPr="002C20AE">
        <w:rPr>
          <w:rFonts w:ascii="Arial" w:hAnsi="Arial" w:cs="Arial"/>
          <w:b/>
        </w:rPr>
        <w:t xml:space="preserve">Source: </w:t>
      </w:r>
      <w:r w:rsidRPr="002C20AE">
        <w:rPr>
          <w:rFonts w:ascii="Arial" w:hAnsi="Arial" w:cs="Arial"/>
        </w:rPr>
        <w:t>(Revolut Ltd, 2025)</w:t>
      </w:r>
    </w:p>
    <w:p w14:paraId="48C3FDB3" w14:textId="5E6F397B" w:rsidR="00881DE1" w:rsidRPr="002C20AE" w:rsidRDefault="00881DE1" w:rsidP="00E8000C">
      <w:pPr>
        <w:spacing w:line="360" w:lineRule="auto"/>
        <w:jc w:val="both"/>
        <w:rPr>
          <w:rFonts w:ascii="Arial" w:eastAsia="Times New Roman" w:hAnsi="Arial" w:cs="Arial"/>
          <w:kern w:val="0"/>
          <w:lang w:val="en-IN" w:eastAsia="en-IN"/>
          <w14:ligatures w14:val="none"/>
        </w:rPr>
      </w:pPr>
      <w:r w:rsidRPr="002C20AE">
        <w:rPr>
          <w:rFonts w:ascii="Arial" w:hAnsi="Arial" w:cs="Arial"/>
          <w:b/>
        </w:rPr>
        <w:t>Product Development</w:t>
      </w:r>
      <w:r w:rsidRPr="002C20AE">
        <w:rPr>
          <w:rFonts w:ascii="Arial" w:eastAsia="Times New Roman" w:hAnsi="Arial" w:cs="Arial"/>
          <w:kern w:val="0"/>
          <w:lang w:val="en-IN" w:eastAsia="en-IN"/>
          <w14:ligatures w14:val="none"/>
        </w:rPr>
        <w:t xml:space="preserve"> </w:t>
      </w:r>
    </w:p>
    <w:p w14:paraId="74D6D9F8" w14:textId="50825B89" w:rsidR="006753D2" w:rsidRPr="002C20AE" w:rsidRDefault="00846046" w:rsidP="00E8000C">
      <w:pPr>
        <w:spacing w:line="360" w:lineRule="auto"/>
        <w:jc w:val="both"/>
        <w:rPr>
          <w:rFonts w:ascii="Arial" w:hAnsi="Arial" w:cs="Arial"/>
        </w:rPr>
      </w:pPr>
      <w:r w:rsidRPr="002C20AE">
        <w:rPr>
          <w:rFonts w:ascii="Arial" w:hAnsi="Arial" w:cs="Arial"/>
        </w:rPr>
        <w:t>Offering new services;</w:t>
      </w:r>
      <w:r w:rsidR="006753D2" w:rsidRPr="002C20AE">
        <w:rPr>
          <w:rFonts w:ascii="Arial" w:hAnsi="Arial" w:cs="Arial"/>
        </w:rPr>
        <w:t xml:space="preserve"> in 2025, most CEOs say that product innovation (e.g.: payments, credit lines, wealth tools) matters as non-interest income is becoming strategic. An example of a first movers with robo-advice, digital lending and API-services is a pioneer bank.</w:t>
      </w:r>
    </w:p>
    <w:p w14:paraId="5C579147" w14:textId="67EF3D4D" w:rsidR="00881DE1" w:rsidRPr="002C20AE" w:rsidRDefault="00881DE1" w:rsidP="00E8000C">
      <w:pPr>
        <w:spacing w:line="360" w:lineRule="auto"/>
        <w:jc w:val="both"/>
        <w:rPr>
          <w:rFonts w:ascii="Arial" w:hAnsi="Arial" w:cs="Arial"/>
          <w:b/>
        </w:rPr>
      </w:pPr>
      <w:r w:rsidRPr="002C20AE">
        <w:rPr>
          <w:rFonts w:ascii="Arial" w:hAnsi="Arial" w:cs="Arial"/>
          <w:b/>
        </w:rPr>
        <w:t>Diversification</w:t>
      </w:r>
    </w:p>
    <w:p w14:paraId="7174FC72" w14:textId="5FB7ACB2" w:rsidR="006753D2" w:rsidRPr="002C20AE" w:rsidRDefault="006753D2" w:rsidP="00236677">
      <w:pPr>
        <w:pStyle w:val="NormalWeb"/>
        <w:spacing w:line="360" w:lineRule="auto"/>
        <w:jc w:val="both"/>
        <w:rPr>
          <w:rFonts w:ascii="Arial" w:hAnsi="Arial" w:cs="Arial"/>
        </w:rPr>
      </w:pPr>
      <w:r w:rsidRPr="002C20AE">
        <w:rPr>
          <w:rFonts w:ascii="Arial" w:hAnsi="Arial" w:cs="Arial"/>
        </w:rPr>
        <w:lastRenderedPageBreak/>
        <w:t>Diversification is also being sought by pioneers. With the changing customer behaviour, some 58 percent of customers purchased a financial-services product in the last 12 months with a different provider</w:t>
      </w:r>
      <w:r w:rsidR="00236677" w:rsidRPr="002C20AE">
        <w:rPr>
          <w:rFonts w:ascii="Arial" w:hAnsi="Arial" w:cs="Arial"/>
        </w:rPr>
        <w:t xml:space="preserve"> (</w:t>
      </w:r>
      <w:proofErr w:type="spellStart"/>
      <w:r w:rsidR="00236677" w:rsidRPr="002C20AE">
        <w:rPr>
          <w:rFonts w:ascii="Arial" w:hAnsi="Arial" w:cs="Arial"/>
        </w:rPr>
        <w:t>Lumenalta</w:t>
      </w:r>
      <w:proofErr w:type="spellEnd"/>
      <w:r w:rsidR="00236677" w:rsidRPr="002C20AE">
        <w:rPr>
          <w:rFonts w:ascii="Arial" w:hAnsi="Arial" w:cs="Arial"/>
        </w:rPr>
        <w:t>, 2025)</w:t>
      </w:r>
      <w:r w:rsidRPr="002C20AE">
        <w:rPr>
          <w:rFonts w:ascii="Arial" w:hAnsi="Arial" w:cs="Arial"/>
        </w:rPr>
        <w:t>. Banks that have ventured forth in the context of adjacent services (</w:t>
      </w:r>
      <w:proofErr w:type="spellStart"/>
      <w:r w:rsidRPr="002C20AE">
        <w:rPr>
          <w:rFonts w:ascii="Arial" w:hAnsi="Arial" w:cs="Arial"/>
        </w:rPr>
        <w:t>insurtech</w:t>
      </w:r>
      <w:proofErr w:type="spellEnd"/>
      <w:r w:rsidRPr="002C20AE">
        <w:rPr>
          <w:rFonts w:ascii="Arial" w:hAnsi="Arial" w:cs="Arial"/>
        </w:rPr>
        <w:t>, fintech partnerships) are using diversification to capture the new streams of value that are not core banking.</w:t>
      </w:r>
    </w:p>
    <w:p w14:paraId="70354146" w14:textId="77777777" w:rsidR="00DE5D5B" w:rsidRPr="002C20AE" w:rsidRDefault="00DE5D5B" w:rsidP="00E8000C">
      <w:pPr>
        <w:spacing w:line="360" w:lineRule="auto"/>
        <w:jc w:val="both"/>
        <w:rPr>
          <w:rFonts w:ascii="Arial" w:eastAsiaTheme="majorEastAsia" w:hAnsi="Arial" w:cs="Arial"/>
          <w:b/>
        </w:rPr>
      </w:pPr>
      <w:r w:rsidRPr="002C20AE">
        <w:rPr>
          <w:rFonts w:ascii="Arial" w:eastAsiaTheme="majorEastAsia" w:hAnsi="Arial" w:cs="Arial"/>
          <w:b/>
        </w:rPr>
        <w:t>Porter’s Generic Strategies</w:t>
      </w:r>
    </w:p>
    <w:p w14:paraId="61C2B010" w14:textId="0B0C30CB" w:rsidR="00881DE1" w:rsidRPr="002C20AE" w:rsidRDefault="00881DE1" w:rsidP="00E8000C">
      <w:pPr>
        <w:spacing w:line="360" w:lineRule="auto"/>
        <w:jc w:val="both"/>
        <w:rPr>
          <w:rFonts w:ascii="Arial" w:eastAsia="Times New Roman" w:hAnsi="Arial" w:cs="Arial"/>
          <w:kern w:val="0"/>
          <w:lang w:val="en-IN" w:eastAsia="en-IN"/>
          <w14:ligatures w14:val="none"/>
        </w:rPr>
      </w:pPr>
      <w:r w:rsidRPr="002C20AE">
        <w:rPr>
          <w:rFonts w:ascii="Arial" w:hAnsi="Arial" w:cs="Arial"/>
          <w:b/>
        </w:rPr>
        <w:t>Cost Leadership</w:t>
      </w:r>
      <w:r w:rsidRPr="002C20AE">
        <w:rPr>
          <w:rFonts w:ascii="Arial" w:eastAsia="Times New Roman" w:hAnsi="Arial" w:cs="Arial"/>
          <w:kern w:val="0"/>
          <w:lang w:val="en-IN" w:eastAsia="en-IN"/>
          <w14:ligatures w14:val="none"/>
        </w:rPr>
        <w:t xml:space="preserve"> </w:t>
      </w:r>
    </w:p>
    <w:p w14:paraId="086674F5" w14:textId="05C70FB4" w:rsidR="006753D2" w:rsidRPr="002C20AE" w:rsidRDefault="006753D2" w:rsidP="00236677">
      <w:pPr>
        <w:pStyle w:val="NormalWeb"/>
        <w:spacing w:line="360" w:lineRule="auto"/>
        <w:jc w:val="both"/>
        <w:rPr>
          <w:rFonts w:ascii="Arial" w:hAnsi="Arial" w:cs="Arial"/>
        </w:rPr>
      </w:pPr>
      <w:r w:rsidRPr="002C20AE">
        <w:rPr>
          <w:rFonts w:ascii="Arial" w:hAnsi="Arial" w:cs="Arial"/>
        </w:rPr>
        <w:t>The cost-leadership strategy used by HSBC involves the aim to cut costs by US 300 million, in addition to larger goals of cutting costs by US 1.5 billion, in 2025 to enable it to sustain the competitiveness pricing model and redirect the savings to digital banking</w:t>
      </w:r>
      <w:r w:rsidR="00236677" w:rsidRPr="002C20AE">
        <w:rPr>
          <w:rFonts w:ascii="Arial" w:hAnsi="Arial" w:cs="Arial"/>
        </w:rPr>
        <w:t xml:space="preserve"> (</w:t>
      </w:r>
      <w:proofErr w:type="spellStart"/>
      <w:r w:rsidR="00236677" w:rsidRPr="002C20AE">
        <w:rPr>
          <w:rFonts w:ascii="Arial" w:hAnsi="Arial" w:cs="Arial"/>
        </w:rPr>
        <w:t>MoneyWeek</w:t>
      </w:r>
      <w:proofErr w:type="spellEnd"/>
      <w:r w:rsidR="00236677" w:rsidRPr="002C20AE">
        <w:rPr>
          <w:rFonts w:ascii="Arial" w:hAnsi="Arial" w:cs="Arial"/>
        </w:rPr>
        <w:t>, 2025)</w:t>
      </w:r>
      <w:r w:rsidRPr="002C20AE">
        <w:rPr>
          <w:rFonts w:ascii="Arial" w:hAnsi="Arial" w:cs="Arial"/>
        </w:rPr>
        <w:t>. This will enable the bank remain efficient, albeit at the expense of service quality.</w:t>
      </w:r>
    </w:p>
    <w:p w14:paraId="66E2716D" w14:textId="77777777" w:rsidR="004470F8" w:rsidRPr="002C20AE" w:rsidRDefault="00881DE1" w:rsidP="00E8000C">
      <w:pPr>
        <w:spacing w:line="360" w:lineRule="auto"/>
        <w:jc w:val="both"/>
        <w:rPr>
          <w:rFonts w:ascii="Arial" w:hAnsi="Arial" w:cs="Arial"/>
          <w:b/>
        </w:rPr>
      </w:pPr>
      <w:r w:rsidRPr="002C20AE">
        <w:rPr>
          <w:rFonts w:ascii="Arial" w:hAnsi="Arial" w:cs="Arial"/>
          <w:b/>
        </w:rPr>
        <w:t>Differentiation Strategy</w:t>
      </w:r>
    </w:p>
    <w:p w14:paraId="5DA18EBE" w14:textId="1E813111" w:rsidR="006753D2" w:rsidRPr="002C20AE" w:rsidRDefault="006753D2" w:rsidP="00236677">
      <w:pPr>
        <w:pStyle w:val="NormalWeb"/>
        <w:spacing w:line="360" w:lineRule="auto"/>
        <w:jc w:val="both"/>
        <w:rPr>
          <w:rFonts w:ascii="Arial" w:hAnsi="Arial" w:cs="Arial"/>
        </w:rPr>
      </w:pPr>
      <w:r w:rsidRPr="002C20AE">
        <w:rPr>
          <w:rFonts w:ascii="Arial" w:hAnsi="Arial" w:cs="Arial"/>
        </w:rPr>
        <w:t>Starling Bank deploys the differentiation approach based on its mobile-first digital model, with a reported profit of 280 million pounds pre-tax in 2025 based on unique app functionality and good customer experience</w:t>
      </w:r>
      <w:r w:rsidR="00236677" w:rsidRPr="002C20AE">
        <w:rPr>
          <w:rFonts w:ascii="Arial" w:hAnsi="Arial" w:cs="Arial"/>
        </w:rPr>
        <w:t xml:space="preserve"> (Banking Worldwide, 2025)</w:t>
      </w:r>
      <w:r w:rsidRPr="002C20AE">
        <w:rPr>
          <w:rFonts w:ascii="Arial" w:hAnsi="Arial" w:cs="Arial"/>
        </w:rPr>
        <w:t>. This enhances brand loyalty and brand differentiation but needs continuous innovation to remain competitive.</w:t>
      </w:r>
    </w:p>
    <w:p w14:paraId="2B71C025" w14:textId="3635D34B" w:rsidR="00881DE1" w:rsidRPr="002C20AE" w:rsidRDefault="00881DE1" w:rsidP="00E8000C">
      <w:pPr>
        <w:spacing w:line="360" w:lineRule="auto"/>
        <w:jc w:val="both"/>
        <w:rPr>
          <w:rFonts w:ascii="Arial" w:hAnsi="Arial" w:cs="Arial"/>
          <w:b/>
        </w:rPr>
      </w:pPr>
      <w:r w:rsidRPr="002C20AE">
        <w:rPr>
          <w:rFonts w:ascii="Arial" w:hAnsi="Arial" w:cs="Arial"/>
          <w:b/>
        </w:rPr>
        <w:t>Focus Strategy</w:t>
      </w:r>
    </w:p>
    <w:p w14:paraId="19EDE5E8" w14:textId="4BE7A637" w:rsidR="006753D2" w:rsidRPr="002C20AE" w:rsidRDefault="006753D2" w:rsidP="00236677">
      <w:pPr>
        <w:pStyle w:val="NormalWeb"/>
        <w:spacing w:line="360" w:lineRule="auto"/>
        <w:jc w:val="both"/>
        <w:rPr>
          <w:rFonts w:ascii="Arial" w:hAnsi="Arial" w:cs="Arial"/>
        </w:rPr>
      </w:pPr>
      <w:r w:rsidRPr="002C20AE">
        <w:rPr>
          <w:rFonts w:ascii="Arial" w:hAnsi="Arial" w:cs="Arial"/>
        </w:rPr>
        <w:t xml:space="preserve">The focus strategy used by TD Bank entails concentrating on the high fee segments like the wealth and the wholesale banking and the aim of the strategy is to achieve an annual saving of up to C$2.5 billion through specific </w:t>
      </w:r>
      <w:r w:rsidR="00236677" w:rsidRPr="002C20AE">
        <w:rPr>
          <w:rFonts w:ascii="Arial" w:hAnsi="Arial" w:cs="Arial"/>
        </w:rPr>
        <w:t>restructuring (Wall Street Journal, 2025)</w:t>
      </w:r>
      <w:r w:rsidRPr="002C20AE">
        <w:rPr>
          <w:rFonts w:ascii="Arial" w:hAnsi="Arial" w:cs="Arial"/>
        </w:rPr>
        <w:t>. This will improve performance within chosen niches, but the risk is being over-dependent on smaller categories of customers.</w:t>
      </w:r>
    </w:p>
    <w:p w14:paraId="584DB314" w14:textId="55D83328" w:rsidR="00DE5D5B" w:rsidRPr="002C20AE" w:rsidRDefault="005F7476" w:rsidP="00E8000C">
      <w:pPr>
        <w:pStyle w:val="Heading2"/>
        <w:spacing w:line="360" w:lineRule="auto"/>
        <w:jc w:val="both"/>
        <w:rPr>
          <w:rFonts w:ascii="Arial" w:hAnsi="Arial" w:cs="Arial"/>
          <w:b/>
          <w:color w:val="auto"/>
          <w:sz w:val="24"/>
          <w:szCs w:val="24"/>
        </w:rPr>
      </w:pPr>
      <w:bookmarkStart w:id="28" w:name="_Toc211437176"/>
      <w:bookmarkStart w:id="29" w:name="_Toc213502879"/>
      <w:bookmarkStart w:id="30" w:name="_Toc213502895"/>
      <w:bookmarkStart w:id="31" w:name="_Toc214431739"/>
      <w:r w:rsidRPr="002C20AE">
        <w:rPr>
          <w:rFonts w:ascii="Arial" w:hAnsi="Arial" w:cs="Arial"/>
          <w:b/>
          <w:color w:val="auto"/>
          <w:sz w:val="24"/>
          <w:szCs w:val="24"/>
        </w:rPr>
        <w:t>3.2</w:t>
      </w:r>
      <w:r w:rsidR="00DE5D5B" w:rsidRPr="002C20AE">
        <w:rPr>
          <w:rFonts w:ascii="Arial" w:hAnsi="Arial" w:cs="Arial"/>
          <w:b/>
          <w:color w:val="auto"/>
          <w:sz w:val="24"/>
          <w:szCs w:val="24"/>
        </w:rPr>
        <w:t xml:space="preserve"> Follower Organisations’ Strategic Responses</w:t>
      </w:r>
      <w:bookmarkEnd w:id="28"/>
      <w:bookmarkEnd w:id="29"/>
      <w:bookmarkEnd w:id="30"/>
      <w:bookmarkEnd w:id="31"/>
    </w:p>
    <w:p w14:paraId="0B1CC75F" w14:textId="393935F2" w:rsidR="00DE5D5B" w:rsidRPr="002C20AE" w:rsidRDefault="00881DE1" w:rsidP="00E8000C">
      <w:pPr>
        <w:spacing w:line="360" w:lineRule="auto"/>
        <w:jc w:val="both"/>
        <w:rPr>
          <w:rFonts w:ascii="Arial" w:eastAsiaTheme="majorEastAsia" w:hAnsi="Arial" w:cs="Arial"/>
          <w:b/>
        </w:rPr>
      </w:pPr>
      <w:r w:rsidRPr="002C20AE">
        <w:rPr>
          <w:rFonts w:ascii="Arial" w:eastAsiaTheme="majorEastAsia" w:hAnsi="Arial" w:cs="Arial"/>
          <w:b/>
        </w:rPr>
        <w:t>Way</w:t>
      </w:r>
      <w:r w:rsidR="00DE5D5B" w:rsidRPr="002C20AE">
        <w:rPr>
          <w:rFonts w:ascii="Arial" w:eastAsiaTheme="majorEastAsia" w:hAnsi="Arial" w:cs="Arial"/>
          <w:b/>
        </w:rPr>
        <w:t xml:space="preserve"> follower organisations adapt their strate</w:t>
      </w:r>
      <w:r w:rsidRPr="002C20AE">
        <w:rPr>
          <w:rFonts w:ascii="Arial" w:eastAsiaTheme="majorEastAsia" w:hAnsi="Arial" w:cs="Arial"/>
          <w:b/>
        </w:rPr>
        <w:t>gies to sustain competitiveness</w:t>
      </w:r>
    </w:p>
    <w:p w14:paraId="6A192C60" w14:textId="77777777" w:rsidR="00DE5D5B" w:rsidRPr="002C20AE" w:rsidRDefault="00DE5D5B" w:rsidP="00E8000C">
      <w:pPr>
        <w:spacing w:line="360" w:lineRule="auto"/>
        <w:jc w:val="both"/>
        <w:rPr>
          <w:rFonts w:ascii="Arial" w:eastAsiaTheme="majorEastAsia" w:hAnsi="Arial" w:cs="Arial"/>
          <w:b/>
        </w:rPr>
      </w:pPr>
      <w:r w:rsidRPr="002C20AE">
        <w:rPr>
          <w:rFonts w:ascii="Arial" w:eastAsiaTheme="majorEastAsia" w:hAnsi="Arial" w:cs="Arial"/>
          <w:b/>
        </w:rPr>
        <w:t>Ansoff’s Growth Matrix</w:t>
      </w:r>
    </w:p>
    <w:p w14:paraId="748F54C8" w14:textId="02D9B53B" w:rsidR="006753D2" w:rsidRPr="002C20AE" w:rsidRDefault="00881DE1" w:rsidP="006753D2">
      <w:pPr>
        <w:pStyle w:val="NormalWeb"/>
        <w:spacing w:line="360" w:lineRule="auto"/>
        <w:jc w:val="both"/>
        <w:rPr>
          <w:rStyle w:val="Strong"/>
          <w:rFonts w:ascii="Arial" w:eastAsiaTheme="majorEastAsia" w:hAnsi="Arial" w:cs="Arial"/>
        </w:rPr>
      </w:pPr>
      <w:r w:rsidRPr="002C20AE">
        <w:rPr>
          <w:rStyle w:val="Strong"/>
          <w:rFonts w:ascii="Arial" w:eastAsiaTheme="majorEastAsia" w:hAnsi="Arial" w:cs="Arial"/>
        </w:rPr>
        <w:t>Market Penetration</w:t>
      </w:r>
    </w:p>
    <w:p w14:paraId="4BC7F806" w14:textId="1DBF54B0" w:rsidR="006753D2" w:rsidRPr="002C20AE" w:rsidRDefault="006753D2" w:rsidP="00E8000C">
      <w:pPr>
        <w:pStyle w:val="NormalWeb"/>
        <w:spacing w:line="360" w:lineRule="auto"/>
        <w:jc w:val="both"/>
        <w:rPr>
          <w:rFonts w:ascii="Arial" w:hAnsi="Arial" w:cs="Arial"/>
        </w:rPr>
      </w:pPr>
      <w:r w:rsidRPr="002C20AE">
        <w:rPr>
          <w:rFonts w:ascii="Arial" w:eastAsiaTheme="majorEastAsia" w:hAnsi="Arial" w:cs="Arial"/>
          <w:bCs/>
        </w:rPr>
        <w:lastRenderedPageBreak/>
        <w:t xml:space="preserve">As a follower bank like the </w:t>
      </w:r>
      <w:r w:rsidR="00023BD4" w:rsidRPr="002C20AE">
        <w:rPr>
          <w:rFonts w:ascii="Arial" w:eastAsiaTheme="majorEastAsia" w:hAnsi="Arial" w:cs="Arial"/>
          <w:bCs/>
        </w:rPr>
        <w:t>Lloyds</w:t>
      </w:r>
      <w:r w:rsidRPr="002C20AE">
        <w:rPr>
          <w:rFonts w:ascii="Arial" w:eastAsiaTheme="majorEastAsia" w:hAnsi="Arial" w:cs="Arial"/>
          <w:bCs/>
        </w:rPr>
        <w:t xml:space="preserve"> banking group, it is seeking to further develop business within its current UK market by targeting 18.7 million of its 27 million custome</w:t>
      </w:r>
      <w:r w:rsidR="00236677" w:rsidRPr="002C20AE">
        <w:rPr>
          <w:rFonts w:ascii="Arial" w:eastAsiaTheme="majorEastAsia" w:hAnsi="Arial" w:cs="Arial"/>
          <w:bCs/>
        </w:rPr>
        <w:t>rs as its prime growth targets.</w:t>
      </w:r>
      <w:r w:rsidRPr="002C20AE">
        <w:rPr>
          <w:rFonts w:ascii="Arial" w:eastAsiaTheme="majorEastAsia" w:hAnsi="Arial" w:cs="Arial"/>
          <w:bCs/>
        </w:rPr>
        <w:t xml:space="preserve"> </w:t>
      </w:r>
      <w:r w:rsidR="00236677" w:rsidRPr="002C20AE">
        <w:rPr>
          <w:rFonts w:ascii="Arial" w:eastAsiaTheme="majorEastAsia" w:hAnsi="Arial" w:cs="Arial"/>
          <w:bCs/>
        </w:rPr>
        <w:t>T</w:t>
      </w:r>
      <w:r w:rsidRPr="002C20AE">
        <w:rPr>
          <w:rFonts w:ascii="Arial" w:eastAsiaTheme="majorEastAsia" w:hAnsi="Arial" w:cs="Arial"/>
          <w:bCs/>
        </w:rPr>
        <w:t>he average number of products per customer is expected</w:t>
      </w:r>
      <w:r w:rsidR="002C20AE" w:rsidRPr="002C20AE">
        <w:rPr>
          <w:rFonts w:ascii="Arial" w:eastAsiaTheme="majorEastAsia" w:hAnsi="Arial" w:cs="Arial"/>
          <w:bCs/>
        </w:rPr>
        <w:t xml:space="preserve"> to rise by approximately 5% </w:t>
      </w:r>
      <w:r w:rsidRPr="002C20AE">
        <w:rPr>
          <w:rFonts w:ascii="Arial" w:eastAsiaTheme="majorEastAsia" w:hAnsi="Arial" w:cs="Arial"/>
          <w:bCs/>
        </w:rPr>
        <w:t>in its recent drive</w:t>
      </w:r>
      <w:r w:rsidR="00236677" w:rsidRPr="002C20AE">
        <w:rPr>
          <w:rFonts w:ascii="Arial" w:eastAsiaTheme="majorEastAsia" w:hAnsi="Arial" w:cs="Arial"/>
          <w:bCs/>
        </w:rPr>
        <w:t xml:space="preserve"> </w:t>
      </w:r>
      <w:r w:rsidR="00236677" w:rsidRPr="002C20AE">
        <w:rPr>
          <w:rFonts w:ascii="Arial" w:hAnsi="Arial" w:cs="Arial"/>
        </w:rPr>
        <w:t>(Times of India, 2025)</w:t>
      </w:r>
      <w:r w:rsidR="00236677" w:rsidRPr="002C20AE">
        <w:rPr>
          <w:rFonts w:ascii="Arial" w:eastAsiaTheme="majorEastAsia" w:hAnsi="Arial" w:cs="Arial"/>
          <w:bCs/>
        </w:rPr>
        <w:t>.</w:t>
      </w:r>
      <w:r w:rsidRPr="002C20AE">
        <w:rPr>
          <w:rFonts w:ascii="Arial" w:eastAsiaTheme="majorEastAsia" w:hAnsi="Arial" w:cs="Arial"/>
          <w:bCs/>
        </w:rPr>
        <w:t xml:space="preserve"> This is how a follower bank can use an existing customer base to grow instead of entering and launching new lines in new markets.</w:t>
      </w:r>
    </w:p>
    <w:p w14:paraId="29833E40" w14:textId="77777777" w:rsidR="004470F8" w:rsidRPr="002C20AE" w:rsidRDefault="00881DE1" w:rsidP="00E8000C">
      <w:pPr>
        <w:pStyle w:val="NormalWeb"/>
        <w:spacing w:line="360" w:lineRule="auto"/>
        <w:jc w:val="both"/>
        <w:rPr>
          <w:rStyle w:val="Strong"/>
          <w:rFonts w:ascii="Arial" w:eastAsiaTheme="majorEastAsia" w:hAnsi="Arial" w:cs="Arial"/>
        </w:rPr>
      </w:pPr>
      <w:r w:rsidRPr="002C20AE">
        <w:rPr>
          <w:rStyle w:val="Strong"/>
          <w:rFonts w:ascii="Arial" w:eastAsiaTheme="majorEastAsia" w:hAnsi="Arial" w:cs="Arial"/>
        </w:rPr>
        <w:t>Market Development</w:t>
      </w:r>
    </w:p>
    <w:p w14:paraId="428C283E" w14:textId="1F6B0AD4" w:rsidR="006753D2" w:rsidRPr="002C20AE" w:rsidRDefault="006753D2" w:rsidP="002C20AE">
      <w:pPr>
        <w:spacing w:line="360" w:lineRule="auto"/>
        <w:jc w:val="both"/>
        <w:rPr>
          <w:rStyle w:val="Strong"/>
          <w:rFonts w:ascii="Arial" w:hAnsi="Arial" w:cs="Arial"/>
          <w:b w:val="0"/>
          <w:bCs w:val="0"/>
        </w:rPr>
      </w:pPr>
      <w:r w:rsidRPr="002C20AE">
        <w:rPr>
          <w:rStyle w:val="Strong"/>
          <w:rFonts w:ascii="Arial" w:eastAsiaTheme="majorEastAsia" w:hAnsi="Arial" w:cs="Arial"/>
          <w:b w:val="0"/>
        </w:rPr>
        <w:t>Bank of Baroda (India), another of the followers, intends to increase its balance sheet 2x in five years by entering the so-called micro-markets and establishing</w:t>
      </w:r>
      <w:r w:rsidR="002C20AE" w:rsidRPr="002C20AE">
        <w:rPr>
          <w:rStyle w:val="Strong"/>
          <w:rFonts w:ascii="Arial" w:eastAsiaTheme="majorEastAsia" w:hAnsi="Arial" w:cs="Arial"/>
          <w:b w:val="0"/>
        </w:rPr>
        <w:t xml:space="preserve"> approximately 500 new branches. </w:t>
      </w:r>
      <w:r w:rsidR="002C20AE" w:rsidRPr="002C20AE">
        <w:rPr>
          <w:rFonts w:ascii="Arial" w:hAnsi="Arial" w:cs="Arial"/>
        </w:rPr>
        <w:t xml:space="preserve">FY25 Bank of Baroda figures demonstrate exceptional performance, including 3.08% net interest margin, ₹19,581 crore net profit, 1.16% ROA, and 16.96% ROE </w:t>
      </w:r>
      <w:r w:rsidR="00236677" w:rsidRPr="002C20AE">
        <w:rPr>
          <w:rFonts w:ascii="Arial" w:hAnsi="Arial" w:cs="Arial"/>
        </w:rPr>
        <w:t>(Digital Banking Report, 2025)</w:t>
      </w:r>
      <w:r w:rsidRPr="002C20AE">
        <w:rPr>
          <w:rStyle w:val="Strong"/>
          <w:rFonts w:ascii="Arial" w:eastAsiaTheme="majorEastAsia" w:hAnsi="Arial" w:cs="Arial"/>
          <w:b w:val="0"/>
        </w:rPr>
        <w:t>. This signifies a follower through market development: expanding already existing banking services into new geographical locations or customer groups as opposed to creating new ones altogether.</w:t>
      </w:r>
    </w:p>
    <w:p w14:paraId="50209E3B" w14:textId="752B1DB0" w:rsidR="002C20AE" w:rsidRPr="002C20AE" w:rsidRDefault="002C20AE" w:rsidP="002C20AE">
      <w:pPr>
        <w:pStyle w:val="NormalWeb"/>
        <w:spacing w:line="360" w:lineRule="auto"/>
        <w:jc w:val="center"/>
        <w:rPr>
          <w:rStyle w:val="Strong"/>
          <w:rFonts w:ascii="Arial" w:hAnsi="Arial" w:cs="Arial"/>
          <w:bCs w:val="0"/>
        </w:rPr>
      </w:pPr>
      <w:r w:rsidRPr="002C20AE">
        <w:rPr>
          <w:rStyle w:val="Strong"/>
          <w:rFonts w:ascii="Arial" w:hAnsi="Arial" w:cs="Arial"/>
          <w:bCs w:val="0"/>
          <w:noProof/>
        </w:rPr>
        <w:drawing>
          <wp:inline distT="0" distB="0" distL="0" distR="0" wp14:anchorId="121EE2B3" wp14:editId="5A84CFCB">
            <wp:extent cx="3783489" cy="3329940"/>
            <wp:effectExtent l="0" t="0" r="762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02984" cy="3347098"/>
                    </a:xfrm>
                    <a:prstGeom prst="rect">
                      <a:avLst/>
                    </a:prstGeom>
                  </pic:spPr>
                </pic:pic>
              </a:graphicData>
            </a:graphic>
          </wp:inline>
        </w:drawing>
      </w:r>
    </w:p>
    <w:p w14:paraId="31810467" w14:textId="5DD41F66" w:rsidR="002C20AE" w:rsidRPr="002C20AE" w:rsidRDefault="002C20AE" w:rsidP="002C20AE">
      <w:pPr>
        <w:pStyle w:val="NormalWeb"/>
        <w:spacing w:line="360" w:lineRule="auto"/>
        <w:jc w:val="center"/>
        <w:rPr>
          <w:rStyle w:val="Strong"/>
          <w:rFonts w:ascii="Arial" w:hAnsi="Arial" w:cs="Arial"/>
          <w:bCs w:val="0"/>
        </w:rPr>
      </w:pPr>
      <w:r w:rsidRPr="002C20AE">
        <w:rPr>
          <w:rStyle w:val="Strong"/>
          <w:rFonts w:ascii="Arial" w:hAnsi="Arial" w:cs="Arial"/>
          <w:bCs w:val="0"/>
        </w:rPr>
        <w:t>Fig 6: Key Drivers of BOB</w:t>
      </w:r>
    </w:p>
    <w:p w14:paraId="2DC58404" w14:textId="5F9ABD12" w:rsidR="002C20AE" w:rsidRPr="002C20AE" w:rsidRDefault="002C20AE" w:rsidP="002C20AE">
      <w:pPr>
        <w:pStyle w:val="NormalWeb"/>
        <w:spacing w:line="360" w:lineRule="auto"/>
        <w:jc w:val="center"/>
        <w:rPr>
          <w:rStyle w:val="Strong"/>
          <w:rFonts w:ascii="Arial" w:hAnsi="Arial" w:cs="Arial"/>
          <w:b w:val="0"/>
          <w:bCs w:val="0"/>
        </w:rPr>
      </w:pPr>
      <w:r w:rsidRPr="002C20AE">
        <w:rPr>
          <w:rStyle w:val="Strong"/>
          <w:rFonts w:ascii="Arial" w:hAnsi="Arial" w:cs="Arial"/>
          <w:bCs w:val="0"/>
        </w:rPr>
        <w:t xml:space="preserve">Source: </w:t>
      </w:r>
      <w:r w:rsidRPr="002C20AE">
        <w:rPr>
          <w:rStyle w:val="Strong"/>
          <w:rFonts w:ascii="Arial" w:hAnsi="Arial" w:cs="Arial"/>
          <w:b w:val="0"/>
          <w:bCs w:val="0"/>
        </w:rPr>
        <w:t>(Bank of Baroda, 2025)</w:t>
      </w:r>
    </w:p>
    <w:p w14:paraId="68A60080" w14:textId="77777777" w:rsidR="006753D2" w:rsidRPr="002C20AE" w:rsidRDefault="00881DE1" w:rsidP="006753D2">
      <w:pPr>
        <w:pStyle w:val="NormalWeb"/>
        <w:spacing w:line="360" w:lineRule="auto"/>
        <w:jc w:val="both"/>
        <w:rPr>
          <w:rFonts w:ascii="Arial" w:hAnsi="Arial" w:cs="Arial"/>
        </w:rPr>
      </w:pPr>
      <w:r w:rsidRPr="002C20AE">
        <w:rPr>
          <w:rStyle w:val="Strong"/>
          <w:rFonts w:ascii="Arial" w:hAnsi="Arial" w:cs="Arial"/>
        </w:rPr>
        <w:lastRenderedPageBreak/>
        <w:t>Product Development</w:t>
      </w:r>
      <w:r w:rsidR="006D48D1" w:rsidRPr="002C20AE">
        <w:rPr>
          <w:rFonts w:ascii="Arial" w:hAnsi="Arial" w:cs="Arial"/>
        </w:rPr>
        <w:t xml:space="preserve"> </w:t>
      </w:r>
    </w:p>
    <w:p w14:paraId="77AE1E22" w14:textId="208A7529" w:rsidR="006753D2" w:rsidRPr="002C20AE" w:rsidRDefault="006753D2" w:rsidP="00E8000C">
      <w:pPr>
        <w:pStyle w:val="NormalWeb"/>
        <w:spacing w:line="360" w:lineRule="auto"/>
        <w:jc w:val="both"/>
        <w:rPr>
          <w:rFonts w:ascii="Arial" w:hAnsi="Arial" w:cs="Arial"/>
        </w:rPr>
      </w:pPr>
      <w:r w:rsidRPr="002C20AE">
        <w:t>A follower bank is usually interested in the addition or enhancement of products in its existing market. For example, in 2025, the industry commentary indicates that banks will be more willing to use personalised,</w:t>
      </w:r>
      <w:r w:rsidR="00236677" w:rsidRPr="002C20AE">
        <w:t xml:space="preserve"> data-driven offers on deposits,</w:t>
      </w:r>
      <w:r w:rsidRPr="002C20AE">
        <w:t xml:space="preserve"> lowering their ac</w:t>
      </w:r>
      <w:r w:rsidR="00023BD4" w:rsidRPr="002C20AE">
        <w:t>quisition price by up to 50 per</w:t>
      </w:r>
      <w:r w:rsidRPr="002C20AE">
        <w:t>cent and maximising t</w:t>
      </w:r>
      <w:r w:rsidR="00236677" w:rsidRPr="002C20AE">
        <w:t>heir revenue by 5-15 per</w:t>
      </w:r>
      <w:r w:rsidRPr="002C20AE">
        <w:t>cent</w:t>
      </w:r>
      <w:r w:rsidR="00236677" w:rsidRPr="002C20AE">
        <w:t xml:space="preserve"> </w:t>
      </w:r>
      <w:r w:rsidR="00236677" w:rsidRPr="002C20AE">
        <w:rPr>
          <w:rFonts w:ascii="Arial" w:hAnsi="Arial" w:cs="Arial"/>
        </w:rPr>
        <w:t>(Boston Consulting Group, 2025)</w:t>
      </w:r>
      <w:r w:rsidRPr="002C20AE">
        <w:t>. It indicates that follower banks are reacting by creating new or improving products (e.g. customized deposit accounts, services based on loyalty) as opposed to fully entering unfamiliar markets.</w:t>
      </w:r>
    </w:p>
    <w:p w14:paraId="7201FE29" w14:textId="5CC98C03" w:rsidR="004470F8" w:rsidRPr="002C20AE" w:rsidRDefault="00881DE1" w:rsidP="00E8000C">
      <w:pPr>
        <w:spacing w:line="360" w:lineRule="auto"/>
        <w:jc w:val="both"/>
        <w:rPr>
          <w:rStyle w:val="Strong"/>
          <w:rFonts w:ascii="Arial" w:eastAsiaTheme="majorEastAsia" w:hAnsi="Arial" w:cs="Arial"/>
        </w:rPr>
      </w:pPr>
      <w:r w:rsidRPr="002C20AE">
        <w:rPr>
          <w:rStyle w:val="Strong"/>
          <w:rFonts w:ascii="Arial" w:eastAsiaTheme="majorEastAsia" w:hAnsi="Arial" w:cs="Arial"/>
        </w:rPr>
        <w:t>Diversification</w:t>
      </w:r>
    </w:p>
    <w:p w14:paraId="5060C2E6" w14:textId="07C12F32" w:rsidR="00023BD4" w:rsidRPr="002C20AE" w:rsidRDefault="00023BD4" w:rsidP="00236677">
      <w:pPr>
        <w:pStyle w:val="NormalWeb"/>
        <w:spacing w:line="360" w:lineRule="auto"/>
        <w:jc w:val="both"/>
        <w:rPr>
          <w:rStyle w:val="Strong"/>
          <w:rFonts w:ascii="Arial" w:hAnsi="Arial" w:cs="Arial"/>
          <w:b w:val="0"/>
          <w:bCs w:val="0"/>
        </w:rPr>
      </w:pPr>
      <w:r w:rsidRPr="002C20AE">
        <w:rPr>
          <w:rStyle w:val="Strong"/>
          <w:rFonts w:ascii="Arial" w:hAnsi="Arial" w:cs="Arial"/>
          <w:b w:val="0"/>
          <w:bCs w:val="0"/>
        </w:rPr>
        <w:t>Even though this is not a frequent case with smaller banks, followers can also tentatively enter adjacent services. As an example, growth strategies include fintech collabs, Banking-as-a-Service and non-traditional financial services which banks are considering</w:t>
      </w:r>
      <w:r w:rsidR="00236677" w:rsidRPr="002C20AE">
        <w:rPr>
          <w:rStyle w:val="Strong"/>
          <w:rFonts w:ascii="Arial" w:hAnsi="Arial" w:cs="Arial"/>
          <w:b w:val="0"/>
          <w:bCs w:val="0"/>
        </w:rPr>
        <w:t xml:space="preserve"> </w:t>
      </w:r>
      <w:r w:rsidR="00236677" w:rsidRPr="002C20AE">
        <w:rPr>
          <w:rFonts w:ascii="Arial" w:hAnsi="Arial" w:cs="Arial"/>
        </w:rPr>
        <w:t>(Accenture, 2025)</w:t>
      </w:r>
      <w:r w:rsidRPr="002C20AE">
        <w:rPr>
          <w:rStyle w:val="Strong"/>
          <w:rFonts w:ascii="Arial" w:hAnsi="Arial" w:cs="Arial"/>
          <w:b w:val="0"/>
          <w:bCs w:val="0"/>
        </w:rPr>
        <w:t>. The review shows that 58 percent of consumers bought at least one financial services product in the last 12 months with a new provider, indicating cross-industry opportunity. Another possible reaction to this could be a follower bank providing non-core services (insurance, fintech-embedded services) to diversify revenues, even though at smaller scale and greater caution compared to the pioneers.</w:t>
      </w:r>
    </w:p>
    <w:p w14:paraId="0F749A7F" w14:textId="77777777" w:rsidR="004470F8" w:rsidRPr="002C20AE" w:rsidRDefault="00DE5D5B" w:rsidP="00E8000C">
      <w:pPr>
        <w:pStyle w:val="NormalWeb"/>
        <w:spacing w:line="360" w:lineRule="auto"/>
        <w:jc w:val="both"/>
        <w:rPr>
          <w:rFonts w:ascii="Arial" w:eastAsiaTheme="majorEastAsia" w:hAnsi="Arial" w:cs="Arial"/>
          <w:b/>
        </w:rPr>
      </w:pPr>
      <w:r w:rsidRPr="002C20AE">
        <w:rPr>
          <w:rFonts w:ascii="Arial" w:eastAsiaTheme="majorEastAsia" w:hAnsi="Arial" w:cs="Arial"/>
          <w:b/>
        </w:rPr>
        <w:t>Porter’s Generic Strategies</w:t>
      </w:r>
    </w:p>
    <w:p w14:paraId="02F82526" w14:textId="77777777" w:rsidR="004470F8" w:rsidRPr="002C20AE" w:rsidRDefault="004470F8" w:rsidP="00E8000C">
      <w:pPr>
        <w:pStyle w:val="NormalWeb"/>
        <w:spacing w:line="360" w:lineRule="auto"/>
        <w:jc w:val="both"/>
        <w:rPr>
          <w:rFonts w:ascii="Arial" w:hAnsi="Arial" w:cs="Arial"/>
        </w:rPr>
      </w:pPr>
      <w:r w:rsidRPr="002C20AE">
        <w:rPr>
          <w:rFonts w:ascii="Arial" w:hAnsi="Arial" w:cs="Arial"/>
          <w:b/>
        </w:rPr>
        <w:t>Cost Leadership</w:t>
      </w:r>
      <w:r w:rsidRPr="002C20AE">
        <w:rPr>
          <w:rFonts w:ascii="Arial" w:hAnsi="Arial" w:cs="Arial"/>
        </w:rPr>
        <w:t xml:space="preserve"> </w:t>
      </w:r>
    </w:p>
    <w:p w14:paraId="013C94C3" w14:textId="71B60B80" w:rsidR="00023BD4" w:rsidRPr="002C20AE" w:rsidRDefault="00023BD4" w:rsidP="00E8000C">
      <w:pPr>
        <w:pStyle w:val="NormalWeb"/>
        <w:spacing w:line="360" w:lineRule="auto"/>
        <w:jc w:val="both"/>
        <w:rPr>
          <w:rFonts w:ascii="Arial" w:hAnsi="Arial" w:cs="Arial"/>
        </w:rPr>
      </w:pPr>
      <w:r w:rsidRPr="002C20AE">
        <w:rPr>
          <w:rFonts w:ascii="Arial" w:hAnsi="Arial" w:cs="Arial"/>
        </w:rPr>
        <w:t>An example of follower banks that employ cost-leadership is the Lloyds banking group (UK), which is moving into digital faster to save on branch costs to support its cost-cutting programme of 4.3 billion pounds by 2025</w:t>
      </w:r>
      <w:r w:rsidR="00236677" w:rsidRPr="002C20AE">
        <w:rPr>
          <w:rFonts w:ascii="Arial" w:hAnsi="Arial" w:cs="Arial"/>
        </w:rPr>
        <w:t xml:space="preserve"> (UNEP Finance Initiative, 2025)</w:t>
      </w:r>
      <w:r w:rsidRPr="002C20AE">
        <w:rPr>
          <w:rFonts w:ascii="Arial" w:hAnsi="Arial" w:cs="Arial"/>
        </w:rPr>
        <w:t>. This will enable Lloyds to provide competitive prices and be profitable but it should make sure that cost re-evaluation does not compromise the services quality.</w:t>
      </w:r>
    </w:p>
    <w:p w14:paraId="10444155" w14:textId="04B5D490" w:rsidR="004470F8" w:rsidRPr="002C20AE" w:rsidRDefault="004470F8" w:rsidP="00E8000C">
      <w:pPr>
        <w:pStyle w:val="NormalWeb"/>
        <w:spacing w:line="360" w:lineRule="auto"/>
        <w:jc w:val="both"/>
        <w:rPr>
          <w:rFonts w:ascii="Arial" w:hAnsi="Arial" w:cs="Arial"/>
          <w:b/>
        </w:rPr>
      </w:pPr>
      <w:r w:rsidRPr="002C20AE">
        <w:rPr>
          <w:rFonts w:ascii="Arial" w:hAnsi="Arial" w:cs="Arial"/>
          <w:b/>
        </w:rPr>
        <w:t>Differentiation Strategy</w:t>
      </w:r>
    </w:p>
    <w:p w14:paraId="0C23B198" w14:textId="4D5BCEAE" w:rsidR="00023BD4" w:rsidRPr="002C20AE" w:rsidRDefault="00023BD4" w:rsidP="00E8000C">
      <w:pPr>
        <w:pStyle w:val="NormalWeb"/>
        <w:spacing w:line="360" w:lineRule="auto"/>
        <w:jc w:val="both"/>
        <w:rPr>
          <w:rFonts w:ascii="Arial" w:hAnsi="Arial" w:cs="Arial"/>
        </w:rPr>
      </w:pPr>
      <w:r w:rsidRPr="002C20AE">
        <w:rPr>
          <w:rFonts w:ascii="Arial" w:hAnsi="Arial" w:cs="Arial"/>
        </w:rPr>
        <w:t xml:space="preserve">Scotiabank (Canada) pursues a differentiation strategy by defining more digital platforms in Latin America, where its digital businesses have increased to over 20% </w:t>
      </w:r>
      <w:r w:rsidRPr="002C20AE">
        <w:rPr>
          <w:rFonts w:ascii="Arial" w:hAnsi="Arial" w:cs="Arial"/>
        </w:rPr>
        <w:lastRenderedPageBreak/>
        <w:t>annually by 2025, enhancing customer experience without having to compete on the leadership of innovation</w:t>
      </w:r>
      <w:r w:rsidR="00236677" w:rsidRPr="002C20AE">
        <w:rPr>
          <w:rFonts w:ascii="Arial" w:hAnsi="Arial" w:cs="Arial"/>
        </w:rPr>
        <w:t xml:space="preserve"> (Reuters, 2025)</w:t>
      </w:r>
      <w:r w:rsidRPr="002C20AE">
        <w:rPr>
          <w:rFonts w:ascii="Arial" w:hAnsi="Arial" w:cs="Arial"/>
        </w:rPr>
        <w:t>. This assists the bank to be distinguished in the chosen areas, but it is a challenge to keep up with more rapid fintech competitors.</w:t>
      </w:r>
    </w:p>
    <w:p w14:paraId="258B069D" w14:textId="77777777" w:rsidR="004470F8" w:rsidRPr="002C20AE" w:rsidRDefault="004470F8" w:rsidP="00E8000C">
      <w:pPr>
        <w:spacing w:line="360" w:lineRule="auto"/>
        <w:jc w:val="both"/>
        <w:rPr>
          <w:rFonts w:ascii="Arial" w:eastAsia="Times New Roman" w:hAnsi="Arial" w:cs="Arial"/>
          <w:kern w:val="0"/>
          <w:lang w:val="en-IN" w:eastAsia="en-IN"/>
          <w14:ligatures w14:val="none"/>
        </w:rPr>
      </w:pPr>
      <w:r w:rsidRPr="002C20AE">
        <w:rPr>
          <w:rFonts w:ascii="Arial" w:hAnsi="Arial" w:cs="Arial"/>
          <w:b/>
        </w:rPr>
        <w:t>Focus Strategy</w:t>
      </w:r>
    </w:p>
    <w:p w14:paraId="4A3625D9" w14:textId="2481ECB0" w:rsidR="004470F8" w:rsidRPr="002C20AE" w:rsidRDefault="00023BD4" w:rsidP="00236677">
      <w:pPr>
        <w:pStyle w:val="NormalWeb"/>
        <w:spacing w:line="360" w:lineRule="auto"/>
        <w:jc w:val="both"/>
        <w:rPr>
          <w:rFonts w:ascii="Arial" w:hAnsi="Arial" w:cs="Arial"/>
        </w:rPr>
      </w:pPr>
      <w:r w:rsidRPr="002C20AE">
        <w:rPr>
          <w:rFonts w:ascii="Arial" w:eastAsiaTheme="majorEastAsia" w:hAnsi="Arial" w:cs="Arial"/>
        </w:rPr>
        <w:t>Regions Bank (USA) uses a focus strategy, focusing on specialised lending and wealth services in the south-eastern part of the USA, which enables it to grow its revenues 10% annually by 2025 through target customer groups</w:t>
      </w:r>
      <w:r w:rsidR="00236677" w:rsidRPr="002C20AE">
        <w:rPr>
          <w:rFonts w:ascii="Arial" w:eastAsiaTheme="majorEastAsia" w:hAnsi="Arial" w:cs="Arial"/>
        </w:rPr>
        <w:t xml:space="preserve"> </w:t>
      </w:r>
      <w:r w:rsidR="00236677" w:rsidRPr="002C20AE">
        <w:rPr>
          <w:rFonts w:ascii="Arial" w:hAnsi="Arial" w:cs="Arial"/>
        </w:rPr>
        <w:t>(The Guardian, 2025)</w:t>
      </w:r>
      <w:r w:rsidRPr="002C20AE">
        <w:rPr>
          <w:rFonts w:ascii="Arial" w:eastAsiaTheme="majorEastAsia" w:hAnsi="Arial" w:cs="Arial"/>
        </w:rPr>
        <w:t>. The niche target enhances the competitiveness of the local market but it restricts national market growth as compared to bigger banks.</w:t>
      </w:r>
    </w:p>
    <w:p w14:paraId="4E64E644" w14:textId="77777777" w:rsidR="00023BD4" w:rsidRPr="002C20AE" w:rsidRDefault="00023BD4">
      <w:pPr>
        <w:rPr>
          <w:rFonts w:ascii="Arial" w:eastAsiaTheme="majorEastAsia" w:hAnsi="Arial" w:cs="Arial"/>
          <w:b/>
        </w:rPr>
      </w:pPr>
      <w:bookmarkStart w:id="32" w:name="_Toc213502880"/>
      <w:bookmarkStart w:id="33" w:name="_Toc213502896"/>
      <w:bookmarkStart w:id="34" w:name="_Toc211437177"/>
      <w:r w:rsidRPr="002C20AE">
        <w:rPr>
          <w:rFonts w:ascii="Arial" w:hAnsi="Arial" w:cs="Arial"/>
          <w:b/>
        </w:rPr>
        <w:br w:type="page"/>
      </w:r>
    </w:p>
    <w:p w14:paraId="08D9FCE9" w14:textId="1F4C54FB" w:rsidR="00DE5D5B" w:rsidRPr="002C20AE" w:rsidRDefault="00DE5D5B" w:rsidP="00E8000C">
      <w:pPr>
        <w:pStyle w:val="Heading1"/>
        <w:spacing w:line="360" w:lineRule="auto"/>
        <w:jc w:val="both"/>
        <w:rPr>
          <w:rFonts w:ascii="Arial" w:hAnsi="Arial" w:cs="Arial"/>
          <w:b/>
          <w:color w:val="auto"/>
          <w:sz w:val="24"/>
          <w:szCs w:val="24"/>
        </w:rPr>
      </w:pPr>
      <w:bookmarkStart w:id="35" w:name="_Toc214431740"/>
      <w:r w:rsidRPr="002C20AE">
        <w:rPr>
          <w:rFonts w:ascii="Arial" w:hAnsi="Arial" w:cs="Arial"/>
          <w:b/>
          <w:color w:val="auto"/>
          <w:sz w:val="24"/>
          <w:szCs w:val="24"/>
        </w:rPr>
        <w:lastRenderedPageBreak/>
        <w:t>4.</w:t>
      </w:r>
      <w:r w:rsidR="005F7476" w:rsidRPr="002C20AE">
        <w:rPr>
          <w:rFonts w:ascii="Arial" w:hAnsi="Arial" w:cs="Arial"/>
          <w:b/>
          <w:color w:val="auto"/>
          <w:sz w:val="24"/>
          <w:szCs w:val="24"/>
        </w:rPr>
        <w:t>0</w:t>
      </w:r>
      <w:r w:rsidRPr="002C20AE">
        <w:rPr>
          <w:rFonts w:ascii="Arial" w:hAnsi="Arial" w:cs="Arial"/>
          <w:b/>
          <w:color w:val="auto"/>
          <w:sz w:val="24"/>
          <w:szCs w:val="24"/>
        </w:rPr>
        <w:t xml:space="preserve"> Conclusion</w:t>
      </w:r>
      <w:bookmarkEnd w:id="32"/>
      <w:bookmarkEnd w:id="33"/>
      <w:bookmarkEnd w:id="35"/>
      <w:r w:rsidRPr="002C20AE">
        <w:rPr>
          <w:rFonts w:ascii="Arial" w:hAnsi="Arial" w:cs="Arial"/>
          <w:b/>
          <w:color w:val="auto"/>
          <w:sz w:val="24"/>
          <w:szCs w:val="24"/>
        </w:rPr>
        <w:t xml:space="preserve"> </w:t>
      </w:r>
      <w:bookmarkEnd w:id="34"/>
    </w:p>
    <w:p w14:paraId="58D26835" w14:textId="6D417262" w:rsidR="00896D29" w:rsidRPr="002C20AE" w:rsidRDefault="00896D29" w:rsidP="00E8000C">
      <w:pPr>
        <w:spacing w:line="360" w:lineRule="auto"/>
        <w:jc w:val="both"/>
        <w:rPr>
          <w:rFonts w:ascii="Arial" w:eastAsiaTheme="majorEastAsia" w:hAnsi="Arial" w:cs="Arial"/>
          <w:b/>
        </w:rPr>
      </w:pPr>
      <w:r w:rsidRPr="002C20AE">
        <w:rPr>
          <w:rFonts w:ascii="Arial" w:eastAsiaTheme="majorEastAsia" w:hAnsi="Arial" w:cs="Arial"/>
          <w:b/>
        </w:rPr>
        <w:t>Key findings from both tasks</w:t>
      </w:r>
    </w:p>
    <w:p w14:paraId="5714C65F" w14:textId="30114E39" w:rsidR="00023BD4" w:rsidRPr="002C20AE" w:rsidRDefault="00023BD4" w:rsidP="00E8000C">
      <w:pPr>
        <w:spacing w:line="360" w:lineRule="auto"/>
        <w:jc w:val="both"/>
        <w:rPr>
          <w:rFonts w:ascii="Arial" w:eastAsiaTheme="majorEastAsia" w:hAnsi="Arial" w:cs="Arial"/>
        </w:rPr>
      </w:pPr>
      <w:r w:rsidRPr="002C20AE">
        <w:rPr>
          <w:rFonts w:ascii="Arial" w:eastAsiaTheme="majorEastAsia" w:hAnsi="Arial" w:cs="Arial"/>
        </w:rPr>
        <w:t>It is revealed that in strategic marketing choices in the banking sector, technological and environmental forces are highly influential and impact innovators and followers differently. By being the first to embrace AI, digital solutions and high levels of sustainability pledges can provide competitive advantage, add new products and build brand dominance, as followers embrace well-tested technologies and sustainability-focused programs to minimize risk and stay relevant. In both categories, both Ansoff Growth Matrix and Porters generic strategy models have seen that pioneers use aggressive innovation, diversification and differentiation, and followers use incremental improvement, selective market expansion and niche-based strategies as survival strategies.</w:t>
      </w:r>
    </w:p>
    <w:p w14:paraId="5FB6AEC7" w14:textId="358B9534" w:rsidR="00DE5D5B" w:rsidRPr="002C20AE" w:rsidRDefault="00896D29" w:rsidP="00E8000C">
      <w:pPr>
        <w:spacing w:line="360" w:lineRule="auto"/>
        <w:jc w:val="both"/>
        <w:rPr>
          <w:rFonts w:ascii="Arial" w:eastAsiaTheme="majorEastAsia" w:hAnsi="Arial" w:cs="Arial"/>
          <w:b/>
        </w:rPr>
      </w:pPr>
      <w:r w:rsidRPr="002C20AE">
        <w:rPr>
          <w:rFonts w:ascii="Arial" w:eastAsiaTheme="majorEastAsia" w:hAnsi="Arial" w:cs="Arial"/>
          <w:b/>
        </w:rPr>
        <w:t>S</w:t>
      </w:r>
      <w:r w:rsidR="00DE5D5B" w:rsidRPr="002C20AE">
        <w:rPr>
          <w:rFonts w:ascii="Arial" w:eastAsiaTheme="majorEastAsia" w:hAnsi="Arial" w:cs="Arial"/>
          <w:b/>
        </w:rPr>
        <w:t>trategic significance of environmental scanning a</w:t>
      </w:r>
      <w:r w:rsidRPr="002C20AE">
        <w:rPr>
          <w:rFonts w:ascii="Arial" w:eastAsiaTheme="majorEastAsia" w:hAnsi="Arial" w:cs="Arial"/>
          <w:b/>
        </w:rPr>
        <w:t>nd adaptive marketing responses</w:t>
      </w:r>
    </w:p>
    <w:p w14:paraId="64872AFE" w14:textId="312CD0A0" w:rsidR="00896D29" w:rsidRPr="002C20AE" w:rsidRDefault="00023BD4" w:rsidP="00E8000C">
      <w:pPr>
        <w:spacing w:line="360" w:lineRule="auto"/>
        <w:jc w:val="both"/>
        <w:rPr>
          <w:rFonts w:ascii="Arial" w:eastAsia="Times New Roman" w:hAnsi="Arial" w:cs="Arial"/>
          <w:kern w:val="0"/>
          <w:lang w:val="en-IN" w:eastAsia="en-IN"/>
          <w14:ligatures w14:val="none"/>
        </w:rPr>
      </w:pPr>
      <w:r w:rsidRPr="002C20AE">
        <w:rPr>
          <w:rFonts w:ascii="Arial" w:eastAsia="Times New Roman" w:hAnsi="Arial" w:cs="Arial"/>
          <w:kern w:val="0"/>
          <w:lang w:val="en-IN" w:eastAsia="en-IN"/>
          <w14:ligatures w14:val="none"/>
        </w:rPr>
        <w:t>Strategically, environmental scanning helps banks to predict the changes in technology, expectations of regulations and sustainability to ensure they develop marketing responses timely to prevent competitive disadvantage. With the current pace of digital transformation and global ESG standards becoming stricter, it is necessary to keep an eye on the macro environment of banks and change product portfolios, pricing, customer engagement, and competitive positioning. The adaptive marketing reactions to change, including the speedy development of digital tools, the creation of green finance, and the segmentation based approaches will help those who want to be pioneers and followers to stay in line with the new needs of customers and the dynamics of the industry in order to promote the growth and sustainability in the long run.</w:t>
      </w:r>
    </w:p>
    <w:p w14:paraId="09BAD8BC" w14:textId="77777777" w:rsidR="00896D29" w:rsidRPr="002C20AE" w:rsidRDefault="00896D29" w:rsidP="00E8000C">
      <w:pPr>
        <w:spacing w:line="360" w:lineRule="auto"/>
        <w:jc w:val="both"/>
        <w:rPr>
          <w:rFonts w:ascii="Arial" w:eastAsiaTheme="majorEastAsia" w:hAnsi="Arial" w:cs="Arial"/>
          <w:b/>
        </w:rPr>
      </w:pPr>
    </w:p>
    <w:p w14:paraId="7E5DBFAA" w14:textId="77777777" w:rsidR="00896D29" w:rsidRPr="002C20AE" w:rsidRDefault="00896D29" w:rsidP="00E8000C">
      <w:pPr>
        <w:spacing w:line="360" w:lineRule="auto"/>
        <w:jc w:val="both"/>
        <w:rPr>
          <w:rFonts w:ascii="Arial" w:eastAsiaTheme="majorEastAsia" w:hAnsi="Arial" w:cs="Arial"/>
          <w:b/>
          <w:bCs/>
        </w:rPr>
      </w:pPr>
      <w:bookmarkStart w:id="36" w:name="_Toc211437178"/>
      <w:r w:rsidRPr="002C20AE">
        <w:rPr>
          <w:rFonts w:ascii="Arial" w:hAnsi="Arial" w:cs="Arial"/>
          <w:b/>
          <w:bCs/>
        </w:rPr>
        <w:br w:type="page"/>
      </w:r>
    </w:p>
    <w:p w14:paraId="72C6B732" w14:textId="76DAD251" w:rsidR="004470F8" w:rsidRPr="002C20AE" w:rsidRDefault="00DE5D5B" w:rsidP="00E8000C">
      <w:pPr>
        <w:pStyle w:val="Heading1"/>
        <w:spacing w:line="360" w:lineRule="auto"/>
        <w:jc w:val="both"/>
        <w:rPr>
          <w:rFonts w:ascii="Arial" w:hAnsi="Arial" w:cs="Arial"/>
          <w:b/>
          <w:color w:val="auto"/>
          <w:sz w:val="24"/>
          <w:szCs w:val="24"/>
        </w:rPr>
      </w:pPr>
      <w:bookmarkStart w:id="37" w:name="_Toc213502881"/>
      <w:bookmarkStart w:id="38" w:name="_Toc213502897"/>
      <w:bookmarkStart w:id="39" w:name="_Toc214431741"/>
      <w:r w:rsidRPr="002C20AE">
        <w:rPr>
          <w:rFonts w:ascii="Arial" w:hAnsi="Arial" w:cs="Arial"/>
          <w:b/>
          <w:color w:val="auto"/>
          <w:sz w:val="24"/>
          <w:szCs w:val="24"/>
        </w:rPr>
        <w:lastRenderedPageBreak/>
        <w:t>5.</w:t>
      </w:r>
      <w:r w:rsidR="005F7476" w:rsidRPr="002C20AE">
        <w:rPr>
          <w:rFonts w:ascii="Arial" w:hAnsi="Arial" w:cs="Arial"/>
          <w:b/>
          <w:color w:val="auto"/>
          <w:sz w:val="24"/>
          <w:szCs w:val="24"/>
        </w:rPr>
        <w:t>0</w:t>
      </w:r>
      <w:r w:rsidRPr="002C20AE">
        <w:rPr>
          <w:rFonts w:ascii="Arial" w:hAnsi="Arial" w:cs="Arial"/>
          <w:b/>
          <w:color w:val="auto"/>
          <w:sz w:val="24"/>
          <w:szCs w:val="24"/>
        </w:rPr>
        <w:t xml:space="preserve"> References</w:t>
      </w:r>
      <w:bookmarkEnd w:id="37"/>
      <w:bookmarkEnd w:id="38"/>
      <w:bookmarkEnd w:id="39"/>
      <w:r w:rsidRPr="002C20AE">
        <w:rPr>
          <w:rFonts w:ascii="Arial" w:hAnsi="Arial" w:cs="Arial"/>
          <w:b/>
          <w:color w:val="auto"/>
          <w:sz w:val="24"/>
          <w:szCs w:val="24"/>
        </w:rPr>
        <w:t xml:space="preserve"> </w:t>
      </w:r>
      <w:bookmarkEnd w:id="36"/>
    </w:p>
    <w:p w14:paraId="0E4A6C91"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Accenture (2025) </w:t>
      </w:r>
      <w:r w:rsidRPr="002C20AE">
        <w:rPr>
          <w:rStyle w:val="Emphasis"/>
          <w:rFonts w:ascii="Arial" w:eastAsiaTheme="majorEastAsia" w:hAnsi="Arial" w:cs="Arial"/>
        </w:rPr>
        <w:t>Top 10 Trends in Banking 2025</w:t>
      </w:r>
      <w:r w:rsidRPr="002C20AE">
        <w:rPr>
          <w:rFonts w:ascii="Arial" w:hAnsi="Arial" w:cs="Arial"/>
        </w:rPr>
        <w:t xml:space="preserve">. Available at: </w:t>
      </w:r>
      <w:hyperlink r:id="rId15" w:tgtFrame="_new" w:history="1">
        <w:r w:rsidRPr="002C20AE">
          <w:rPr>
            <w:rStyle w:val="Hyperlink"/>
            <w:rFonts w:ascii="Arial" w:eastAsiaTheme="majorEastAsia" w:hAnsi="Arial" w:cs="Arial"/>
            <w:color w:val="auto"/>
          </w:rPr>
          <w:t>https://www.accenture.com/us-en/insights/banking/top-10-trends-banking-2025</w:t>
        </w:r>
      </w:hyperlink>
      <w:r w:rsidRPr="002C20AE">
        <w:rPr>
          <w:rFonts w:ascii="Arial" w:hAnsi="Arial" w:cs="Arial"/>
        </w:rPr>
        <w:t xml:space="preserve"> </w:t>
      </w:r>
    </w:p>
    <w:p w14:paraId="5833AE45" w14:textId="77777777" w:rsidR="00023BD4" w:rsidRPr="002C20AE" w:rsidRDefault="00023BD4" w:rsidP="00023BD4">
      <w:pPr>
        <w:pStyle w:val="NormalWeb"/>
        <w:spacing w:line="360" w:lineRule="auto"/>
        <w:jc w:val="both"/>
        <w:rPr>
          <w:rFonts w:ascii="Arial" w:hAnsi="Arial" w:cs="Arial"/>
        </w:rPr>
      </w:pPr>
      <w:proofErr w:type="spellStart"/>
      <w:r w:rsidRPr="002C20AE">
        <w:rPr>
          <w:rFonts w:ascii="Arial" w:hAnsi="Arial" w:cs="Arial"/>
        </w:rPr>
        <w:t>Alkami</w:t>
      </w:r>
      <w:proofErr w:type="spellEnd"/>
      <w:r w:rsidRPr="002C20AE">
        <w:rPr>
          <w:rFonts w:ascii="Arial" w:hAnsi="Arial" w:cs="Arial"/>
        </w:rPr>
        <w:t xml:space="preserve"> Technology (2025) </w:t>
      </w:r>
      <w:r w:rsidRPr="002C20AE">
        <w:rPr>
          <w:rStyle w:val="Emphasis"/>
          <w:rFonts w:ascii="Arial" w:eastAsiaTheme="majorEastAsia" w:hAnsi="Arial" w:cs="Arial"/>
        </w:rPr>
        <w:t>2025 Digital Banking Performance Metrics Report</w:t>
      </w:r>
      <w:r w:rsidRPr="002C20AE">
        <w:rPr>
          <w:rFonts w:ascii="Arial" w:hAnsi="Arial" w:cs="Arial"/>
        </w:rPr>
        <w:t xml:space="preserve">. Available at: </w:t>
      </w:r>
      <w:hyperlink r:id="rId16" w:tgtFrame="_new" w:history="1">
        <w:r w:rsidRPr="002C20AE">
          <w:rPr>
            <w:rStyle w:val="Hyperlink"/>
            <w:rFonts w:ascii="Arial" w:eastAsiaTheme="majorEastAsia" w:hAnsi="Arial" w:cs="Arial"/>
            <w:color w:val="auto"/>
          </w:rPr>
          <w:t>https://www.alkami.com/resources/research/reports/the-2025-digital-banking-performance-metrics-report/</w:t>
        </w:r>
      </w:hyperlink>
      <w:r w:rsidRPr="002C20AE">
        <w:rPr>
          <w:rFonts w:ascii="Arial" w:hAnsi="Arial" w:cs="Arial"/>
        </w:rPr>
        <w:t xml:space="preserve"> </w:t>
      </w:r>
    </w:p>
    <w:p w14:paraId="51B184BA"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Banking Worldwide (2025) </w:t>
      </w:r>
      <w:r w:rsidRPr="002C20AE">
        <w:rPr>
          <w:rStyle w:val="Emphasis"/>
          <w:rFonts w:ascii="Arial" w:eastAsiaTheme="majorEastAsia" w:hAnsi="Arial" w:cs="Arial"/>
        </w:rPr>
        <w:t>The Future of Sustainable Finance and ESG Banking</w:t>
      </w:r>
      <w:r w:rsidRPr="002C20AE">
        <w:rPr>
          <w:rFonts w:ascii="Arial" w:hAnsi="Arial" w:cs="Arial"/>
        </w:rPr>
        <w:t xml:space="preserve">. Available at: </w:t>
      </w:r>
      <w:hyperlink r:id="rId17" w:tgtFrame="_new" w:history="1">
        <w:r w:rsidRPr="002C20AE">
          <w:rPr>
            <w:rStyle w:val="Hyperlink"/>
            <w:rFonts w:ascii="Arial" w:eastAsiaTheme="majorEastAsia" w:hAnsi="Arial" w:cs="Arial"/>
            <w:color w:val="auto"/>
          </w:rPr>
          <w:t>https://www.banking-worldwide.com/markets/the-future-of-sustainable-finance-and-esg-banking/</w:t>
        </w:r>
      </w:hyperlink>
      <w:r w:rsidRPr="002C20AE">
        <w:rPr>
          <w:rFonts w:ascii="Arial" w:hAnsi="Arial" w:cs="Arial"/>
        </w:rPr>
        <w:t xml:space="preserve"> </w:t>
      </w:r>
    </w:p>
    <w:p w14:paraId="223DB07C"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Boston Consulting Group (2025) </w:t>
      </w:r>
      <w:r w:rsidRPr="002C20AE">
        <w:rPr>
          <w:rStyle w:val="Emphasis"/>
          <w:rFonts w:ascii="Arial" w:eastAsiaTheme="majorEastAsia" w:hAnsi="Arial" w:cs="Arial"/>
        </w:rPr>
        <w:t>The Future of Finance 2025: Fit for Growth, Built for Purpose</w:t>
      </w:r>
      <w:r w:rsidRPr="002C20AE">
        <w:rPr>
          <w:rFonts w:ascii="Arial" w:hAnsi="Arial" w:cs="Arial"/>
        </w:rPr>
        <w:t xml:space="preserve">. Available at: </w:t>
      </w:r>
      <w:hyperlink r:id="rId18" w:tgtFrame="_new" w:history="1">
        <w:r w:rsidRPr="002C20AE">
          <w:rPr>
            <w:rStyle w:val="Hyperlink"/>
            <w:rFonts w:ascii="Arial" w:eastAsiaTheme="majorEastAsia" w:hAnsi="Arial" w:cs="Arial"/>
            <w:color w:val="auto"/>
          </w:rPr>
          <w:t>https://www.bcg.com/publications/2025/the-future-of-finance-fit-for-growth-built-for-purpose</w:t>
        </w:r>
      </w:hyperlink>
      <w:r w:rsidRPr="002C20AE">
        <w:rPr>
          <w:rFonts w:ascii="Arial" w:hAnsi="Arial" w:cs="Arial"/>
        </w:rPr>
        <w:t xml:space="preserve"> </w:t>
      </w:r>
    </w:p>
    <w:p w14:paraId="33A84184"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Climate Policy Initiative (2025) </w:t>
      </w:r>
      <w:r w:rsidRPr="002C20AE">
        <w:rPr>
          <w:rStyle w:val="Emphasis"/>
          <w:rFonts w:ascii="Arial" w:eastAsiaTheme="majorEastAsia" w:hAnsi="Arial" w:cs="Arial"/>
        </w:rPr>
        <w:t>The State of Green Banks 2025</w:t>
      </w:r>
      <w:r w:rsidRPr="002C20AE">
        <w:rPr>
          <w:rFonts w:ascii="Arial" w:hAnsi="Arial" w:cs="Arial"/>
        </w:rPr>
        <w:t xml:space="preserve">. Available at: </w:t>
      </w:r>
      <w:hyperlink r:id="rId19" w:tgtFrame="_new" w:history="1">
        <w:r w:rsidRPr="002C20AE">
          <w:rPr>
            <w:rStyle w:val="Hyperlink"/>
            <w:rFonts w:ascii="Arial" w:eastAsiaTheme="majorEastAsia" w:hAnsi="Arial" w:cs="Arial"/>
            <w:color w:val="auto"/>
          </w:rPr>
          <w:t>https://www.climatepolicyinitiative.org/wp-content/uploads/2025/04/The-State-of-Green-Banks-2025.pdf</w:t>
        </w:r>
      </w:hyperlink>
      <w:r w:rsidRPr="002C20AE">
        <w:rPr>
          <w:rFonts w:ascii="Arial" w:hAnsi="Arial" w:cs="Arial"/>
        </w:rPr>
        <w:t xml:space="preserve"> </w:t>
      </w:r>
    </w:p>
    <w:p w14:paraId="58E62ED5" w14:textId="77777777" w:rsidR="00023BD4" w:rsidRPr="002C20AE" w:rsidRDefault="00023BD4" w:rsidP="00023BD4">
      <w:pPr>
        <w:pStyle w:val="NormalWeb"/>
        <w:spacing w:line="360" w:lineRule="auto"/>
        <w:jc w:val="both"/>
        <w:rPr>
          <w:rFonts w:ascii="Arial" w:hAnsi="Arial" w:cs="Arial"/>
        </w:rPr>
      </w:pPr>
      <w:proofErr w:type="spellStart"/>
      <w:r w:rsidRPr="002C20AE">
        <w:rPr>
          <w:rFonts w:ascii="Arial" w:hAnsi="Arial" w:cs="Arial"/>
        </w:rPr>
        <w:t>CoinLaw</w:t>
      </w:r>
      <w:proofErr w:type="spellEnd"/>
      <w:r w:rsidRPr="002C20AE">
        <w:rPr>
          <w:rFonts w:ascii="Arial" w:hAnsi="Arial" w:cs="Arial"/>
        </w:rPr>
        <w:t xml:space="preserve"> (2025) </w:t>
      </w:r>
      <w:r w:rsidRPr="002C20AE">
        <w:rPr>
          <w:rStyle w:val="Emphasis"/>
          <w:rFonts w:ascii="Arial" w:eastAsiaTheme="majorEastAsia" w:hAnsi="Arial" w:cs="Arial"/>
        </w:rPr>
        <w:t>Digital Transformation in Banking Statistics</w:t>
      </w:r>
      <w:r w:rsidRPr="002C20AE">
        <w:rPr>
          <w:rFonts w:ascii="Arial" w:hAnsi="Arial" w:cs="Arial"/>
        </w:rPr>
        <w:t xml:space="preserve">. Available at: </w:t>
      </w:r>
      <w:hyperlink r:id="rId20" w:tgtFrame="_new" w:history="1">
        <w:r w:rsidRPr="002C20AE">
          <w:rPr>
            <w:rStyle w:val="Hyperlink"/>
            <w:rFonts w:ascii="Arial" w:eastAsiaTheme="majorEastAsia" w:hAnsi="Arial" w:cs="Arial"/>
            <w:color w:val="auto"/>
          </w:rPr>
          <w:t>https://coinlaw.io/digital-transformation-in-banking-statistics/</w:t>
        </w:r>
      </w:hyperlink>
      <w:r w:rsidRPr="002C20AE">
        <w:rPr>
          <w:rFonts w:ascii="Arial" w:hAnsi="Arial" w:cs="Arial"/>
        </w:rPr>
        <w:t xml:space="preserve"> </w:t>
      </w:r>
    </w:p>
    <w:p w14:paraId="119F7EF8"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Digital Banking Report (2025) </w:t>
      </w:r>
      <w:r w:rsidRPr="002C20AE">
        <w:rPr>
          <w:rStyle w:val="Emphasis"/>
          <w:rFonts w:ascii="Arial" w:eastAsiaTheme="majorEastAsia" w:hAnsi="Arial" w:cs="Arial"/>
        </w:rPr>
        <w:t>2025 Retail Banking Trends and Priorities</w:t>
      </w:r>
      <w:r w:rsidRPr="002C20AE">
        <w:rPr>
          <w:rFonts w:ascii="Arial" w:hAnsi="Arial" w:cs="Arial"/>
        </w:rPr>
        <w:t xml:space="preserve">. Available at: </w:t>
      </w:r>
      <w:hyperlink r:id="rId21" w:tgtFrame="_new" w:history="1">
        <w:r w:rsidRPr="002C20AE">
          <w:rPr>
            <w:rStyle w:val="Hyperlink"/>
            <w:rFonts w:ascii="Arial" w:eastAsiaTheme="majorEastAsia" w:hAnsi="Arial" w:cs="Arial"/>
            <w:color w:val="auto"/>
          </w:rPr>
          <w:t>https://www.digitalbankingreport.com/trends/2025-retail-banking-trends-and-priorities/</w:t>
        </w:r>
      </w:hyperlink>
      <w:r w:rsidRPr="002C20AE">
        <w:rPr>
          <w:rFonts w:ascii="Arial" w:hAnsi="Arial" w:cs="Arial"/>
        </w:rPr>
        <w:t xml:space="preserve"> </w:t>
      </w:r>
    </w:p>
    <w:p w14:paraId="2ED69E8D" w14:textId="77777777" w:rsidR="00023BD4" w:rsidRPr="002C20AE" w:rsidRDefault="00023BD4" w:rsidP="00023BD4">
      <w:pPr>
        <w:pStyle w:val="NormalWeb"/>
        <w:spacing w:line="360" w:lineRule="auto"/>
        <w:jc w:val="both"/>
        <w:rPr>
          <w:rFonts w:ascii="Arial" w:hAnsi="Arial" w:cs="Arial"/>
        </w:rPr>
      </w:pPr>
      <w:proofErr w:type="spellStart"/>
      <w:r w:rsidRPr="002C20AE">
        <w:rPr>
          <w:rFonts w:ascii="Arial" w:hAnsi="Arial" w:cs="Arial"/>
        </w:rPr>
        <w:t>Lumenalta</w:t>
      </w:r>
      <w:proofErr w:type="spellEnd"/>
      <w:r w:rsidRPr="002C20AE">
        <w:rPr>
          <w:rFonts w:ascii="Arial" w:hAnsi="Arial" w:cs="Arial"/>
        </w:rPr>
        <w:t xml:space="preserve"> (2025) </w:t>
      </w:r>
      <w:r w:rsidRPr="002C20AE">
        <w:rPr>
          <w:rStyle w:val="Emphasis"/>
          <w:rFonts w:ascii="Arial" w:eastAsiaTheme="majorEastAsia" w:hAnsi="Arial" w:cs="Arial"/>
        </w:rPr>
        <w:t>A Guide to Digital Transformation in Banking (Updated 2025)</w:t>
      </w:r>
      <w:r w:rsidRPr="002C20AE">
        <w:rPr>
          <w:rFonts w:ascii="Arial" w:hAnsi="Arial" w:cs="Arial"/>
        </w:rPr>
        <w:t xml:space="preserve">. Available at: </w:t>
      </w:r>
      <w:hyperlink r:id="rId22" w:tgtFrame="_new" w:history="1">
        <w:r w:rsidRPr="002C20AE">
          <w:rPr>
            <w:rStyle w:val="Hyperlink"/>
            <w:rFonts w:ascii="Arial" w:eastAsiaTheme="majorEastAsia" w:hAnsi="Arial" w:cs="Arial"/>
            <w:color w:val="auto"/>
          </w:rPr>
          <w:t>https://lumenalta.com/insights/a-guide-to-digital-transformation-in-banking-updated-2025</w:t>
        </w:r>
      </w:hyperlink>
      <w:r w:rsidRPr="002C20AE">
        <w:rPr>
          <w:rFonts w:ascii="Arial" w:hAnsi="Arial" w:cs="Arial"/>
        </w:rPr>
        <w:t xml:space="preserve"> </w:t>
      </w:r>
    </w:p>
    <w:p w14:paraId="7A8D525F"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Market.biz (2025) </w:t>
      </w:r>
      <w:r w:rsidRPr="002C20AE">
        <w:rPr>
          <w:rStyle w:val="Emphasis"/>
          <w:rFonts w:ascii="Arial" w:eastAsiaTheme="majorEastAsia" w:hAnsi="Arial" w:cs="Arial"/>
        </w:rPr>
        <w:t>Digital Banking Statistics: Global Market Overview 2025</w:t>
      </w:r>
      <w:r w:rsidRPr="002C20AE">
        <w:rPr>
          <w:rFonts w:ascii="Arial" w:hAnsi="Arial" w:cs="Arial"/>
        </w:rPr>
        <w:t xml:space="preserve">. Available at: </w:t>
      </w:r>
      <w:hyperlink r:id="rId23" w:tgtFrame="_new" w:history="1">
        <w:r w:rsidRPr="002C20AE">
          <w:rPr>
            <w:rStyle w:val="Hyperlink"/>
            <w:rFonts w:ascii="Arial" w:eastAsiaTheme="majorEastAsia" w:hAnsi="Arial" w:cs="Arial"/>
            <w:color w:val="auto"/>
          </w:rPr>
          <w:t>https://market.biz/digital-banking-statistics/</w:t>
        </w:r>
      </w:hyperlink>
      <w:r w:rsidRPr="002C20AE">
        <w:rPr>
          <w:rFonts w:ascii="Arial" w:hAnsi="Arial" w:cs="Arial"/>
        </w:rPr>
        <w:t xml:space="preserve"> </w:t>
      </w:r>
    </w:p>
    <w:p w14:paraId="1A9E0DD6" w14:textId="77777777" w:rsidR="00023BD4" w:rsidRPr="002C20AE" w:rsidRDefault="00023BD4" w:rsidP="00023BD4">
      <w:pPr>
        <w:pStyle w:val="NormalWeb"/>
        <w:spacing w:line="360" w:lineRule="auto"/>
        <w:jc w:val="both"/>
        <w:rPr>
          <w:rFonts w:ascii="Arial" w:hAnsi="Arial" w:cs="Arial"/>
        </w:rPr>
      </w:pPr>
      <w:proofErr w:type="spellStart"/>
      <w:r w:rsidRPr="002C20AE">
        <w:rPr>
          <w:rFonts w:ascii="Arial" w:hAnsi="Arial" w:cs="Arial"/>
        </w:rPr>
        <w:t>MoneyWeek</w:t>
      </w:r>
      <w:proofErr w:type="spellEnd"/>
      <w:r w:rsidRPr="002C20AE">
        <w:rPr>
          <w:rFonts w:ascii="Arial" w:hAnsi="Arial" w:cs="Arial"/>
        </w:rPr>
        <w:t xml:space="preserve"> (2025) </w:t>
      </w:r>
      <w:r w:rsidRPr="002C20AE">
        <w:rPr>
          <w:rStyle w:val="Emphasis"/>
          <w:rFonts w:ascii="Arial" w:eastAsiaTheme="majorEastAsia" w:hAnsi="Arial" w:cs="Arial"/>
        </w:rPr>
        <w:t>The Biggest Fossil Fuel Financing Banks</w:t>
      </w:r>
      <w:r w:rsidRPr="002C20AE">
        <w:rPr>
          <w:rFonts w:ascii="Arial" w:hAnsi="Arial" w:cs="Arial"/>
        </w:rPr>
        <w:t xml:space="preserve">. Available at: </w:t>
      </w:r>
      <w:hyperlink r:id="rId24" w:tgtFrame="_new" w:history="1">
        <w:r w:rsidRPr="002C20AE">
          <w:rPr>
            <w:rStyle w:val="Hyperlink"/>
            <w:rFonts w:ascii="Arial" w:eastAsiaTheme="majorEastAsia" w:hAnsi="Arial" w:cs="Arial"/>
            <w:color w:val="auto"/>
          </w:rPr>
          <w:t>https://moneyweek.com/personal-finance/biggest-fossil-fuel-financing-banks</w:t>
        </w:r>
      </w:hyperlink>
      <w:r w:rsidRPr="002C20AE">
        <w:rPr>
          <w:rFonts w:ascii="Arial" w:hAnsi="Arial" w:cs="Arial"/>
        </w:rPr>
        <w:t xml:space="preserve"> </w:t>
      </w:r>
    </w:p>
    <w:p w14:paraId="3C858004"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lastRenderedPageBreak/>
        <w:t xml:space="preserve">Moody’s (2025) </w:t>
      </w:r>
      <w:r w:rsidRPr="002C20AE">
        <w:rPr>
          <w:rStyle w:val="Emphasis"/>
          <w:rFonts w:ascii="Arial" w:eastAsiaTheme="majorEastAsia" w:hAnsi="Arial" w:cs="Arial"/>
        </w:rPr>
        <w:t>ESG and Sustainable Finance 2025 Outlook</w:t>
      </w:r>
      <w:r w:rsidRPr="002C20AE">
        <w:rPr>
          <w:rFonts w:ascii="Arial" w:hAnsi="Arial" w:cs="Arial"/>
        </w:rPr>
        <w:t xml:space="preserve">. Available at: </w:t>
      </w:r>
      <w:hyperlink r:id="rId25" w:tgtFrame="_new" w:history="1">
        <w:r w:rsidRPr="002C20AE">
          <w:rPr>
            <w:rStyle w:val="Hyperlink"/>
            <w:rFonts w:ascii="Arial" w:eastAsiaTheme="majorEastAsia" w:hAnsi="Arial" w:cs="Arial"/>
            <w:color w:val="auto"/>
          </w:rPr>
          <w:t>https://www.moodys.com/web/en/us/insights/credit-risk/outlooks/esg-sustainable-finance-2025.html</w:t>
        </w:r>
      </w:hyperlink>
      <w:r w:rsidRPr="002C20AE">
        <w:rPr>
          <w:rFonts w:ascii="Arial" w:hAnsi="Arial" w:cs="Arial"/>
        </w:rPr>
        <w:t xml:space="preserve"> </w:t>
      </w:r>
    </w:p>
    <w:p w14:paraId="688CF8E9"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Reuters (2025) </w:t>
      </w:r>
      <w:r w:rsidRPr="002C20AE">
        <w:rPr>
          <w:rStyle w:val="Emphasis"/>
          <w:rFonts w:ascii="Arial" w:eastAsiaTheme="majorEastAsia" w:hAnsi="Arial" w:cs="Arial"/>
        </w:rPr>
        <w:t>BBVA Raises Sustainable Finance Target to €700 Billion</w:t>
      </w:r>
      <w:r w:rsidRPr="002C20AE">
        <w:rPr>
          <w:rFonts w:ascii="Arial" w:hAnsi="Arial" w:cs="Arial"/>
        </w:rPr>
        <w:t xml:space="preserve">. Available at: </w:t>
      </w:r>
      <w:hyperlink r:id="rId26" w:tgtFrame="_new" w:history="1">
        <w:r w:rsidRPr="002C20AE">
          <w:rPr>
            <w:rStyle w:val="Hyperlink"/>
            <w:rFonts w:ascii="Arial" w:eastAsiaTheme="majorEastAsia" w:hAnsi="Arial" w:cs="Arial"/>
            <w:color w:val="auto"/>
          </w:rPr>
          <w:t>https://www.reuters.com/sustainability/bbva-raises-sustainable-finance-target-700-billion-euros-2025-02-23/</w:t>
        </w:r>
      </w:hyperlink>
      <w:r w:rsidRPr="002C20AE">
        <w:rPr>
          <w:rFonts w:ascii="Arial" w:hAnsi="Arial" w:cs="Arial"/>
        </w:rPr>
        <w:t xml:space="preserve"> </w:t>
      </w:r>
    </w:p>
    <w:p w14:paraId="0335EC39"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Scotiabank (2025) </w:t>
      </w:r>
      <w:r w:rsidRPr="002C20AE">
        <w:rPr>
          <w:rStyle w:val="Emphasis"/>
          <w:rFonts w:ascii="Arial" w:eastAsiaTheme="majorEastAsia" w:hAnsi="Arial" w:cs="Arial"/>
        </w:rPr>
        <w:t>2024 Sustainability Report and Public Accountability Statement</w:t>
      </w:r>
      <w:r w:rsidRPr="002C20AE">
        <w:rPr>
          <w:rFonts w:ascii="Arial" w:hAnsi="Arial" w:cs="Arial"/>
        </w:rPr>
        <w:t xml:space="preserve">. Available at: </w:t>
      </w:r>
      <w:hyperlink r:id="rId27" w:tgtFrame="_new" w:history="1">
        <w:r w:rsidRPr="002C20AE">
          <w:rPr>
            <w:rStyle w:val="Hyperlink"/>
            <w:rFonts w:ascii="Arial" w:eastAsiaTheme="majorEastAsia" w:hAnsi="Arial" w:cs="Arial"/>
            <w:color w:val="auto"/>
          </w:rPr>
          <w:t>https://www.scotiabank.com/content/dam/scotiabank/corporate/Documents/2025/Scotiabank_2024_Sustainability_Report_Final.pdf</w:t>
        </w:r>
      </w:hyperlink>
      <w:r w:rsidRPr="002C20AE">
        <w:rPr>
          <w:rFonts w:ascii="Arial" w:hAnsi="Arial" w:cs="Arial"/>
        </w:rPr>
        <w:t xml:space="preserve"> </w:t>
      </w:r>
    </w:p>
    <w:p w14:paraId="46B3F78F" w14:textId="77777777" w:rsidR="00023BD4" w:rsidRPr="002C20AE" w:rsidRDefault="00023BD4" w:rsidP="00023BD4">
      <w:pPr>
        <w:pStyle w:val="NormalWeb"/>
        <w:spacing w:line="360" w:lineRule="auto"/>
        <w:jc w:val="both"/>
        <w:rPr>
          <w:rFonts w:ascii="Arial" w:hAnsi="Arial" w:cs="Arial"/>
        </w:rPr>
      </w:pPr>
      <w:proofErr w:type="spellStart"/>
      <w:r w:rsidRPr="002C20AE">
        <w:rPr>
          <w:rFonts w:ascii="Arial" w:hAnsi="Arial" w:cs="Arial"/>
        </w:rPr>
        <w:t>StartUs</w:t>
      </w:r>
      <w:proofErr w:type="spellEnd"/>
      <w:r w:rsidRPr="002C20AE">
        <w:rPr>
          <w:rFonts w:ascii="Arial" w:hAnsi="Arial" w:cs="Arial"/>
        </w:rPr>
        <w:t xml:space="preserve"> Insights (2025) </w:t>
      </w:r>
      <w:r w:rsidRPr="002C20AE">
        <w:rPr>
          <w:rStyle w:val="Emphasis"/>
          <w:rFonts w:ascii="Arial" w:eastAsiaTheme="majorEastAsia" w:hAnsi="Arial" w:cs="Arial"/>
        </w:rPr>
        <w:t>Banking Industry Report 2025</w:t>
      </w:r>
      <w:r w:rsidRPr="002C20AE">
        <w:rPr>
          <w:rFonts w:ascii="Arial" w:hAnsi="Arial" w:cs="Arial"/>
        </w:rPr>
        <w:t xml:space="preserve">. Available at: </w:t>
      </w:r>
      <w:hyperlink r:id="rId28" w:tgtFrame="_new" w:history="1">
        <w:r w:rsidRPr="002C20AE">
          <w:rPr>
            <w:rStyle w:val="Hyperlink"/>
            <w:rFonts w:ascii="Arial" w:eastAsiaTheme="majorEastAsia" w:hAnsi="Arial" w:cs="Arial"/>
            <w:color w:val="auto"/>
          </w:rPr>
          <w:t>https://www.startus-insights.com/innovators-guide/banking-industry-report/</w:t>
        </w:r>
      </w:hyperlink>
      <w:r w:rsidRPr="002C20AE">
        <w:rPr>
          <w:rFonts w:ascii="Arial" w:hAnsi="Arial" w:cs="Arial"/>
        </w:rPr>
        <w:t xml:space="preserve"> </w:t>
      </w:r>
    </w:p>
    <w:p w14:paraId="012D1347"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Sustainable Banking &amp; Finance Network (2025) </w:t>
      </w:r>
      <w:r w:rsidRPr="002C20AE">
        <w:rPr>
          <w:rStyle w:val="Emphasis"/>
          <w:rFonts w:ascii="Arial" w:eastAsiaTheme="majorEastAsia" w:hAnsi="Arial" w:cs="Arial"/>
        </w:rPr>
        <w:t>Global Progress Report 2025</w:t>
      </w:r>
      <w:r w:rsidRPr="002C20AE">
        <w:rPr>
          <w:rFonts w:ascii="Arial" w:hAnsi="Arial" w:cs="Arial"/>
        </w:rPr>
        <w:t xml:space="preserve">. Available at: </w:t>
      </w:r>
      <w:hyperlink r:id="rId29" w:tgtFrame="_new" w:history="1">
        <w:r w:rsidRPr="002C20AE">
          <w:rPr>
            <w:rStyle w:val="Hyperlink"/>
            <w:rFonts w:ascii="Arial" w:eastAsiaTheme="majorEastAsia" w:hAnsi="Arial" w:cs="Arial"/>
            <w:color w:val="auto"/>
          </w:rPr>
          <w:t>https://www.sbfnetwork.org/sites/default/files/2025/Oct/Global-Progress-Report_2025_Final.pdf</w:t>
        </w:r>
      </w:hyperlink>
      <w:r w:rsidRPr="002C20AE">
        <w:rPr>
          <w:rFonts w:ascii="Arial" w:hAnsi="Arial" w:cs="Arial"/>
        </w:rPr>
        <w:t xml:space="preserve"> </w:t>
      </w:r>
    </w:p>
    <w:p w14:paraId="39494B9B"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The Guardian (2025) </w:t>
      </w:r>
      <w:r w:rsidRPr="002C20AE">
        <w:rPr>
          <w:rStyle w:val="Emphasis"/>
          <w:rFonts w:ascii="Arial" w:eastAsiaTheme="majorEastAsia" w:hAnsi="Arial" w:cs="Arial"/>
        </w:rPr>
        <w:t>World’s Largest Banks Pledged $869bn to Fossil Fuel Firms in 2024</w:t>
      </w:r>
      <w:r w:rsidRPr="002C20AE">
        <w:rPr>
          <w:rFonts w:ascii="Arial" w:hAnsi="Arial" w:cs="Arial"/>
        </w:rPr>
        <w:t xml:space="preserve">. Available at: </w:t>
      </w:r>
      <w:hyperlink r:id="rId30" w:tgtFrame="_new" w:history="1">
        <w:r w:rsidRPr="002C20AE">
          <w:rPr>
            <w:rStyle w:val="Hyperlink"/>
            <w:rFonts w:ascii="Arial" w:eastAsiaTheme="majorEastAsia" w:hAnsi="Arial" w:cs="Arial"/>
            <w:color w:val="auto"/>
          </w:rPr>
          <w:t>https://www.theguardian.com/business/2025/jun/17/world-banks-fossil-fuel-finance-2024</w:t>
        </w:r>
      </w:hyperlink>
      <w:r w:rsidRPr="002C20AE">
        <w:rPr>
          <w:rFonts w:ascii="Arial" w:hAnsi="Arial" w:cs="Arial"/>
        </w:rPr>
        <w:t xml:space="preserve"> </w:t>
      </w:r>
    </w:p>
    <w:p w14:paraId="4BE657B8"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Times of India (2025) </w:t>
      </w:r>
      <w:r w:rsidRPr="002C20AE">
        <w:rPr>
          <w:rStyle w:val="Emphasis"/>
          <w:rFonts w:ascii="Arial" w:eastAsiaTheme="majorEastAsia" w:hAnsi="Arial" w:cs="Arial"/>
        </w:rPr>
        <w:t>Generative AI Adoption Surge: Banking Sector Efficiency Leap</w:t>
      </w:r>
      <w:r w:rsidRPr="002C20AE">
        <w:rPr>
          <w:rFonts w:ascii="Arial" w:hAnsi="Arial" w:cs="Arial"/>
        </w:rPr>
        <w:t xml:space="preserve">. Available at: </w:t>
      </w:r>
      <w:hyperlink r:id="rId31" w:tgtFrame="_new" w:history="1">
        <w:r w:rsidRPr="002C20AE">
          <w:rPr>
            <w:rStyle w:val="Hyperlink"/>
            <w:rFonts w:ascii="Arial" w:eastAsiaTheme="majorEastAsia" w:hAnsi="Arial" w:cs="Arial"/>
            <w:color w:val="auto"/>
          </w:rPr>
          <w:t>https://timesofindia.indiatimes.com/business/india-business/generative-ai-adoption-surge-banking-sector-set-for-efficiency-leap-by-nearly-46-rbi-report/articleshow/123294610.cms</w:t>
        </w:r>
      </w:hyperlink>
      <w:r w:rsidRPr="002C20AE">
        <w:rPr>
          <w:rFonts w:ascii="Arial" w:hAnsi="Arial" w:cs="Arial"/>
        </w:rPr>
        <w:t xml:space="preserve"> </w:t>
      </w:r>
    </w:p>
    <w:p w14:paraId="5EC00E0D"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UNCTAD (2025) </w:t>
      </w:r>
      <w:r w:rsidRPr="002C20AE">
        <w:rPr>
          <w:rStyle w:val="Emphasis"/>
          <w:rFonts w:ascii="Arial" w:eastAsiaTheme="majorEastAsia" w:hAnsi="Arial" w:cs="Arial"/>
        </w:rPr>
        <w:t>World Investment Report 2025: Sustainable Finance Chapter</w:t>
      </w:r>
      <w:r w:rsidRPr="002C20AE">
        <w:rPr>
          <w:rFonts w:ascii="Arial" w:hAnsi="Arial" w:cs="Arial"/>
        </w:rPr>
        <w:t xml:space="preserve">. Available at: </w:t>
      </w:r>
      <w:hyperlink r:id="rId32" w:tgtFrame="_new" w:history="1">
        <w:r w:rsidRPr="002C20AE">
          <w:rPr>
            <w:rStyle w:val="Hyperlink"/>
            <w:rFonts w:ascii="Arial" w:eastAsiaTheme="majorEastAsia" w:hAnsi="Arial" w:cs="Arial"/>
            <w:color w:val="auto"/>
          </w:rPr>
          <w:t>https://unctad.org/system/files/official-document/wir2025_ch03_en.pdf</w:t>
        </w:r>
      </w:hyperlink>
      <w:r w:rsidRPr="002C20AE">
        <w:rPr>
          <w:rFonts w:ascii="Arial" w:hAnsi="Arial" w:cs="Arial"/>
        </w:rPr>
        <w:t xml:space="preserve"> </w:t>
      </w:r>
    </w:p>
    <w:p w14:paraId="08E7EB42"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UNEP Finance Initiative (2025) </w:t>
      </w:r>
      <w:r w:rsidRPr="002C20AE">
        <w:rPr>
          <w:rStyle w:val="Emphasis"/>
          <w:rFonts w:ascii="Arial" w:eastAsiaTheme="majorEastAsia" w:hAnsi="Arial" w:cs="Arial"/>
        </w:rPr>
        <w:t>PRB Case Studies 2025: Banking on Sustainability</w:t>
      </w:r>
      <w:r w:rsidRPr="002C20AE">
        <w:rPr>
          <w:rFonts w:ascii="Arial" w:hAnsi="Arial" w:cs="Arial"/>
        </w:rPr>
        <w:t xml:space="preserve">. Available at: </w:t>
      </w:r>
      <w:hyperlink r:id="rId33" w:tgtFrame="_new" w:history="1">
        <w:r w:rsidRPr="002C20AE">
          <w:rPr>
            <w:rStyle w:val="Hyperlink"/>
            <w:rFonts w:ascii="Arial" w:eastAsiaTheme="majorEastAsia" w:hAnsi="Arial" w:cs="Arial"/>
            <w:color w:val="auto"/>
          </w:rPr>
          <w:t>https://www.unepfi.org/wordpress/wp-content/uploads/2025/06/PRB_Case-studies-combined-report.pdf</w:t>
        </w:r>
      </w:hyperlink>
      <w:r w:rsidRPr="002C20AE">
        <w:rPr>
          <w:rFonts w:ascii="Arial" w:hAnsi="Arial" w:cs="Arial"/>
        </w:rPr>
        <w:t xml:space="preserve"> </w:t>
      </w:r>
    </w:p>
    <w:p w14:paraId="4438F0FC"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lastRenderedPageBreak/>
        <w:t xml:space="preserve">Wall Street Journal (2025) </w:t>
      </w:r>
      <w:r w:rsidRPr="002C20AE">
        <w:rPr>
          <w:rStyle w:val="Emphasis"/>
          <w:rFonts w:ascii="Arial" w:eastAsiaTheme="majorEastAsia" w:hAnsi="Arial" w:cs="Arial"/>
        </w:rPr>
        <w:t>Digital Workers Have Arrived in Banking</w:t>
      </w:r>
      <w:r w:rsidRPr="002C20AE">
        <w:rPr>
          <w:rFonts w:ascii="Arial" w:hAnsi="Arial" w:cs="Arial"/>
        </w:rPr>
        <w:t xml:space="preserve">. Available at: </w:t>
      </w:r>
      <w:hyperlink r:id="rId34" w:tgtFrame="_new" w:history="1">
        <w:r w:rsidRPr="002C20AE">
          <w:rPr>
            <w:rStyle w:val="Hyperlink"/>
            <w:rFonts w:ascii="Arial" w:eastAsiaTheme="majorEastAsia" w:hAnsi="Arial" w:cs="Arial"/>
            <w:color w:val="auto"/>
          </w:rPr>
          <w:t>https://www.wsj.com/articles/digital-workers-have-arrived-in-banking-bf62be49</w:t>
        </w:r>
      </w:hyperlink>
      <w:r w:rsidRPr="002C20AE">
        <w:rPr>
          <w:rFonts w:ascii="Arial" w:hAnsi="Arial" w:cs="Arial"/>
        </w:rPr>
        <w:t xml:space="preserve"> </w:t>
      </w:r>
    </w:p>
    <w:p w14:paraId="5781BB41"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Wifitalents.com (2025) </w:t>
      </w:r>
      <w:r w:rsidRPr="002C20AE">
        <w:rPr>
          <w:rStyle w:val="Emphasis"/>
          <w:rFonts w:ascii="Arial" w:eastAsiaTheme="majorEastAsia" w:hAnsi="Arial" w:cs="Arial"/>
        </w:rPr>
        <w:t>Digital Transformation in the Banking Industry Statistics 2025</w:t>
      </w:r>
      <w:r w:rsidRPr="002C20AE">
        <w:rPr>
          <w:rFonts w:ascii="Arial" w:hAnsi="Arial" w:cs="Arial"/>
        </w:rPr>
        <w:t xml:space="preserve">. Available at: </w:t>
      </w:r>
      <w:hyperlink r:id="rId35" w:tgtFrame="_new" w:history="1">
        <w:r w:rsidRPr="002C20AE">
          <w:rPr>
            <w:rStyle w:val="Hyperlink"/>
            <w:rFonts w:ascii="Arial" w:eastAsiaTheme="majorEastAsia" w:hAnsi="Arial" w:cs="Arial"/>
            <w:color w:val="auto"/>
          </w:rPr>
          <w:t>https://wifitalents.com/digital-transformation-in-the-banking-industry-statistics/</w:t>
        </w:r>
      </w:hyperlink>
      <w:r w:rsidRPr="002C20AE">
        <w:rPr>
          <w:rFonts w:ascii="Arial" w:hAnsi="Arial" w:cs="Arial"/>
        </w:rPr>
        <w:t xml:space="preserve"> </w:t>
      </w:r>
    </w:p>
    <w:p w14:paraId="26F97FEF" w14:textId="77777777" w:rsidR="00023BD4" w:rsidRPr="002C20AE" w:rsidRDefault="00023BD4" w:rsidP="00023BD4">
      <w:pPr>
        <w:pStyle w:val="NormalWeb"/>
        <w:spacing w:line="360" w:lineRule="auto"/>
        <w:jc w:val="both"/>
        <w:rPr>
          <w:rFonts w:ascii="Arial" w:hAnsi="Arial" w:cs="Arial"/>
        </w:rPr>
      </w:pPr>
      <w:r w:rsidRPr="002C20AE">
        <w:rPr>
          <w:rFonts w:ascii="Arial" w:hAnsi="Arial" w:cs="Arial"/>
        </w:rPr>
        <w:t xml:space="preserve">Wipfli LLP (2025) </w:t>
      </w:r>
      <w:r w:rsidRPr="002C20AE">
        <w:rPr>
          <w:rStyle w:val="Emphasis"/>
          <w:rFonts w:ascii="Arial" w:eastAsiaTheme="majorEastAsia" w:hAnsi="Arial" w:cs="Arial"/>
        </w:rPr>
        <w:t>State of the Banking Industry: 2025 Report</w:t>
      </w:r>
      <w:r w:rsidRPr="002C20AE">
        <w:rPr>
          <w:rFonts w:ascii="Arial" w:hAnsi="Arial" w:cs="Arial"/>
        </w:rPr>
        <w:t xml:space="preserve">. Available at: </w:t>
      </w:r>
      <w:hyperlink r:id="rId36" w:tgtFrame="_new" w:history="1">
        <w:r w:rsidRPr="002C20AE">
          <w:rPr>
            <w:rStyle w:val="Hyperlink"/>
            <w:rFonts w:ascii="Arial" w:eastAsiaTheme="majorEastAsia" w:hAnsi="Arial" w:cs="Arial"/>
            <w:color w:val="auto"/>
          </w:rPr>
          <w:t>https://www.wipfli.com/-/media/wipfli/downloadable-files/2025-state-of-banking-report_final.pdf</w:t>
        </w:r>
      </w:hyperlink>
      <w:r w:rsidRPr="002C20AE">
        <w:rPr>
          <w:rFonts w:ascii="Arial" w:hAnsi="Arial" w:cs="Arial"/>
        </w:rPr>
        <w:t xml:space="preserve"> </w:t>
      </w:r>
    </w:p>
    <w:p w14:paraId="43C36529" w14:textId="77777777" w:rsidR="004470F8" w:rsidRPr="002C20AE" w:rsidRDefault="004470F8" w:rsidP="00E8000C">
      <w:pPr>
        <w:jc w:val="both"/>
      </w:pPr>
    </w:p>
    <w:p w14:paraId="5EFF7B05" w14:textId="1EB0BC0B" w:rsidR="00606A43" w:rsidRPr="002C20AE" w:rsidRDefault="00606A43" w:rsidP="00E8000C">
      <w:pPr>
        <w:spacing w:line="360" w:lineRule="auto"/>
        <w:jc w:val="both"/>
        <w:rPr>
          <w:rFonts w:ascii="Arial" w:hAnsi="Arial" w:cs="Arial"/>
          <w:b/>
        </w:rPr>
      </w:pPr>
      <w:r w:rsidRPr="002C20AE">
        <w:t xml:space="preserve"> </w:t>
      </w:r>
    </w:p>
    <w:sectPr w:rsidR="00606A43" w:rsidRPr="002C20A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D26D7" w14:textId="77777777" w:rsidR="003B2079" w:rsidRDefault="003B2079" w:rsidP="0079355E">
      <w:r>
        <w:separator/>
      </w:r>
    </w:p>
  </w:endnote>
  <w:endnote w:type="continuationSeparator" w:id="0">
    <w:p w14:paraId="7C82E06F" w14:textId="77777777" w:rsidR="003B2079" w:rsidRDefault="003B2079" w:rsidP="00793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956478720"/>
      <w:docPartObj>
        <w:docPartGallery w:val="Page Numbers (Bottom of Page)"/>
        <w:docPartUnique/>
      </w:docPartObj>
    </w:sdtPr>
    <w:sdtEndPr>
      <w:rPr>
        <w:noProof/>
      </w:rPr>
    </w:sdtEndPr>
    <w:sdtContent>
      <w:p w14:paraId="6EAB72C4" w14:textId="476D4308" w:rsidR="00846046" w:rsidRPr="0079355E" w:rsidRDefault="00846046">
        <w:pPr>
          <w:pStyle w:val="Footer"/>
          <w:jc w:val="right"/>
          <w:rPr>
            <w:rFonts w:ascii="Arial" w:hAnsi="Arial" w:cs="Arial"/>
          </w:rPr>
        </w:pPr>
        <w:r w:rsidRPr="0079355E">
          <w:rPr>
            <w:rFonts w:ascii="Arial" w:hAnsi="Arial" w:cs="Arial"/>
          </w:rPr>
          <w:fldChar w:fldCharType="begin"/>
        </w:r>
        <w:r w:rsidRPr="0079355E">
          <w:rPr>
            <w:rFonts w:ascii="Arial" w:hAnsi="Arial" w:cs="Arial"/>
          </w:rPr>
          <w:instrText xml:space="preserve"> PAGE   \* MERGEFORMAT </w:instrText>
        </w:r>
        <w:r w:rsidRPr="0079355E">
          <w:rPr>
            <w:rFonts w:ascii="Arial" w:hAnsi="Arial" w:cs="Arial"/>
          </w:rPr>
          <w:fldChar w:fldCharType="separate"/>
        </w:r>
        <w:r w:rsidR="002C20AE">
          <w:rPr>
            <w:rFonts w:ascii="Arial" w:hAnsi="Arial" w:cs="Arial"/>
            <w:noProof/>
          </w:rPr>
          <w:t>2</w:t>
        </w:r>
        <w:r w:rsidRPr="0079355E">
          <w:rPr>
            <w:rFonts w:ascii="Arial" w:hAnsi="Arial" w:cs="Arial"/>
            <w:noProof/>
          </w:rPr>
          <w:fldChar w:fldCharType="end"/>
        </w:r>
      </w:p>
    </w:sdtContent>
  </w:sdt>
  <w:p w14:paraId="4500D75B" w14:textId="77777777" w:rsidR="00846046" w:rsidRPr="0079355E" w:rsidRDefault="00846046">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33E005" w14:textId="77777777" w:rsidR="003B2079" w:rsidRDefault="003B2079" w:rsidP="0079355E">
      <w:r>
        <w:separator/>
      </w:r>
    </w:p>
  </w:footnote>
  <w:footnote w:type="continuationSeparator" w:id="0">
    <w:p w14:paraId="0ED86677" w14:textId="77777777" w:rsidR="003B2079" w:rsidRDefault="003B2079" w:rsidP="00793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A3C2C"/>
    <w:multiLevelType w:val="multilevel"/>
    <w:tmpl w:val="43D82A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993586"/>
    <w:multiLevelType w:val="multilevel"/>
    <w:tmpl w:val="3990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24"/>
  </w:num>
  <w:num w:numId="4">
    <w:abstractNumId w:val="25"/>
  </w:num>
  <w:num w:numId="5">
    <w:abstractNumId w:val="26"/>
  </w:num>
  <w:num w:numId="6">
    <w:abstractNumId w:val="14"/>
  </w:num>
  <w:num w:numId="7">
    <w:abstractNumId w:val="0"/>
  </w:num>
  <w:num w:numId="8">
    <w:abstractNumId w:val="18"/>
  </w:num>
  <w:num w:numId="9">
    <w:abstractNumId w:val="28"/>
  </w:num>
  <w:num w:numId="10">
    <w:abstractNumId w:val="27"/>
  </w:num>
  <w:num w:numId="11">
    <w:abstractNumId w:val="3"/>
  </w:num>
  <w:num w:numId="12">
    <w:abstractNumId w:val="20"/>
  </w:num>
  <w:num w:numId="13">
    <w:abstractNumId w:val="19"/>
  </w:num>
  <w:num w:numId="14">
    <w:abstractNumId w:val="1"/>
  </w:num>
  <w:num w:numId="15">
    <w:abstractNumId w:val="29"/>
  </w:num>
  <w:num w:numId="16">
    <w:abstractNumId w:val="15"/>
  </w:num>
  <w:num w:numId="17">
    <w:abstractNumId w:val="13"/>
  </w:num>
  <w:num w:numId="18">
    <w:abstractNumId w:val="21"/>
  </w:num>
  <w:num w:numId="19">
    <w:abstractNumId w:val="6"/>
  </w:num>
  <w:num w:numId="20">
    <w:abstractNumId w:val="23"/>
  </w:num>
  <w:num w:numId="21">
    <w:abstractNumId w:val="11"/>
  </w:num>
  <w:num w:numId="22">
    <w:abstractNumId w:val="10"/>
  </w:num>
  <w:num w:numId="23">
    <w:abstractNumId w:val="7"/>
  </w:num>
  <w:num w:numId="24">
    <w:abstractNumId w:val="9"/>
  </w:num>
  <w:num w:numId="25">
    <w:abstractNumId w:val="2"/>
  </w:num>
  <w:num w:numId="26">
    <w:abstractNumId w:val="16"/>
  </w:num>
  <w:num w:numId="27">
    <w:abstractNumId w:val="5"/>
  </w:num>
  <w:num w:numId="28">
    <w:abstractNumId w:val="17"/>
  </w:num>
  <w:num w:numId="29">
    <w:abstractNumId w:val="22"/>
  </w:num>
  <w:num w:numId="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06"/>
    <w:rsid w:val="00023BD4"/>
    <w:rsid w:val="001003E8"/>
    <w:rsid w:val="00104325"/>
    <w:rsid w:val="00136289"/>
    <w:rsid w:val="00236677"/>
    <w:rsid w:val="002C20AE"/>
    <w:rsid w:val="00311283"/>
    <w:rsid w:val="00325A3E"/>
    <w:rsid w:val="003573E9"/>
    <w:rsid w:val="003B2079"/>
    <w:rsid w:val="004470F8"/>
    <w:rsid w:val="004A6117"/>
    <w:rsid w:val="004F2663"/>
    <w:rsid w:val="005A570C"/>
    <w:rsid w:val="005D0C39"/>
    <w:rsid w:val="005F7476"/>
    <w:rsid w:val="00606A43"/>
    <w:rsid w:val="00616BE8"/>
    <w:rsid w:val="00617CF1"/>
    <w:rsid w:val="00646406"/>
    <w:rsid w:val="00647549"/>
    <w:rsid w:val="006753D2"/>
    <w:rsid w:val="00675F02"/>
    <w:rsid w:val="006A1AE1"/>
    <w:rsid w:val="006D48D1"/>
    <w:rsid w:val="0073681E"/>
    <w:rsid w:val="00745553"/>
    <w:rsid w:val="0079355E"/>
    <w:rsid w:val="007D4FBE"/>
    <w:rsid w:val="00846046"/>
    <w:rsid w:val="00881DE1"/>
    <w:rsid w:val="00896D29"/>
    <w:rsid w:val="0098652B"/>
    <w:rsid w:val="009E1DDE"/>
    <w:rsid w:val="009E58AF"/>
    <w:rsid w:val="00AF0D7E"/>
    <w:rsid w:val="00B00500"/>
    <w:rsid w:val="00C235E6"/>
    <w:rsid w:val="00C522B7"/>
    <w:rsid w:val="00C57D61"/>
    <w:rsid w:val="00CB01F0"/>
    <w:rsid w:val="00D27C19"/>
    <w:rsid w:val="00D6235E"/>
    <w:rsid w:val="00DB1F26"/>
    <w:rsid w:val="00DE5D5B"/>
    <w:rsid w:val="00E06CCE"/>
    <w:rsid w:val="00E401A9"/>
    <w:rsid w:val="00E40D19"/>
    <w:rsid w:val="00E8000C"/>
    <w:rsid w:val="00EC6978"/>
    <w:rsid w:val="00F54F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NormalWeb">
    <w:name w:val="Normal (Web)"/>
    <w:basedOn w:val="Normal"/>
    <w:uiPriority w:val="99"/>
    <w:unhideWhenUsed/>
    <w:rsid w:val="005D0C39"/>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5D0C39"/>
    <w:rPr>
      <w:b/>
      <w:bCs/>
    </w:rPr>
  </w:style>
  <w:style w:type="table" w:styleId="TableGrid">
    <w:name w:val="Table Grid"/>
    <w:basedOn w:val="TableNormal"/>
    <w:uiPriority w:val="39"/>
    <w:rsid w:val="00881D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s-1">
    <w:name w:val="ms-1"/>
    <w:basedOn w:val="DefaultParagraphFont"/>
    <w:rsid w:val="00881DE1"/>
  </w:style>
  <w:style w:type="character" w:customStyle="1" w:styleId="max-w-15ch">
    <w:name w:val="max-w-[15ch]"/>
    <w:basedOn w:val="DefaultParagraphFont"/>
    <w:rsid w:val="00881DE1"/>
  </w:style>
  <w:style w:type="character" w:customStyle="1" w:styleId="-me-1">
    <w:name w:val="-me-1"/>
    <w:basedOn w:val="DefaultParagraphFont"/>
    <w:rsid w:val="00881DE1"/>
  </w:style>
  <w:style w:type="paragraph" w:styleId="Header">
    <w:name w:val="header"/>
    <w:basedOn w:val="Normal"/>
    <w:link w:val="HeaderChar"/>
    <w:uiPriority w:val="99"/>
    <w:unhideWhenUsed/>
    <w:rsid w:val="0079355E"/>
    <w:pPr>
      <w:tabs>
        <w:tab w:val="center" w:pos="4513"/>
        <w:tab w:val="right" w:pos="9026"/>
      </w:tabs>
    </w:pPr>
  </w:style>
  <w:style w:type="character" w:customStyle="1" w:styleId="HeaderChar">
    <w:name w:val="Header Char"/>
    <w:basedOn w:val="DefaultParagraphFont"/>
    <w:link w:val="Header"/>
    <w:uiPriority w:val="99"/>
    <w:rsid w:val="0079355E"/>
  </w:style>
  <w:style w:type="paragraph" w:styleId="Footer">
    <w:name w:val="footer"/>
    <w:basedOn w:val="Normal"/>
    <w:link w:val="FooterChar"/>
    <w:uiPriority w:val="99"/>
    <w:unhideWhenUsed/>
    <w:rsid w:val="0079355E"/>
    <w:pPr>
      <w:tabs>
        <w:tab w:val="center" w:pos="4513"/>
        <w:tab w:val="right" w:pos="9026"/>
      </w:tabs>
    </w:pPr>
  </w:style>
  <w:style w:type="character" w:customStyle="1" w:styleId="FooterChar">
    <w:name w:val="Footer Char"/>
    <w:basedOn w:val="DefaultParagraphFont"/>
    <w:link w:val="Footer"/>
    <w:uiPriority w:val="99"/>
    <w:rsid w:val="0079355E"/>
  </w:style>
  <w:style w:type="character" w:styleId="Emphasis">
    <w:name w:val="Emphasis"/>
    <w:basedOn w:val="DefaultParagraphFont"/>
    <w:uiPriority w:val="20"/>
    <w:qFormat/>
    <w:rsid w:val="00606A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0535">
      <w:bodyDiv w:val="1"/>
      <w:marLeft w:val="0"/>
      <w:marRight w:val="0"/>
      <w:marTop w:val="0"/>
      <w:marBottom w:val="0"/>
      <w:divBdr>
        <w:top w:val="none" w:sz="0" w:space="0" w:color="auto"/>
        <w:left w:val="none" w:sz="0" w:space="0" w:color="auto"/>
        <w:bottom w:val="none" w:sz="0" w:space="0" w:color="auto"/>
        <w:right w:val="none" w:sz="0" w:space="0" w:color="auto"/>
      </w:divBdr>
    </w:div>
    <w:div w:id="44448057">
      <w:bodyDiv w:val="1"/>
      <w:marLeft w:val="0"/>
      <w:marRight w:val="0"/>
      <w:marTop w:val="0"/>
      <w:marBottom w:val="0"/>
      <w:divBdr>
        <w:top w:val="none" w:sz="0" w:space="0" w:color="auto"/>
        <w:left w:val="none" w:sz="0" w:space="0" w:color="auto"/>
        <w:bottom w:val="none" w:sz="0" w:space="0" w:color="auto"/>
        <w:right w:val="none" w:sz="0" w:space="0" w:color="auto"/>
      </w:divBdr>
    </w:div>
    <w:div w:id="54008860">
      <w:bodyDiv w:val="1"/>
      <w:marLeft w:val="0"/>
      <w:marRight w:val="0"/>
      <w:marTop w:val="0"/>
      <w:marBottom w:val="0"/>
      <w:divBdr>
        <w:top w:val="none" w:sz="0" w:space="0" w:color="auto"/>
        <w:left w:val="none" w:sz="0" w:space="0" w:color="auto"/>
        <w:bottom w:val="none" w:sz="0" w:space="0" w:color="auto"/>
        <w:right w:val="none" w:sz="0" w:space="0" w:color="auto"/>
      </w:divBdr>
    </w:div>
    <w:div w:id="59987767">
      <w:bodyDiv w:val="1"/>
      <w:marLeft w:val="0"/>
      <w:marRight w:val="0"/>
      <w:marTop w:val="0"/>
      <w:marBottom w:val="0"/>
      <w:divBdr>
        <w:top w:val="none" w:sz="0" w:space="0" w:color="auto"/>
        <w:left w:val="none" w:sz="0" w:space="0" w:color="auto"/>
        <w:bottom w:val="none" w:sz="0" w:space="0" w:color="auto"/>
        <w:right w:val="none" w:sz="0" w:space="0" w:color="auto"/>
      </w:divBdr>
    </w:div>
    <w:div w:id="78186412">
      <w:bodyDiv w:val="1"/>
      <w:marLeft w:val="0"/>
      <w:marRight w:val="0"/>
      <w:marTop w:val="0"/>
      <w:marBottom w:val="0"/>
      <w:divBdr>
        <w:top w:val="none" w:sz="0" w:space="0" w:color="auto"/>
        <w:left w:val="none" w:sz="0" w:space="0" w:color="auto"/>
        <w:bottom w:val="none" w:sz="0" w:space="0" w:color="auto"/>
        <w:right w:val="none" w:sz="0" w:space="0" w:color="auto"/>
      </w:divBdr>
    </w:div>
    <w:div w:id="83428287">
      <w:bodyDiv w:val="1"/>
      <w:marLeft w:val="0"/>
      <w:marRight w:val="0"/>
      <w:marTop w:val="0"/>
      <w:marBottom w:val="0"/>
      <w:divBdr>
        <w:top w:val="none" w:sz="0" w:space="0" w:color="auto"/>
        <w:left w:val="none" w:sz="0" w:space="0" w:color="auto"/>
        <w:bottom w:val="none" w:sz="0" w:space="0" w:color="auto"/>
        <w:right w:val="none" w:sz="0" w:space="0" w:color="auto"/>
      </w:divBdr>
    </w:div>
    <w:div w:id="98567120">
      <w:bodyDiv w:val="1"/>
      <w:marLeft w:val="0"/>
      <w:marRight w:val="0"/>
      <w:marTop w:val="0"/>
      <w:marBottom w:val="0"/>
      <w:divBdr>
        <w:top w:val="none" w:sz="0" w:space="0" w:color="auto"/>
        <w:left w:val="none" w:sz="0" w:space="0" w:color="auto"/>
        <w:bottom w:val="none" w:sz="0" w:space="0" w:color="auto"/>
        <w:right w:val="none" w:sz="0" w:space="0" w:color="auto"/>
      </w:divBdr>
    </w:div>
    <w:div w:id="103505556">
      <w:bodyDiv w:val="1"/>
      <w:marLeft w:val="0"/>
      <w:marRight w:val="0"/>
      <w:marTop w:val="0"/>
      <w:marBottom w:val="0"/>
      <w:divBdr>
        <w:top w:val="none" w:sz="0" w:space="0" w:color="auto"/>
        <w:left w:val="none" w:sz="0" w:space="0" w:color="auto"/>
        <w:bottom w:val="none" w:sz="0" w:space="0" w:color="auto"/>
        <w:right w:val="none" w:sz="0" w:space="0" w:color="auto"/>
      </w:divBdr>
    </w:div>
    <w:div w:id="114914808">
      <w:bodyDiv w:val="1"/>
      <w:marLeft w:val="0"/>
      <w:marRight w:val="0"/>
      <w:marTop w:val="0"/>
      <w:marBottom w:val="0"/>
      <w:divBdr>
        <w:top w:val="none" w:sz="0" w:space="0" w:color="auto"/>
        <w:left w:val="none" w:sz="0" w:space="0" w:color="auto"/>
        <w:bottom w:val="none" w:sz="0" w:space="0" w:color="auto"/>
        <w:right w:val="none" w:sz="0" w:space="0" w:color="auto"/>
      </w:divBdr>
    </w:div>
    <w:div w:id="136998529">
      <w:bodyDiv w:val="1"/>
      <w:marLeft w:val="0"/>
      <w:marRight w:val="0"/>
      <w:marTop w:val="0"/>
      <w:marBottom w:val="0"/>
      <w:divBdr>
        <w:top w:val="none" w:sz="0" w:space="0" w:color="auto"/>
        <w:left w:val="none" w:sz="0" w:space="0" w:color="auto"/>
        <w:bottom w:val="none" w:sz="0" w:space="0" w:color="auto"/>
        <w:right w:val="none" w:sz="0" w:space="0" w:color="auto"/>
      </w:divBdr>
    </w:div>
    <w:div w:id="139739072">
      <w:bodyDiv w:val="1"/>
      <w:marLeft w:val="0"/>
      <w:marRight w:val="0"/>
      <w:marTop w:val="0"/>
      <w:marBottom w:val="0"/>
      <w:divBdr>
        <w:top w:val="none" w:sz="0" w:space="0" w:color="auto"/>
        <w:left w:val="none" w:sz="0" w:space="0" w:color="auto"/>
        <w:bottom w:val="none" w:sz="0" w:space="0" w:color="auto"/>
        <w:right w:val="none" w:sz="0" w:space="0" w:color="auto"/>
      </w:divBdr>
    </w:div>
    <w:div w:id="141241037">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439616697">
      <w:bodyDiv w:val="1"/>
      <w:marLeft w:val="0"/>
      <w:marRight w:val="0"/>
      <w:marTop w:val="0"/>
      <w:marBottom w:val="0"/>
      <w:divBdr>
        <w:top w:val="none" w:sz="0" w:space="0" w:color="auto"/>
        <w:left w:val="none" w:sz="0" w:space="0" w:color="auto"/>
        <w:bottom w:val="none" w:sz="0" w:space="0" w:color="auto"/>
        <w:right w:val="none" w:sz="0" w:space="0" w:color="auto"/>
      </w:divBdr>
    </w:div>
    <w:div w:id="455375610">
      <w:bodyDiv w:val="1"/>
      <w:marLeft w:val="0"/>
      <w:marRight w:val="0"/>
      <w:marTop w:val="0"/>
      <w:marBottom w:val="0"/>
      <w:divBdr>
        <w:top w:val="none" w:sz="0" w:space="0" w:color="auto"/>
        <w:left w:val="none" w:sz="0" w:space="0" w:color="auto"/>
        <w:bottom w:val="none" w:sz="0" w:space="0" w:color="auto"/>
        <w:right w:val="none" w:sz="0" w:space="0" w:color="auto"/>
      </w:divBdr>
    </w:div>
    <w:div w:id="459803899">
      <w:bodyDiv w:val="1"/>
      <w:marLeft w:val="0"/>
      <w:marRight w:val="0"/>
      <w:marTop w:val="0"/>
      <w:marBottom w:val="0"/>
      <w:divBdr>
        <w:top w:val="none" w:sz="0" w:space="0" w:color="auto"/>
        <w:left w:val="none" w:sz="0" w:space="0" w:color="auto"/>
        <w:bottom w:val="none" w:sz="0" w:space="0" w:color="auto"/>
        <w:right w:val="none" w:sz="0" w:space="0" w:color="auto"/>
      </w:divBdr>
    </w:div>
    <w:div w:id="491992589">
      <w:bodyDiv w:val="1"/>
      <w:marLeft w:val="0"/>
      <w:marRight w:val="0"/>
      <w:marTop w:val="0"/>
      <w:marBottom w:val="0"/>
      <w:divBdr>
        <w:top w:val="none" w:sz="0" w:space="0" w:color="auto"/>
        <w:left w:val="none" w:sz="0" w:space="0" w:color="auto"/>
        <w:bottom w:val="none" w:sz="0" w:space="0" w:color="auto"/>
        <w:right w:val="none" w:sz="0" w:space="0" w:color="auto"/>
      </w:divBdr>
    </w:div>
    <w:div w:id="505167163">
      <w:bodyDiv w:val="1"/>
      <w:marLeft w:val="0"/>
      <w:marRight w:val="0"/>
      <w:marTop w:val="0"/>
      <w:marBottom w:val="0"/>
      <w:divBdr>
        <w:top w:val="none" w:sz="0" w:space="0" w:color="auto"/>
        <w:left w:val="none" w:sz="0" w:space="0" w:color="auto"/>
        <w:bottom w:val="none" w:sz="0" w:space="0" w:color="auto"/>
        <w:right w:val="none" w:sz="0" w:space="0" w:color="auto"/>
      </w:divBdr>
    </w:div>
    <w:div w:id="534270826">
      <w:bodyDiv w:val="1"/>
      <w:marLeft w:val="0"/>
      <w:marRight w:val="0"/>
      <w:marTop w:val="0"/>
      <w:marBottom w:val="0"/>
      <w:divBdr>
        <w:top w:val="none" w:sz="0" w:space="0" w:color="auto"/>
        <w:left w:val="none" w:sz="0" w:space="0" w:color="auto"/>
        <w:bottom w:val="none" w:sz="0" w:space="0" w:color="auto"/>
        <w:right w:val="none" w:sz="0" w:space="0" w:color="auto"/>
      </w:divBdr>
    </w:div>
    <w:div w:id="568420897">
      <w:bodyDiv w:val="1"/>
      <w:marLeft w:val="0"/>
      <w:marRight w:val="0"/>
      <w:marTop w:val="0"/>
      <w:marBottom w:val="0"/>
      <w:divBdr>
        <w:top w:val="none" w:sz="0" w:space="0" w:color="auto"/>
        <w:left w:val="none" w:sz="0" w:space="0" w:color="auto"/>
        <w:bottom w:val="none" w:sz="0" w:space="0" w:color="auto"/>
        <w:right w:val="none" w:sz="0" w:space="0" w:color="auto"/>
      </w:divBdr>
    </w:div>
    <w:div w:id="607351345">
      <w:bodyDiv w:val="1"/>
      <w:marLeft w:val="0"/>
      <w:marRight w:val="0"/>
      <w:marTop w:val="0"/>
      <w:marBottom w:val="0"/>
      <w:divBdr>
        <w:top w:val="none" w:sz="0" w:space="0" w:color="auto"/>
        <w:left w:val="none" w:sz="0" w:space="0" w:color="auto"/>
        <w:bottom w:val="none" w:sz="0" w:space="0" w:color="auto"/>
        <w:right w:val="none" w:sz="0" w:space="0" w:color="auto"/>
      </w:divBdr>
    </w:div>
    <w:div w:id="707144685">
      <w:bodyDiv w:val="1"/>
      <w:marLeft w:val="0"/>
      <w:marRight w:val="0"/>
      <w:marTop w:val="0"/>
      <w:marBottom w:val="0"/>
      <w:divBdr>
        <w:top w:val="none" w:sz="0" w:space="0" w:color="auto"/>
        <w:left w:val="none" w:sz="0" w:space="0" w:color="auto"/>
        <w:bottom w:val="none" w:sz="0" w:space="0" w:color="auto"/>
        <w:right w:val="none" w:sz="0" w:space="0" w:color="auto"/>
      </w:divBdr>
    </w:div>
    <w:div w:id="759789437">
      <w:bodyDiv w:val="1"/>
      <w:marLeft w:val="0"/>
      <w:marRight w:val="0"/>
      <w:marTop w:val="0"/>
      <w:marBottom w:val="0"/>
      <w:divBdr>
        <w:top w:val="none" w:sz="0" w:space="0" w:color="auto"/>
        <w:left w:val="none" w:sz="0" w:space="0" w:color="auto"/>
        <w:bottom w:val="none" w:sz="0" w:space="0" w:color="auto"/>
        <w:right w:val="none" w:sz="0" w:space="0" w:color="auto"/>
      </w:divBdr>
    </w:div>
    <w:div w:id="778766082">
      <w:bodyDiv w:val="1"/>
      <w:marLeft w:val="0"/>
      <w:marRight w:val="0"/>
      <w:marTop w:val="0"/>
      <w:marBottom w:val="0"/>
      <w:divBdr>
        <w:top w:val="none" w:sz="0" w:space="0" w:color="auto"/>
        <w:left w:val="none" w:sz="0" w:space="0" w:color="auto"/>
        <w:bottom w:val="none" w:sz="0" w:space="0" w:color="auto"/>
        <w:right w:val="none" w:sz="0" w:space="0" w:color="auto"/>
      </w:divBdr>
    </w:div>
    <w:div w:id="795217118">
      <w:bodyDiv w:val="1"/>
      <w:marLeft w:val="0"/>
      <w:marRight w:val="0"/>
      <w:marTop w:val="0"/>
      <w:marBottom w:val="0"/>
      <w:divBdr>
        <w:top w:val="none" w:sz="0" w:space="0" w:color="auto"/>
        <w:left w:val="none" w:sz="0" w:space="0" w:color="auto"/>
        <w:bottom w:val="none" w:sz="0" w:space="0" w:color="auto"/>
        <w:right w:val="none" w:sz="0" w:space="0" w:color="auto"/>
      </w:divBdr>
    </w:div>
    <w:div w:id="818767437">
      <w:bodyDiv w:val="1"/>
      <w:marLeft w:val="0"/>
      <w:marRight w:val="0"/>
      <w:marTop w:val="0"/>
      <w:marBottom w:val="0"/>
      <w:divBdr>
        <w:top w:val="none" w:sz="0" w:space="0" w:color="auto"/>
        <w:left w:val="none" w:sz="0" w:space="0" w:color="auto"/>
        <w:bottom w:val="none" w:sz="0" w:space="0" w:color="auto"/>
        <w:right w:val="none" w:sz="0" w:space="0" w:color="auto"/>
      </w:divBdr>
    </w:div>
    <w:div w:id="1019626309">
      <w:bodyDiv w:val="1"/>
      <w:marLeft w:val="0"/>
      <w:marRight w:val="0"/>
      <w:marTop w:val="0"/>
      <w:marBottom w:val="0"/>
      <w:divBdr>
        <w:top w:val="none" w:sz="0" w:space="0" w:color="auto"/>
        <w:left w:val="none" w:sz="0" w:space="0" w:color="auto"/>
        <w:bottom w:val="none" w:sz="0" w:space="0" w:color="auto"/>
        <w:right w:val="none" w:sz="0" w:space="0" w:color="auto"/>
      </w:divBdr>
    </w:div>
    <w:div w:id="103176376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055736287">
      <w:bodyDiv w:val="1"/>
      <w:marLeft w:val="0"/>
      <w:marRight w:val="0"/>
      <w:marTop w:val="0"/>
      <w:marBottom w:val="0"/>
      <w:divBdr>
        <w:top w:val="none" w:sz="0" w:space="0" w:color="auto"/>
        <w:left w:val="none" w:sz="0" w:space="0" w:color="auto"/>
        <w:bottom w:val="none" w:sz="0" w:space="0" w:color="auto"/>
        <w:right w:val="none" w:sz="0" w:space="0" w:color="auto"/>
      </w:divBdr>
    </w:div>
    <w:div w:id="1075126317">
      <w:bodyDiv w:val="1"/>
      <w:marLeft w:val="0"/>
      <w:marRight w:val="0"/>
      <w:marTop w:val="0"/>
      <w:marBottom w:val="0"/>
      <w:divBdr>
        <w:top w:val="none" w:sz="0" w:space="0" w:color="auto"/>
        <w:left w:val="none" w:sz="0" w:space="0" w:color="auto"/>
        <w:bottom w:val="none" w:sz="0" w:space="0" w:color="auto"/>
        <w:right w:val="none" w:sz="0" w:space="0" w:color="auto"/>
      </w:divBdr>
    </w:div>
    <w:div w:id="1172064000">
      <w:bodyDiv w:val="1"/>
      <w:marLeft w:val="0"/>
      <w:marRight w:val="0"/>
      <w:marTop w:val="0"/>
      <w:marBottom w:val="0"/>
      <w:divBdr>
        <w:top w:val="none" w:sz="0" w:space="0" w:color="auto"/>
        <w:left w:val="none" w:sz="0" w:space="0" w:color="auto"/>
        <w:bottom w:val="none" w:sz="0" w:space="0" w:color="auto"/>
        <w:right w:val="none" w:sz="0" w:space="0" w:color="auto"/>
      </w:divBdr>
    </w:div>
    <w:div w:id="1312056244">
      <w:bodyDiv w:val="1"/>
      <w:marLeft w:val="0"/>
      <w:marRight w:val="0"/>
      <w:marTop w:val="0"/>
      <w:marBottom w:val="0"/>
      <w:divBdr>
        <w:top w:val="none" w:sz="0" w:space="0" w:color="auto"/>
        <w:left w:val="none" w:sz="0" w:space="0" w:color="auto"/>
        <w:bottom w:val="none" w:sz="0" w:space="0" w:color="auto"/>
        <w:right w:val="none" w:sz="0" w:space="0" w:color="auto"/>
      </w:divBdr>
    </w:div>
    <w:div w:id="1347295493">
      <w:bodyDiv w:val="1"/>
      <w:marLeft w:val="0"/>
      <w:marRight w:val="0"/>
      <w:marTop w:val="0"/>
      <w:marBottom w:val="0"/>
      <w:divBdr>
        <w:top w:val="none" w:sz="0" w:space="0" w:color="auto"/>
        <w:left w:val="none" w:sz="0" w:space="0" w:color="auto"/>
        <w:bottom w:val="none" w:sz="0" w:space="0" w:color="auto"/>
        <w:right w:val="none" w:sz="0" w:space="0" w:color="auto"/>
      </w:divBdr>
    </w:div>
    <w:div w:id="1351100671">
      <w:bodyDiv w:val="1"/>
      <w:marLeft w:val="0"/>
      <w:marRight w:val="0"/>
      <w:marTop w:val="0"/>
      <w:marBottom w:val="0"/>
      <w:divBdr>
        <w:top w:val="none" w:sz="0" w:space="0" w:color="auto"/>
        <w:left w:val="none" w:sz="0" w:space="0" w:color="auto"/>
        <w:bottom w:val="none" w:sz="0" w:space="0" w:color="auto"/>
        <w:right w:val="none" w:sz="0" w:space="0" w:color="auto"/>
      </w:divBdr>
    </w:div>
    <w:div w:id="1363048207">
      <w:bodyDiv w:val="1"/>
      <w:marLeft w:val="0"/>
      <w:marRight w:val="0"/>
      <w:marTop w:val="0"/>
      <w:marBottom w:val="0"/>
      <w:divBdr>
        <w:top w:val="none" w:sz="0" w:space="0" w:color="auto"/>
        <w:left w:val="none" w:sz="0" w:space="0" w:color="auto"/>
        <w:bottom w:val="none" w:sz="0" w:space="0" w:color="auto"/>
        <w:right w:val="none" w:sz="0" w:space="0" w:color="auto"/>
      </w:divBdr>
    </w:div>
    <w:div w:id="1365059843">
      <w:bodyDiv w:val="1"/>
      <w:marLeft w:val="0"/>
      <w:marRight w:val="0"/>
      <w:marTop w:val="0"/>
      <w:marBottom w:val="0"/>
      <w:divBdr>
        <w:top w:val="none" w:sz="0" w:space="0" w:color="auto"/>
        <w:left w:val="none" w:sz="0" w:space="0" w:color="auto"/>
        <w:bottom w:val="none" w:sz="0" w:space="0" w:color="auto"/>
        <w:right w:val="none" w:sz="0" w:space="0" w:color="auto"/>
      </w:divBdr>
    </w:div>
    <w:div w:id="1371109831">
      <w:bodyDiv w:val="1"/>
      <w:marLeft w:val="0"/>
      <w:marRight w:val="0"/>
      <w:marTop w:val="0"/>
      <w:marBottom w:val="0"/>
      <w:divBdr>
        <w:top w:val="none" w:sz="0" w:space="0" w:color="auto"/>
        <w:left w:val="none" w:sz="0" w:space="0" w:color="auto"/>
        <w:bottom w:val="none" w:sz="0" w:space="0" w:color="auto"/>
        <w:right w:val="none" w:sz="0" w:space="0" w:color="auto"/>
      </w:divBdr>
    </w:div>
    <w:div w:id="1386837800">
      <w:bodyDiv w:val="1"/>
      <w:marLeft w:val="0"/>
      <w:marRight w:val="0"/>
      <w:marTop w:val="0"/>
      <w:marBottom w:val="0"/>
      <w:divBdr>
        <w:top w:val="none" w:sz="0" w:space="0" w:color="auto"/>
        <w:left w:val="none" w:sz="0" w:space="0" w:color="auto"/>
        <w:bottom w:val="none" w:sz="0" w:space="0" w:color="auto"/>
        <w:right w:val="none" w:sz="0" w:space="0" w:color="auto"/>
      </w:divBdr>
    </w:div>
    <w:div w:id="1407725111">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65351728">
      <w:bodyDiv w:val="1"/>
      <w:marLeft w:val="0"/>
      <w:marRight w:val="0"/>
      <w:marTop w:val="0"/>
      <w:marBottom w:val="0"/>
      <w:divBdr>
        <w:top w:val="none" w:sz="0" w:space="0" w:color="auto"/>
        <w:left w:val="none" w:sz="0" w:space="0" w:color="auto"/>
        <w:bottom w:val="none" w:sz="0" w:space="0" w:color="auto"/>
        <w:right w:val="none" w:sz="0" w:space="0" w:color="auto"/>
      </w:divBdr>
    </w:div>
    <w:div w:id="1513255936">
      <w:bodyDiv w:val="1"/>
      <w:marLeft w:val="0"/>
      <w:marRight w:val="0"/>
      <w:marTop w:val="0"/>
      <w:marBottom w:val="0"/>
      <w:divBdr>
        <w:top w:val="none" w:sz="0" w:space="0" w:color="auto"/>
        <w:left w:val="none" w:sz="0" w:space="0" w:color="auto"/>
        <w:bottom w:val="none" w:sz="0" w:space="0" w:color="auto"/>
        <w:right w:val="none" w:sz="0" w:space="0" w:color="auto"/>
      </w:divBdr>
    </w:div>
    <w:div w:id="1560748672">
      <w:bodyDiv w:val="1"/>
      <w:marLeft w:val="0"/>
      <w:marRight w:val="0"/>
      <w:marTop w:val="0"/>
      <w:marBottom w:val="0"/>
      <w:divBdr>
        <w:top w:val="none" w:sz="0" w:space="0" w:color="auto"/>
        <w:left w:val="none" w:sz="0" w:space="0" w:color="auto"/>
        <w:bottom w:val="none" w:sz="0" w:space="0" w:color="auto"/>
        <w:right w:val="none" w:sz="0" w:space="0" w:color="auto"/>
      </w:divBdr>
    </w:div>
    <w:div w:id="1620799244">
      <w:bodyDiv w:val="1"/>
      <w:marLeft w:val="0"/>
      <w:marRight w:val="0"/>
      <w:marTop w:val="0"/>
      <w:marBottom w:val="0"/>
      <w:divBdr>
        <w:top w:val="none" w:sz="0" w:space="0" w:color="auto"/>
        <w:left w:val="none" w:sz="0" w:space="0" w:color="auto"/>
        <w:bottom w:val="none" w:sz="0" w:space="0" w:color="auto"/>
        <w:right w:val="none" w:sz="0" w:space="0" w:color="auto"/>
      </w:divBdr>
    </w:div>
    <w:div w:id="1637685138">
      <w:bodyDiv w:val="1"/>
      <w:marLeft w:val="0"/>
      <w:marRight w:val="0"/>
      <w:marTop w:val="0"/>
      <w:marBottom w:val="0"/>
      <w:divBdr>
        <w:top w:val="none" w:sz="0" w:space="0" w:color="auto"/>
        <w:left w:val="none" w:sz="0" w:space="0" w:color="auto"/>
        <w:bottom w:val="none" w:sz="0" w:space="0" w:color="auto"/>
        <w:right w:val="none" w:sz="0" w:space="0" w:color="auto"/>
      </w:divBdr>
    </w:div>
    <w:div w:id="1649288821">
      <w:bodyDiv w:val="1"/>
      <w:marLeft w:val="0"/>
      <w:marRight w:val="0"/>
      <w:marTop w:val="0"/>
      <w:marBottom w:val="0"/>
      <w:divBdr>
        <w:top w:val="none" w:sz="0" w:space="0" w:color="auto"/>
        <w:left w:val="none" w:sz="0" w:space="0" w:color="auto"/>
        <w:bottom w:val="none" w:sz="0" w:space="0" w:color="auto"/>
        <w:right w:val="none" w:sz="0" w:space="0" w:color="auto"/>
      </w:divBdr>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675448081">
      <w:bodyDiv w:val="1"/>
      <w:marLeft w:val="0"/>
      <w:marRight w:val="0"/>
      <w:marTop w:val="0"/>
      <w:marBottom w:val="0"/>
      <w:divBdr>
        <w:top w:val="none" w:sz="0" w:space="0" w:color="auto"/>
        <w:left w:val="none" w:sz="0" w:space="0" w:color="auto"/>
        <w:bottom w:val="none" w:sz="0" w:space="0" w:color="auto"/>
        <w:right w:val="none" w:sz="0" w:space="0" w:color="auto"/>
      </w:divBdr>
    </w:div>
    <w:div w:id="1749769041">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844707349">
      <w:bodyDiv w:val="1"/>
      <w:marLeft w:val="0"/>
      <w:marRight w:val="0"/>
      <w:marTop w:val="0"/>
      <w:marBottom w:val="0"/>
      <w:divBdr>
        <w:top w:val="none" w:sz="0" w:space="0" w:color="auto"/>
        <w:left w:val="none" w:sz="0" w:space="0" w:color="auto"/>
        <w:bottom w:val="none" w:sz="0" w:space="0" w:color="auto"/>
        <w:right w:val="none" w:sz="0" w:space="0" w:color="auto"/>
      </w:divBdr>
    </w:div>
    <w:div w:id="1929924435">
      <w:bodyDiv w:val="1"/>
      <w:marLeft w:val="0"/>
      <w:marRight w:val="0"/>
      <w:marTop w:val="0"/>
      <w:marBottom w:val="0"/>
      <w:divBdr>
        <w:top w:val="none" w:sz="0" w:space="0" w:color="auto"/>
        <w:left w:val="none" w:sz="0" w:space="0" w:color="auto"/>
        <w:bottom w:val="none" w:sz="0" w:space="0" w:color="auto"/>
        <w:right w:val="none" w:sz="0" w:space="0" w:color="auto"/>
      </w:divBdr>
    </w:div>
    <w:div w:id="1956326309">
      <w:bodyDiv w:val="1"/>
      <w:marLeft w:val="0"/>
      <w:marRight w:val="0"/>
      <w:marTop w:val="0"/>
      <w:marBottom w:val="0"/>
      <w:divBdr>
        <w:top w:val="none" w:sz="0" w:space="0" w:color="auto"/>
        <w:left w:val="none" w:sz="0" w:space="0" w:color="auto"/>
        <w:bottom w:val="none" w:sz="0" w:space="0" w:color="auto"/>
        <w:right w:val="none" w:sz="0" w:space="0" w:color="auto"/>
      </w:divBdr>
    </w:div>
    <w:div w:id="1972127001">
      <w:bodyDiv w:val="1"/>
      <w:marLeft w:val="0"/>
      <w:marRight w:val="0"/>
      <w:marTop w:val="0"/>
      <w:marBottom w:val="0"/>
      <w:divBdr>
        <w:top w:val="none" w:sz="0" w:space="0" w:color="auto"/>
        <w:left w:val="none" w:sz="0" w:space="0" w:color="auto"/>
        <w:bottom w:val="none" w:sz="0" w:space="0" w:color="auto"/>
        <w:right w:val="none" w:sz="0" w:space="0" w:color="auto"/>
      </w:divBdr>
    </w:div>
    <w:div w:id="2012756818">
      <w:bodyDiv w:val="1"/>
      <w:marLeft w:val="0"/>
      <w:marRight w:val="0"/>
      <w:marTop w:val="0"/>
      <w:marBottom w:val="0"/>
      <w:divBdr>
        <w:top w:val="none" w:sz="0" w:space="0" w:color="auto"/>
        <w:left w:val="none" w:sz="0" w:space="0" w:color="auto"/>
        <w:bottom w:val="none" w:sz="0" w:space="0" w:color="auto"/>
        <w:right w:val="none" w:sz="0" w:space="0" w:color="auto"/>
      </w:divBdr>
    </w:div>
    <w:div w:id="2069038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cg.com/publications/2025/the-future-of-finance-fit-for-growth-built-for-purpose?utm_source=chatgpt.com" TargetMode="External"/><Relationship Id="rId26" Type="http://schemas.openxmlformats.org/officeDocument/2006/relationships/hyperlink" Target="https://www.reuters.com/sustainability/bbva-raises-sustainable-finance-target-700-billion-euros-2025-02-23/?utm_source=chatgpt.com" TargetMode="External"/><Relationship Id="rId39" Type="http://schemas.openxmlformats.org/officeDocument/2006/relationships/theme" Target="theme/theme1.xml"/><Relationship Id="rId21" Type="http://schemas.openxmlformats.org/officeDocument/2006/relationships/hyperlink" Target="https://www.digitalbankingreport.com/trends/2025-retail-banking-trends-and-priorities/?utm_source=chatgpt.com" TargetMode="External"/><Relationship Id="rId34" Type="http://schemas.openxmlformats.org/officeDocument/2006/relationships/hyperlink" Target="https://www.wsj.com/articles/digital-workers-have-arrived-in-banking-bf62be49?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anking-worldwide.com/markets/the-future-of-sustainable-finance-and-esg-banking/?utm_source=chatgpt.com" TargetMode="External"/><Relationship Id="rId25" Type="http://schemas.openxmlformats.org/officeDocument/2006/relationships/hyperlink" Target="https://www.moodys.com/web/en/us/insights/credit-risk/outlooks/esg-sustainable-finance-2025.html?utm_source=chatgpt.com" TargetMode="External"/><Relationship Id="rId33" Type="http://schemas.openxmlformats.org/officeDocument/2006/relationships/hyperlink" Target="https://www.unepfi.org/wordpress/wp-content/uploads/2025/06/PRB_Case-studies-combined-report.pdf?utm_source=chatgpt.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lkami.com/resources/research/reports/the-2025-digital-banking-performance-metrics-report/?utm_source=chatgpt.com" TargetMode="External"/><Relationship Id="rId20" Type="http://schemas.openxmlformats.org/officeDocument/2006/relationships/hyperlink" Target="https://coinlaw.io/digital-transformation-in-banking-statistics/?utm_source=chatgpt.com" TargetMode="External"/><Relationship Id="rId29" Type="http://schemas.openxmlformats.org/officeDocument/2006/relationships/hyperlink" Target="https://www.sbfnetwork.org/sites/default/files/2025/Oct/Global-Progress-Report_2025_Final.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oneyweek.com/personal-finance/biggest-fossil-fuel-financing-banks?utm_source=chatgpt.com" TargetMode="External"/><Relationship Id="rId32" Type="http://schemas.openxmlformats.org/officeDocument/2006/relationships/hyperlink" Target="https://unctad.org/system/files/official-document/wir2025_ch03_en.pdf?utm_source=chatgpt.co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centure.com/us-en/insights/banking/top-10-trends-banking-2025?utm_source=chatgpt.com" TargetMode="External"/><Relationship Id="rId23" Type="http://schemas.openxmlformats.org/officeDocument/2006/relationships/hyperlink" Target="https://market.biz/digital-banking-statistics/?utm_source=chatgpt.com" TargetMode="External"/><Relationship Id="rId28" Type="http://schemas.openxmlformats.org/officeDocument/2006/relationships/hyperlink" Target="https://www.startus-insights.com/innovators-guide/banking-industry-report/?utm_source=chatgpt.com" TargetMode="External"/><Relationship Id="rId36" Type="http://schemas.openxmlformats.org/officeDocument/2006/relationships/hyperlink" Target="https://www.wipfli.com/-/media/wipfli/downloadable-files/2025-state-of-banking-report_final.pdf?utm_source=chatgpt.com" TargetMode="External"/><Relationship Id="rId10" Type="http://schemas.openxmlformats.org/officeDocument/2006/relationships/image" Target="media/image3.png"/><Relationship Id="rId19" Type="http://schemas.openxmlformats.org/officeDocument/2006/relationships/hyperlink" Target="https://www.climatepolicyinitiative.org/wp-content/uploads/2025/04/The-State-of-Green-Banks-2025.pdf?utm_source=chatgpt.com" TargetMode="External"/><Relationship Id="rId31" Type="http://schemas.openxmlformats.org/officeDocument/2006/relationships/hyperlink" Target="https://timesofindia.indiatimes.com/business/india-business/generative-ai-adoption-surge-banking-sector-set-for-efficiency-leap-by-nearly-46-rbi-report/articleshow/123294610.cm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lumenalta.com/insights/a-guide-to-digital-transformation-in-banking-updated-2025?utm_source=chatgpt.com" TargetMode="External"/><Relationship Id="rId27" Type="http://schemas.openxmlformats.org/officeDocument/2006/relationships/hyperlink" Target="https://www.scotiabank.com/content/dam/scotiabank/corporate/Documents/2025/Scotiabank_2024_Sustainability_Report_Final.pdf?utm_source=chatgpt.com" TargetMode="External"/><Relationship Id="rId30" Type="http://schemas.openxmlformats.org/officeDocument/2006/relationships/hyperlink" Target="https://www.theguardian.com/business/2025/jun/17/world-banks-fossil-fuel-finance-2024?utm_source=chatgpt.com" TargetMode="External"/><Relationship Id="rId35" Type="http://schemas.openxmlformats.org/officeDocument/2006/relationships/hyperlink" Target="https://wifitalents.com/digital-transformation-in-the-banking-industry-statistics/?utm_source=chatgpt.com"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120B4-E849-4AB4-A75B-9BC2E3603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19</Pages>
  <Words>4024</Words>
  <Characters>22941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Vikas Ramani</cp:lastModifiedBy>
  <cp:revision>11</cp:revision>
  <dcterms:created xsi:type="dcterms:W3CDTF">2025-11-19T01:15:00Z</dcterms:created>
  <dcterms:modified xsi:type="dcterms:W3CDTF">2025-11-20T13:46:00Z</dcterms:modified>
</cp:coreProperties>
</file>