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453C9" w14:textId="3D947724" w:rsidR="00327ED1" w:rsidRPr="00F93875" w:rsidRDefault="006D6F02">
      <w:pPr>
        <w:rPr>
          <w:rFonts w:ascii="Times New Roman" w:hAnsi="Times New Roman" w:cs="Times New Roman"/>
          <w:sz w:val="24"/>
          <w:szCs w:val="24"/>
        </w:rPr>
      </w:pPr>
      <w:bookmarkStart w:id="0" w:name="_Toc148711148"/>
      <w:r>
        <w:rPr>
          <w:rFonts w:ascii="Times New Roman" w:hAnsi="Times New Roman" w:cs="Times New Roman"/>
          <w:sz w:val="24"/>
          <w:szCs w:val="24"/>
        </w:rPr>
        <w:t xml:space="preserve">                                          </w:t>
      </w:r>
      <w:r w:rsidR="00327ED1" w:rsidRPr="00F93875">
        <w:rPr>
          <w:rFonts w:ascii="Times New Roman" w:hAnsi="Times New Roman" w:cs="Times New Roman"/>
          <w:sz w:val="24"/>
          <w:szCs w:val="24"/>
        </w:rPr>
        <w:t>Characteristics of Y and Z generation</w:t>
      </w:r>
    </w:p>
    <w:p w14:paraId="503453CA" w14:textId="77777777" w:rsidR="00327ED1" w:rsidRPr="00F93875" w:rsidRDefault="00327ED1">
      <w:pPr>
        <w:rPr>
          <w:rFonts w:ascii="Times New Roman" w:hAnsi="Times New Roman" w:cs="Times New Roman"/>
          <w:sz w:val="24"/>
          <w:szCs w:val="24"/>
        </w:rPr>
      </w:pPr>
    </w:p>
    <w:p w14:paraId="503453CB" w14:textId="77777777" w:rsidR="00327ED1" w:rsidRPr="00F93875" w:rsidRDefault="00327ED1">
      <w:pPr>
        <w:rPr>
          <w:rFonts w:ascii="Times New Roman" w:hAnsi="Times New Roman" w:cs="Times New Roman"/>
          <w:sz w:val="24"/>
          <w:szCs w:val="24"/>
        </w:rPr>
      </w:pPr>
    </w:p>
    <w:p w14:paraId="503453CC" w14:textId="77777777" w:rsidR="00327ED1" w:rsidRPr="00F93875" w:rsidRDefault="00327ED1">
      <w:pPr>
        <w:rPr>
          <w:rFonts w:ascii="Times New Roman" w:hAnsi="Times New Roman" w:cs="Times New Roman"/>
          <w:sz w:val="24"/>
          <w:szCs w:val="24"/>
        </w:rPr>
      </w:pPr>
    </w:p>
    <w:p w14:paraId="503453CD" w14:textId="77777777" w:rsidR="00327ED1" w:rsidRPr="00F93875" w:rsidRDefault="00327ED1">
      <w:pPr>
        <w:rPr>
          <w:rFonts w:ascii="Times New Roman" w:hAnsi="Times New Roman" w:cs="Times New Roman"/>
          <w:sz w:val="24"/>
          <w:szCs w:val="24"/>
        </w:rPr>
      </w:pPr>
    </w:p>
    <w:p w14:paraId="503453CE" w14:textId="77777777" w:rsidR="00327ED1" w:rsidRPr="00F93875" w:rsidRDefault="00327ED1">
      <w:pPr>
        <w:rPr>
          <w:rFonts w:ascii="Times New Roman" w:hAnsi="Times New Roman" w:cs="Times New Roman"/>
          <w:sz w:val="24"/>
          <w:szCs w:val="24"/>
        </w:rPr>
      </w:pPr>
    </w:p>
    <w:p w14:paraId="503453CF" w14:textId="77777777" w:rsidR="00327ED1" w:rsidRPr="00F93875" w:rsidRDefault="00327ED1">
      <w:pPr>
        <w:rPr>
          <w:rFonts w:ascii="Times New Roman" w:hAnsi="Times New Roman" w:cs="Times New Roman"/>
          <w:sz w:val="24"/>
          <w:szCs w:val="24"/>
        </w:rPr>
      </w:pPr>
    </w:p>
    <w:p w14:paraId="503453D0" w14:textId="77777777" w:rsidR="00327ED1" w:rsidRPr="00F93875" w:rsidRDefault="00327ED1">
      <w:pPr>
        <w:rPr>
          <w:rFonts w:ascii="Times New Roman" w:hAnsi="Times New Roman" w:cs="Times New Roman"/>
          <w:sz w:val="24"/>
          <w:szCs w:val="24"/>
        </w:rPr>
      </w:pPr>
    </w:p>
    <w:p w14:paraId="503453D1" w14:textId="77777777" w:rsidR="00327ED1" w:rsidRPr="00F93875" w:rsidRDefault="00327ED1">
      <w:pPr>
        <w:rPr>
          <w:rFonts w:ascii="Times New Roman" w:hAnsi="Times New Roman" w:cs="Times New Roman"/>
          <w:sz w:val="24"/>
          <w:szCs w:val="24"/>
        </w:rPr>
      </w:pPr>
    </w:p>
    <w:p w14:paraId="503453D2" w14:textId="77777777" w:rsidR="00327ED1" w:rsidRPr="00F93875" w:rsidRDefault="00327ED1">
      <w:pPr>
        <w:rPr>
          <w:rFonts w:ascii="Times New Roman" w:hAnsi="Times New Roman" w:cs="Times New Roman"/>
          <w:sz w:val="24"/>
          <w:szCs w:val="24"/>
        </w:rPr>
      </w:pPr>
    </w:p>
    <w:p w14:paraId="503453D3" w14:textId="77777777" w:rsidR="00327ED1" w:rsidRPr="00F93875" w:rsidRDefault="00327ED1">
      <w:pPr>
        <w:rPr>
          <w:rFonts w:ascii="Times New Roman" w:hAnsi="Times New Roman" w:cs="Times New Roman"/>
          <w:sz w:val="24"/>
          <w:szCs w:val="24"/>
        </w:rPr>
      </w:pPr>
    </w:p>
    <w:p w14:paraId="503453D4" w14:textId="77777777" w:rsidR="00327ED1" w:rsidRPr="00F93875" w:rsidRDefault="00327ED1">
      <w:pPr>
        <w:rPr>
          <w:rFonts w:ascii="Times New Roman" w:hAnsi="Times New Roman" w:cs="Times New Roman"/>
          <w:sz w:val="24"/>
          <w:szCs w:val="24"/>
        </w:rPr>
      </w:pPr>
    </w:p>
    <w:p w14:paraId="503453D5" w14:textId="77777777" w:rsidR="00327ED1" w:rsidRPr="00F93875" w:rsidRDefault="00327ED1">
      <w:pPr>
        <w:rPr>
          <w:rFonts w:ascii="Times New Roman" w:hAnsi="Times New Roman" w:cs="Times New Roman"/>
          <w:sz w:val="24"/>
          <w:szCs w:val="24"/>
        </w:rPr>
      </w:pPr>
    </w:p>
    <w:p w14:paraId="503453D6" w14:textId="77777777" w:rsidR="00327ED1" w:rsidRPr="00F93875" w:rsidRDefault="00327ED1">
      <w:pPr>
        <w:rPr>
          <w:rFonts w:ascii="Times New Roman" w:hAnsi="Times New Roman" w:cs="Times New Roman"/>
          <w:sz w:val="24"/>
          <w:szCs w:val="24"/>
        </w:rPr>
      </w:pPr>
    </w:p>
    <w:p w14:paraId="503453D7" w14:textId="7D30F80F" w:rsidR="00327ED1" w:rsidRDefault="001F188A" w:rsidP="00327ED1">
      <w:pPr>
        <w:jc w:val="center"/>
        <w:rPr>
          <w:rFonts w:ascii="Times New Roman" w:hAnsi="Times New Roman" w:cs="Times New Roman"/>
          <w:sz w:val="24"/>
          <w:szCs w:val="24"/>
        </w:rPr>
      </w:pPr>
      <w:r>
        <w:rPr>
          <w:rFonts w:ascii="Times New Roman" w:hAnsi="Times New Roman" w:cs="Times New Roman"/>
          <w:sz w:val="24"/>
          <w:szCs w:val="24"/>
        </w:rPr>
        <w:t>Cristian Tenea</w:t>
      </w:r>
    </w:p>
    <w:p w14:paraId="2BE266DF" w14:textId="1DC2E3D0" w:rsidR="001F188A" w:rsidRDefault="001F188A" w:rsidP="00327ED1">
      <w:pPr>
        <w:jc w:val="center"/>
        <w:rPr>
          <w:rFonts w:ascii="Times New Roman" w:hAnsi="Times New Roman" w:cs="Times New Roman"/>
          <w:sz w:val="24"/>
          <w:szCs w:val="24"/>
        </w:rPr>
      </w:pPr>
      <w:r>
        <w:rPr>
          <w:rFonts w:ascii="Times New Roman" w:hAnsi="Times New Roman" w:cs="Times New Roman"/>
          <w:sz w:val="24"/>
          <w:szCs w:val="24"/>
        </w:rPr>
        <w:t>2211743</w:t>
      </w:r>
    </w:p>
    <w:p w14:paraId="567B8CE4" w14:textId="059484AF" w:rsidR="001F188A" w:rsidRDefault="00116D40" w:rsidP="00327ED1">
      <w:pPr>
        <w:jc w:val="center"/>
        <w:rPr>
          <w:rFonts w:ascii="Times New Roman" w:hAnsi="Times New Roman" w:cs="Times New Roman"/>
          <w:sz w:val="24"/>
          <w:szCs w:val="24"/>
        </w:rPr>
      </w:pPr>
      <w:r w:rsidRPr="00116D40">
        <w:rPr>
          <w:rFonts w:ascii="Times New Roman" w:hAnsi="Times New Roman" w:cs="Times New Roman"/>
          <w:sz w:val="24"/>
          <w:szCs w:val="24"/>
        </w:rPr>
        <w:t>Helen Lee</w:t>
      </w:r>
    </w:p>
    <w:p w14:paraId="04E3B68F" w14:textId="2262576A" w:rsidR="00116D40" w:rsidRDefault="00010027" w:rsidP="00327ED1">
      <w:pPr>
        <w:jc w:val="center"/>
        <w:rPr>
          <w:rFonts w:ascii="Times New Roman" w:hAnsi="Times New Roman" w:cs="Times New Roman"/>
          <w:sz w:val="24"/>
          <w:szCs w:val="24"/>
        </w:rPr>
      </w:pPr>
      <w:r w:rsidRPr="00010027">
        <w:rPr>
          <w:rFonts w:ascii="Times New Roman" w:hAnsi="Times New Roman" w:cs="Times New Roman"/>
          <w:sz w:val="24"/>
          <w:szCs w:val="24"/>
        </w:rPr>
        <w:t>Personnel Resourcing and Development</w:t>
      </w:r>
    </w:p>
    <w:p w14:paraId="0F241B66" w14:textId="572B18C0" w:rsidR="00010027" w:rsidRPr="00F93875" w:rsidRDefault="00010027" w:rsidP="00327ED1">
      <w:pPr>
        <w:jc w:val="center"/>
        <w:rPr>
          <w:rFonts w:ascii="Times New Roman" w:hAnsi="Times New Roman" w:cs="Times New Roman"/>
          <w:sz w:val="24"/>
          <w:szCs w:val="24"/>
        </w:rPr>
      </w:pPr>
      <w:r w:rsidRPr="00010027">
        <w:rPr>
          <w:rFonts w:ascii="Times New Roman" w:hAnsi="Times New Roman" w:cs="Times New Roman"/>
          <w:sz w:val="24"/>
          <w:szCs w:val="24"/>
        </w:rPr>
        <w:t>BMIH5005</w:t>
      </w:r>
    </w:p>
    <w:p w14:paraId="503453D9" w14:textId="46E0AC8E" w:rsidR="00327ED1" w:rsidRPr="00F93875" w:rsidRDefault="007E67B3" w:rsidP="00327ED1">
      <w:pPr>
        <w:jc w:val="center"/>
        <w:rPr>
          <w:rFonts w:ascii="Times New Roman" w:hAnsi="Times New Roman" w:cs="Times New Roman"/>
          <w:sz w:val="24"/>
          <w:szCs w:val="24"/>
        </w:rPr>
      </w:pPr>
      <w:r>
        <w:rPr>
          <w:rFonts w:ascii="Times New Roman" w:hAnsi="Times New Roman" w:cs="Times New Roman"/>
          <w:sz w:val="24"/>
          <w:szCs w:val="24"/>
        </w:rPr>
        <w:t>20.10.2023</w:t>
      </w:r>
      <w:r w:rsidR="00327ED1" w:rsidRPr="00F93875">
        <w:rPr>
          <w:rFonts w:ascii="Times New Roman" w:hAnsi="Times New Roman" w:cs="Times New Roman"/>
          <w:sz w:val="24"/>
          <w:szCs w:val="24"/>
        </w:rPr>
        <w:br w:type="page"/>
      </w:r>
    </w:p>
    <w:sdt>
      <w:sdtPr>
        <w:rPr>
          <w:rFonts w:asciiTheme="minorHAnsi" w:eastAsiaTheme="minorHAnsi" w:hAnsiTheme="minorHAnsi" w:cs="Times New Roman"/>
          <w:b w:val="0"/>
          <w:i w:val="0"/>
          <w:color w:val="auto"/>
          <w:sz w:val="22"/>
          <w:szCs w:val="24"/>
        </w:rPr>
        <w:id w:val="1571608471"/>
        <w:docPartObj>
          <w:docPartGallery w:val="Table of Contents"/>
          <w:docPartUnique/>
        </w:docPartObj>
      </w:sdtPr>
      <w:sdtEndPr>
        <w:rPr>
          <w:bCs/>
          <w:noProof/>
        </w:rPr>
      </w:sdtEndPr>
      <w:sdtContent>
        <w:p w14:paraId="503453DA" w14:textId="77777777" w:rsidR="00542D20" w:rsidRPr="008F7C7D" w:rsidRDefault="00542D20" w:rsidP="00542D20">
          <w:pPr>
            <w:pStyle w:val="Heading1"/>
            <w:jc w:val="center"/>
            <w:rPr>
              <w:rFonts w:cs="Times New Roman"/>
              <w:i w:val="0"/>
              <w:szCs w:val="24"/>
            </w:rPr>
          </w:pPr>
          <w:r w:rsidRPr="008F7C7D">
            <w:rPr>
              <w:rFonts w:cs="Times New Roman"/>
              <w:i w:val="0"/>
              <w:szCs w:val="24"/>
            </w:rPr>
            <w:t>Table of Contents</w:t>
          </w:r>
        </w:p>
        <w:p w14:paraId="503453DB" w14:textId="77777777" w:rsidR="008F7C7D" w:rsidRDefault="008F7C7D">
          <w:pPr>
            <w:pStyle w:val="TOC1"/>
            <w:tabs>
              <w:tab w:val="right" w:leader="dot" w:pos="9350"/>
            </w:tabs>
            <w:rPr>
              <w:rFonts w:ascii="Times New Roman" w:hAnsi="Times New Roman" w:cs="Times New Roman"/>
              <w:sz w:val="24"/>
              <w:szCs w:val="24"/>
            </w:rPr>
          </w:pPr>
        </w:p>
        <w:p w14:paraId="503453DC" w14:textId="77777777" w:rsidR="00542D20" w:rsidRPr="00F93875" w:rsidRDefault="00542D20">
          <w:pPr>
            <w:pStyle w:val="TOC1"/>
            <w:tabs>
              <w:tab w:val="right" w:leader="dot" w:pos="9350"/>
            </w:tabs>
            <w:rPr>
              <w:rFonts w:ascii="Times New Roman" w:eastAsiaTheme="minorEastAsia" w:hAnsi="Times New Roman" w:cs="Times New Roman"/>
              <w:noProof/>
              <w:sz w:val="24"/>
              <w:szCs w:val="24"/>
            </w:rPr>
          </w:pPr>
          <w:r w:rsidRPr="00F93875">
            <w:rPr>
              <w:rFonts w:ascii="Times New Roman" w:hAnsi="Times New Roman" w:cs="Times New Roman"/>
              <w:sz w:val="24"/>
              <w:szCs w:val="24"/>
            </w:rPr>
            <w:fldChar w:fldCharType="begin"/>
          </w:r>
          <w:r w:rsidRPr="00F93875">
            <w:rPr>
              <w:rFonts w:ascii="Times New Roman" w:hAnsi="Times New Roman" w:cs="Times New Roman"/>
              <w:sz w:val="24"/>
              <w:szCs w:val="24"/>
            </w:rPr>
            <w:instrText xml:space="preserve"> TOC \o "1-3" \h \z \u </w:instrText>
          </w:r>
          <w:r w:rsidRPr="00F93875">
            <w:rPr>
              <w:rFonts w:ascii="Times New Roman" w:hAnsi="Times New Roman" w:cs="Times New Roman"/>
              <w:sz w:val="24"/>
              <w:szCs w:val="24"/>
            </w:rPr>
            <w:fldChar w:fldCharType="separate"/>
          </w:r>
          <w:hyperlink w:anchor="_Toc148711363" w:history="1">
            <w:r w:rsidRPr="00F93875">
              <w:rPr>
                <w:rStyle w:val="Hyperlink"/>
                <w:rFonts w:ascii="Times New Roman" w:hAnsi="Times New Roman" w:cs="Times New Roman"/>
                <w:noProof/>
                <w:sz w:val="24"/>
                <w:szCs w:val="24"/>
              </w:rPr>
              <w:t>Introduction</w:t>
            </w:r>
            <w:r w:rsidRPr="00F93875">
              <w:rPr>
                <w:rFonts w:ascii="Times New Roman" w:hAnsi="Times New Roman" w:cs="Times New Roman"/>
                <w:noProof/>
                <w:webHidden/>
                <w:sz w:val="24"/>
                <w:szCs w:val="24"/>
              </w:rPr>
              <w:tab/>
            </w:r>
            <w:r w:rsidRPr="00F93875">
              <w:rPr>
                <w:rFonts w:ascii="Times New Roman" w:hAnsi="Times New Roman" w:cs="Times New Roman"/>
                <w:noProof/>
                <w:webHidden/>
                <w:sz w:val="24"/>
                <w:szCs w:val="24"/>
              </w:rPr>
              <w:fldChar w:fldCharType="begin"/>
            </w:r>
            <w:r w:rsidRPr="00F93875">
              <w:rPr>
                <w:rFonts w:ascii="Times New Roman" w:hAnsi="Times New Roman" w:cs="Times New Roman"/>
                <w:noProof/>
                <w:webHidden/>
                <w:sz w:val="24"/>
                <w:szCs w:val="24"/>
              </w:rPr>
              <w:instrText xml:space="preserve"> PAGEREF _Toc148711363 \h </w:instrText>
            </w:r>
            <w:r w:rsidRPr="00F93875">
              <w:rPr>
                <w:rFonts w:ascii="Times New Roman" w:hAnsi="Times New Roman" w:cs="Times New Roman"/>
                <w:noProof/>
                <w:webHidden/>
                <w:sz w:val="24"/>
                <w:szCs w:val="24"/>
              </w:rPr>
            </w:r>
            <w:r w:rsidRPr="00F93875">
              <w:rPr>
                <w:rFonts w:ascii="Times New Roman" w:hAnsi="Times New Roman" w:cs="Times New Roman"/>
                <w:noProof/>
                <w:webHidden/>
                <w:sz w:val="24"/>
                <w:szCs w:val="24"/>
              </w:rPr>
              <w:fldChar w:fldCharType="separate"/>
            </w:r>
            <w:r w:rsidRPr="00F93875">
              <w:rPr>
                <w:rFonts w:ascii="Times New Roman" w:hAnsi="Times New Roman" w:cs="Times New Roman"/>
                <w:noProof/>
                <w:webHidden/>
                <w:sz w:val="24"/>
                <w:szCs w:val="24"/>
              </w:rPr>
              <w:t>3</w:t>
            </w:r>
            <w:r w:rsidRPr="00F93875">
              <w:rPr>
                <w:rFonts w:ascii="Times New Roman" w:hAnsi="Times New Roman" w:cs="Times New Roman"/>
                <w:noProof/>
                <w:webHidden/>
                <w:sz w:val="24"/>
                <w:szCs w:val="24"/>
              </w:rPr>
              <w:fldChar w:fldCharType="end"/>
            </w:r>
          </w:hyperlink>
        </w:p>
        <w:p w14:paraId="503453DD" w14:textId="77777777" w:rsidR="00542D20" w:rsidRPr="00F93875" w:rsidRDefault="00000000">
          <w:pPr>
            <w:pStyle w:val="TOC1"/>
            <w:tabs>
              <w:tab w:val="right" w:leader="dot" w:pos="9350"/>
            </w:tabs>
            <w:rPr>
              <w:rFonts w:ascii="Times New Roman" w:eastAsiaTheme="minorEastAsia" w:hAnsi="Times New Roman" w:cs="Times New Roman"/>
              <w:noProof/>
              <w:sz w:val="24"/>
              <w:szCs w:val="24"/>
            </w:rPr>
          </w:pPr>
          <w:hyperlink w:anchor="_Toc148711364" w:history="1">
            <w:r w:rsidR="00542D20" w:rsidRPr="00F93875">
              <w:rPr>
                <w:rStyle w:val="Hyperlink"/>
                <w:rFonts w:ascii="Times New Roman" w:hAnsi="Times New Roman" w:cs="Times New Roman"/>
                <w:noProof/>
                <w:sz w:val="24"/>
                <w:szCs w:val="24"/>
              </w:rPr>
              <w:t>Characteristics of Generation Y and Generation Z</w:t>
            </w:r>
            <w:r w:rsidR="00542D20" w:rsidRPr="00F93875">
              <w:rPr>
                <w:rFonts w:ascii="Times New Roman" w:hAnsi="Times New Roman" w:cs="Times New Roman"/>
                <w:noProof/>
                <w:webHidden/>
                <w:sz w:val="24"/>
                <w:szCs w:val="24"/>
              </w:rPr>
              <w:tab/>
            </w:r>
            <w:r w:rsidR="00542D20" w:rsidRPr="00F93875">
              <w:rPr>
                <w:rFonts w:ascii="Times New Roman" w:hAnsi="Times New Roman" w:cs="Times New Roman"/>
                <w:noProof/>
                <w:webHidden/>
                <w:sz w:val="24"/>
                <w:szCs w:val="24"/>
              </w:rPr>
              <w:fldChar w:fldCharType="begin"/>
            </w:r>
            <w:r w:rsidR="00542D20" w:rsidRPr="00F93875">
              <w:rPr>
                <w:rFonts w:ascii="Times New Roman" w:hAnsi="Times New Roman" w:cs="Times New Roman"/>
                <w:noProof/>
                <w:webHidden/>
                <w:sz w:val="24"/>
                <w:szCs w:val="24"/>
              </w:rPr>
              <w:instrText xml:space="preserve"> PAGEREF _Toc148711364 \h </w:instrText>
            </w:r>
            <w:r w:rsidR="00542D20" w:rsidRPr="00F93875">
              <w:rPr>
                <w:rFonts w:ascii="Times New Roman" w:hAnsi="Times New Roman" w:cs="Times New Roman"/>
                <w:noProof/>
                <w:webHidden/>
                <w:sz w:val="24"/>
                <w:szCs w:val="24"/>
              </w:rPr>
            </w:r>
            <w:r w:rsidR="00542D20" w:rsidRPr="00F93875">
              <w:rPr>
                <w:rFonts w:ascii="Times New Roman" w:hAnsi="Times New Roman" w:cs="Times New Roman"/>
                <w:noProof/>
                <w:webHidden/>
                <w:sz w:val="24"/>
                <w:szCs w:val="24"/>
              </w:rPr>
              <w:fldChar w:fldCharType="separate"/>
            </w:r>
            <w:r w:rsidR="00542D20" w:rsidRPr="00F93875">
              <w:rPr>
                <w:rFonts w:ascii="Times New Roman" w:hAnsi="Times New Roman" w:cs="Times New Roman"/>
                <w:noProof/>
                <w:webHidden/>
                <w:sz w:val="24"/>
                <w:szCs w:val="24"/>
              </w:rPr>
              <w:t>4</w:t>
            </w:r>
            <w:r w:rsidR="00542D20" w:rsidRPr="00F93875">
              <w:rPr>
                <w:rFonts w:ascii="Times New Roman" w:hAnsi="Times New Roman" w:cs="Times New Roman"/>
                <w:noProof/>
                <w:webHidden/>
                <w:sz w:val="24"/>
                <w:szCs w:val="24"/>
              </w:rPr>
              <w:fldChar w:fldCharType="end"/>
            </w:r>
          </w:hyperlink>
        </w:p>
        <w:p w14:paraId="503453DE" w14:textId="77777777" w:rsidR="00542D20" w:rsidRPr="00F93875" w:rsidRDefault="00000000">
          <w:pPr>
            <w:pStyle w:val="TOC1"/>
            <w:tabs>
              <w:tab w:val="right" w:leader="dot" w:pos="9350"/>
            </w:tabs>
            <w:rPr>
              <w:rFonts w:ascii="Times New Roman" w:eastAsiaTheme="minorEastAsia" w:hAnsi="Times New Roman" w:cs="Times New Roman"/>
              <w:noProof/>
              <w:sz w:val="24"/>
              <w:szCs w:val="24"/>
            </w:rPr>
          </w:pPr>
          <w:hyperlink w:anchor="_Toc148711365" w:history="1">
            <w:r w:rsidR="00542D20" w:rsidRPr="00F93875">
              <w:rPr>
                <w:rStyle w:val="Hyperlink"/>
                <w:rFonts w:ascii="Times New Roman" w:hAnsi="Times New Roman" w:cs="Times New Roman"/>
                <w:noProof/>
                <w:sz w:val="24"/>
                <w:szCs w:val="24"/>
              </w:rPr>
              <w:t>Conclusion</w:t>
            </w:r>
            <w:r w:rsidR="00542D20" w:rsidRPr="00F93875">
              <w:rPr>
                <w:rFonts w:ascii="Times New Roman" w:hAnsi="Times New Roman" w:cs="Times New Roman"/>
                <w:noProof/>
                <w:webHidden/>
                <w:sz w:val="24"/>
                <w:szCs w:val="24"/>
              </w:rPr>
              <w:tab/>
            </w:r>
            <w:r w:rsidR="00542D20" w:rsidRPr="00F93875">
              <w:rPr>
                <w:rFonts w:ascii="Times New Roman" w:hAnsi="Times New Roman" w:cs="Times New Roman"/>
                <w:noProof/>
                <w:webHidden/>
                <w:sz w:val="24"/>
                <w:szCs w:val="24"/>
              </w:rPr>
              <w:fldChar w:fldCharType="begin"/>
            </w:r>
            <w:r w:rsidR="00542D20" w:rsidRPr="00F93875">
              <w:rPr>
                <w:rFonts w:ascii="Times New Roman" w:hAnsi="Times New Roman" w:cs="Times New Roman"/>
                <w:noProof/>
                <w:webHidden/>
                <w:sz w:val="24"/>
                <w:szCs w:val="24"/>
              </w:rPr>
              <w:instrText xml:space="preserve"> PAGEREF _Toc148711365 \h </w:instrText>
            </w:r>
            <w:r w:rsidR="00542D20" w:rsidRPr="00F93875">
              <w:rPr>
                <w:rFonts w:ascii="Times New Roman" w:hAnsi="Times New Roman" w:cs="Times New Roman"/>
                <w:noProof/>
                <w:webHidden/>
                <w:sz w:val="24"/>
                <w:szCs w:val="24"/>
              </w:rPr>
            </w:r>
            <w:r w:rsidR="00542D20" w:rsidRPr="00F93875">
              <w:rPr>
                <w:rFonts w:ascii="Times New Roman" w:hAnsi="Times New Roman" w:cs="Times New Roman"/>
                <w:noProof/>
                <w:webHidden/>
                <w:sz w:val="24"/>
                <w:szCs w:val="24"/>
              </w:rPr>
              <w:fldChar w:fldCharType="separate"/>
            </w:r>
            <w:r w:rsidR="00542D20" w:rsidRPr="00F93875">
              <w:rPr>
                <w:rFonts w:ascii="Times New Roman" w:hAnsi="Times New Roman" w:cs="Times New Roman"/>
                <w:noProof/>
                <w:webHidden/>
                <w:sz w:val="24"/>
                <w:szCs w:val="24"/>
              </w:rPr>
              <w:t>10</w:t>
            </w:r>
            <w:r w:rsidR="00542D20" w:rsidRPr="00F93875">
              <w:rPr>
                <w:rFonts w:ascii="Times New Roman" w:hAnsi="Times New Roman" w:cs="Times New Roman"/>
                <w:noProof/>
                <w:webHidden/>
                <w:sz w:val="24"/>
                <w:szCs w:val="24"/>
              </w:rPr>
              <w:fldChar w:fldCharType="end"/>
            </w:r>
          </w:hyperlink>
        </w:p>
        <w:p w14:paraId="503453DF" w14:textId="77777777" w:rsidR="00542D20" w:rsidRPr="00F93875" w:rsidRDefault="00000000">
          <w:pPr>
            <w:pStyle w:val="TOC1"/>
            <w:tabs>
              <w:tab w:val="right" w:leader="dot" w:pos="9350"/>
            </w:tabs>
            <w:rPr>
              <w:rFonts w:ascii="Times New Roman" w:eastAsiaTheme="minorEastAsia" w:hAnsi="Times New Roman" w:cs="Times New Roman"/>
              <w:noProof/>
              <w:sz w:val="24"/>
              <w:szCs w:val="24"/>
            </w:rPr>
          </w:pPr>
          <w:hyperlink w:anchor="_Toc148711366" w:history="1">
            <w:r w:rsidR="00542D20" w:rsidRPr="00F93875">
              <w:rPr>
                <w:rStyle w:val="Hyperlink"/>
                <w:rFonts w:ascii="Times New Roman" w:hAnsi="Times New Roman" w:cs="Times New Roman"/>
                <w:noProof/>
                <w:sz w:val="24"/>
                <w:szCs w:val="24"/>
              </w:rPr>
              <w:t>References</w:t>
            </w:r>
            <w:r w:rsidR="00542D20" w:rsidRPr="00F93875">
              <w:rPr>
                <w:rFonts w:ascii="Times New Roman" w:hAnsi="Times New Roman" w:cs="Times New Roman"/>
                <w:noProof/>
                <w:webHidden/>
                <w:sz w:val="24"/>
                <w:szCs w:val="24"/>
              </w:rPr>
              <w:tab/>
            </w:r>
            <w:r w:rsidR="00542D20" w:rsidRPr="00F93875">
              <w:rPr>
                <w:rFonts w:ascii="Times New Roman" w:hAnsi="Times New Roman" w:cs="Times New Roman"/>
                <w:noProof/>
                <w:webHidden/>
                <w:sz w:val="24"/>
                <w:szCs w:val="24"/>
              </w:rPr>
              <w:fldChar w:fldCharType="begin"/>
            </w:r>
            <w:r w:rsidR="00542D20" w:rsidRPr="00F93875">
              <w:rPr>
                <w:rFonts w:ascii="Times New Roman" w:hAnsi="Times New Roman" w:cs="Times New Roman"/>
                <w:noProof/>
                <w:webHidden/>
                <w:sz w:val="24"/>
                <w:szCs w:val="24"/>
              </w:rPr>
              <w:instrText xml:space="preserve"> PAGEREF _Toc148711366 \h </w:instrText>
            </w:r>
            <w:r w:rsidR="00542D20" w:rsidRPr="00F93875">
              <w:rPr>
                <w:rFonts w:ascii="Times New Roman" w:hAnsi="Times New Roman" w:cs="Times New Roman"/>
                <w:noProof/>
                <w:webHidden/>
                <w:sz w:val="24"/>
                <w:szCs w:val="24"/>
              </w:rPr>
            </w:r>
            <w:r w:rsidR="00542D20" w:rsidRPr="00F93875">
              <w:rPr>
                <w:rFonts w:ascii="Times New Roman" w:hAnsi="Times New Roman" w:cs="Times New Roman"/>
                <w:noProof/>
                <w:webHidden/>
                <w:sz w:val="24"/>
                <w:szCs w:val="24"/>
              </w:rPr>
              <w:fldChar w:fldCharType="separate"/>
            </w:r>
            <w:r w:rsidR="00542D20" w:rsidRPr="00F93875">
              <w:rPr>
                <w:rFonts w:ascii="Times New Roman" w:hAnsi="Times New Roman" w:cs="Times New Roman"/>
                <w:noProof/>
                <w:webHidden/>
                <w:sz w:val="24"/>
                <w:szCs w:val="24"/>
              </w:rPr>
              <w:t>11</w:t>
            </w:r>
            <w:r w:rsidR="00542D20" w:rsidRPr="00F93875">
              <w:rPr>
                <w:rFonts w:ascii="Times New Roman" w:hAnsi="Times New Roman" w:cs="Times New Roman"/>
                <w:noProof/>
                <w:webHidden/>
                <w:sz w:val="24"/>
                <w:szCs w:val="24"/>
              </w:rPr>
              <w:fldChar w:fldCharType="end"/>
            </w:r>
          </w:hyperlink>
        </w:p>
        <w:p w14:paraId="503453E0" w14:textId="77777777" w:rsidR="00542D20" w:rsidRPr="00F93875" w:rsidRDefault="00542D20">
          <w:pPr>
            <w:rPr>
              <w:rFonts w:ascii="Times New Roman" w:hAnsi="Times New Roman" w:cs="Times New Roman"/>
              <w:sz w:val="24"/>
              <w:szCs w:val="24"/>
            </w:rPr>
          </w:pPr>
          <w:r w:rsidRPr="00F93875">
            <w:rPr>
              <w:rFonts w:ascii="Times New Roman" w:hAnsi="Times New Roman" w:cs="Times New Roman"/>
              <w:b/>
              <w:bCs/>
              <w:noProof/>
              <w:sz w:val="24"/>
              <w:szCs w:val="24"/>
            </w:rPr>
            <w:fldChar w:fldCharType="end"/>
          </w:r>
        </w:p>
      </w:sdtContent>
    </w:sdt>
    <w:p w14:paraId="503453E1" w14:textId="77777777" w:rsidR="00327ED1" w:rsidRPr="00F93875" w:rsidRDefault="00542D20" w:rsidP="00F93875">
      <w:pPr>
        <w:rPr>
          <w:rFonts w:ascii="Times New Roman" w:hAnsi="Times New Roman" w:cs="Times New Roman"/>
          <w:sz w:val="24"/>
          <w:szCs w:val="24"/>
        </w:rPr>
      </w:pPr>
      <w:r w:rsidRPr="00F93875">
        <w:rPr>
          <w:rFonts w:ascii="Times New Roman" w:hAnsi="Times New Roman" w:cs="Times New Roman"/>
          <w:sz w:val="24"/>
          <w:szCs w:val="24"/>
        </w:rPr>
        <w:br w:type="page"/>
      </w:r>
    </w:p>
    <w:p w14:paraId="503453E2" w14:textId="77777777" w:rsidR="00A82523" w:rsidRPr="00F93875" w:rsidRDefault="00A82523" w:rsidP="00646821">
      <w:pPr>
        <w:pStyle w:val="Heading1"/>
        <w:spacing w:before="0" w:line="480" w:lineRule="auto"/>
        <w:contextualSpacing/>
        <w:rPr>
          <w:rFonts w:cs="Times New Roman"/>
          <w:szCs w:val="24"/>
        </w:rPr>
      </w:pPr>
      <w:bookmarkStart w:id="1" w:name="_Toc148711363"/>
      <w:r w:rsidRPr="00F93875">
        <w:rPr>
          <w:rFonts w:cs="Times New Roman"/>
          <w:szCs w:val="24"/>
        </w:rPr>
        <w:lastRenderedPageBreak/>
        <w:t>Introduction</w:t>
      </w:r>
      <w:bookmarkEnd w:id="0"/>
      <w:bookmarkEnd w:id="1"/>
    </w:p>
    <w:p w14:paraId="503453E3" w14:textId="77777777" w:rsidR="00A82523" w:rsidRPr="00F93875" w:rsidRDefault="00A82523"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 xml:space="preserve">In today's fast-paced and ever-evolving business landscape, the significance of employee engagement cannot be overstated. </w:t>
      </w:r>
      <w:r w:rsidR="004717B9" w:rsidRPr="00F93875">
        <w:rPr>
          <w:rFonts w:ascii="Times New Roman" w:hAnsi="Times New Roman" w:cs="Times New Roman"/>
          <w:color w:val="222222"/>
          <w:sz w:val="24"/>
          <w:szCs w:val="24"/>
          <w:shd w:val="clear" w:color="auto" w:fill="FFFFFF"/>
        </w:rPr>
        <w:t>(Saad et al., 2021).</w:t>
      </w:r>
      <w:r w:rsidRPr="00F93875">
        <w:rPr>
          <w:rFonts w:ascii="Times New Roman" w:hAnsi="Times New Roman" w:cs="Times New Roman"/>
          <w:sz w:val="24"/>
          <w:szCs w:val="24"/>
        </w:rPr>
        <w:t>This essay delves into the intricacies of engaging Generation Y and Generation Z employees throughout the employee lifecycle within the context of the thriving hotel industry.  Generation Y, often referred to as Millennials, encompasses individuals born between 1980 and 1995, while Generation Z, the digital natives, includes those born from the mid-1990s to the early 2010s. Understanding their unique attributes and preferences is pivotal in crafting effective engagement strategies.</w:t>
      </w:r>
    </w:p>
    <w:p w14:paraId="503453E4" w14:textId="77777777" w:rsidR="00A82523" w:rsidRPr="00F93875" w:rsidRDefault="00A82523"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 xml:space="preserve">Within the hotel industry, where exceptional service and guest satisfaction are paramount, employee engagement becomes even more vital. </w:t>
      </w:r>
      <w:r w:rsidR="004717B9" w:rsidRPr="00F93875">
        <w:rPr>
          <w:rFonts w:ascii="Times New Roman" w:hAnsi="Times New Roman" w:cs="Times New Roman"/>
          <w:color w:val="222222"/>
          <w:sz w:val="24"/>
          <w:szCs w:val="24"/>
          <w:shd w:val="clear" w:color="auto" w:fill="FFFFFF"/>
        </w:rPr>
        <w:t>(</w:t>
      </w:r>
      <w:proofErr w:type="spellStart"/>
      <w:r w:rsidR="004717B9" w:rsidRPr="00F93875">
        <w:rPr>
          <w:rFonts w:ascii="Times New Roman" w:hAnsi="Times New Roman" w:cs="Times New Roman"/>
          <w:color w:val="222222"/>
          <w:sz w:val="24"/>
          <w:szCs w:val="24"/>
          <w:shd w:val="clear" w:color="auto" w:fill="FFFFFF"/>
        </w:rPr>
        <w:t>Sifatu</w:t>
      </w:r>
      <w:proofErr w:type="spellEnd"/>
      <w:r w:rsidR="004717B9" w:rsidRPr="00F93875">
        <w:rPr>
          <w:rFonts w:ascii="Times New Roman" w:hAnsi="Times New Roman" w:cs="Times New Roman"/>
          <w:color w:val="222222"/>
          <w:sz w:val="24"/>
          <w:szCs w:val="24"/>
          <w:shd w:val="clear" w:color="auto" w:fill="FFFFFF"/>
        </w:rPr>
        <w:t xml:space="preserve"> et al., 2020).</w:t>
      </w:r>
      <w:r w:rsidRPr="00F93875">
        <w:rPr>
          <w:rFonts w:ascii="Times New Roman" w:hAnsi="Times New Roman" w:cs="Times New Roman"/>
          <w:sz w:val="24"/>
          <w:szCs w:val="24"/>
        </w:rPr>
        <w:t xml:space="preserve">Engaged employees are more likely to deliver superior customer experiences, a factor directly related to the industry's competitiveness and profitability. This essay will comprehensively explore the concept of employee engagement in the context of Generation Y and Generation Z, beginning with an analysis of their distinct characteristics. Subsequently, we will delve into the role of the Human Resources department in fostering engagement, emphasizing the need for adaptability to meet the expectations of these generational cohorts. The advantages of effective engagement will be explored, underlining its far-reaching impact on organizational outcomes. Further, this essay will dissect the employee lifecycle within the hotel industry, spanning attraction, recruitment, onboarding, development, retention, and separation stages. At each juncture, we will discuss how HR practices can be tailored to engage these younger generations successfully. </w:t>
      </w:r>
    </w:p>
    <w:p w14:paraId="503453E5" w14:textId="77777777" w:rsidR="00646821" w:rsidRPr="00F93875" w:rsidRDefault="00646821" w:rsidP="00646821">
      <w:pPr>
        <w:spacing w:after="0" w:line="480" w:lineRule="auto"/>
        <w:ind w:firstLine="720"/>
        <w:contextualSpacing/>
        <w:rPr>
          <w:rFonts w:ascii="Times New Roman" w:hAnsi="Times New Roman" w:cs="Times New Roman"/>
          <w:sz w:val="24"/>
          <w:szCs w:val="24"/>
        </w:rPr>
      </w:pPr>
    </w:p>
    <w:p w14:paraId="503453E6" w14:textId="77777777" w:rsidR="00646821" w:rsidRPr="00F93875" w:rsidRDefault="00646821" w:rsidP="00646821">
      <w:pPr>
        <w:spacing w:after="0" w:line="480" w:lineRule="auto"/>
        <w:ind w:firstLine="720"/>
        <w:contextualSpacing/>
        <w:rPr>
          <w:rFonts w:ascii="Times New Roman" w:hAnsi="Times New Roman" w:cs="Times New Roman"/>
          <w:sz w:val="24"/>
          <w:szCs w:val="24"/>
        </w:rPr>
      </w:pPr>
    </w:p>
    <w:p w14:paraId="503453E7" w14:textId="77777777" w:rsidR="00A82523" w:rsidRPr="00F93875" w:rsidRDefault="00A82523" w:rsidP="00646821">
      <w:pPr>
        <w:spacing w:after="0" w:line="480" w:lineRule="auto"/>
        <w:contextualSpacing/>
        <w:rPr>
          <w:rFonts w:ascii="Times New Roman" w:hAnsi="Times New Roman" w:cs="Times New Roman"/>
          <w:sz w:val="24"/>
          <w:szCs w:val="24"/>
        </w:rPr>
      </w:pPr>
    </w:p>
    <w:p w14:paraId="503453E8" w14:textId="77777777" w:rsidR="0038089C" w:rsidRPr="00F93875" w:rsidRDefault="0038089C" w:rsidP="00646821">
      <w:pPr>
        <w:pStyle w:val="Heading1"/>
        <w:spacing w:before="0" w:line="480" w:lineRule="auto"/>
        <w:contextualSpacing/>
        <w:rPr>
          <w:rFonts w:cs="Times New Roman"/>
          <w:szCs w:val="24"/>
        </w:rPr>
      </w:pPr>
      <w:bookmarkStart w:id="2" w:name="_Toc148711149"/>
      <w:bookmarkStart w:id="3" w:name="_Toc148711364"/>
      <w:r w:rsidRPr="00F93875">
        <w:rPr>
          <w:rFonts w:cs="Times New Roman"/>
          <w:szCs w:val="24"/>
        </w:rPr>
        <w:lastRenderedPageBreak/>
        <w:t>Characteristics of Generation Y and Generation Z</w:t>
      </w:r>
      <w:bookmarkEnd w:id="2"/>
      <w:bookmarkEnd w:id="3"/>
    </w:p>
    <w:p w14:paraId="503453E9" w14:textId="77777777" w:rsidR="0038089C" w:rsidRPr="00F93875" w:rsidRDefault="0038089C"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 xml:space="preserve">Generation Y, often referred to as Millennials, and Generation Z represent two distinct generational cohorts, each with its unique set of characteristics. Understanding these traits is pivotal in tailoring engagement strategies that resonate with their expectations and needs in the workplace. Generation Y, encompassing those born between 1980 and 1995, is characterized by their tech-savviness, a desire for purpose-driven work, a thirst for continuous learning and development, and a pronounced emphasis on achieving work-life balance. </w:t>
      </w:r>
      <w:r w:rsidR="004717B9" w:rsidRPr="00F93875">
        <w:rPr>
          <w:rFonts w:ascii="Times New Roman" w:hAnsi="Times New Roman" w:cs="Times New Roman"/>
          <w:color w:val="222222"/>
          <w:sz w:val="24"/>
          <w:szCs w:val="24"/>
          <w:shd w:val="clear" w:color="auto" w:fill="FFFFFF"/>
        </w:rPr>
        <w:t>(</w:t>
      </w:r>
      <w:proofErr w:type="spellStart"/>
      <w:r w:rsidR="004717B9" w:rsidRPr="00F93875">
        <w:rPr>
          <w:rFonts w:ascii="Times New Roman" w:hAnsi="Times New Roman" w:cs="Times New Roman"/>
          <w:color w:val="222222"/>
          <w:sz w:val="24"/>
          <w:szCs w:val="24"/>
          <w:shd w:val="clear" w:color="auto" w:fill="FFFFFF"/>
        </w:rPr>
        <w:t>Priporas</w:t>
      </w:r>
      <w:proofErr w:type="spellEnd"/>
      <w:r w:rsidR="004717B9" w:rsidRPr="00F93875">
        <w:rPr>
          <w:rFonts w:ascii="Times New Roman" w:hAnsi="Times New Roman" w:cs="Times New Roman"/>
          <w:color w:val="222222"/>
          <w:sz w:val="24"/>
          <w:szCs w:val="24"/>
          <w:shd w:val="clear" w:color="auto" w:fill="FFFFFF"/>
        </w:rPr>
        <w:t xml:space="preserve"> et al., 2020). </w:t>
      </w:r>
      <w:r w:rsidRPr="00F93875">
        <w:rPr>
          <w:rFonts w:ascii="Times New Roman" w:hAnsi="Times New Roman" w:cs="Times New Roman"/>
          <w:sz w:val="24"/>
          <w:szCs w:val="24"/>
        </w:rPr>
        <w:t>Millennials have grown up during a period of significant technological advancement, making them highly adept at utilizing digital tools and platforms. They are deeply concerned about societal issues, valuing corporate social responsibility and actively seeking opportunities to contribute to a larger cause. This generation is passionate about personal and professional growth, placing a high premium on training and development programs. Additionally, Millennials prioritize flexibility in their work arrangements, seeking harmony between their professional and personal lives.</w:t>
      </w:r>
    </w:p>
    <w:p w14:paraId="503453EA" w14:textId="77777777" w:rsidR="00A82523" w:rsidRPr="00F93875" w:rsidRDefault="0038089C"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 xml:space="preserve">In contrast, Generation Z, born from the mid-1990s to the early 2010s, shares many characteristics with Millennials but is even more digitally oriented. </w:t>
      </w:r>
      <w:r w:rsidR="004717B9" w:rsidRPr="00F93875">
        <w:rPr>
          <w:rFonts w:ascii="Times New Roman" w:hAnsi="Times New Roman" w:cs="Times New Roman"/>
          <w:color w:val="222222"/>
          <w:sz w:val="24"/>
          <w:szCs w:val="24"/>
          <w:shd w:val="clear" w:color="auto" w:fill="FFFFFF"/>
        </w:rPr>
        <w:t xml:space="preserve">(Hui et al.,2021). </w:t>
      </w:r>
      <w:r w:rsidRPr="00F93875">
        <w:rPr>
          <w:rFonts w:ascii="Times New Roman" w:hAnsi="Times New Roman" w:cs="Times New Roman"/>
          <w:sz w:val="24"/>
          <w:szCs w:val="24"/>
        </w:rPr>
        <w:t xml:space="preserve">They have grown up with technology as an integral part of their lives, making them highly adaptable to digital tools and platforms. Like Millennials, Generation Z is socially conscious, valuing corporate initiatives that align with their beliefs and values. This cohort seeks personalized experiences, both as consumers and employees, making tailored development opportunities and feedback mechanisms highly appealing to them. These characteristics directly influence their expectations and needs in the workplace. For Generation Y, the workplace must offer opportunities for personal and professional growth, flexibility in work arrangements, and a clear </w:t>
      </w:r>
      <w:r w:rsidRPr="00F93875">
        <w:rPr>
          <w:rFonts w:ascii="Times New Roman" w:hAnsi="Times New Roman" w:cs="Times New Roman"/>
          <w:sz w:val="24"/>
          <w:szCs w:val="24"/>
        </w:rPr>
        <w:lastRenderedPageBreak/>
        <w:t xml:space="preserve">sense of purpose. </w:t>
      </w:r>
      <w:r w:rsidR="004717B9" w:rsidRPr="00F93875">
        <w:rPr>
          <w:rFonts w:ascii="Times New Roman" w:hAnsi="Times New Roman" w:cs="Times New Roman"/>
          <w:color w:val="222222"/>
          <w:sz w:val="24"/>
          <w:szCs w:val="24"/>
          <w:shd w:val="clear" w:color="auto" w:fill="FFFFFF"/>
        </w:rPr>
        <w:t>(</w:t>
      </w:r>
      <w:proofErr w:type="spellStart"/>
      <w:r w:rsidR="004717B9" w:rsidRPr="00F93875">
        <w:rPr>
          <w:rFonts w:ascii="Times New Roman" w:hAnsi="Times New Roman" w:cs="Times New Roman"/>
          <w:color w:val="222222"/>
          <w:sz w:val="24"/>
          <w:szCs w:val="24"/>
          <w:shd w:val="clear" w:color="auto" w:fill="FFFFFF"/>
        </w:rPr>
        <w:t>Suomäki</w:t>
      </w:r>
      <w:proofErr w:type="spellEnd"/>
      <w:r w:rsidR="004717B9" w:rsidRPr="00F93875">
        <w:rPr>
          <w:rFonts w:ascii="Times New Roman" w:hAnsi="Times New Roman" w:cs="Times New Roman"/>
          <w:color w:val="222222"/>
          <w:sz w:val="24"/>
          <w:szCs w:val="24"/>
          <w:shd w:val="clear" w:color="auto" w:fill="FFFFFF"/>
        </w:rPr>
        <w:t xml:space="preserve"> et al., 2019). </w:t>
      </w:r>
      <w:r w:rsidRPr="00F93875">
        <w:rPr>
          <w:rFonts w:ascii="Times New Roman" w:hAnsi="Times New Roman" w:cs="Times New Roman"/>
          <w:sz w:val="24"/>
          <w:szCs w:val="24"/>
        </w:rPr>
        <w:t>For Generation Z, a strong digital presence and a focus on individualized experiences, along with a commitment to continuous learning, are key factors that drive engagement. Understanding these generational traits is the first step in crafting effective strategies for engaging them throughout the employee lifecycle.</w:t>
      </w:r>
    </w:p>
    <w:p w14:paraId="503453EB" w14:textId="77777777" w:rsidR="0038089C" w:rsidRPr="00F93875" w:rsidRDefault="0038089C"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Human Resources (HR) plays a pivotal role in fostering employee engagement within any organization. In the context of the dynamic and diverse workforce of Generation Y and Generation Z, HR's role becomes even more critical.  HR serves as the architect of the employee experience, holding the keys to creating an environment that fosters engagement. This department is responsible for the development and implementation of strategies that not only align with the organization's mission and values but also resonate with the diverse workforce.</w:t>
      </w:r>
      <w:r w:rsidR="004717B9" w:rsidRPr="00F93875">
        <w:rPr>
          <w:rFonts w:ascii="Times New Roman" w:hAnsi="Times New Roman" w:cs="Times New Roman"/>
          <w:color w:val="222222"/>
          <w:sz w:val="24"/>
          <w:szCs w:val="24"/>
          <w:shd w:val="clear" w:color="auto" w:fill="FFFFFF"/>
        </w:rPr>
        <w:t xml:space="preserve"> (Gupta., 2019).</w:t>
      </w:r>
      <w:r w:rsidRPr="00F93875">
        <w:rPr>
          <w:rFonts w:ascii="Times New Roman" w:hAnsi="Times New Roman" w:cs="Times New Roman"/>
          <w:sz w:val="24"/>
          <w:szCs w:val="24"/>
        </w:rPr>
        <w:t xml:space="preserve"> HR's role encompasses various aspects, including talent acquisition, onboarding, training and development, performance management, and employee well-being. By focusing on these areas, HR can foster an environment where employees are motivated, committed, and dedicated to the organization's success. Their role extends to creating open channels of communication, recognizing and rewarding outstanding performance, and ensuring that policies and procedures are in place to support and maintain engagement throughout the employee lifecycle.</w:t>
      </w:r>
    </w:p>
    <w:p w14:paraId="503453EC" w14:textId="77777777" w:rsidR="00A82523" w:rsidRPr="00F93875" w:rsidRDefault="0038089C"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 xml:space="preserve">Adapting HR strategies to meet the expectations and needs of Generation Y and Generation Z is paramount. These generations are tech-savvy, highly value-driven, and prioritize personal growth and work-life balance. HR must embrace flexibility in work arrangements, technology integration, and the provision of continuous learning and development opportunities. Engaging these generations also involves creating open communication channels, emphasizing social responsibility, and recognizing their contributions to the organization. </w:t>
      </w:r>
      <w:r w:rsidR="004717B9" w:rsidRPr="00F93875">
        <w:rPr>
          <w:rFonts w:ascii="Times New Roman" w:hAnsi="Times New Roman" w:cs="Times New Roman"/>
          <w:color w:val="222222"/>
          <w:sz w:val="24"/>
          <w:szCs w:val="24"/>
          <w:shd w:val="clear" w:color="auto" w:fill="FFFFFF"/>
        </w:rPr>
        <w:t xml:space="preserve">(Jung and Yoon., </w:t>
      </w:r>
      <w:r w:rsidR="004717B9" w:rsidRPr="00F93875">
        <w:rPr>
          <w:rFonts w:ascii="Times New Roman" w:hAnsi="Times New Roman" w:cs="Times New Roman"/>
          <w:color w:val="222222"/>
          <w:sz w:val="24"/>
          <w:szCs w:val="24"/>
          <w:shd w:val="clear" w:color="auto" w:fill="FFFFFF"/>
        </w:rPr>
        <w:lastRenderedPageBreak/>
        <w:t xml:space="preserve">2021). </w:t>
      </w:r>
      <w:r w:rsidRPr="00F93875">
        <w:rPr>
          <w:rFonts w:ascii="Times New Roman" w:hAnsi="Times New Roman" w:cs="Times New Roman"/>
          <w:sz w:val="24"/>
          <w:szCs w:val="24"/>
        </w:rPr>
        <w:t>HR should develop personalized and inclusive approaches that consider the individuality of employees while fostering a sense of belonging and shared purpose. By aligning HR practices with the characteristics of these generations, organizations can create an atmosphere where employees feel valued, motivated, and committed to long-term success.</w:t>
      </w:r>
    </w:p>
    <w:p w14:paraId="503453ED" w14:textId="77777777" w:rsidR="00A82523" w:rsidRPr="00F93875" w:rsidRDefault="003D4F6F"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 xml:space="preserve">This fact is very important to consider in this accord that, strategies for engaging employees, such as mentoring, training, feedback, and flexibility, are instrumental in nurturing a committed and motivated workforce. </w:t>
      </w:r>
      <w:r w:rsidR="004717B9" w:rsidRPr="00F93875">
        <w:rPr>
          <w:rFonts w:ascii="Times New Roman" w:hAnsi="Times New Roman" w:cs="Times New Roman"/>
          <w:color w:val="222222"/>
          <w:sz w:val="24"/>
          <w:szCs w:val="24"/>
          <w:shd w:val="clear" w:color="auto" w:fill="FFFFFF"/>
        </w:rPr>
        <w:t>(</w:t>
      </w:r>
      <w:proofErr w:type="spellStart"/>
      <w:r w:rsidR="004717B9" w:rsidRPr="00F93875">
        <w:rPr>
          <w:rFonts w:ascii="Times New Roman" w:hAnsi="Times New Roman" w:cs="Times New Roman"/>
          <w:color w:val="222222"/>
          <w:sz w:val="24"/>
          <w:szCs w:val="24"/>
          <w:shd w:val="clear" w:color="auto" w:fill="FFFFFF"/>
        </w:rPr>
        <w:t>Wiastuti</w:t>
      </w:r>
      <w:proofErr w:type="spellEnd"/>
      <w:r w:rsidR="004717B9" w:rsidRPr="00F93875">
        <w:rPr>
          <w:rFonts w:ascii="Times New Roman" w:hAnsi="Times New Roman" w:cs="Times New Roman"/>
          <w:color w:val="222222"/>
          <w:sz w:val="24"/>
          <w:szCs w:val="24"/>
          <w:shd w:val="clear" w:color="auto" w:fill="FFFFFF"/>
        </w:rPr>
        <w:t xml:space="preserve"> et al., 2020). </w:t>
      </w:r>
      <w:r w:rsidRPr="00F93875">
        <w:rPr>
          <w:rFonts w:ascii="Times New Roman" w:hAnsi="Times New Roman" w:cs="Times New Roman"/>
          <w:sz w:val="24"/>
          <w:szCs w:val="24"/>
        </w:rPr>
        <w:t xml:space="preserve">Mentoring programs connect experienced employees with newcomers, allowing knowledge and wisdom to be shared, fostering personal and professional growth. Training and development initiatives provide employees with the opportunity to enhance their skills, demonstrating the organization's commitment to their growth. Feedback mechanisms, including open communication channels and regular performance assessments, enable employees to voice their opinions and concerns, creating a culture of transparency and trust. Additionally, offering flexibility in work arrangements, including remote work options, promotes work-life balance and employee well-being. Therefore, effective employee engagement yields numerous advantages, contributing to an organization's overall success. Increased productivity is a direct outcome, as engaged employees tend to be more motivated and committed to their work. </w:t>
      </w:r>
      <w:r w:rsidR="004717B9" w:rsidRPr="00F93875">
        <w:rPr>
          <w:rFonts w:ascii="Times New Roman" w:hAnsi="Times New Roman" w:cs="Times New Roman"/>
          <w:color w:val="222222"/>
          <w:sz w:val="24"/>
          <w:szCs w:val="24"/>
          <w:shd w:val="clear" w:color="auto" w:fill="FFFFFF"/>
        </w:rPr>
        <w:t xml:space="preserve">(Gaidhani et al., 2019). </w:t>
      </w:r>
      <w:r w:rsidRPr="00F93875">
        <w:rPr>
          <w:rFonts w:ascii="Times New Roman" w:hAnsi="Times New Roman" w:cs="Times New Roman"/>
          <w:sz w:val="24"/>
          <w:szCs w:val="24"/>
        </w:rPr>
        <w:t xml:space="preserve">Reduced turnover is another key benefit, as engaged employees are more likely to stay with the organization, reducing recruitment and training costs. Furthermore, engagement leads to improved job satisfaction, creating a positive work environment where employees feel valued and recognized. This, in turn, boosts employee morale and fosters a sense of loyalty to the organization, resulting in increased customer satisfaction and a competitive edge in the hotel industry. </w:t>
      </w:r>
    </w:p>
    <w:p w14:paraId="503453EE" w14:textId="77777777" w:rsidR="003D4F6F" w:rsidRPr="00F93875" w:rsidRDefault="003D4F6F" w:rsidP="00646821">
      <w:pPr>
        <w:spacing w:after="0" w:line="480" w:lineRule="auto"/>
        <w:ind w:firstLine="720"/>
        <w:contextualSpacing/>
        <w:rPr>
          <w:rFonts w:ascii="Times New Roman" w:hAnsi="Times New Roman" w:cs="Times New Roman"/>
          <w:sz w:val="24"/>
          <w:szCs w:val="24"/>
        </w:rPr>
      </w:pPr>
    </w:p>
    <w:p w14:paraId="503453EF" w14:textId="77777777" w:rsidR="003D4F6F" w:rsidRPr="00F93875" w:rsidRDefault="003D4F6F"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The employee lifecycle in the hotel industry spans various stages, each with its own unique challenges and opportunities for engagement. At the attraction stage, it's essential to highlight the hotel's unique qualities to engage potential employees effectively. Emphasizing the hotel's commitment to social individuals from Generation Y and Generation Z. By showcasing a purpose-driven workplace that values their contributions, HR can spark interest and engage poten</w:t>
      </w:r>
      <w:r w:rsidR="00363E08" w:rsidRPr="00F93875">
        <w:rPr>
          <w:rFonts w:ascii="Times New Roman" w:hAnsi="Times New Roman" w:cs="Times New Roman"/>
          <w:sz w:val="24"/>
          <w:szCs w:val="24"/>
        </w:rPr>
        <w:t>tial candidates. Apart from that e</w:t>
      </w:r>
      <w:r w:rsidRPr="00F93875">
        <w:rPr>
          <w:rFonts w:ascii="Times New Roman" w:hAnsi="Times New Roman" w:cs="Times New Roman"/>
          <w:sz w:val="24"/>
          <w:szCs w:val="24"/>
        </w:rPr>
        <w:t xml:space="preserve">ffective recruitment practices in the hotel industry involve engaging potential employees from the moment they encounter the organization. </w:t>
      </w:r>
      <w:r w:rsidR="004717B9" w:rsidRPr="00F93875">
        <w:rPr>
          <w:rFonts w:ascii="Times New Roman" w:hAnsi="Times New Roman" w:cs="Times New Roman"/>
          <w:color w:val="222222"/>
          <w:sz w:val="24"/>
          <w:szCs w:val="24"/>
          <w:shd w:val="clear" w:color="auto" w:fill="FFFFFF"/>
        </w:rPr>
        <w:t>(</w:t>
      </w:r>
      <w:proofErr w:type="spellStart"/>
      <w:r w:rsidR="004717B9" w:rsidRPr="00F93875">
        <w:rPr>
          <w:rFonts w:ascii="Times New Roman" w:hAnsi="Times New Roman" w:cs="Times New Roman"/>
          <w:color w:val="222222"/>
          <w:sz w:val="24"/>
          <w:szCs w:val="24"/>
          <w:shd w:val="clear" w:color="auto" w:fill="FFFFFF"/>
        </w:rPr>
        <w:t>Rampen</w:t>
      </w:r>
      <w:proofErr w:type="spellEnd"/>
      <w:r w:rsidR="004717B9" w:rsidRPr="00F93875">
        <w:rPr>
          <w:rFonts w:ascii="Times New Roman" w:hAnsi="Times New Roman" w:cs="Times New Roman"/>
          <w:color w:val="222222"/>
          <w:sz w:val="24"/>
          <w:szCs w:val="24"/>
          <w:shd w:val="clear" w:color="auto" w:fill="FFFFFF"/>
        </w:rPr>
        <w:t xml:space="preserve"> et al., 2023). </w:t>
      </w:r>
      <w:r w:rsidRPr="00F93875">
        <w:rPr>
          <w:rFonts w:ascii="Times New Roman" w:hAnsi="Times New Roman" w:cs="Times New Roman"/>
          <w:sz w:val="24"/>
          <w:szCs w:val="24"/>
        </w:rPr>
        <w:t>Engaging job advertisements and a streamlined application process create a positive initial experience. Additionally, offering transparency about the workplace culture, advancement opportunities, and unique experiences associated with the hotel can engage candidates during the recruitment stage.</w:t>
      </w:r>
    </w:p>
    <w:p w14:paraId="503453F0" w14:textId="77777777" w:rsidR="003D4F6F" w:rsidRPr="00F93875" w:rsidRDefault="003D4F6F"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The onboarding stage is a critical juncture for engaging new employees. HR can create an engaging orientation program that introduces them to the company's culture, values, and expectations. By providing a welcoming and inclusive environment and facilitating connections with mentors or peers, HR fosters a sense of belonging, which is vital for re</w:t>
      </w:r>
      <w:r w:rsidR="00363E08" w:rsidRPr="00F93875">
        <w:rPr>
          <w:rFonts w:ascii="Times New Roman" w:hAnsi="Times New Roman" w:cs="Times New Roman"/>
          <w:sz w:val="24"/>
          <w:szCs w:val="24"/>
        </w:rPr>
        <w:t>taining and engaging employees. In addition to that, it is also very important to consider that c</w:t>
      </w:r>
      <w:r w:rsidRPr="00F93875">
        <w:rPr>
          <w:rFonts w:ascii="Times New Roman" w:hAnsi="Times New Roman" w:cs="Times New Roman"/>
          <w:sz w:val="24"/>
          <w:szCs w:val="24"/>
        </w:rPr>
        <w:t xml:space="preserve">ontinuous learning and development are pivotal in the hotel industry, where employees often seek to enhance their skills and advance their careers. HR can engage Generation Y and Generation Z employees by offering a variety of training options, including online courses and mentorship programs. </w:t>
      </w:r>
      <w:r w:rsidR="004717B9" w:rsidRPr="00F93875">
        <w:rPr>
          <w:rFonts w:ascii="Times New Roman" w:hAnsi="Times New Roman" w:cs="Times New Roman"/>
          <w:color w:val="222222"/>
          <w:sz w:val="24"/>
          <w:szCs w:val="24"/>
          <w:shd w:val="clear" w:color="auto" w:fill="FFFFFF"/>
        </w:rPr>
        <w:t xml:space="preserve">(Gaidhani et al., 2019). </w:t>
      </w:r>
      <w:r w:rsidRPr="00F93875">
        <w:rPr>
          <w:rFonts w:ascii="Times New Roman" w:hAnsi="Times New Roman" w:cs="Times New Roman"/>
          <w:sz w:val="24"/>
          <w:szCs w:val="24"/>
        </w:rPr>
        <w:t>Creating personalized development plans aligns with the desire for growth and learning that c</w:t>
      </w:r>
      <w:r w:rsidR="00363E08" w:rsidRPr="00F93875">
        <w:rPr>
          <w:rFonts w:ascii="Times New Roman" w:hAnsi="Times New Roman" w:cs="Times New Roman"/>
          <w:sz w:val="24"/>
          <w:szCs w:val="24"/>
        </w:rPr>
        <w:t xml:space="preserve">haracterizes these generations. </w:t>
      </w:r>
      <w:r w:rsidRPr="00F93875">
        <w:rPr>
          <w:rFonts w:ascii="Times New Roman" w:hAnsi="Times New Roman" w:cs="Times New Roman"/>
          <w:sz w:val="24"/>
          <w:szCs w:val="24"/>
        </w:rPr>
        <w:t xml:space="preserve">Retaining employees involves keeping them engaged and satisfied. HR can engage employees by regularly reviewing and adjusting compensation, </w:t>
      </w:r>
      <w:r w:rsidRPr="00F93875">
        <w:rPr>
          <w:rFonts w:ascii="Times New Roman" w:hAnsi="Times New Roman" w:cs="Times New Roman"/>
          <w:sz w:val="24"/>
          <w:szCs w:val="24"/>
        </w:rPr>
        <w:lastRenderedPageBreak/>
        <w:t>benefits, and opportunities for advancement to meet their evolving needs. Providing feedback mechanisms, recognizing outstanding performance, and offering flexibility in work arrangements are strategies to maintain engagement and create a positive work environment.</w:t>
      </w:r>
    </w:p>
    <w:p w14:paraId="503453F1" w14:textId="77777777" w:rsidR="00A82523" w:rsidRPr="00F93875" w:rsidRDefault="003D4F6F"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While separation is not the ideal outcome, HR can engage employees during the separation stage by implementing positive offboarding procedures. These include exit interviews, which allow employees to provide feedback and exit on good terms, potentially as brand ambassadors or future rehires. Treating departing employees with respect and gratitude can preserve positive relationships and leave the d</w:t>
      </w:r>
      <w:r w:rsidR="00363E08" w:rsidRPr="00F93875">
        <w:rPr>
          <w:rFonts w:ascii="Times New Roman" w:hAnsi="Times New Roman" w:cs="Times New Roman"/>
          <w:sz w:val="24"/>
          <w:szCs w:val="24"/>
        </w:rPr>
        <w:t xml:space="preserve">oor open for potential returns. </w:t>
      </w:r>
      <w:r w:rsidR="009F6D82" w:rsidRPr="00F93875">
        <w:rPr>
          <w:rFonts w:ascii="Times New Roman" w:hAnsi="Times New Roman" w:cs="Times New Roman"/>
          <w:color w:val="222222"/>
          <w:sz w:val="24"/>
          <w:szCs w:val="24"/>
          <w:shd w:val="clear" w:color="auto" w:fill="FFFFFF"/>
        </w:rPr>
        <w:t>(Hassan et al., 2019</w:t>
      </w:r>
      <w:r w:rsidR="009F6D82" w:rsidRPr="00F93875">
        <w:rPr>
          <w:rFonts w:ascii="Times New Roman" w:hAnsi="Times New Roman" w:cs="Times New Roman"/>
          <w:sz w:val="24"/>
          <w:szCs w:val="24"/>
        </w:rPr>
        <w:t>).</w:t>
      </w:r>
      <w:r w:rsidRPr="00F93875">
        <w:rPr>
          <w:rFonts w:ascii="Times New Roman" w:hAnsi="Times New Roman" w:cs="Times New Roman"/>
          <w:sz w:val="24"/>
          <w:szCs w:val="24"/>
        </w:rPr>
        <w:t>Engaging employees throughout the entire employee lifecycle not only creates a motivated and committed workforce but also enhances the overall success and reputation of the hotel industry. Effective HR practices at each stage, tailored to the unique needs of Generation Y and Generation Z, can contribute to a culture of engagement, continuous improvement, and excellence.</w:t>
      </w:r>
    </w:p>
    <w:p w14:paraId="503453F2" w14:textId="77777777" w:rsidR="00363E08" w:rsidRPr="00F93875" w:rsidRDefault="00363E08"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Marriott is a prime example of a hotel chain that has successfully implemented engagement practices for its employees. The company offers extensive training and development programs for staff at all levels. Whether it's housekeeping, front desk, or management, Marriott invests in its employees' growth. This approach not only enhances the skills of employees but also signals a commitment to their development.</w:t>
      </w:r>
      <w:r w:rsidR="004717B9" w:rsidRPr="00F93875">
        <w:rPr>
          <w:rFonts w:ascii="Times New Roman" w:hAnsi="Times New Roman" w:cs="Times New Roman"/>
          <w:color w:val="222222"/>
          <w:sz w:val="24"/>
          <w:szCs w:val="24"/>
          <w:shd w:val="clear" w:color="auto" w:fill="FFFFFF"/>
        </w:rPr>
        <w:t xml:space="preserve"> (</w:t>
      </w:r>
      <w:proofErr w:type="spellStart"/>
      <w:r w:rsidR="004717B9" w:rsidRPr="00F93875">
        <w:rPr>
          <w:rFonts w:ascii="Times New Roman" w:hAnsi="Times New Roman" w:cs="Times New Roman"/>
          <w:color w:val="222222"/>
          <w:sz w:val="24"/>
          <w:szCs w:val="24"/>
          <w:shd w:val="clear" w:color="auto" w:fill="FFFFFF"/>
        </w:rPr>
        <w:t>Ladhari</w:t>
      </w:r>
      <w:proofErr w:type="spellEnd"/>
      <w:r w:rsidR="004717B9" w:rsidRPr="00F93875">
        <w:rPr>
          <w:rFonts w:ascii="Times New Roman" w:hAnsi="Times New Roman" w:cs="Times New Roman"/>
          <w:color w:val="222222"/>
          <w:sz w:val="24"/>
          <w:szCs w:val="24"/>
          <w:shd w:val="clear" w:color="auto" w:fill="FFFFFF"/>
        </w:rPr>
        <w:t xml:space="preserve"> et al., 2019). </w:t>
      </w:r>
      <w:r w:rsidRPr="00F93875">
        <w:rPr>
          <w:rFonts w:ascii="Times New Roman" w:hAnsi="Times New Roman" w:cs="Times New Roman"/>
          <w:sz w:val="24"/>
          <w:szCs w:val="24"/>
        </w:rPr>
        <w:t xml:space="preserve"> Marriott's commitment to learning aligns with the desire for continuous growth that Generation Y and Generation Z employees seek. In addition to that, Hilton has excelled in fostering employee engagement through its mentorship program. This program connects experienced employees with newcomers, allowing them to learn from seasoned professionals. It not only helps new employees adapt to the demands of the hotel industry but also builds relationships and fosters </w:t>
      </w:r>
      <w:r w:rsidRPr="00F93875">
        <w:rPr>
          <w:rFonts w:ascii="Times New Roman" w:hAnsi="Times New Roman" w:cs="Times New Roman"/>
          <w:sz w:val="24"/>
          <w:szCs w:val="24"/>
        </w:rPr>
        <w:lastRenderedPageBreak/>
        <w:t>engagement. The mentorship program at Hilton aligns with the need for guidance and personal growth that are characteristic of these younger generations.</w:t>
      </w:r>
    </w:p>
    <w:p w14:paraId="503453F3" w14:textId="77777777" w:rsidR="00363E08" w:rsidRPr="00F93875" w:rsidRDefault="00363E08"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 xml:space="preserve">The Gallup Q12 model is a widely recognized framework for measuring and improving employee engagement. It comprises 12 essential questions that assess various aspects of employee engagement. These questions are designed to gauge factors such as the quality of workplace relationships, the alignment of individual and organizational goals, and the degree of empowerment and recognition within the workplace. The model provides a structured and data-driven approach to understand and enhance employee engagement. </w:t>
      </w:r>
      <w:proofErr w:type="gramStart"/>
      <w:r w:rsidRPr="00F93875">
        <w:rPr>
          <w:rFonts w:ascii="Times New Roman" w:hAnsi="Times New Roman" w:cs="Times New Roman"/>
          <w:sz w:val="24"/>
          <w:szCs w:val="24"/>
        </w:rPr>
        <w:t>T</w:t>
      </w:r>
      <w:r w:rsidR="004717B9" w:rsidRPr="00F93875">
        <w:rPr>
          <w:rFonts w:ascii="Times New Roman" w:hAnsi="Times New Roman" w:cs="Times New Roman"/>
          <w:color w:val="222222"/>
          <w:sz w:val="24"/>
          <w:szCs w:val="24"/>
          <w:shd w:val="clear" w:color="auto" w:fill="FFFFFF"/>
        </w:rPr>
        <w:t>(</w:t>
      </w:r>
      <w:proofErr w:type="gramEnd"/>
      <w:r w:rsidR="004717B9" w:rsidRPr="00F93875">
        <w:rPr>
          <w:rFonts w:ascii="Times New Roman" w:hAnsi="Times New Roman" w:cs="Times New Roman"/>
          <w:color w:val="222222"/>
          <w:sz w:val="24"/>
          <w:szCs w:val="24"/>
          <w:shd w:val="clear" w:color="auto" w:fill="FFFFFF"/>
        </w:rPr>
        <w:t>Ketter., 2020)</w:t>
      </w:r>
      <w:r w:rsidRPr="00F93875">
        <w:rPr>
          <w:rFonts w:ascii="Times New Roman" w:hAnsi="Times New Roman" w:cs="Times New Roman"/>
          <w:sz w:val="24"/>
          <w:szCs w:val="24"/>
        </w:rPr>
        <w:t xml:space="preserve">he Gallup Q12 model can be employed to assess the level of engagement within an organization by administering surveys that pose the 12 key questions to employees. The responses are then analyzed to identify strengths and areas for improvement. HR can utilize the data generated from the model to develop targeted strategies that address specific engagement challenges. By focusing on the model's areas of inquiry, HR can pinpoint aspects that may require attention, such as the need for better recognition practices, improved communication channels, or opportunities for growth and development. </w:t>
      </w:r>
      <w:r w:rsidR="009F6D82" w:rsidRPr="00F93875">
        <w:rPr>
          <w:rFonts w:ascii="Times New Roman" w:hAnsi="Times New Roman" w:cs="Times New Roman"/>
          <w:color w:val="222222"/>
          <w:sz w:val="24"/>
          <w:szCs w:val="24"/>
          <w:shd w:val="clear" w:color="auto" w:fill="FFFFFF"/>
        </w:rPr>
        <w:t xml:space="preserve">(Dabija et al., 2019). </w:t>
      </w:r>
      <w:r w:rsidRPr="00F93875">
        <w:rPr>
          <w:rFonts w:ascii="Times New Roman" w:hAnsi="Times New Roman" w:cs="Times New Roman"/>
          <w:sz w:val="24"/>
          <w:szCs w:val="24"/>
        </w:rPr>
        <w:t xml:space="preserve">This data-driven approach allows organizations to tailor their engagement initiatives to meet the unique preferences and needs of Generation Y and Generation Z employees. Employing the Gallup Q12 model offers several advantages. It provides a structured and standardized framework, allowing for consistent measurement of engagement across various departments and employee demographics. This, in turn, facilitates benchmarking and comparison over time. Additionally, the model enables organizations to identify strengths and areas for improvement with precision, leading to more effective allocation of resources and interventions. Furthermore, a data-driven approach to </w:t>
      </w:r>
      <w:r w:rsidRPr="00F93875">
        <w:rPr>
          <w:rFonts w:ascii="Times New Roman" w:hAnsi="Times New Roman" w:cs="Times New Roman"/>
          <w:sz w:val="24"/>
          <w:szCs w:val="24"/>
        </w:rPr>
        <w:lastRenderedPageBreak/>
        <w:t>engagement fosters objectivity, ensuring that initiatives are rooted in real feedback and not just assumptions.</w:t>
      </w:r>
    </w:p>
    <w:p w14:paraId="503453F4" w14:textId="77777777" w:rsidR="00363E08" w:rsidRPr="00F93875" w:rsidRDefault="00363E08" w:rsidP="00646821">
      <w:pPr>
        <w:spacing w:after="0" w:line="480" w:lineRule="auto"/>
        <w:ind w:firstLine="720"/>
        <w:contextualSpacing/>
        <w:rPr>
          <w:rFonts w:ascii="Times New Roman" w:hAnsi="Times New Roman" w:cs="Times New Roman"/>
          <w:sz w:val="24"/>
          <w:szCs w:val="24"/>
        </w:rPr>
      </w:pPr>
    </w:p>
    <w:p w14:paraId="503453F5" w14:textId="77777777" w:rsidR="001429A0" w:rsidRPr="00F93875" w:rsidRDefault="00CF6465" w:rsidP="00646821">
      <w:pPr>
        <w:pStyle w:val="Heading1"/>
        <w:spacing w:before="0" w:line="480" w:lineRule="auto"/>
        <w:contextualSpacing/>
        <w:rPr>
          <w:rFonts w:cs="Times New Roman"/>
          <w:szCs w:val="24"/>
        </w:rPr>
      </w:pPr>
      <w:r w:rsidRPr="00F93875">
        <w:rPr>
          <w:rFonts w:cs="Times New Roman"/>
          <w:szCs w:val="24"/>
        </w:rPr>
        <w:t xml:space="preserve"> </w:t>
      </w:r>
      <w:bookmarkStart w:id="4" w:name="_Toc148711150"/>
      <w:bookmarkStart w:id="5" w:name="_Toc148711365"/>
      <w:r w:rsidR="00363E08" w:rsidRPr="00F93875">
        <w:rPr>
          <w:rFonts w:cs="Times New Roman"/>
          <w:szCs w:val="24"/>
        </w:rPr>
        <w:t>Conclusion</w:t>
      </w:r>
      <w:bookmarkEnd w:id="4"/>
      <w:bookmarkEnd w:id="5"/>
      <w:r w:rsidR="00363E08" w:rsidRPr="00F93875">
        <w:rPr>
          <w:rFonts w:cs="Times New Roman"/>
          <w:szCs w:val="24"/>
        </w:rPr>
        <w:t xml:space="preserve"> </w:t>
      </w:r>
    </w:p>
    <w:p w14:paraId="503453F6" w14:textId="77777777" w:rsidR="00CF6465" w:rsidRPr="00F93875" w:rsidRDefault="00CF6465" w:rsidP="00646821">
      <w:pPr>
        <w:spacing w:after="0" w:line="480" w:lineRule="auto"/>
        <w:ind w:firstLine="720"/>
        <w:contextualSpacing/>
        <w:rPr>
          <w:rFonts w:ascii="Times New Roman" w:hAnsi="Times New Roman" w:cs="Times New Roman"/>
          <w:sz w:val="24"/>
          <w:szCs w:val="24"/>
        </w:rPr>
      </w:pPr>
      <w:r w:rsidRPr="00F93875">
        <w:rPr>
          <w:rFonts w:ascii="Times New Roman" w:hAnsi="Times New Roman" w:cs="Times New Roman"/>
          <w:sz w:val="24"/>
          <w:szCs w:val="24"/>
        </w:rPr>
        <w:t xml:space="preserve">In conclusion, the significance of employee engagement, particularly within the context of Generation Y and Generation Z, is paramount in the thriving hotel industry. These two generations, with their distinct characteristics and preferences, demand tailored strategies to create a workforce that is not only productive but also deeply committed to the organization's success. </w:t>
      </w:r>
      <w:r w:rsidR="009F6D82" w:rsidRPr="00F93875">
        <w:rPr>
          <w:rFonts w:ascii="Times New Roman" w:hAnsi="Times New Roman" w:cs="Times New Roman"/>
          <w:color w:val="222222"/>
          <w:sz w:val="24"/>
          <w:szCs w:val="24"/>
          <w:shd w:val="clear" w:color="auto" w:fill="FFFFFF"/>
        </w:rPr>
        <w:t>(</w:t>
      </w:r>
      <w:proofErr w:type="spellStart"/>
      <w:r w:rsidR="009F6D82" w:rsidRPr="00F93875">
        <w:rPr>
          <w:rFonts w:ascii="Times New Roman" w:hAnsi="Times New Roman" w:cs="Times New Roman"/>
          <w:color w:val="222222"/>
          <w:sz w:val="24"/>
          <w:szCs w:val="24"/>
          <w:shd w:val="clear" w:color="auto" w:fill="FFFFFF"/>
        </w:rPr>
        <w:t>Schenarts</w:t>
      </w:r>
      <w:proofErr w:type="spellEnd"/>
      <w:r w:rsidR="009F6D82" w:rsidRPr="00F93875">
        <w:rPr>
          <w:rFonts w:ascii="Times New Roman" w:hAnsi="Times New Roman" w:cs="Times New Roman"/>
          <w:color w:val="222222"/>
          <w:sz w:val="24"/>
          <w:szCs w:val="24"/>
          <w:shd w:val="clear" w:color="auto" w:fill="FFFFFF"/>
        </w:rPr>
        <w:t>., 2020).</w:t>
      </w:r>
      <w:r w:rsidRPr="00F93875">
        <w:rPr>
          <w:rFonts w:ascii="Times New Roman" w:hAnsi="Times New Roman" w:cs="Times New Roman"/>
          <w:sz w:val="24"/>
          <w:szCs w:val="24"/>
        </w:rPr>
        <w:t>Human Resources (HR) plays a pivotal role in shaping the employee experience and fostering engagement, and their adaptability to the unique needs of these tech-savvy, purpose-driven, and growth-oriented generations is crucial. Effective engagement practices, including mentoring, training, feedback mechanisms, and flexible work arrangements, not only lead to a more motivated and loyal workforce but also directly impact the bottom line of hotels.</w:t>
      </w:r>
      <w:r w:rsidR="009F6D82" w:rsidRPr="00F93875">
        <w:rPr>
          <w:rFonts w:ascii="Times New Roman" w:hAnsi="Times New Roman" w:cs="Times New Roman"/>
          <w:color w:val="222222"/>
          <w:sz w:val="24"/>
          <w:szCs w:val="24"/>
          <w:shd w:val="clear" w:color="auto" w:fill="FFFFFF"/>
        </w:rPr>
        <w:t xml:space="preserve"> (Budiman., 2021).</w:t>
      </w:r>
      <w:r w:rsidRPr="00F93875">
        <w:rPr>
          <w:rFonts w:ascii="Times New Roman" w:hAnsi="Times New Roman" w:cs="Times New Roman"/>
          <w:sz w:val="24"/>
          <w:szCs w:val="24"/>
        </w:rPr>
        <w:t xml:space="preserve"> Increased productivity, reduced turnover, and improved job satisfaction contribute to a competitive edge in the industry. The employee lifecycle within the hotel sector, encompassing attraction, recruitment, onboarding, development, retention, and even separation stages, offers specific touchpoints for engagement. Tailoring HR practices to address the evolving needs of Generation Y and Generation Z at each stage is essential for creating a motivated and dedicated workforce. In the hotel industry, where guest satisfaction is paramount, it is clear that engaging Generation Y and Generation Z employees is not just a desirable goal but a strategic imperative for long-term success and competitiveness.</w:t>
      </w:r>
    </w:p>
    <w:p w14:paraId="503453F7" w14:textId="77777777" w:rsidR="00416851" w:rsidRPr="00F93875" w:rsidRDefault="00416851" w:rsidP="00646821">
      <w:pPr>
        <w:spacing w:after="0" w:line="480" w:lineRule="auto"/>
        <w:ind w:firstLine="720"/>
        <w:contextualSpacing/>
        <w:rPr>
          <w:rFonts w:ascii="Times New Roman" w:hAnsi="Times New Roman" w:cs="Times New Roman"/>
          <w:sz w:val="24"/>
          <w:szCs w:val="24"/>
        </w:rPr>
      </w:pPr>
    </w:p>
    <w:p w14:paraId="503453F8" w14:textId="77777777" w:rsidR="00416851" w:rsidRPr="00F93875" w:rsidRDefault="00416851" w:rsidP="00646821">
      <w:pPr>
        <w:spacing w:after="0" w:line="480" w:lineRule="auto"/>
        <w:contextualSpacing/>
        <w:rPr>
          <w:rFonts w:ascii="Times New Roman" w:hAnsi="Times New Roman" w:cs="Times New Roman"/>
          <w:sz w:val="24"/>
          <w:szCs w:val="24"/>
        </w:rPr>
      </w:pPr>
    </w:p>
    <w:p w14:paraId="503453F9" w14:textId="77777777" w:rsidR="00416851" w:rsidRPr="00F93875" w:rsidRDefault="0008602A" w:rsidP="0008602A">
      <w:pPr>
        <w:pStyle w:val="Heading1"/>
        <w:jc w:val="center"/>
        <w:rPr>
          <w:rFonts w:cs="Times New Roman"/>
          <w:szCs w:val="24"/>
        </w:rPr>
      </w:pPr>
      <w:bookmarkStart w:id="6" w:name="_Toc148711151"/>
      <w:bookmarkStart w:id="7" w:name="_Toc148711366"/>
      <w:r w:rsidRPr="00F93875">
        <w:rPr>
          <w:rFonts w:cs="Times New Roman"/>
          <w:szCs w:val="24"/>
        </w:rPr>
        <w:lastRenderedPageBreak/>
        <w:t>References</w:t>
      </w:r>
      <w:bookmarkEnd w:id="6"/>
      <w:bookmarkEnd w:id="7"/>
    </w:p>
    <w:p w14:paraId="503453FA" w14:textId="77777777" w:rsidR="00416851" w:rsidRPr="00F93875" w:rsidRDefault="00416851" w:rsidP="00646821">
      <w:pPr>
        <w:spacing w:after="0" w:line="480" w:lineRule="auto"/>
        <w:contextualSpacing/>
        <w:rPr>
          <w:rFonts w:ascii="Times New Roman" w:hAnsi="Times New Roman" w:cs="Times New Roman"/>
          <w:sz w:val="24"/>
          <w:szCs w:val="24"/>
        </w:rPr>
      </w:pPr>
    </w:p>
    <w:p w14:paraId="503453FB"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p>
    <w:p w14:paraId="503453FC"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t>Budiman, S., 2021. The effect of social media on brand image and brand loyalty in generation Y. </w:t>
      </w:r>
      <w:r w:rsidRPr="00F93875">
        <w:rPr>
          <w:rFonts w:ascii="Times New Roman" w:hAnsi="Times New Roman" w:cs="Times New Roman"/>
          <w:i/>
          <w:iCs/>
          <w:color w:val="222222"/>
          <w:sz w:val="24"/>
          <w:szCs w:val="24"/>
          <w:shd w:val="clear" w:color="auto" w:fill="FFFFFF"/>
        </w:rPr>
        <w:t>The Journal of Asian Finance, Economics and Business</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8</w:t>
      </w:r>
      <w:r w:rsidRPr="00F93875">
        <w:rPr>
          <w:rFonts w:ascii="Times New Roman" w:hAnsi="Times New Roman" w:cs="Times New Roman"/>
          <w:color w:val="222222"/>
          <w:sz w:val="24"/>
          <w:szCs w:val="24"/>
          <w:shd w:val="clear" w:color="auto" w:fill="FFFFFF"/>
        </w:rPr>
        <w:t>(3), pp.1339-1347.</w:t>
      </w:r>
    </w:p>
    <w:p w14:paraId="503453FD"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t>Dabija, D.C., Bejan, B.M. and Dinu, V., 2019. How sustainability oriented is Generation Z in retail? A literature review. </w:t>
      </w:r>
      <w:r w:rsidRPr="00F93875">
        <w:rPr>
          <w:rFonts w:ascii="Times New Roman" w:hAnsi="Times New Roman" w:cs="Times New Roman"/>
          <w:i/>
          <w:iCs/>
          <w:color w:val="222222"/>
          <w:sz w:val="24"/>
          <w:szCs w:val="24"/>
          <w:shd w:val="clear" w:color="auto" w:fill="FFFFFF"/>
        </w:rPr>
        <w:t>Transformations in Business &amp; Economics</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18</w:t>
      </w:r>
      <w:r w:rsidRPr="00F93875">
        <w:rPr>
          <w:rFonts w:ascii="Times New Roman" w:hAnsi="Times New Roman" w:cs="Times New Roman"/>
          <w:color w:val="222222"/>
          <w:sz w:val="24"/>
          <w:szCs w:val="24"/>
          <w:shd w:val="clear" w:color="auto" w:fill="FFFFFF"/>
        </w:rPr>
        <w:t>(2).</w:t>
      </w:r>
    </w:p>
    <w:p w14:paraId="503453FE"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t>Gaidhani, S., Arora, L. and Sharma, B.K., 2019. Understanding the attitude of generation Z towards workplace. </w:t>
      </w:r>
      <w:r w:rsidRPr="00F93875">
        <w:rPr>
          <w:rFonts w:ascii="Times New Roman" w:hAnsi="Times New Roman" w:cs="Times New Roman"/>
          <w:i/>
          <w:iCs/>
          <w:color w:val="222222"/>
          <w:sz w:val="24"/>
          <w:szCs w:val="24"/>
          <w:shd w:val="clear" w:color="auto" w:fill="FFFFFF"/>
        </w:rPr>
        <w:t>International Journal of Management, Technology and Engineering</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9</w:t>
      </w:r>
      <w:r w:rsidRPr="00F93875">
        <w:rPr>
          <w:rFonts w:ascii="Times New Roman" w:hAnsi="Times New Roman" w:cs="Times New Roman"/>
          <w:color w:val="222222"/>
          <w:sz w:val="24"/>
          <w:szCs w:val="24"/>
          <w:shd w:val="clear" w:color="auto" w:fill="FFFFFF"/>
        </w:rPr>
        <w:t>(1), pp.2804-2812.</w:t>
      </w:r>
    </w:p>
    <w:p w14:paraId="503453FF"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t>Gaidhani, S., Arora, L. and Sharma, B.K., 2019. Understanding the attitude of generation Z towards workplace. </w:t>
      </w:r>
      <w:r w:rsidRPr="00F93875">
        <w:rPr>
          <w:rFonts w:ascii="Times New Roman" w:hAnsi="Times New Roman" w:cs="Times New Roman"/>
          <w:i/>
          <w:iCs/>
          <w:color w:val="222222"/>
          <w:sz w:val="24"/>
          <w:szCs w:val="24"/>
          <w:shd w:val="clear" w:color="auto" w:fill="FFFFFF"/>
        </w:rPr>
        <w:t>International Journal of Management, Technology and Engineering</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9</w:t>
      </w:r>
      <w:r w:rsidRPr="00F93875">
        <w:rPr>
          <w:rFonts w:ascii="Times New Roman" w:hAnsi="Times New Roman" w:cs="Times New Roman"/>
          <w:color w:val="222222"/>
          <w:sz w:val="24"/>
          <w:szCs w:val="24"/>
          <w:shd w:val="clear" w:color="auto" w:fill="FFFFFF"/>
        </w:rPr>
        <w:t>(1), pp.2804-2812.</w:t>
      </w:r>
    </w:p>
    <w:p w14:paraId="50345400"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t>Gupta, V., 2019. Talent management dimensions and their relationship with retention of Generation-Y employees in the hospitality industry. </w:t>
      </w:r>
      <w:r w:rsidRPr="00F93875">
        <w:rPr>
          <w:rFonts w:ascii="Times New Roman" w:hAnsi="Times New Roman" w:cs="Times New Roman"/>
          <w:i/>
          <w:iCs/>
          <w:color w:val="222222"/>
          <w:sz w:val="24"/>
          <w:szCs w:val="24"/>
          <w:shd w:val="clear" w:color="auto" w:fill="FFFFFF"/>
        </w:rPr>
        <w:t>International Journal of Contemporary Hospitality Management</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31</w:t>
      </w:r>
      <w:r w:rsidRPr="00F93875">
        <w:rPr>
          <w:rFonts w:ascii="Times New Roman" w:hAnsi="Times New Roman" w:cs="Times New Roman"/>
          <w:color w:val="222222"/>
          <w:sz w:val="24"/>
          <w:szCs w:val="24"/>
          <w:shd w:val="clear" w:color="auto" w:fill="FFFFFF"/>
        </w:rPr>
        <w:t>(10), pp.4150-4169.</w:t>
      </w:r>
    </w:p>
    <w:p w14:paraId="50345401"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t xml:space="preserve">Hassan, M., </w:t>
      </w:r>
      <w:proofErr w:type="spellStart"/>
      <w:r w:rsidRPr="00F93875">
        <w:rPr>
          <w:rFonts w:ascii="Times New Roman" w:hAnsi="Times New Roman" w:cs="Times New Roman"/>
          <w:color w:val="222222"/>
          <w:sz w:val="24"/>
          <w:szCs w:val="24"/>
          <w:shd w:val="clear" w:color="auto" w:fill="FFFFFF"/>
        </w:rPr>
        <w:t>Jambulingam</w:t>
      </w:r>
      <w:proofErr w:type="spellEnd"/>
      <w:r w:rsidRPr="00F93875">
        <w:rPr>
          <w:rFonts w:ascii="Times New Roman" w:hAnsi="Times New Roman" w:cs="Times New Roman"/>
          <w:color w:val="222222"/>
          <w:sz w:val="24"/>
          <w:szCs w:val="24"/>
          <w:shd w:val="clear" w:color="auto" w:fill="FFFFFF"/>
        </w:rPr>
        <w:t>, M., Alam, M.N. and Islam, S., 2019. Redesigning the retention strategy against the emerging turnover of Generation Y: Revisiting the long-standing problems from 20Th to 21St century. </w:t>
      </w:r>
      <w:r w:rsidRPr="00F93875">
        <w:rPr>
          <w:rFonts w:ascii="Times New Roman" w:hAnsi="Times New Roman" w:cs="Times New Roman"/>
          <w:i/>
          <w:iCs/>
          <w:color w:val="222222"/>
          <w:sz w:val="24"/>
          <w:szCs w:val="24"/>
          <w:shd w:val="clear" w:color="auto" w:fill="FFFFFF"/>
        </w:rPr>
        <w:t>International Journal of Entrepreneurship</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23</w:t>
      </w:r>
      <w:r w:rsidRPr="00F93875">
        <w:rPr>
          <w:rFonts w:ascii="Times New Roman" w:hAnsi="Times New Roman" w:cs="Times New Roman"/>
          <w:color w:val="222222"/>
          <w:sz w:val="24"/>
          <w:szCs w:val="24"/>
          <w:shd w:val="clear" w:color="auto" w:fill="FFFFFF"/>
        </w:rPr>
        <w:t>(2), pp.1-16.</w:t>
      </w:r>
    </w:p>
    <w:p w14:paraId="50345402"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t xml:space="preserve">Hui, L., Qun, W., Nazir, S., </w:t>
      </w:r>
      <w:proofErr w:type="spellStart"/>
      <w:r w:rsidRPr="00F93875">
        <w:rPr>
          <w:rFonts w:ascii="Times New Roman" w:hAnsi="Times New Roman" w:cs="Times New Roman"/>
          <w:color w:val="222222"/>
          <w:sz w:val="24"/>
          <w:szCs w:val="24"/>
          <w:shd w:val="clear" w:color="auto" w:fill="FFFFFF"/>
        </w:rPr>
        <w:t>Mengyu</w:t>
      </w:r>
      <w:proofErr w:type="spellEnd"/>
      <w:r w:rsidRPr="00F93875">
        <w:rPr>
          <w:rFonts w:ascii="Times New Roman" w:hAnsi="Times New Roman" w:cs="Times New Roman"/>
          <w:color w:val="222222"/>
          <w:sz w:val="24"/>
          <w:szCs w:val="24"/>
          <w:shd w:val="clear" w:color="auto" w:fill="FFFFFF"/>
        </w:rPr>
        <w:t>, Z., Asadullah, M.A. and Khadim, S., 2021. Organizational identification perceptions and millennials' creativity: testing the mediating role of work engagement and the moderating role of work values. </w:t>
      </w:r>
      <w:r w:rsidRPr="00F93875">
        <w:rPr>
          <w:rFonts w:ascii="Times New Roman" w:hAnsi="Times New Roman" w:cs="Times New Roman"/>
          <w:i/>
          <w:iCs/>
          <w:color w:val="222222"/>
          <w:sz w:val="24"/>
          <w:szCs w:val="24"/>
          <w:shd w:val="clear" w:color="auto" w:fill="FFFFFF"/>
        </w:rPr>
        <w:t>European Journal of Innovation Management</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24</w:t>
      </w:r>
      <w:r w:rsidRPr="00F93875">
        <w:rPr>
          <w:rFonts w:ascii="Times New Roman" w:hAnsi="Times New Roman" w:cs="Times New Roman"/>
          <w:color w:val="222222"/>
          <w:sz w:val="24"/>
          <w:szCs w:val="24"/>
          <w:shd w:val="clear" w:color="auto" w:fill="FFFFFF"/>
        </w:rPr>
        <w:t>(5), pp.1653-1678.</w:t>
      </w:r>
    </w:p>
    <w:p w14:paraId="50345403"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lastRenderedPageBreak/>
        <w:t>Jung, H.S. and Yoon, H.H., 2021. Generational effects of workplace flexibility on work engagement, satisfaction, and commitment in South Korean deluxe hotels. </w:t>
      </w:r>
      <w:r w:rsidRPr="00F93875">
        <w:rPr>
          <w:rFonts w:ascii="Times New Roman" w:hAnsi="Times New Roman" w:cs="Times New Roman"/>
          <w:i/>
          <w:iCs/>
          <w:color w:val="222222"/>
          <w:sz w:val="24"/>
          <w:szCs w:val="24"/>
          <w:shd w:val="clear" w:color="auto" w:fill="FFFFFF"/>
        </w:rPr>
        <w:t>Sustainability</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13</w:t>
      </w:r>
      <w:r w:rsidRPr="00F93875">
        <w:rPr>
          <w:rFonts w:ascii="Times New Roman" w:hAnsi="Times New Roman" w:cs="Times New Roman"/>
          <w:color w:val="222222"/>
          <w:sz w:val="24"/>
          <w:szCs w:val="24"/>
          <w:shd w:val="clear" w:color="auto" w:fill="FFFFFF"/>
        </w:rPr>
        <w:t>(16), p.9143.</w:t>
      </w:r>
    </w:p>
    <w:p w14:paraId="50345404"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t>Ketter, E., 2020. Millennial travel: tourism micro-trends of European Generation Y. </w:t>
      </w:r>
      <w:r w:rsidRPr="00F93875">
        <w:rPr>
          <w:rFonts w:ascii="Times New Roman" w:hAnsi="Times New Roman" w:cs="Times New Roman"/>
          <w:i/>
          <w:iCs/>
          <w:color w:val="222222"/>
          <w:sz w:val="24"/>
          <w:szCs w:val="24"/>
          <w:shd w:val="clear" w:color="auto" w:fill="FFFFFF"/>
        </w:rPr>
        <w:t>Journal of Tourism Futures</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7</w:t>
      </w:r>
      <w:r w:rsidRPr="00F93875">
        <w:rPr>
          <w:rFonts w:ascii="Times New Roman" w:hAnsi="Times New Roman" w:cs="Times New Roman"/>
          <w:color w:val="222222"/>
          <w:sz w:val="24"/>
          <w:szCs w:val="24"/>
          <w:shd w:val="clear" w:color="auto" w:fill="FFFFFF"/>
        </w:rPr>
        <w:t>(2), pp.192-196.</w:t>
      </w:r>
    </w:p>
    <w:p w14:paraId="50345405"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F93875">
        <w:rPr>
          <w:rFonts w:ascii="Times New Roman" w:hAnsi="Times New Roman" w:cs="Times New Roman"/>
          <w:color w:val="222222"/>
          <w:sz w:val="24"/>
          <w:szCs w:val="24"/>
          <w:shd w:val="clear" w:color="auto" w:fill="FFFFFF"/>
        </w:rPr>
        <w:t>Ladhari</w:t>
      </w:r>
      <w:proofErr w:type="spellEnd"/>
      <w:r w:rsidRPr="00F93875">
        <w:rPr>
          <w:rFonts w:ascii="Times New Roman" w:hAnsi="Times New Roman" w:cs="Times New Roman"/>
          <w:color w:val="222222"/>
          <w:sz w:val="24"/>
          <w:szCs w:val="24"/>
          <w:shd w:val="clear" w:color="auto" w:fill="FFFFFF"/>
        </w:rPr>
        <w:t xml:space="preserve">, R., Gonthier, J. and </w:t>
      </w:r>
      <w:proofErr w:type="spellStart"/>
      <w:r w:rsidRPr="00F93875">
        <w:rPr>
          <w:rFonts w:ascii="Times New Roman" w:hAnsi="Times New Roman" w:cs="Times New Roman"/>
          <w:color w:val="222222"/>
          <w:sz w:val="24"/>
          <w:szCs w:val="24"/>
          <w:shd w:val="clear" w:color="auto" w:fill="FFFFFF"/>
        </w:rPr>
        <w:t>Lajante</w:t>
      </w:r>
      <w:proofErr w:type="spellEnd"/>
      <w:r w:rsidRPr="00F93875">
        <w:rPr>
          <w:rFonts w:ascii="Times New Roman" w:hAnsi="Times New Roman" w:cs="Times New Roman"/>
          <w:color w:val="222222"/>
          <w:sz w:val="24"/>
          <w:szCs w:val="24"/>
          <w:shd w:val="clear" w:color="auto" w:fill="FFFFFF"/>
        </w:rPr>
        <w:t>, M., 2019. Generation Y and online fashion shopping: Orientations and profiles. </w:t>
      </w:r>
      <w:r w:rsidRPr="00F93875">
        <w:rPr>
          <w:rFonts w:ascii="Times New Roman" w:hAnsi="Times New Roman" w:cs="Times New Roman"/>
          <w:i/>
          <w:iCs/>
          <w:color w:val="222222"/>
          <w:sz w:val="24"/>
          <w:szCs w:val="24"/>
          <w:shd w:val="clear" w:color="auto" w:fill="FFFFFF"/>
        </w:rPr>
        <w:t>Journal of retailing and Consumer Services</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48</w:t>
      </w:r>
      <w:r w:rsidRPr="00F93875">
        <w:rPr>
          <w:rFonts w:ascii="Times New Roman" w:hAnsi="Times New Roman" w:cs="Times New Roman"/>
          <w:color w:val="222222"/>
          <w:sz w:val="24"/>
          <w:szCs w:val="24"/>
          <w:shd w:val="clear" w:color="auto" w:fill="FFFFFF"/>
        </w:rPr>
        <w:t>, pp.113-121.</w:t>
      </w:r>
    </w:p>
    <w:p w14:paraId="50345406"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F93875">
        <w:rPr>
          <w:rFonts w:ascii="Times New Roman" w:hAnsi="Times New Roman" w:cs="Times New Roman"/>
          <w:color w:val="222222"/>
          <w:sz w:val="24"/>
          <w:szCs w:val="24"/>
          <w:shd w:val="clear" w:color="auto" w:fill="FFFFFF"/>
        </w:rPr>
        <w:t>Priporas</w:t>
      </w:r>
      <w:proofErr w:type="spellEnd"/>
      <w:r w:rsidRPr="00F93875">
        <w:rPr>
          <w:rFonts w:ascii="Times New Roman" w:hAnsi="Times New Roman" w:cs="Times New Roman"/>
          <w:color w:val="222222"/>
          <w:sz w:val="24"/>
          <w:szCs w:val="24"/>
          <w:shd w:val="clear" w:color="auto" w:fill="FFFFFF"/>
        </w:rPr>
        <w:t xml:space="preserve">, C.V., </w:t>
      </w:r>
      <w:proofErr w:type="spellStart"/>
      <w:r w:rsidRPr="00F93875">
        <w:rPr>
          <w:rFonts w:ascii="Times New Roman" w:hAnsi="Times New Roman" w:cs="Times New Roman"/>
          <w:color w:val="222222"/>
          <w:sz w:val="24"/>
          <w:szCs w:val="24"/>
          <w:shd w:val="clear" w:color="auto" w:fill="FFFFFF"/>
        </w:rPr>
        <w:t>Stylos</w:t>
      </w:r>
      <w:proofErr w:type="spellEnd"/>
      <w:r w:rsidRPr="00F93875">
        <w:rPr>
          <w:rFonts w:ascii="Times New Roman" w:hAnsi="Times New Roman" w:cs="Times New Roman"/>
          <w:color w:val="222222"/>
          <w:sz w:val="24"/>
          <w:szCs w:val="24"/>
          <w:shd w:val="clear" w:color="auto" w:fill="FFFFFF"/>
        </w:rPr>
        <w:t xml:space="preserve">, N. and </w:t>
      </w:r>
      <w:proofErr w:type="spellStart"/>
      <w:r w:rsidRPr="00F93875">
        <w:rPr>
          <w:rFonts w:ascii="Times New Roman" w:hAnsi="Times New Roman" w:cs="Times New Roman"/>
          <w:color w:val="222222"/>
          <w:sz w:val="24"/>
          <w:szCs w:val="24"/>
          <w:shd w:val="clear" w:color="auto" w:fill="FFFFFF"/>
        </w:rPr>
        <w:t>Kamenidou</w:t>
      </w:r>
      <w:proofErr w:type="spellEnd"/>
      <w:r w:rsidRPr="00F93875">
        <w:rPr>
          <w:rFonts w:ascii="Times New Roman" w:hAnsi="Times New Roman" w:cs="Times New Roman"/>
          <w:color w:val="222222"/>
          <w:sz w:val="24"/>
          <w:szCs w:val="24"/>
          <w:shd w:val="clear" w:color="auto" w:fill="FFFFFF"/>
        </w:rPr>
        <w:t>, I.E., 2020. City image, city brand personality and generation Z residents' life satisfaction under economic crisis: Predictors of city-related social media engagement. </w:t>
      </w:r>
      <w:r w:rsidRPr="00F93875">
        <w:rPr>
          <w:rFonts w:ascii="Times New Roman" w:hAnsi="Times New Roman" w:cs="Times New Roman"/>
          <w:i/>
          <w:iCs/>
          <w:color w:val="222222"/>
          <w:sz w:val="24"/>
          <w:szCs w:val="24"/>
          <w:shd w:val="clear" w:color="auto" w:fill="FFFFFF"/>
        </w:rPr>
        <w:t>Journal of business research</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119</w:t>
      </w:r>
      <w:r w:rsidRPr="00F93875">
        <w:rPr>
          <w:rFonts w:ascii="Times New Roman" w:hAnsi="Times New Roman" w:cs="Times New Roman"/>
          <w:color w:val="222222"/>
          <w:sz w:val="24"/>
          <w:szCs w:val="24"/>
          <w:shd w:val="clear" w:color="auto" w:fill="FFFFFF"/>
        </w:rPr>
        <w:t>, pp.453-463.</w:t>
      </w:r>
    </w:p>
    <w:p w14:paraId="50345407"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F93875">
        <w:rPr>
          <w:rFonts w:ascii="Times New Roman" w:hAnsi="Times New Roman" w:cs="Times New Roman"/>
          <w:color w:val="222222"/>
          <w:sz w:val="24"/>
          <w:szCs w:val="24"/>
          <w:shd w:val="clear" w:color="auto" w:fill="FFFFFF"/>
        </w:rPr>
        <w:t>Rampen</w:t>
      </w:r>
      <w:proofErr w:type="spellEnd"/>
      <w:r w:rsidRPr="00F93875">
        <w:rPr>
          <w:rFonts w:ascii="Times New Roman" w:hAnsi="Times New Roman" w:cs="Times New Roman"/>
          <w:color w:val="222222"/>
          <w:sz w:val="24"/>
          <w:szCs w:val="24"/>
          <w:shd w:val="clear" w:color="auto" w:fill="FFFFFF"/>
        </w:rPr>
        <w:t xml:space="preserve">, D.C., </w:t>
      </w:r>
      <w:proofErr w:type="spellStart"/>
      <w:r w:rsidRPr="00F93875">
        <w:rPr>
          <w:rFonts w:ascii="Times New Roman" w:hAnsi="Times New Roman" w:cs="Times New Roman"/>
          <w:color w:val="222222"/>
          <w:sz w:val="24"/>
          <w:szCs w:val="24"/>
          <w:shd w:val="clear" w:color="auto" w:fill="FFFFFF"/>
        </w:rPr>
        <w:t>Pangemanan</w:t>
      </w:r>
      <w:proofErr w:type="spellEnd"/>
      <w:r w:rsidRPr="00F93875">
        <w:rPr>
          <w:rFonts w:ascii="Times New Roman" w:hAnsi="Times New Roman" w:cs="Times New Roman"/>
          <w:color w:val="222222"/>
          <w:sz w:val="24"/>
          <w:szCs w:val="24"/>
          <w:shd w:val="clear" w:color="auto" w:fill="FFFFFF"/>
        </w:rPr>
        <w:t xml:space="preserve">, A.S. and </w:t>
      </w:r>
      <w:proofErr w:type="spellStart"/>
      <w:r w:rsidRPr="00F93875">
        <w:rPr>
          <w:rFonts w:ascii="Times New Roman" w:hAnsi="Times New Roman" w:cs="Times New Roman"/>
          <w:color w:val="222222"/>
          <w:sz w:val="24"/>
          <w:szCs w:val="24"/>
          <w:shd w:val="clear" w:color="auto" w:fill="FFFFFF"/>
        </w:rPr>
        <w:t>Mandagi</w:t>
      </w:r>
      <w:proofErr w:type="spellEnd"/>
      <w:r w:rsidRPr="00F93875">
        <w:rPr>
          <w:rFonts w:ascii="Times New Roman" w:hAnsi="Times New Roman" w:cs="Times New Roman"/>
          <w:color w:val="222222"/>
          <w:sz w:val="24"/>
          <w:szCs w:val="24"/>
          <w:shd w:val="clear" w:color="auto" w:fill="FFFFFF"/>
        </w:rPr>
        <w:t>, D.W., 2023. The X-factors behind Gen Z employee performance: A systematic review. </w:t>
      </w:r>
      <w:proofErr w:type="spellStart"/>
      <w:r w:rsidRPr="00F93875">
        <w:rPr>
          <w:rFonts w:ascii="Times New Roman" w:hAnsi="Times New Roman" w:cs="Times New Roman"/>
          <w:i/>
          <w:iCs/>
          <w:color w:val="222222"/>
          <w:sz w:val="24"/>
          <w:szCs w:val="24"/>
          <w:shd w:val="clear" w:color="auto" w:fill="FFFFFF"/>
        </w:rPr>
        <w:t>Jurnal</w:t>
      </w:r>
      <w:proofErr w:type="spellEnd"/>
      <w:r w:rsidRPr="00F93875">
        <w:rPr>
          <w:rFonts w:ascii="Times New Roman" w:hAnsi="Times New Roman" w:cs="Times New Roman"/>
          <w:i/>
          <w:iCs/>
          <w:color w:val="222222"/>
          <w:sz w:val="24"/>
          <w:szCs w:val="24"/>
          <w:shd w:val="clear" w:color="auto" w:fill="FFFFFF"/>
        </w:rPr>
        <w:t xml:space="preserve"> Mantik</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7</w:t>
      </w:r>
      <w:r w:rsidRPr="00F93875">
        <w:rPr>
          <w:rFonts w:ascii="Times New Roman" w:hAnsi="Times New Roman" w:cs="Times New Roman"/>
          <w:color w:val="222222"/>
          <w:sz w:val="24"/>
          <w:szCs w:val="24"/>
          <w:shd w:val="clear" w:color="auto" w:fill="FFFFFF"/>
        </w:rPr>
        <w:t>(2), pp.668-680.</w:t>
      </w:r>
    </w:p>
    <w:p w14:paraId="50345408"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r w:rsidRPr="00F93875">
        <w:rPr>
          <w:rFonts w:ascii="Times New Roman" w:hAnsi="Times New Roman" w:cs="Times New Roman"/>
          <w:color w:val="222222"/>
          <w:sz w:val="24"/>
          <w:szCs w:val="24"/>
          <w:shd w:val="clear" w:color="auto" w:fill="FFFFFF"/>
        </w:rPr>
        <w:t>Saad, M.M., Gaber, H.R. and Labib, A.A., 2021. Investigating the impact of human resource management practices on employee engagement, and the moderating role of strategy implementation in Egypt. </w:t>
      </w:r>
      <w:r w:rsidRPr="00F93875">
        <w:rPr>
          <w:rFonts w:ascii="Times New Roman" w:hAnsi="Times New Roman" w:cs="Times New Roman"/>
          <w:i/>
          <w:iCs/>
          <w:color w:val="222222"/>
          <w:sz w:val="24"/>
          <w:szCs w:val="24"/>
          <w:shd w:val="clear" w:color="auto" w:fill="FFFFFF"/>
        </w:rPr>
        <w:t>SA Journal of Human Resource Management</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19</w:t>
      </w:r>
      <w:r w:rsidRPr="00F93875">
        <w:rPr>
          <w:rFonts w:ascii="Times New Roman" w:hAnsi="Times New Roman" w:cs="Times New Roman"/>
          <w:color w:val="222222"/>
          <w:sz w:val="24"/>
          <w:szCs w:val="24"/>
          <w:shd w:val="clear" w:color="auto" w:fill="FFFFFF"/>
        </w:rPr>
        <w:t>, p.9.</w:t>
      </w:r>
    </w:p>
    <w:p w14:paraId="50345409"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F93875">
        <w:rPr>
          <w:rFonts w:ascii="Times New Roman" w:hAnsi="Times New Roman" w:cs="Times New Roman"/>
          <w:color w:val="222222"/>
          <w:sz w:val="24"/>
          <w:szCs w:val="24"/>
          <w:shd w:val="clear" w:color="auto" w:fill="FFFFFF"/>
        </w:rPr>
        <w:t>Schenarts</w:t>
      </w:r>
      <w:proofErr w:type="spellEnd"/>
      <w:r w:rsidRPr="00F93875">
        <w:rPr>
          <w:rFonts w:ascii="Times New Roman" w:hAnsi="Times New Roman" w:cs="Times New Roman"/>
          <w:color w:val="222222"/>
          <w:sz w:val="24"/>
          <w:szCs w:val="24"/>
          <w:shd w:val="clear" w:color="auto" w:fill="FFFFFF"/>
        </w:rPr>
        <w:t>, P.J., 2020. Now arriving: surgical trainees from generation Z. </w:t>
      </w:r>
      <w:r w:rsidRPr="00F93875">
        <w:rPr>
          <w:rFonts w:ascii="Times New Roman" w:hAnsi="Times New Roman" w:cs="Times New Roman"/>
          <w:i/>
          <w:iCs/>
          <w:color w:val="222222"/>
          <w:sz w:val="24"/>
          <w:szCs w:val="24"/>
          <w:shd w:val="clear" w:color="auto" w:fill="FFFFFF"/>
        </w:rPr>
        <w:t>Journal of surgical education</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77</w:t>
      </w:r>
      <w:r w:rsidRPr="00F93875">
        <w:rPr>
          <w:rFonts w:ascii="Times New Roman" w:hAnsi="Times New Roman" w:cs="Times New Roman"/>
          <w:color w:val="222222"/>
          <w:sz w:val="24"/>
          <w:szCs w:val="24"/>
          <w:shd w:val="clear" w:color="auto" w:fill="FFFFFF"/>
        </w:rPr>
        <w:t>(2), pp.246-253.</w:t>
      </w:r>
    </w:p>
    <w:p w14:paraId="5034540A"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F93875">
        <w:rPr>
          <w:rFonts w:ascii="Times New Roman" w:hAnsi="Times New Roman" w:cs="Times New Roman"/>
          <w:color w:val="222222"/>
          <w:sz w:val="24"/>
          <w:szCs w:val="24"/>
          <w:shd w:val="clear" w:color="auto" w:fill="FFFFFF"/>
        </w:rPr>
        <w:t>Sifatu</w:t>
      </w:r>
      <w:proofErr w:type="spellEnd"/>
      <w:r w:rsidRPr="00F93875">
        <w:rPr>
          <w:rFonts w:ascii="Times New Roman" w:hAnsi="Times New Roman" w:cs="Times New Roman"/>
          <w:color w:val="222222"/>
          <w:sz w:val="24"/>
          <w:szCs w:val="24"/>
          <w:shd w:val="clear" w:color="auto" w:fill="FFFFFF"/>
        </w:rPr>
        <w:t xml:space="preserve">, W.O., </w:t>
      </w:r>
      <w:proofErr w:type="spellStart"/>
      <w:r w:rsidRPr="00F93875">
        <w:rPr>
          <w:rFonts w:ascii="Times New Roman" w:hAnsi="Times New Roman" w:cs="Times New Roman"/>
          <w:color w:val="222222"/>
          <w:sz w:val="24"/>
          <w:szCs w:val="24"/>
          <w:shd w:val="clear" w:color="auto" w:fill="FFFFFF"/>
        </w:rPr>
        <w:t>Sjahruddin</w:t>
      </w:r>
      <w:proofErr w:type="spellEnd"/>
      <w:r w:rsidRPr="00F93875">
        <w:rPr>
          <w:rFonts w:ascii="Times New Roman" w:hAnsi="Times New Roman" w:cs="Times New Roman"/>
          <w:color w:val="222222"/>
          <w:sz w:val="24"/>
          <w:szCs w:val="24"/>
          <w:shd w:val="clear" w:color="auto" w:fill="FFFFFF"/>
        </w:rPr>
        <w:t xml:space="preserve">, H., </w:t>
      </w:r>
      <w:proofErr w:type="spellStart"/>
      <w:r w:rsidRPr="00F93875">
        <w:rPr>
          <w:rFonts w:ascii="Times New Roman" w:hAnsi="Times New Roman" w:cs="Times New Roman"/>
          <w:color w:val="222222"/>
          <w:sz w:val="24"/>
          <w:szCs w:val="24"/>
          <w:shd w:val="clear" w:color="auto" w:fill="FFFFFF"/>
        </w:rPr>
        <w:t>Fajriah</w:t>
      </w:r>
      <w:proofErr w:type="spellEnd"/>
      <w:r w:rsidRPr="00F93875">
        <w:rPr>
          <w:rFonts w:ascii="Times New Roman" w:hAnsi="Times New Roman" w:cs="Times New Roman"/>
          <w:color w:val="222222"/>
          <w:sz w:val="24"/>
          <w:szCs w:val="24"/>
          <w:shd w:val="clear" w:color="auto" w:fill="FFFFFF"/>
        </w:rPr>
        <w:t>, Y., Dwijendra, N.K. and Santoso, A., 2020. Innovative work behaviors in pharmacies of Indonesia: Role of employee voice, generational diversity management and employee engagement. </w:t>
      </w:r>
      <w:r w:rsidRPr="00F93875">
        <w:rPr>
          <w:rFonts w:ascii="Times New Roman" w:hAnsi="Times New Roman" w:cs="Times New Roman"/>
          <w:i/>
          <w:iCs/>
          <w:color w:val="222222"/>
          <w:sz w:val="24"/>
          <w:szCs w:val="24"/>
          <w:shd w:val="clear" w:color="auto" w:fill="FFFFFF"/>
        </w:rPr>
        <w:t>Systematic Reviews in Pharmacy</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11</w:t>
      </w:r>
      <w:r w:rsidRPr="00F93875">
        <w:rPr>
          <w:rFonts w:ascii="Times New Roman" w:hAnsi="Times New Roman" w:cs="Times New Roman"/>
          <w:color w:val="222222"/>
          <w:sz w:val="24"/>
          <w:szCs w:val="24"/>
          <w:shd w:val="clear" w:color="auto" w:fill="FFFFFF"/>
        </w:rPr>
        <w:t>(2), pp.725-734.</w:t>
      </w:r>
    </w:p>
    <w:p w14:paraId="5034540B" w14:textId="77777777" w:rsidR="000971D9" w:rsidRPr="00F93875" w:rsidRDefault="000971D9" w:rsidP="0008602A">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F93875">
        <w:rPr>
          <w:rFonts w:ascii="Times New Roman" w:hAnsi="Times New Roman" w:cs="Times New Roman"/>
          <w:color w:val="222222"/>
          <w:sz w:val="24"/>
          <w:szCs w:val="24"/>
          <w:shd w:val="clear" w:color="auto" w:fill="FFFFFF"/>
        </w:rPr>
        <w:lastRenderedPageBreak/>
        <w:t>Suomäki</w:t>
      </w:r>
      <w:proofErr w:type="spellEnd"/>
      <w:r w:rsidRPr="00F93875">
        <w:rPr>
          <w:rFonts w:ascii="Times New Roman" w:hAnsi="Times New Roman" w:cs="Times New Roman"/>
          <w:color w:val="222222"/>
          <w:sz w:val="24"/>
          <w:szCs w:val="24"/>
          <w:shd w:val="clear" w:color="auto" w:fill="FFFFFF"/>
        </w:rPr>
        <w:t xml:space="preserve">, A., </w:t>
      </w:r>
      <w:proofErr w:type="spellStart"/>
      <w:r w:rsidRPr="00F93875">
        <w:rPr>
          <w:rFonts w:ascii="Times New Roman" w:hAnsi="Times New Roman" w:cs="Times New Roman"/>
          <w:color w:val="222222"/>
          <w:sz w:val="24"/>
          <w:szCs w:val="24"/>
          <w:shd w:val="clear" w:color="auto" w:fill="FFFFFF"/>
        </w:rPr>
        <w:t>Kianto</w:t>
      </w:r>
      <w:proofErr w:type="spellEnd"/>
      <w:r w:rsidRPr="00F93875">
        <w:rPr>
          <w:rFonts w:ascii="Times New Roman" w:hAnsi="Times New Roman" w:cs="Times New Roman"/>
          <w:color w:val="222222"/>
          <w:sz w:val="24"/>
          <w:szCs w:val="24"/>
          <w:shd w:val="clear" w:color="auto" w:fill="FFFFFF"/>
        </w:rPr>
        <w:t xml:space="preserve">, A. and Vanhala, M., 2019. Work engagement across different generations in Finland: A Qualitative Study of Boomers, </w:t>
      </w:r>
      <w:proofErr w:type="spellStart"/>
      <w:r w:rsidRPr="00F93875">
        <w:rPr>
          <w:rFonts w:ascii="Times New Roman" w:hAnsi="Times New Roman" w:cs="Times New Roman"/>
          <w:color w:val="222222"/>
          <w:sz w:val="24"/>
          <w:szCs w:val="24"/>
          <w:shd w:val="clear" w:color="auto" w:fill="FFFFFF"/>
        </w:rPr>
        <w:t>Yers</w:t>
      </w:r>
      <w:proofErr w:type="spellEnd"/>
      <w:r w:rsidRPr="00F93875">
        <w:rPr>
          <w:rFonts w:ascii="Times New Roman" w:hAnsi="Times New Roman" w:cs="Times New Roman"/>
          <w:color w:val="222222"/>
          <w:sz w:val="24"/>
          <w:szCs w:val="24"/>
          <w:shd w:val="clear" w:color="auto" w:fill="FFFFFF"/>
        </w:rPr>
        <w:t xml:space="preserve"> and Xers. </w:t>
      </w:r>
      <w:r w:rsidRPr="00F93875">
        <w:rPr>
          <w:rFonts w:ascii="Times New Roman" w:hAnsi="Times New Roman" w:cs="Times New Roman"/>
          <w:i/>
          <w:iCs/>
          <w:color w:val="222222"/>
          <w:sz w:val="24"/>
          <w:szCs w:val="24"/>
          <w:shd w:val="clear" w:color="auto" w:fill="FFFFFF"/>
        </w:rPr>
        <w:t>Knowledge and Process Management</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26</w:t>
      </w:r>
      <w:r w:rsidRPr="00F93875">
        <w:rPr>
          <w:rFonts w:ascii="Times New Roman" w:hAnsi="Times New Roman" w:cs="Times New Roman"/>
          <w:color w:val="222222"/>
          <w:sz w:val="24"/>
          <w:szCs w:val="24"/>
          <w:shd w:val="clear" w:color="auto" w:fill="FFFFFF"/>
        </w:rPr>
        <w:t>(2), pp.140-151.</w:t>
      </w:r>
    </w:p>
    <w:p w14:paraId="5034540C" w14:textId="77777777" w:rsidR="00416851" w:rsidRPr="000971D9" w:rsidRDefault="000971D9" w:rsidP="000971D9">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F93875">
        <w:rPr>
          <w:rFonts w:ascii="Times New Roman" w:hAnsi="Times New Roman" w:cs="Times New Roman"/>
          <w:color w:val="222222"/>
          <w:sz w:val="24"/>
          <w:szCs w:val="24"/>
          <w:shd w:val="clear" w:color="auto" w:fill="FFFFFF"/>
        </w:rPr>
        <w:t>Wiastuti</w:t>
      </w:r>
      <w:proofErr w:type="spellEnd"/>
      <w:r w:rsidRPr="00F93875">
        <w:rPr>
          <w:rFonts w:ascii="Times New Roman" w:hAnsi="Times New Roman" w:cs="Times New Roman"/>
          <w:color w:val="222222"/>
          <w:sz w:val="24"/>
          <w:szCs w:val="24"/>
          <w:shd w:val="clear" w:color="auto" w:fill="FFFFFF"/>
        </w:rPr>
        <w:t xml:space="preserve">, R.D., Lestari, N.S., </w:t>
      </w:r>
      <w:proofErr w:type="spellStart"/>
      <w:r w:rsidRPr="00F93875">
        <w:rPr>
          <w:rFonts w:ascii="Times New Roman" w:hAnsi="Times New Roman" w:cs="Times New Roman"/>
          <w:color w:val="222222"/>
          <w:sz w:val="24"/>
          <w:szCs w:val="24"/>
          <w:shd w:val="clear" w:color="auto" w:fill="FFFFFF"/>
        </w:rPr>
        <w:t>Ngatemin</w:t>
      </w:r>
      <w:proofErr w:type="spellEnd"/>
      <w:r w:rsidRPr="00F93875">
        <w:rPr>
          <w:rFonts w:ascii="Times New Roman" w:hAnsi="Times New Roman" w:cs="Times New Roman"/>
          <w:color w:val="222222"/>
          <w:sz w:val="24"/>
          <w:szCs w:val="24"/>
          <w:shd w:val="clear" w:color="auto" w:fill="FFFFFF"/>
        </w:rPr>
        <w:t xml:space="preserve">, B.M. and </w:t>
      </w:r>
      <w:proofErr w:type="spellStart"/>
      <w:r w:rsidRPr="00F93875">
        <w:rPr>
          <w:rFonts w:ascii="Times New Roman" w:hAnsi="Times New Roman" w:cs="Times New Roman"/>
          <w:color w:val="222222"/>
          <w:sz w:val="24"/>
          <w:szCs w:val="24"/>
          <w:shd w:val="clear" w:color="auto" w:fill="FFFFFF"/>
        </w:rPr>
        <w:t>Masatip</w:t>
      </w:r>
      <w:proofErr w:type="spellEnd"/>
      <w:r w:rsidRPr="00F93875">
        <w:rPr>
          <w:rFonts w:ascii="Times New Roman" w:hAnsi="Times New Roman" w:cs="Times New Roman"/>
          <w:color w:val="222222"/>
          <w:sz w:val="24"/>
          <w:szCs w:val="24"/>
          <w:shd w:val="clear" w:color="auto" w:fill="FFFFFF"/>
        </w:rPr>
        <w:t>, A., 2020. The generation Z characteristics and hotel choices. </w:t>
      </w:r>
      <w:r w:rsidRPr="00F93875">
        <w:rPr>
          <w:rFonts w:ascii="Times New Roman" w:hAnsi="Times New Roman" w:cs="Times New Roman"/>
          <w:i/>
          <w:iCs/>
          <w:color w:val="222222"/>
          <w:sz w:val="24"/>
          <w:szCs w:val="24"/>
          <w:shd w:val="clear" w:color="auto" w:fill="FFFFFF"/>
        </w:rPr>
        <w:t>African Journal of Hospitality, Tourism and Leisure</w:t>
      </w:r>
      <w:r w:rsidRPr="00F93875">
        <w:rPr>
          <w:rFonts w:ascii="Times New Roman" w:hAnsi="Times New Roman" w:cs="Times New Roman"/>
          <w:color w:val="222222"/>
          <w:sz w:val="24"/>
          <w:szCs w:val="24"/>
          <w:shd w:val="clear" w:color="auto" w:fill="FFFFFF"/>
        </w:rPr>
        <w:t>, </w:t>
      </w:r>
      <w:r w:rsidRPr="00F93875">
        <w:rPr>
          <w:rFonts w:ascii="Times New Roman" w:hAnsi="Times New Roman" w:cs="Times New Roman"/>
          <w:i/>
          <w:iCs/>
          <w:color w:val="222222"/>
          <w:sz w:val="24"/>
          <w:szCs w:val="24"/>
          <w:shd w:val="clear" w:color="auto" w:fill="FFFFFF"/>
        </w:rPr>
        <w:t>9</w:t>
      </w:r>
      <w:r w:rsidRPr="00F93875">
        <w:rPr>
          <w:rFonts w:ascii="Times New Roman" w:hAnsi="Times New Roman" w:cs="Times New Roman"/>
          <w:color w:val="222222"/>
          <w:sz w:val="24"/>
          <w:szCs w:val="24"/>
          <w:shd w:val="clear" w:color="auto" w:fill="FFFFFF"/>
        </w:rPr>
        <w:t>(1), pp.1-14.</w:t>
      </w:r>
    </w:p>
    <w:sectPr w:rsidR="00416851" w:rsidRPr="000971D9" w:rsidSect="0008602A">
      <w:head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4DBFF" w14:textId="77777777" w:rsidR="00B658E1" w:rsidRDefault="00B658E1" w:rsidP="0008602A">
      <w:pPr>
        <w:spacing w:after="0" w:line="240" w:lineRule="auto"/>
      </w:pPr>
      <w:r>
        <w:separator/>
      </w:r>
    </w:p>
  </w:endnote>
  <w:endnote w:type="continuationSeparator" w:id="0">
    <w:p w14:paraId="28F53835" w14:textId="77777777" w:rsidR="00B658E1" w:rsidRDefault="00B658E1" w:rsidP="00086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0A5E1" w14:textId="77777777" w:rsidR="00B658E1" w:rsidRDefault="00B658E1" w:rsidP="0008602A">
      <w:pPr>
        <w:spacing w:after="0" w:line="240" w:lineRule="auto"/>
      </w:pPr>
      <w:r>
        <w:separator/>
      </w:r>
    </w:p>
  </w:footnote>
  <w:footnote w:type="continuationSeparator" w:id="0">
    <w:p w14:paraId="2F961255" w14:textId="77777777" w:rsidR="00B658E1" w:rsidRDefault="00B658E1" w:rsidP="000860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9901810"/>
      <w:docPartObj>
        <w:docPartGallery w:val="Page Numbers (Top of Page)"/>
        <w:docPartUnique/>
      </w:docPartObj>
    </w:sdtPr>
    <w:sdtEndPr>
      <w:rPr>
        <w:noProof/>
      </w:rPr>
    </w:sdtEndPr>
    <w:sdtContent>
      <w:p w14:paraId="50345411" w14:textId="77777777" w:rsidR="0008602A" w:rsidRDefault="0008602A">
        <w:pPr>
          <w:pStyle w:val="Header"/>
          <w:jc w:val="right"/>
        </w:pPr>
        <w:r>
          <w:fldChar w:fldCharType="begin"/>
        </w:r>
        <w:r>
          <w:instrText xml:space="preserve"> PAGE   \* MERGEFORMAT </w:instrText>
        </w:r>
        <w:r>
          <w:fldChar w:fldCharType="separate"/>
        </w:r>
        <w:r w:rsidR="008F7C7D">
          <w:rPr>
            <w:noProof/>
          </w:rPr>
          <w:t>2</w:t>
        </w:r>
        <w:r>
          <w:rPr>
            <w:noProof/>
          </w:rPr>
          <w:fldChar w:fldCharType="end"/>
        </w:r>
      </w:p>
    </w:sdtContent>
  </w:sdt>
  <w:p w14:paraId="50345412" w14:textId="77777777" w:rsidR="0008602A" w:rsidRDefault="000860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523"/>
    <w:rsid w:val="00010027"/>
    <w:rsid w:val="00010649"/>
    <w:rsid w:val="00051896"/>
    <w:rsid w:val="0008602A"/>
    <w:rsid w:val="000971D9"/>
    <w:rsid w:val="00116D40"/>
    <w:rsid w:val="001429A0"/>
    <w:rsid w:val="001F188A"/>
    <w:rsid w:val="00202F28"/>
    <w:rsid w:val="00327ED1"/>
    <w:rsid w:val="00363E08"/>
    <w:rsid w:val="0038089C"/>
    <w:rsid w:val="003D4F6F"/>
    <w:rsid w:val="00416851"/>
    <w:rsid w:val="004717B9"/>
    <w:rsid w:val="00542D20"/>
    <w:rsid w:val="005F7018"/>
    <w:rsid w:val="00646821"/>
    <w:rsid w:val="006D6F02"/>
    <w:rsid w:val="007E67B3"/>
    <w:rsid w:val="008F7C7D"/>
    <w:rsid w:val="009F6D82"/>
    <w:rsid w:val="00A82523"/>
    <w:rsid w:val="00AE43EB"/>
    <w:rsid w:val="00B658E1"/>
    <w:rsid w:val="00CF6465"/>
    <w:rsid w:val="00F0549F"/>
    <w:rsid w:val="00F374BD"/>
    <w:rsid w:val="00F938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53C9"/>
  <w15:chartTrackingRefBased/>
  <w15:docId w15:val="{B9207431-862D-4EF5-BC77-09D760A1F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3EB"/>
    <w:pPr>
      <w:keepNext/>
      <w:keepLines/>
      <w:spacing w:before="240" w:after="0"/>
      <w:outlineLvl w:val="0"/>
    </w:pPr>
    <w:rPr>
      <w:rFonts w:ascii="Times New Roman" w:eastAsiaTheme="majorEastAsia" w:hAnsi="Times New Roman" w:cstheme="majorBidi"/>
      <w:b/>
      <w:i/>
      <w:color w:val="000000" w:themeColor="text1"/>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3EB"/>
    <w:rPr>
      <w:rFonts w:ascii="Times New Roman" w:eastAsiaTheme="majorEastAsia" w:hAnsi="Times New Roman" w:cstheme="majorBidi"/>
      <w:b/>
      <w:i/>
      <w:color w:val="000000" w:themeColor="text1"/>
      <w:sz w:val="24"/>
      <w:szCs w:val="32"/>
    </w:rPr>
  </w:style>
  <w:style w:type="paragraph" w:styleId="TOCHeading">
    <w:name w:val="TOC Heading"/>
    <w:basedOn w:val="Heading1"/>
    <w:next w:val="Normal"/>
    <w:uiPriority w:val="39"/>
    <w:unhideWhenUsed/>
    <w:qFormat/>
    <w:rsid w:val="00AE43EB"/>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AE43EB"/>
    <w:pPr>
      <w:spacing w:after="100"/>
    </w:pPr>
  </w:style>
  <w:style w:type="character" w:styleId="Hyperlink">
    <w:name w:val="Hyperlink"/>
    <w:basedOn w:val="DefaultParagraphFont"/>
    <w:uiPriority w:val="99"/>
    <w:unhideWhenUsed/>
    <w:rsid w:val="00AE43EB"/>
    <w:rPr>
      <w:color w:val="0563C1" w:themeColor="hyperlink"/>
      <w:u w:val="single"/>
    </w:rPr>
  </w:style>
  <w:style w:type="paragraph" w:styleId="Header">
    <w:name w:val="header"/>
    <w:basedOn w:val="Normal"/>
    <w:link w:val="HeaderChar"/>
    <w:uiPriority w:val="99"/>
    <w:unhideWhenUsed/>
    <w:rsid w:val="000860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02A"/>
  </w:style>
  <w:style w:type="paragraph" w:styleId="Footer">
    <w:name w:val="footer"/>
    <w:basedOn w:val="Normal"/>
    <w:link w:val="FooterChar"/>
    <w:uiPriority w:val="99"/>
    <w:unhideWhenUsed/>
    <w:rsid w:val="000860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0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739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D6BB2-E120-44BA-8EE0-9B6DF228F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1468</TotalTime>
  <Pages>13</Pages>
  <Words>2906</Words>
  <Characters>16567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 Computers</dc:creator>
  <cp:keywords/>
  <dc:description/>
  <cp:lastModifiedBy>Alina Radoi</cp:lastModifiedBy>
  <cp:revision>17</cp:revision>
  <dcterms:created xsi:type="dcterms:W3CDTF">2023-10-18T14:58:00Z</dcterms:created>
  <dcterms:modified xsi:type="dcterms:W3CDTF">2023-10-20T14:51:00Z</dcterms:modified>
</cp:coreProperties>
</file>