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BC036" w14:textId="77777777" w:rsidR="008B3464" w:rsidRDefault="008B3464" w:rsidP="00622DEE">
      <w:pPr>
        <w:spacing w:before="100" w:line="360" w:lineRule="auto"/>
      </w:pPr>
    </w:p>
    <w:p w14:paraId="4936E298" w14:textId="77777777" w:rsidR="00D73C13" w:rsidRDefault="00D73C13" w:rsidP="00622DEE">
      <w:pPr>
        <w:spacing w:before="100" w:line="360" w:lineRule="auto"/>
      </w:pPr>
    </w:p>
    <w:p w14:paraId="5D9BF9DB" w14:textId="77777777" w:rsidR="00D73C13" w:rsidRPr="006B2CBF" w:rsidRDefault="00D73C13" w:rsidP="00622DEE">
      <w:pPr>
        <w:spacing w:before="100" w:line="360" w:lineRule="auto"/>
        <w:rPr>
          <w:b/>
          <w:bCs/>
          <w:color w:val="000000" w:themeColor="text1"/>
          <w:sz w:val="32"/>
          <w:szCs w:val="32"/>
        </w:rPr>
      </w:pPr>
    </w:p>
    <w:p w14:paraId="4F39C8FC" w14:textId="4452627F" w:rsidR="008B3464" w:rsidRPr="006B2CBF" w:rsidRDefault="00837D70" w:rsidP="00622DEE">
      <w:pPr>
        <w:spacing w:after="120" w:line="360" w:lineRule="auto"/>
        <w:jc w:val="center"/>
        <w:rPr>
          <w:b/>
          <w:bCs/>
          <w:color w:val="000000" w:themeColor="text1"/>
          <w:sz w:val="32"/>
          <w:szCs w:val="32"/>
        </w:rPr>
      </w:pPr>
      <w:r w:rsidRPr="006B2CBF">
        <w:rPr>
          <w:b/>
          <w:bCs/>
          <w:color w:val="000000" w:themeColor="text1"/>
          <w:sz w:val="32"/>
          <w:szCs w:val="32"/>
        </w:rPr>
        <w:t>Entrepreneurship</w:t>
      </w:r>
    </w:p>
    <w:p w14:paraId="0F8A3DC9" w14:textId="27998C16" w:rsidR="00622DEE" w:rsidRPr="006B2CBF" w:rsidRDefault="00622DEE" w:rsidP="00622DEE">
      <w:pPr>
        <w:spacing w:after="120" w:line="360" w:lineRule="auto"/>
        <w:jc w:val="center"/>
        <w:rPr>
          <w:b/>
          <w:bCs/>
          <w:color w:val="000000" w:themeColor="text1"/>
          <w:sz w:val="32"/>
          <w:szCs w:val="32"/>
        </w:rPr>
      </w:pPr>
      <w:r w:rsidRPr="006B2CBF">
        <w:rPr>
          <w:b/>
          <w:bCs/>
          <w:color w:val="000000" w:themeColor="text1"/>
          <w:sz w:val="32"/>
          <w:szCs w:val="32"/>
        </w:rPr>
        <w:t>LCBB5013</w:t>
      </w:r>
    </w:p>
    <w:p w14:paraId="76E03E90" w14:textId="51345FD5" w:rsidR="008B3464" w:rsidRPr="006B2CBF" w:rsidRDefault="00622DEE" w:rsidP="006B2CBF">
      <w:pPr>
        <w:spacing w:after="120" w:line="360" w:lineRule="auto"/>
        <w:jc w:val="center"/>
        <w:rPr>
          <w:b/>
          <w:bCs/>
          <w:color w:val="000000" w:themeColor="text1"/>
          <w:sz w:val="32"/>
          <w:szCs w:val="32"/>
        </w:rPr>
      </w:pPr>
      <w:r w:rsidRPr="006B2CBF">
        <w:rPr>
          <w:b/>
          <w:bCs/>
          <w:color w:val="000000" w:themeColor="text1"/>
          <w:sz w:val="32"/>
          <w:szCs w:val="32"/>
        </w:rPr>
        <w:t>Aso Abdullah</w:t>
      </w:r>
    </w:p>
    <w:p w14:paraId="3FFA7AA1" w14:textId="614D606B" w:rsidR="008B3464" w:rsidRPr="006B2CBF" w:rsidRDefault="00837D70" w:rsidP="006B2CBF">
      <w:pPr>
        <w:spacing w:after="120" w:line="360" w:lineRule="auto"/>
        <w:jc w:val="center"/>
        <w:rPr>
          <w:b/>
          <w:bCs/>
          <w:color w:val="000000" w:themeColor="text1"/>
          <w:sz w:val="32"/>
          <w:szCs w:val="32"/>
        </w:rPr>
      </w:pPr>
      <w:r w:rsidRPr="006B2CBF">
        <w:rPr>
          <w:b/>
          <w:bCs/>
          <w:color w:val="000000" w:themeColor="text1"/>
          <w:sz w:val="32"/>
          <w:szCs w:val="32"/>
        </w:rPr>
        <w:t>Business Plan Development</w:t>
      </w:r>
    </w:p>
    <w:p w14:paraId="0927D392" w14:textId="62405B84" w:rsidR="008807E0" w:rsidRDefault="008807E0" w:rsidP="008807E0">
      <w:pPr>
        <w:spacing w:after="120" w:line="360" w:lineRule="auto"/>
        <w:jc w:val="center"/>
        <w:rPr>
          <w:b/>
          <w:bCs/>
          <w:i/>
          <w:iCs/>
          <w:color w:val="000000" w:themeColor="text1"/>
          <w:sz w:val="32"/>
          <w:szCs w:val="32"/>
        </w:rPr>
      </w:pPr>
      <w:r w:rsidRPr="008807E0">
        <w:rPr>
          <w:b/>
          <w:bCs/>
          <w:color w:val="000000" w:themeColor="text1"/>
          <w:sz w:val="32"/>
          <w:szCs w:val="32"/>
        </w:rPr>
        <w:t xml:space="preserve">Too Good </w:t>
      </w:r>
      <w:proofErr w:type="gramStart"/>
      <w:r>
        <w:rPr>
          <w:b/>
          <w:bCs/>
          <w:color w:val="000000" w:themeColor="text1"/>
          <w:sz w:val="32"/>
          <w:szCs w:val="32"/>
        </w:rPr>
        <w:t>T</w:t>
      </w:r>
      <w:r w:rsidRPr="008807E0">
        <w:rPr>
          <w:b/>
          <w:bCs/>
          <w:color w:val="000000" w:themeColor="text1"/>
          <w:sz w:val="32"/>
          <w:szCs w:val="32"/>
        </w:rPr>
        <w:t>o</w:t>
      </w:r>
      <w:proofErr w:type="gramEnd"/>
      <w:r w:rsidRPr="008807E0">
        <w:rPr>
          <w:b/>
          <w:bCs/>
          <w:color w:val="000000" w:themeColor="text1"/>
          <w:sz w:val="32"/>
          <w:szCs w:val="32"/>
        </w:rPr>
        <w:t xml:space="preserve"> Go </w:t>
      </w:r>
      <w:proofErr w:type="spellStart"/>
      <w:r w:rsidRPr="008807E0">
        <w:rPr>
          <w:b/>
          <w:bCs/>
          <w:color w:val="000000" w:themeColor="text1"/>
          <w:sz w:val="32"/>
          <w:szCs w:val="32"/>
        </w:rPr>
        <w:t>ApS</w:t>
      </w:r>
      <w:proofErr w:type="spellEnd"/>
      <w:r w:rsidRPr="008807E0">
        <w:rPr>
          <w:b/>
          <w:bCs/>
          <w:i/>
          <w:iCs/>
          <w:color w:val="000000" w:themeColor="text1"/>
          <w:sz w:val="32"/>
          <w:szCs w:val="32"/>
        </w:rPr>
        <w:t xml:space="preserve"> </w:t>
      </w:r>
    </w:p>
    <w:p w14:paraId="312D6D60" w14:textId="642561DA" w:rsidR="008B3464" w:rsidRPr="006B2CBF" w:rsidRDefault="00837D70" w:rsidP="008807E0">
      <w:pPr>
        <w:spacing w:after="120" w:line="360" w:lineRule="auto"/>
        <w:jc w:val="center"/>
        <w:rPr>
          <w:b/>
          <w:bCs/>
          <w:color w:val="000000" w:themeColor="text1"/>
          <w:sz w:val="32"/>
          <w:szCs w:val="32"/>
        </w:rPr>
      </w:pPr>
      <w:r w:rsidRPr="006B2CBF">
        <w:rPr>
          <w:b/>
          <w:bCs/>
          <w:i/>
          <w:iCs/>
          <w:color w:val="000000" w:themeColor="text1"/>
          <w:sz w:val="32"/>
          <w:szCs w:val="32"/>
        </w:rPr>
        <w:t>‘Fighting Food Waste Through Social Entrepreneurship’</w:t>
      </w:r>
    </w:p>
    <w:p w14:paraId="36C9C83A" w14:textId="171D8191" w:rsidR="008B3464" w:rsidRPr="006B2CBF" w:rsidRDefault="00E03B00" w:rsidP="00622DEE">
      <w:pPr>
        <w:spacing w:after="120" w:line="360" w:lineRule="auto"/>
        <w:jc w:val="center"/>
        <w:rPr>
          <w:b/>
          <w:bCs/>
          <w:color w:val="000000" w:themeColor="text1"/>
          <w:sz w:val="32"/>
          <w:szCs w:val="32"/>
        </w:rPr>
      </w:pPr>
      <w:r w:rsidRPr="006B2CBF">
        <w:rPr>
          <w:b/>
          <w:bCs/>
          <w:color w:val="000000" w:themeColor="text1"/>
          <w:sz w:val="32"/>
          <w:szCs w:val="32"/>
        </w:rPr>
        <w:t>Dragos Nedelcu</w:t>
      </w:r>
    </w:p>
    <w:p w14:paraId="71A373EF" w14:textId="77777777" w:rsidR="00622DEE" w:rsidRPr="006B2CBF" w:rsidRDefault="00622DEE" w:rsidP="00622DEE">
      <w:pPr>
        <w:spacing w:after="120" w:line="360" w:lineRule="auto"/>
        <w:jc w:val="center"/>
        <w:rPr>
          <w:b/>
          <w:bCs/>
          <w:color w:val="000000" w:themeColor="text1"/>
          <w:sz w:val="32"/>
          <w:szCs w:val="32"/>
        </w:rPr>
      </w:pPr>
      <w:r w:rsidRPr="006B2CBF">
        <w:rPr>
          <w:b/>
          <w:bCs/>
          <w:color w:val="000000" w:themeColor="text1"/>
          <w:sz w:val="32"/>
          <w:szCs w:val="32"/>
        </w:rPr>
        <w:t>2323249</w:t>
      </w:r>
    </w:p>
    <w:p w14:paraId="0EEA9228" w14:textId="77777777" w:rsidR="008B3464" w:rsidRPr="006B2CBF" w:rsidRDefault="00837D70" w:rsidP="00622DEE">
      <w:pPr>
        <w:spacing w:line="360" w:lineRule="auto"/>
        <w:rPr>
          <w:sz w:val="32"/>
          <w:szCs w:val="32"/>
        </w:rPr>
      </w:pPr>
      <w:r w:rsidRPr="006B2CBF">
        <w:rPr>
          <w:sz w:val="32"/>
          <w:szCs w:val="32"/>
        </w:rPr>
        <w:br w:type="page"/>
      </w:r>
    </w:p>
    <w:p w14:paraId="57F5CB84" w14:textId="77777777" w:rsidR="008B3464" w:rsidRDefault="00837D70">
      <w:pPr>
        <w:pStyle w:val="Heading1"/>
        <w:spacing w:line="360" w:lineRule="auto"/>
      </w:pPr>
      <w:bookmarkStart w:id="0" w:name="_Toc233333062"/>
      <w:r>
        <w:lastRenderedPageBreak/>
        <w:t>Table of Contents</w:t>
      </w:r>
      <w:bookmarkEnd w:id="0"/>
    </w:p>
    <w:sdt>
      <w:sdtPr>
        <w:alias w:val="Table of Contents"/>
        <w:id w:val="2143915522"/>
      </w:sdtPr>
      <w:sdtContent>
        <w:p w14:paraId="0C2A9F4A" w14:textId="058F5A09" w:rsidR="008079A8" w:rsidRDefault="00837D70">
          <w:pPr>
            <w:pStyle w:val="TOC1"/>
            <w:tabs>
              <w:tab w:val="right" w:leader="dot" w:pos="9016"/>
            </w:tabs>
            <w:rPr>
              <w:rFonts w:asciiTheme="minorHAnsi" w:eastAsiaTheme="minorEastAsia" w:hAnsiTheme="minorHAnsi" w:cstheme="minorBidi"/>
              <w:noProof/>
              <w:sz w:val="22"/>
              <w:szCs w:val="22"/>
            </w:rPr>
          </w:pPr>
          <w:r>
            <w:fldChar w:fldCharType="begin"/>
          </w:r>
          <w:r>
            <w:instrText>TOC \h \o "1-3"</w:instrText>
          </w:r>
          <w:r>
            <w:fldChar w:fldCharType="separate"/>
          </w:r>
          <w:hyperlink w:anchor="_Toc233333062" w:history="1"/>
        </w:p>
        <w:p w14:paraId="5A2D8A6F" w14:textId="363F82B5"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63" w:history="1">
            <w:r w:rsidRPr="00A568D2">
              <w:rPr>
                <w:rStyle w:val="Hyperlink"/>
                <w:noProof/>
              </w:rPr>
              <w:t>Executive Summary</w:t>
            </w:r>
            <w:r>
              <w:rPr>
                <w:noProof/>
              </w:rPr>
              <w:tab/>
            </w:r>
            <w:r>
              <w:rPr>
                <w:noProof/>
              </w:rPr>
              <w:fldChar w:fldCharType="begin"/>
            </w:r>
            <w:r>
              <w:rPr>
                <w:noProof/>
              </w:rPr>
              <w:instrText xml:space="preserve"> PAGEREF _Toc233333063 \h </w:instrText>
            </w:r>
            <w:r>
              <w:rPr>
                <w:noProof/>
              </w:rPr>
            </w:r>
            <w:r>
              <w:rPr>
                <w:noProof/>
              </w:rPr>
              <w:fldChar w:fldCharType="separate"/>
            </w:r>
            <w:r>
              <w:rPr>
                <w:noProof/>
              </w:rPr>
              <w:t>3</w:t>
            </w:r>
            <w:r>
              <w:rPr>
                <w:noProof/>
              </w:rPr>
              <w:fldChar w:fldCharType="end"/>
            </w:r>
          </w:hyperlink>
        </w:p>
        <w:p w14:paraId="2024B924" w14:textId="72485C76"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64" w:history="1">
            <w:r w:rsidRPr="00A568D2">
              <w:rPr>
                <w:rStyle w:val="Hyperlink"/>
                <w:noProof/>
              </w:rPr>
              <w:t>Element 1: Company Overview, Products/Services, Objectives and USP</w:t>
            </w:r>
            <w:r>
              <w:rPr>
                <w:noProof/>
              </w:rPr>
              <w:tab/>
            </w:r>
            <w:r>
              <w:rPr>
                <w:noProof/>
              </w:rPr>
              <w:fldChar w:fldCharType="begin"/>
            </w:r>
            <w:r>
              <w:rPr>
                <w:noProof/>
              </w:rPr>
              <w:instrText xml:space="preserve"> PAGEREF _Toc233333064 \h </w:instrText>
            </w:r>
            <w:r>
              <w:rPr>
                <w:noProof/>
              </w:rPr>
            </w:r>
            <w:r>
              <w:rPr>
                <w:noProof/>
              </w:rPr>
              <w:fldChar w:fldCharType="separate"/>
            </w:r>
            <w:r>
              <w:rPr>
                <w:noProof/>
              </w:rPr>
              <w:t>4</w:t>
            </w:r>
            <w:r>
              <w:rPr>
                <w:noProof/>
              </w:rPr>
              <w:fldChar w:fldCharType="end"/>
            </w:r>
          </w:hyperlink>
        </w:p>
        <w:p w14:paraId="3BDF545F" w14:textId="7F3EF10D"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65" w:history="1">
            <w:r w:rsidRPr="00A568D2">
              <w:rPr>
                <w:rStyle w:val="Hyperlink"/>
                <w:noProof/>
              </w:rPr>
              <w:t>1.1 Company Overview</w:t>
            </w:r>
            <w:r>
              <w:rPr>
                <w:noProof/>
              </w:rPr>
              <w:tab/>
            </w:r>
            <w:r>
              <w:rPr>
                <w:noProof/>
              </w:rPr>
              <w:fldChar w:fldCharType="begin"/>
            </w:r>
            <w:r>
              <w:rPr>
                <w:noProof/>
              </w:rPr>
              <w:instrText xml:space="preserve"> PAGEREF _Toc233333065 \h </w:instrText>
            </w:r>
            <w:r>
              <w:rPr>
                <w:noProof/>
              </w:rPr>
            </w:r>
            <w:r>
              <w:rPr>
                <w:noProof/>
              </w:rPr>
              <w:fldChar w:fldCharType="separate"/>
            </w:r>
            <w:r>
              <w:rPr>
                <w:noProof/>
              </w:rPr>
              <w:t>4</w:t>
            </w:r>
            <w:r>
              <w:rPr>
                <w:noProof/>
              </w:rPr>
              <w:fldChar w:fldCharType="end"/>
            </w:r>
          </w:hyperlink>
        </w:p>
        <w:p w14:paraId="01B4A67E" w14:textId="27337A59"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66" w:history="1">
            <w:r w:rsidRPr="00A568D2">
              <w:rPr>
                <w:rStyle w:val="Hyperlink"/>
                <w:noProof/>
              </w:rPr>
              <w:t>1.2 Products and Services</w:t>
            </w:r>
            <w:r>
              <w:rPr>
                <w:noProof/>
              </w:rPr>
              <w:tab/>
            </w:r>
            <w:r>
              <w:rPr>
                <w:noProof/>
              </w:rPr>
              <w:fldChar w:fldCharType="begin"/>
            </w:r>
            <w:r>
              <w:rPr>
                <w:noProof/>
              </w:rPr>
              <w:instrText xml:space="preserve"> PAGEREF _Toc233333066 \h </w:instrText>
            </w:r>
            <w:r>
              <w:rPr>
                <w:noProof/>
              </w:rPr>
            </w:r>
            <w:r>
              <w:rPr>
                <w:noProof/>
              </w:rPr>
              <w:fldChar w:fldCharType="separate"/>
            </w:r>
            <w:r>
              <w:rPr>
                <w:noProof/>
              </w:rPr>
              <w:t>5</w:t>
            </w:r>
            <w:r>
              <w:rPr>
                <w:noProof/>
              </w:rPr>
              <w:fldChar w:fldCharType="end"/>
            </w:r>
          </w:hyperlink>
        </w:p>
        <w:p w14:paraId="0A63EB6C" w14:textId="02D388DA"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67" w:history="1">
            <w:r w:rsidRPr="00A568D2">
              <w:rPr>
                <w:rStyle w:val="Hyperlink"/>
                <w:noProof/>
              </w:rPr>
              <w:t>1.3 Objectives</w:t>
            </w:r>
            <w:r>
              <w:rPr>
                <w:noProof/>
              </w:rPr>
              <w:tab/>
            </w:r>
            <w:r>
              <w:rPr>
                <w:noProof/>
              </w:rPr>
              <w:fldChar w:fldCharType="begin"/>
            </w:r>
            <w:r>
              <w:rPr>
                <w:noProof/>
              </w:rPr>
              <w:instrText xml:space="preserve"> PAGEREF _Toc233333067 \h </w:instrText>
            </w:r>
            <w:r>
              <w:rPr>
                <w:noProof/>
              </w:rPr>
            </w:r>
            <w:r>
              <w:rPr>
                <w:noProof/>
              </w:rPr>
              <w:fldChar w:fldCharType="separate"/>
            </w:r>
            <w:r>
              <w:rPr>
                <w:noProof/>
              </w:rPr>
              <w:t>5</w:t>
            </w:r>
            <w:r>
              <w:rPr>
                <w:noProof/>
              </w:rPr>
              <w:fldChar w:fldCharType="end"/>
            </w:r>
          </w:hyperlink>
        </w:p>
        <w:p w14:paraId="364B31D4" w14:textId="3AEA1F31"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68" w:history="1">
            <w:r w:rsidRPr="00A568D2">
              <w:rPr>
                <w:rStyle w:val="Hyperlink"/>
                <w:noProof/>
              </w:rPr>
              <w:t>1.4 Unique Selling Point (USP)</w:t>
            </w:r>
            <w:r>
              <w:rPr>
                <w:noProof/>
              </w:rPr>
              <w:tab/>
            </w:r>
            <w:r>
              <w:rPr>
                <w:noProof/>
              </w:rPr>
              <w:fldChar w:fldCharType="begin"/>
            </w:r>
            <w:r>
              <w:rPr>
                <w:noProof/>
              </w:rPr>
              <w:instrText xml:space="preserve"> PAGEREF _Toc233333068 \h </w:instrText>
            </w:r>
            <w:r>
              <w:rPr>
                <w:noProof/>
              </w:rPr>
            </w:r>
            <w:r>
              <w:rPr>
                <w:noProof/>
              </w:rPr>
              <w:fldChar w:fldCharType="separate"/>
            </w:r>
            <w:r>
              <w:rPr>
                <w:noProof/>
              </w:rPr>
              <w:t>6</w:t>
            </w:r>
            <w:r>
              <w:rPr>
                <w:noProof/>
              </w:rPr>
              <w:fldChar w:fldCharType="end"/>
            </w:r>
          </w:hyperlink>
        </w:p>
        <w:p w14:paraId="7DC36732" w14:textId="1DC7686C"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69" w:history="1">
            <w:r w:rsidRPr="00A568D2">
              <w:rPr>
                <w:rStyle w:val="Hyperlink"/>
                <w:noProof/>
              </w:rPr>
              <w:t>Element 2: Business Environment and Competitor Analysis</w:t>
            </w:r>
            <w:r>
              <w:rPr>
                <w:noProof/>
              </w:rPr>
              <w:tab/>
            </w:r>
            <w:r>
              <w:rPr>
                <w:noProof/>
              </w:rPr>
              <w:fldChar w:fldCharType="begin"/>
            </w:r>
            <w:r>
              <w:rPr>
                <w:noProof/>
              </w:rPr>
              <w:instrText xml:space="preserve"> PAGEREF _Toc233333069 \h </w:instrText>
            </w:r>
            <w:r>
              <w:rPr>
                <w:noProof/>
              </w:rPr>
            </w:r>
            <w:r>
              <w:rPr>
                <w:noProof/>
              </w:rPr>
              <w:fldChar w:fldCharType="separate"/>
            </w:r>
            <w:r>
              <w:rPr>
                <w:noProof/>
              </w:rPr>
              <w:t>7</w:t>
            </w:r>
            <w:r>
              <w:rPr>
                <w:noProof/>
              </w:rPr>
              <w:fldChar w:fldCharType="end"/>
            </w:r>
          </w:hyperlink>
        </w:p>
        <w:p w14:paraId="4C5AEE3C" w14:textId="53F2B82F"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0" w:history="1">
            <w:r w:rsidRPr="00A568D2">
              <w:rPr>
                <w:rStyle w:val="Hyperlink"/>
                <w:noProof/>
              </w:rPr>
              <w:t>2.1 PESTEL Macro-environmental Analysis</w:t>
            </w:r>
            <w:r>
              <w:rPr>
                <w:noProof/>
              </w:rPr>
              <w:tab/>
            </w:r>
            <w:r>
              <w:rPr>
                <w:noProof/>
              </w:rPr>
              <w:fldChar w:fldCharType="begin"/>
            </w:r>
            <w:r>
              <w:rPr>
                <w:noProof/>
              </w:rPr>
              <w:instrText xml:space="preserve"> PAGEREF _Toc233333070 \h </w:instrText>
            </w:r>
            <w:r>
              <w:rPr>
                <w:noProof/>
              </w:rPr>
            </w:r>
            <w:r>
              <w:rPr>
                <w:noProof/>
              </w:rPr>
              <w:fldChar w:fldCharType="separate"/>
            </w:r>
            <w:r>
              <w:rPr>
                <w:noProof/>
              </w:rPr>
              <w:t>7</w:t>
            </w:r>
            <w:r>
              <w:rPr>
                <w:noProof/>
              </w:rPr>
              <w:fldChar w:fldCharType="end"/>
            </w:r>
          </w:hyperlink>
        </w:p>
        <w:p w14:paraId="5772646A" w14:textId="095B7BA3"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1" w:history="1">
            <w:r w:rsidRPr="00A568D2">
              <w:rPr>
                <w:rStyle w:val="Hyperlink"/>
                <w:noProof/>
              </w:rPr>
              <w:t>2.2 SWOT Analysis</w:t>
            </w:r>
            <w:r>
              <w:rPr>
                <w:noProof/>
              </w:rPr>
              <w:tab/>
            </w:r>
            <w:r>
              <w:rPr>
                <w:noProof/>
              </w:rPr>
              <w:fldChar w:fldCharType="begin"/>
            </w:r>
            <w:r>
              <w:rPr>
                <w:noProof/>
              </w:rPr>
              <w:instrText xml:space="preserve"> PAGEREF _Toc233333071 \h </w:instrText>
            </w:r>
            <w:r>
              <w:rPr>
                <w:noProof/>
              </w:rPr>
            </w:r>
            <w:r>
              <w:rPr>
                <w:noProof/>
              </w:rPr>
              <w:fldChar w:fldCharType="separate"/>
            </w:r>
            <w:r>
              <w:rPr>
                <w:noProof/>
              </w:rPr>
              <w:t>8</w:t>
            </w:r>
            <w:r>
              <w:rPr>
                <w:noProof/>
              </w:rPr>
              <w:fldChar w:fldCharType="end"/>
            </w:r>
          </w:hyperlink>
        </w:p>
        <w:p w14:paraId="5A831092" w14:textId="2F7E7A69"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2" w:history="1">
            <w:r w:rsidRPr="00A568D2">
              <w:rPr>
                <w:rStyle w:val="Hyperlink"/>
                <w:noProof/>
              </w:rPr>
              <w:t>2.3 Competitor Analysis</w:t>
            </w:r>
            <w:r>
              <w:rPr>
                <w:noProof/>
              </w:rPr>
              <w:tab/>
            </w:r>
            <w:r>
              <w:rPr>
                <w:noProof/>
              </w:rPr>
              <w:fldChar w:fldCharType="begin"/>
            </w:r>
            <w:r>
              <w:rPr>
                <w:noProof/>
              </w:rPr>
              <w:instrText xml:space="preserve"> PAGEREF _Toc233333072 \h </w:instrText>
            </w:r>
            <w:r>
              <w:rPr>
                <w:noProof/>
              </w:rPr>
            </w:r>
            <w:r>
              <w:rPr>
                <w:noProof/>
              </w:rPr>
              <w:fldChar w:fldCharType="separate"/>
            </w:r>
            <w:r>
              <w:rPr>
                <w:noProof/>
              </w:rPr>
              <w:t>9</w:t>
            </w:r>
            <w:r>
              <w:rPr>
                <w:noProof/>
              </w:rPr>
              <w:fldChar w:fldCharType="end"/>
            </w:r>
          </w:hyperlink>
        </w:p>
        <w:p w14:paraId="711F979D" w14:textId="6E015BFC"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73" w:history="1">
            <w:r w:rsidRPr="00A568D2">
              <w:rPr>
                <w:rStyle w:val="Hyperlink"/>
                <w:noProof/>
              </w:rPr>
              <w:t>Element 3: 4Ps, Market Segmentation and Marketing Strategies</w:t>
            </w:r>
            <w:r>
              <w:rPr>
                <w:noProof/>
              </w:rPr>
              <w:tab/>
            </w:r>
            <w:r>
              <w:rPr>
                <w:noProof/>
              </w:rPr>
              <w:fldChar w:fldCharType="begin"/>
            </w:r>
            <w:r>
              <w:rPr>
                <w:noProof/>
              </w:rPr>
              <w:instrText xml:space="preserve"> PAGEREF _Toc233333073 \h </w:instrText>
            </w:r>
            <w:r>
              <w:rPr>
                <w:noProof/>
              </w:rPr>
            </w:r>
            <w:r>
              <w:rPr>
                <w:noProof/>
              </w:rPr>
              <w:fldChar w:fldCharType="separate"/>
            </w:r>
            <w:r>
              <w:rPr>
                <w:noProof/>
              </w:rPr>
              <w:t>10</w:t>
            </w:r>
            <w:r>
              <w:rPr>
                <w:noProof/>
              </w:rPr>
              <w:fldChar w:fldCharType="end"/>
            </w:r>
          </w:hyperlink>
        </w:p>
        <w:p w14:paraId="6408556C" w14:textId="22963318"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4" w:history="1">
            <w:r w:rsidRPr="00A568D2">
              <w:rPr>
                <w:rStyle w:val="Hyperlink"/>
                <w:noProof/>
              </w:rPr>
              <w:t>3.1 Market Segmentation</w:t>
            </w:r>
            <w:r>
              <w:rPr>
                <w:noProof/>
              </w:rPr>
              <w:tab/>
            </w:r>
            <w:r>
              <w:rPr>
                <w:noProof/>
              </w:rPr>
              <w:fldChar w:fldCharType="begin"/>
            </w:r>
            <w:r>
              <w:rPr>
                <w:noProof/>
              </w:rPr>
              <w:instrText xml:space="preserve"> PAGEREF _Toc233333074 \h </w:instrText>
            </w:r>
            <w:r>
              <w:rPr>
                <w:noProof/>
              </w:rPr>
            </w:r>
            <w:r>
              <w:rPr>
                <w:noProof/>
              </w:rPr>
              <w:fldChar w:fldCharType="separate"/>
            </w:r>
            <w:r>
              <w:rPr>
                <w:noProof/>
              </w:rPr>
              <w:t>10</w:t>
            </w:r>
            <w:r>
              <w:rPr>
                <w:noProof/>
              </w:rPr>
              <w:fldChar w:fldCharType="end"/>
            </w:r>
          </w:hyperlink>
        </w:p>
        <w:p w14:paraId="2EC205F3" w14:textId="5A24D67D"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5" w:history="1">
            <w:r w:rsidRPr="00A568D2">
              <w:rPr>
                <w:rStyle w:val="Hyperlink"/>
                <w:noProof/>
              </w:rPr>
              <w:t>3.2 The Marketing Mix (Extended 7Ps)</w:t>
            </w:r>
            <w:r>
              <w:rPr>
                <w:noProof/>
              </w:rPr>
              <w:tab/>
            </w:r>
            <w:r>
              <w:rPr>
                <w:noProof/>
              </w:rPr>
              <w:fldChar w:fldCharType="begin"/>
            </w:r>
            <w:r>
              <w:rPr>
                <w:noProof/>
              </w:rPr>
              <w:instrText xml:space="preserve"> PAGEREF _Toc233333075 \h </w:instrText>
            </w:r>
            <w:r>
              <w:rPr>
                <w:noProof/>
              </w:rPr>
            </w:r>
            <w:r>
              <w:rPr>
                <w:noProof/>
              </w:rPr>
              <w:fldChar w:fldCharType="separate"/>
            </w:r>
            <w:r>
              <w:rPr>
                <w:noProof/>
              </w:rPr>
              <w:t>11</w:t>
            </w:r>
            <w:r>
              <w:rPr>
                <w:noProof/>
              </w:rPr>
              <w:fldChar w:fldCharType="end"/>
            </w:r>
          </w:hyperlink>
        </w:p>
        <w:p w14:paraId="646AFC77" w14:textId="79B46FA2"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6" w:history="1">
            <w:r w:rsidRPr="00A568D2">
              <w:rPr>
                <w:rStyle w:val="Hyperlink"/>
                <w:noProof/>
              </w:rPr>
              <w:t>3.3 Online Marketing Strategies</w:t>
            </w:r>
            <w:r>
              <w:rPr>
                <w:noProof/>
              </w:rPr>
              <w:tab/>
            </w:r>
            <w:r>
              <w:rPr>
                <w:noProof/>
              </w:rPr>
              <w:fldChar w:fldCharType="begin"/>
            </w:r>
            <w:r>
              <w:rPr>
                <w:noProof/>
              </w:rPr>
              <w:instrText xml:space="preserve"> PAGEREF _Toc233333076 \h </w:instrText>
            </w:r>
            <w:r>
              <w:rPr>
                <w:noProof/>
              </w:rPr>
            </w:r>
            <w:r>
              <w:rPr>
                <w:noProof/>
              </w:rPr>
              <w:fldChar w:fldCharType="separate"/>
            </w:r>
            <w:r>
              <w:rPr>
                <w:noProof/>
              </w:rPr>
              <w:t>12</w:t>
            </w:r>
            <w:r>
              <w:rPr>
                <w:noProof/>
              </w:rPr>
              <w:fldChar w:fldCharType="end"/>
            </w:r>
          </w:hyperlink>
        </w:p>
        <w:p w14:paraId="77643C1E" w14:textId="2DBBF7AE"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77" w:history="1">
            <w:r w:rsidRPr="00A568D2">
              <w:rPr>
                <w:rStyle w:val="Hyperlink"/>
                <w:noProof/>
              </w:rPr>
              <w:t>Element 4: Financial Planning</w:t>
            </w:r>
            <w:r>
              <w:rPr>
                <w:noProof/>
              </w:rPr>
              <w:tab/>
            </w:r>
            <w:r>
              <w:rPr>
                <w:noProof/>
              </w:rPr>
              <w:fldChar w:fldCharType="begin"/>
            </w:r>
            <w:r>
              <w:rPr>
                <w:noProof/>
              </w:rPr>
              <w:instrText xml:space="preserve"> PAGEREF _Toc233333077 \h </w:instrText>
            </w:r>
            <w:r>
              <w:rPr>
                <w:noProof/>
              </w:rPr>
            </w:r>
            <w:r>
              <w:rPr>
                <w:noProof/>
              </w:rPr>
              <w:fldChar w:fldCharType="separate"/>
            </w:r>
            <w:r>
              <w:rPr>
                <w:noProof/>
              </w:rPr>
              <w:t>13</w:t>
            </w:r>
            <w:r>
              <w:rPr>
                <w:noProof/>
              </w:rPr>
              <w:fldChar w:fldCharType="end"/>
            </w:r>
          </w:hyperlink>
        </w:p>
        <w:p w14:paraId="5B633166" w14:textId="509B4AA4"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8" w:history="1">
            <w:r w:rsidRPr="00A568D2">
              <w:rPr>
                <w:rStyle w:val="Hyperlink"/>
                <w:noProof/>
              </w:rPr>
              <w:t>4.1 Financial Growth Trajectory</w:t>
            </w:r>
            <w:r>
              <w:rPr>
                <w:noProof/>
              </w:rPr>
              <w:tab/>
            </w:r>
            <w:r>
              <w:rPr>
                <w:noProof/>
              </w:rPr>
              <w:fldChar w:fldCharType="begin"/>
            </w:r>
            <w:r>
              <w:rPr>
                <w:noProof/>
              </w:rPr>
              <w:instrText xml:space="preserve"> PAGEREF _Toc233333078 \h </w:instrText>
            </w:r>
            <w:r>
              <w:rPr>
                <w:noProof/>
              </w:rPr>
            </w:r>
            <w:r>
              <w:rPr>
                <w:noProof/>
              </w:rPr>
              <w:fldChar w:fldCharType="separate"/>
            </w:r>
            <w:r>
              <w:rPr>
                <w:noProof/>
              </w:rPr>
              <w:t>13</w:t>
            </w:r>
            <w:r>
              <w:rPr>
                <w:noProof/>
              </w:rPr>
              <w:fldChar w:fldCharType="end"/>
            </w:r>
          </w:hyperlink>
        </w:p>
        <w:p w14:paraId="076B027B" w14:textId="0FF4237D"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79" w:history="1">
            <w:r w:rsidRPr="00A568D2">
              <w:rPr>
                <w:rStyle w:val="Hyperlink"/>
                <w:noProof/>
              </w:rPr>
              <w:t>4.2 Early Funding and Capital Raising</w:t>
            </w:r>
            <w:r>
              <w:rPr>
                <w:noProof/>
              </w:rPr>
              <w:tab/>
            </w:r>
            <w:r>
              <w:rPr>
                <w:noProof/>
              </w:rPr>
              <w:fldChar w:fldCharType="begin"/>
            </w:r>
            <w:r>
              <w:rPr>
                <w:noProof/>
              </w:rPr>
              <w:instrText xml:space="preserve"> PAGEREF _Toc233333079 \h </w:instrText>
            </w:r>
            <w:r>
              <w:rPr>
                <w:noProof/>
              </w:rPr>
            </w:r>
            <w:r>
              <w:rPr>
                <w:noProof/>
              </w:rPr>
              <w:fldChar w:fldCharType="separate"/>
            </w:r>
            <w:r>
              <w:rPr>
                <w:noProof/>
              </w:rPr>
              <w:t>14</w:t>
            </w:r>
            <w:r>
              <w:rPr>
                <w:noProof/>
              </w:rPr>
              <w:fldChar w:fldCharType="end"/>
            </w:r>
          </w:hyperlink>
        </w:p>
        <w:p w14:paraId="2F4AD5CB" w14:textId="60B61732"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80" w:history="1">
            <w:r w:rsidRPr="00A568D2">
              <w:rPr>
                <w:rStyle w:val="Hyperlink"/>
                <w:noProof/>
              </w:rPr>
              <w:t>Reference List</w:t>
            </w:r>
            <w:r>
              <w:rPr>
                <w:noProof/>
              </w:rPr>
              <w:tab/>
            </w:r>
            <w:r>
              <w:rPr>
                <w:noProof/>
              </w:rPr>
              <w:fldChar w:fldCharType="begin"/>
            </w:r>
            <w:r>
              <w:rPr>
                <w:noProof/>
              </w:rPr>
              <w:instrText xml:space="preserve"> PAGEREF _Toc233333080 \h </w:instrText>
            </w:r>
            <w:r>
              <w:rPr>
                <w:noProof/>
              </w:rPr>
            </w:r>
            <w:r>
              <w:rPr>
                <w:noProof/>
              </w:rPr>
              <w:fldChar w:fldCharType="separate"/>
            </w:r>
            <w:r>
              <w:rPr>
                <w:noProof/>
              </w:rPr>
              <w:t>16</w:t>
            </w:r>
            <w:r>
              <w:rPr>
                <w:noProof/>
              </w:rPr>
              <w:fldChar w:fldCharType="end"/>
            </w:r>
          </w:hyperlink>
        </w:p>
        <w:p w14:paraId="64F88D8F" w14:textId="55C157EB" w:rsidR="008079A8" w:rsidRDefault="008079A8">
          <w:pPr>
            <w:pStyle w:val="TOC1"/>
            <w:tabs>
              <w:tab w:val="right" w:leader="dot" w:pos="9016"/>
            </w:tabs>
            <w:rPr>
              <w:rFonts w:asciiTheme="minorHAnsi" w:eastAsiaTheme="minorEastAsia" w:hAnsiTheme="minorHAnsi" w:cstheme="minorBidi"/>
              <w:noProof/>
              <w:sz w:val="22"/>
              <w:szCs w:val="22"/>
            </w:rPr>
          </w:pPr>
          <w:hyperlink w:anchor="_Toc233333081" w:history="1">
            <w:r w:rsidRPr="00A568D2">
              <w:rPr>
                <w:rStyle w:val="Hyperlink"/>
                <w:noProof/>
              </w:rPr>
              <w:t>Appendices</w:t>
            </w:r>
            <w:r>
              <w:rPr>
                <w:noProof/>
              </w:rPr>
              <w:tab/>
            </w:r>
            <w:r>
              <w:rPr>
                <w:noProof/>
              </w:rPr>
              <w:fldChar w:fldCharType="begin"/>
            </w:r>
            <w:r>
              <w:rPr>
                <w:noProof/>
              </w:rPr>
              <w:instrText xml:space="preserve"> PAGEREF _Toc233333081 \h </w:instrText>
            </w:r>
            <w:r>
              <w:rPr>
                <w:noProof/>
              </w:rPr>
            </w:r>
            <w:r>
              <w:rPr>
                <w:noProof/>
              </w:rPr>
              <w:fldChar w:fldCharType="separate"/>
            </w:r>
            <w:r>
              <w:rPr>
                <w:noProof/>
              </w:rPr>
              <w:t>19</w:t>
            </w:r>
            <w:r>
              <w:rPr>
                <w:noProof/>
              </w:rPr>
              <w:fldChar w:fldCharType="end"/>
            </w:r>
          </w:hyperlink>
        </w:p>
        <w:p w14:paraId="2E5B855C" w14:textId="628BAAA0"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82" w:history="1">
            <w:r w:rsidRPr="00A568D2">
              <w:rPr>
                <w:rStyle w:val="Hyperlink"/>
                <w:noProof/>
              </w:rPr>
              <w:t>Appendix A: Business Model Canvas</w:t>
            </w:r>
            <w:r>
              <w:rPr>
                <w:noProof/>
              </w:rPr>
              <w:tab/>
            </w:r>
            <w:r>
              <w:rPr>
                <w:noProof/>
              </w:rPr>
              <w:fldChar w:fldCharType="begin"/>
            </w:r>
            <w:r>
              <w:rPr>
                <w:noProof/>
              </w:rPr>
              <w:instrText xml:space="preserve"> PAGEREF _Toc233333082 \h </w:instrText>
            </w:r>
            <w:r>
              <w:rPr>
                <w:noProof/>
              </w:rPr>
            </w:r>
            <w:r>
              <w:rPr>
                <w:noProof/>
              </w:rPr>
              <w:fldChar w:fldCharType="separate"/>
            </w:r>
            <w:r>
              <w:rPr>
                <w:noProof/>
              </w:rPr>
              <w:t>19</w:t>
            </w:r>
            <w:r>
              <w:rPr>
                <w:noProof/>
              </w:rPr>
              <w:fldChar w:fldCharType="end"/>
            </w:r>
          </w:hyperlink>
        </w:p>
        <w:p w14:paraId="0817EF2B" w14:textId="1CD881B2"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83" w:history="1">
            <w:r w:rsidRPr="00A568D2">
              <w:rPr>
                <w:rStyle w:val="Hyperlink"/>
                <w:noProof/>
              </w:rPr>
              <w:t>Appendix B: Porter’s Five Forces Analysis</w:t>
            </w:r>
            <w:r>
              <w:rPr>
                <w:noProof/>
              </w:rPr>
              <w:tab/>
            </w:r>
            <w:r>
              <w:rPr>
                <w:noProof/>
              </w:rPr>
              <w:fldChar w:fldCharType="begin"/>
            </w:r>
            <w:r>
              <w:rPr>
                <w:noProof/>
              </w:rPr>
              <w:instrText xml:space="preserve"> PAGEREF _Toc233333083 \h </w:instrText>
            </w:r>
            <w:r>
              <w:rPr>
                <w:noProof/>
              </w:rPr>
            </w:r>
            <w:r>
              <w:rPr>
                <w:noProof/>
              </w:rPr>
              <w:fldChar w:fldCharType="separate"/>
            </w:r>
            <w:r>
              <w:rPr>
                <w:noProof/>
              </w:rPr>
              <w:t>20</w:t>
            </w:r>
            <w:r>
              <w:rPr>
                <w:noProof/>
              </w:rPr>
              <w:fldChar w:fldCharType="end"/>
            </w:r>
          </w:hyperlink>
        </w:p>
        <w:p w14:paraId="193F08CF" w14:textId="0B06FE9F"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84" w:history="1">
            <w:r w:rsidRPr="00A568D2">
              <w:rPr>
                <w:rStyle w:val="Hyperlink"/>
                <w:noProof/>
              </w:rPr>
              <w:t>Appendix C: Triple Bottom Line Assessment</w:t>
            </w:r>
            <w:r>
              <w:rPr>
                <w:noProof/>
              </w:rPr>
              <w:tab/>
            </w:r>
            <w:r>
              <w:rPr>
                <w:noProof/>
              </w:rPr>
              <w:fldChar w:fldCharType="begin"/>
            </w:r>
            <w:r>
              <w:rPr>
                <w:noProof/>
              </w:rPr>
              <w:instrText xml:space="preserve"> PAGEREF _Toc233333084 \h </w:instrText>
            </w:r>
            <w:r>
              <w:rPr>
                <w:noProof/>
              </w:rPr>
            </w:r>
            <w:r>
              <w:rPr>
                <w:noProof/>
              </w:rPr>
              <w:fldChar w:fldCharType="separate"/>
            </w:r>
            <w:r>
              <w:rPr>
                <w:noProof/>
              </w:rPr>
              <w:t>21</w:t>
            </w:r>
            <w:r>
              <w:rPr>
                <w:noProof/>
              </w:rPr>
              <w:fldChar w:fldCharType="end"/>
            </w:r>
          </w:hyperlink>
        </w:p>
        <w:p w14:paraId="2241ABEB" w14:textId="5F39A251" w:rsidR="008079A8" w:rsidRDefault="008079A8">
          <w:pPr>
            <w:pStyle w:val="TOC2"/>
            <w:tabs>
              <w:tab w:val="right" w:leader="dot" w:pos="9016"/>
            </w:tabs>
            <w:rPr>
              <w:rFonts w:asciiTheme="minorHAnsi" w:eastAsiaTheme="minorEastAsia" w:hAnsiTheme="minorHAnsi" w:cstheme="minorBidi"/>
              <w:noProof/>
              <w:sz w:val="22"/>
              <w:szCs w:val="22"/>
            </w:rPr>
          </w:pPr>
          <w:hyperlink w:anchor="_Toc233333085" w:history="1">
            <w:r w:rsidRPr="00A568D2">
              <w:rPr>
                <w:rStyle w:val="Hyperlink"/>
                <w:noProof/>
              </w:rPr>
              <w:t>Appendix D: Transaction Process Flow</w:t>
            </w:r>
            <w:r>
              <w:rPr>
                <w:noProof/>
              </w:rPr>
              <w:tab/>
            </w:r>
            <w:r>
              <w:rPr>
                <w:noProof/>
              </w:rPr>
              <w:fldChar w:fldCharType="begin"/>
            </w:r>
            <w:r>
              <w:rPr>
                <w:noProof/>
              </w:rPr>
              <w:instrText xml:space="preserve"> PAGEREF _Toc233333085 \h </w:instrText>
            </w:r>
            <w:r>
              <w:rPr>
                <w:noProof/>
              </w:rPr>
            </w:r>
            <w:r>
              <w:rPr>
                <w:noProof/>
              </w:rPr>
              <w:fldChar w:fldCharType="separate"/>
            </w:r>
            <w:r>
              <w:rPr>
                <w:noProof/>
              </w:rPr>
              <w:t>22</w:t>
            </w:r>
            <w:r>
              <w:rPr>
                <w:noProof/>
              </w:rPr>
              <w:fldChar w:fldCharType="end"/>
            </w:r>
          </w:hyperlink>
        </w:p>
        <w:p w14:paraId="1BDCA119" w14:textId="4C6D0B1F" w:rsidR="008B3464" w:rsidRDefault="00837D70">
          <w:r>
            <w:fldChar w:fldCharType="end"/>
          </w:r>
        </w:p>
      </w:sdtContent>
    </w:sdt>
    <w:p w14:paraId="7A1D0E46" w14:textId="77777777" w:rsidR="008B3464" w:rsidRDefault="00837D70">
      <w:r>
        <w:br w:type="page"/>
      </w:r>
    </w:p>
    <w:p w14:paraId="47B99D99" w14:textId="77777777" w:rsidR="008B3464" w:rsidRDefault="00837D70">
      <w:pPr>
        <w:pStyle w:val="Heading1"/>
        <w:spacing w:line="360" w:lineRule="auto"/>
      </w:pPr>
      <w:bookmarkStart w:id="1" w:name="_Toc233333063"/>
      <w:r>
        <w:lastRenderedPageBreak/>
        <w:t>Executive Summary</w:t>
      </w:r>
      <w:bookmarkEnd w:id="1"/>
    </w:p>
    <w:p w14:paraId="25B8CC79" w14:textId="77777777" w:rsidR="00EE0CE6" w:rsidRDefault="00EE0CE6">
      <w:pPr>
        <w:spacing w:after="120" w:line="360" w:lineRule="auto"/>
        <w:jc w:val="both"/>
      </w:pPr>
      <w:r>
        <w:t>This business plan critically analyses the Copenhagen-based social enterprise Too Good To Go ApS, the largest B2C marketplace for surplus food in the world. It was established in 2015 and has a CEO, Mette Lykke, who has led it since 2017; it now serves 130 million users and 180,000 partners in 21 countries, and its 2024 turnover was DKK 725m (Too Good To Go ApS, 2025). This analysis is performed based on the theory of social entrepreneurship (Dees, 2001), the triple bottom line (Elkington, 1997), PESTEL, SWOT, Porter's five forces and the 7Ps. It sees defensible moats as a first-mover advantage, B Corp credibility and material vulnerabilities as the surprise-bag opacity, the thin 1.3% margin and the greenwashing critique. Hybrid transparent, surprise bag tiers and faster B2B platform expansion are among the strategic recommendations.</w:t>
      </w:r>
    </w:p>
    <w:p w14:paraId="42FB1487" w14:textId="77777777" w:rsidR="008B3464" w:rsidRDefault="00837D70">
      <w:r>
        <w:br w:type="page"/>
      </w:r>
    </w:p>
    <w:p w14:paraId="354F58BC" w14:textId="77777777" w:rsidR="008B3464" w:rsidRDefault="00837D70" w:rsidP="00F16444">
      <w:pPr>
        <w:pStyle w:val="Heading1"/>
        <w:spacing w:line="360" w:lineRule="auto"/>
        <w:jc w:val="both"/>
      </w:pPr>
      <w:bookmarkStart w:id="2" w:name="_Toc233333064"/>
      <w:r>
        <w:lastRenderedPageBreak/>
        <w:t>Element 1: Company Overview, Products/Services, Objectives and USP</w:t>
      </w:r>
      <w:bookmarkEnd w:id="2"/>
    </w:p>
    <w:p w14:paraId="400BE808" w14:textId="77777777" w:rsidR="008B3464" w:rsidRDefault="00837D70">
      <w:pPr>
        <w:pStyle w:val="Heading2"/>
        <w:spacing w:line="360" w:lineRule="auto"/>
      </w:pPr>
      <w:bookmarkStart w:id="3" w:name="_Toc233333065"/>
      <w:r>
        <w:t>1.1 Company Overview</w:t>
      </w:r>
      <w:bookmarkEnd w:id="3"/>
    </w:p>
    <w:p w14:paraId="2C89E11E" w14:textId="77777777" w:rsidR="00D03A20" w:rsidRPr="00FA083C" w:rsidRDefault="00D03A20" w:rsidP="00D03A20">
      <w:pPr>
        <w:spacing w:after="120" w:line="360" w:lineRule="auto"/>
        <w:jc w:val="both"/>
        <w:rPr>
          <w:color w:val="000000" w:themeColor="text1"/>
        </w:rPr>
      </w:pPr>
      <w:r>
        <w:t xml:space="preserve">Too Good To Go ApS is a Danish registered social impact company with its headquarters in Copenhagen. It runs an app which links food businesses with consumers who purchase food at a large discount (Too Good To Go, 2026a). Perhaps most importantly, it is not a typical technology start-up, but rather a for-profit social </w:t>
      </w:r>
      <w:r w:rsidRPr="00FA083C">
        <w:rPr>
          <w:color w:val="000000" w:themeColor="text1"/>
        </w:rPr>
        <w:t>enterprise, which is a hybrid entity with a commercial mission and a clear social objective (Dees, 2001; Defourny and Nyssens, 2010). A third-party indicator of mission credibility that is difficult to fake, the 2020 B Corporation certification is a manifestation of this dual purpose, in that verified standards of social and environmental performance, public transparency and legal accountability demonstrate that B Corporation companies are delivering verified social and environmental performance (Elkington, 1997).</w:t>
      </w:r>
    </w:p>
    <w:p w14:paraId="22724D0A" w14:textId="77777777" w:rsidR="00D03A20" w:rsidRPr="00FA083C" w:rsidRDefault="00D03A20" w:rsidP="00D03A20">
      <w:pPr>
        <w:spacing w:after="120" w:line="360" w:lineRule="auto"/>
        <w:jc w:val="both"/>
        <w:rPr>
          <w:color w:val="000000" w:themeColor="text1"/>
        </w:rPr>
      </w:pPr>
      <w:r w:rsidRPr="00FA083C">
        <w:rPr>
          <w:color w:val="000000" w:themeColor="text1"/>
        </w:rPr>
        <w:t>The founding story is historically important. Motivated by the sight of buffet restaurant waste in Denmark, the five founders (Christensen, Momsen, Pedersen, Sigbrand and Olesen) chose to harness technology to address the problem. This is in line with Sarasvathy's (2001) concept of effectual entrepreneurship, which involves an entrepreneur in mobilising the available instead of researching a market opportunity. This is one of the most crucial points in the story in 2017, when Mette Lykke got the chance to become CEO after she first became an angel investor (Too Good To Go, 2026), in line with Wasserman's (2008) founder's dilemma. In 2025, the firm rolls out its offering in Japan with operations in 21 markets, and by 2026, it has 1,300 employees (PR Newswire, 2025).</w:t>
      </w:r>
    </w:p>
    <w:p w14:paraId="69B0A4B3" w14:textId="77777777" w:rsidR="00D03A20" w:rsidRPr="00FA083C" w:rsidRDefault="00D03A20" w:rsidP="00D03A20">
      <w:pPr>
        <w:spacing w:after="120" w:line="360" w:lineRule="auto"/>
        <w:jc w:val="both"/>
        <w:rPr>
          <w:color w:val="000000" w:themeColor="text1"/>
        </w:rPr>
      </w:pPr>
      <w:r w:rsidRPr="00FA083C">
        <w:rPr>
          <w:color w:val="000000" w:themeColor="text1"/>
        </w:rPr>
        <w:t>By 2026 the company employs approximately 1,300 staff with an annual turnover of around DKK 725 million (Too Good To Go ApS, 2025) and has expanded to 21 markets across Europe, North America and Asia-Pacific, following its 2025 entry into Japan (PR Newswire, 2025). It must, however, be pointed out that the company is a privately held business that has yet to go public, so it is unclear how it will be funded if the growth plans intensify.</w:t>
      </w:r>
    </w:p>
    <w:p w14:paraId="37E6B06B" w14:textId="77777777" w:rsidR="008B3464" w:rsidRDefault="00837D70">
      <w:pPr>
        <w:pStyle w:val="Heading2"/>
        <w:spacing w:line="360" w:lineRule="auto"/>
      </w:pPr>
      <w:bookmarkStart w:id="4" w:name="_Toc233333066"/>
      <w:r>
        <w:lastRenderedPageBreak/>
        <w:t>1.2 Products and Services</w:t>
      </w:r>
      <w:bookmarkEnd w:id="4"/>
    </w:p>
    <w:p w14:paraId="24925D1A" w14:textId="77777777" w:rsidR="00D03A20" w:rsidRPr="00FA083C" w:rsidRDefault="00D03A20" w:rsidP="00D03A20">
      <w:pPr>
        <w:spacing w:after="120" w:line="360" w:lineRule="auto"/>
        <w:jc w:val="both"/>
        <w:rPr>
          <w:color w:val="000000" w:themeColor="text1"/>
        </w:rPr>
      </w:pPr>
      <w:r>
        <w:t xml:space="preserve">There are three distinct streams to the portfolio, strategically placed. The Surprise Bag marketplace is the main B2C application that </w:t>
      </w:r>
      <w:r w:rsidRPr="00FA083C">
        <w:rPr>
          <w:color w:val="000000" w:themeColor="text1"/>
        </w:rPr>
        <w:t>allows consumers to buy unsuspecting bags of surplus food at about one-third of retail cost (Too Good To Go, 2026). Launched in 2020, Parcels is also an initiative of the company in collaboration with food manufacturers (Mondelez, Mutti, and Bauli) to redistribute the food surplus generated by factories and sold in bigger Surprise Boxes (PR Newswire, 2025). Platform is a B2B SaaS surplus-management solution for large retailers who are integrating AI-driven inventory analytics. This diversification is an example of Ansoff's (1957) related diversification strategy.</w:t>
      </w:r>
    </w:p>
    <w:p w14:paraId="3060420F" w14:textId="36EC4A40" w:rsidR="00D03A20" w:rsidRDefault="00D03A20" w:rsidP="00D03A20">
      <w:pPr>
        <w:spacing w:after="120" w:line="360" w:lineRule="auto"/>
        <w:jc w:val="both"/>
      </w:pPr>
      <w:r w:rsidRPr="00FA083C">
        <w:rPr>
          <w:color w:val="000000" w:themeColor="text1"/>
        </w:rPr>
        <w:t xml:space="preserve">Critically, the Surprise Bag mechanism is a structural product trade-off. The blind-bag format reduces the friction on the partner's side but introduces information asymmetry (Akerlof, 1970), which presents consumers with dietary, allergy and quality risks, which are addressed by the transparency of competitors like Karma (Porter, 2008). This </w:t>
      </w:r>
      <w:r>
        <w:t>tension is to some extent reduced by category tagging but remains intrinsic.</w:t>
      </w:r>
    </w:p>
    <w:p w14:paraId="7BC88EF5" w14:textId="77777777" w:rsidR="008B3464" w:rsidRDefault="00837D70">
      <w:pPr>
        <w:pStyle w:val="Heading2"/>
        <w:spacing w:line="360" w:lineRule="auto"/>
      </w:pPr>
      <w:bookmarkStart w:id="5" w:name="_Toc233333067"/>
      <w:r>
        <w:t>1.3 Objectives</w:t>
      </w:r>
      <w:bookmarkEnd w:id="5"/>
    </w:p>
    <w:p w14:paraId="599FE5D9" w14:textId="77777777" w:rsidR="00D03A20" w:rsidRPr="00FA083C" w:rsidRDefault="00D03A20" w:rsidP="00D03A20">
      <w:pPr>
        <w:spacing w:after="120" w:line="360" w:lineRule="auto"/>
        <w:jc w:val="both"/>
        <w:rPr>
          <w:color w:val="000000" w:themeColor="text1"/>
        </w:rPr>
      </w:pPr>
      <w:r>
        <w:t xml:space="preserve">The effectiveness of the objectives can be assessed by applying the SMART framework (Doran, 1981) and </w:t>
      </w:r>
      <w:r w:rsidRPr="00FA083C">
        <w:rPr>
          <w:color w:val="000000" w:themeColor="text1"/>
        </w:rPr>
        <w:t>the principle of effective objectives by Drucker (2007), which states that effective objectives are a balance between innovation, market development and contribution to society. The mission 'to inspire and empower everyone to take action against food waste' constitutes an ambitious long-term aspiration (Drucker, 2007). Below, there are measurable short-term targets – namely, that the company will achieve a profit of at least DKK 9.6 million in 2025 and grow the revenue by at least a double-digit percentage (Too Good To Go ApS, 2025).</w:t>
      </w:r>
    </w:p>
    <w:p w14:paraId="0130F389" w14:textId="77777777" w:rsidR="00D03A20" w:rsidRPr="00FA083C" w:rsidRDefault="00D03A20" w:rsidP="00D03A20">
      <w:pPr>
        <w:spacing w:after="120" w:line="360" w:lineRule="auto"/>
        <w:jc w:val="both"/>
        <w:rPr>
          <w:color w:val="000000" w:themeColor="text1"/>
        </w:rPr>
      </w:pPr>
      <w:r w:rsidRPr="00FA083C">
        <w:rPr>
          <w:color w:val="000000" w:themeColor="text1"/>
        </w:rPr>
        <w:t xml:space="preserve">Long-term goals are more ambitious. The 2025 Japan entry is based on Uppsala-style incremental internationalisation (Christensen, Raynor and McDonald, 2015). The B2B platform's scaling is similar to Christensen, Raynor and McDonald's (2015) disruptive innovator's journey from niche markets to the mainstream. The cumulative saving of one billion meals is equivalent to UN SDG 12.3 (Porter and Kramer, 2011), linking commercial growth to public-policy targets. However, meal count is an imperfect </w:t>
      </w:r>
      <w:r w:rsidRPr="00FA083C">
        <w:rPr>
          <w:color w:val="000000" w:themeColor="text1"/>
        </w:rPr>
        <w:lastRenderedPageBreak/>
        <w:t xml:space="preserve">measure, cannot distinguish emissions intensity and can overestimate impact (Bocken et al., 2014). </w:t>
      </w:r>
    </w:p>
    <w:p w14:paraId="41662F61" w14:textId="77777777" w:rsidR="008B3464" w:rsidRDefault="00837D70">
      <w:pPr>
        <w:pStyle w:val="Heading2"/>
        <w:spacing w:line="360" w:lineRule="auto"/>
      </w:pPr>
      <w:bookmarkStart w:id="6" w:name="_Toc233333068"/>
      <w:r>
        <w:t>1.4 Unique Selling Point (USP)</w:t>
      </w:r>
      <w:bookmarkEnd w:id="6"/>
    </w:p>
    <w:p w14:paraId="05ACC51E" w14:textId="77777777" w:rsidR="00D03A20" w:rsidRDefault="00D03A20" w:rsidP="00D03A20">
      <w:pPr>
        <w:spacing w:after="120" w:line="360" w:lineRule="auto"/>
        <w:jc w:val="both"/>
      </w:pPr>
      <w:r>
        <w:t>The USP is best presented as a triple value proposition providing value to three groups of stakeholders in line with the multi-sided platform model by Osterwalder and Pigneur (2010). For consumers: reduced prices on food, plus ethical purchase history. For partners: incremental income generated from waste + marketing channel (CNBC, 2024). For society: measurable carbon-emission reductions that comply with the triple bottom line (Elkington, 1997).</w:t>
      </w:r>
    </w:p>
    <w:p w14:paraId="2E067062" w14:textId="01675823" w:rsidR="00D03A20" w:rsidRDefault="00D03A20" w:rsidP="00D03A20">
      <w:pPr>
        <w:spacing w:after="120" w:line="360" w:lineRule="auto"/>
        <w:jc w:val="both"/>
      </w:pPr>
      <w:r>
        <w:t xml:space="preserve">Critically, three reinforcing moats are in place: first-mover advantage and network effects (Rochet and Tirole, 2003) make it difficult to switch to or from this USP; externally verified B Corp credentials convey mission integrity that a purely profit-orientated competitor would be hard-pressed to replicate; a category-defining Surprise Bag brand format has become an industry shorthand for the entire category of surplus food. None is absolute. In fact, CNBC (2024) and Bocken et al. (2014) claim that the platform can be used to engage in "greenwashing" of corporate overproduction, which can have a critical impact on mission legitimacy without being mitigated if not actively addressed by independent impact verification. </w:t>
      </w:r>
    </w:p>
    <w:p w14:paraId="39E057FE" w14:textId="77777777" w:rsidR="008B3464" w:rsidRDefault="00837D70">
      <w:r>
        <w:br w:type="page"/>
      </w:r>
    </w:p>
    <w:p w14:paraId="6E9C6C75" w14:textId="77777777" w:rsidR="008B3464" w:rsidRDefault="00837D70">
      <w:pPr>
        <w:pStyle w:val="Heading1"/>
        <w:spacing w:line="360" w:lineRule="auto"/>
      </w:pPr>
      <w:bookmarkStart w:id="7" w:name="_Toc233333069"/>
      <w:r>
        <w:lastRenderedPageBreak/>
        <w:t>Element 2: Business Environment and Competitor Analysis</w:t>
      </w:r>
      <w:bookmarkEnd w:id="7"/>
    </w:p>
    <w:p w14:paraId="01F9C5C2" w14:textId="77777777" w:rsidR="008B3464" w:rsidRDefault="00837D70">
      <w:pPr>
        <w:pStyle w:val="Heading2"/>
        <w:spacing w:line="360" w:lineRule="auto"/>
      </w:pPr>
      <w:bookmarkStart w:id="8" w:name="_Toc233333070"/>
      <w:r>
        <w:t>2.1 PESTEL Macro-environmental Analysis</w:t>
      </w:r>
      <w:bookmarkEnd w:id="8"/>
    </w:p>
    <w:p w14:paraId="2698EE62" w14:textId="7A0F958C" w:rsidR="00D03A20" w:rsidRDefault="00D03A20">
      <w:pPr>
        <w:spacing w:after="120" w:line="360" w:lineRule="auto"/>
        <w:jc w:val="both"/>
      </w:pPr>
      <w:r>
        <w:t>It is important to map the macro-environment first before assessing internal capabilities. A useful framework is the PESTEL, which can be used when it comes to mission-driven businesses where opportunity is clearly defined by the political and environmental tailwinds (</w:t>
      </w:r>
      <w:r w:rsidRPr="00FA083C">
        <w:t>Yüksel, 2012</w:t>
      </w:r>
      <w:r>
        <w:t>).</w:t>
      </w:r>
    </w:p>
    <w:p w14:paraId="1D114A55" w14:textId="77777777" w:rsidR="008B3464" w:rsidRDefault="00837D70">
      <w:pPr>
        <w:spacing w:after="60" w:line="360" w:lineRule="auto"/>
        <w:jc w:val="center"/>
      </w:pPr>
      <w:r>
        <w:rPr>
          <w:b/>
          <w:bCs/>
          <w:color w:val="000000"/>
          <w:sz w:val="22"/>
          <w:szCs w:val="22"/>
        </w:rPr>
        <w:t>Figure 1: PESTEL Analysis of Too Good To Go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59"/>
        <w:gridCol w:w="7367"/>
      </w:tblGrid>
      <w:tr w:rsidR="008B3464" w14:paraId="00BB7911"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3B5D5EDE" w14:textId="77777777" w:rsidR="008B3464" w:rsidRDefault="00837D70">
            <w:pPr>
              <w:spacing w:line="276" w:lineRule="auto"/>
              <w:jc w:val="center"/>
            </w:pPr>
            <w:r>
              <w:rPr>
                <w:b/>
                <w:bCs/>
                <w:color w:val="FFFFFF"/>
                <w:sz w:val="22"/>
                <w:szCs w:val="22"/>
              </w:rPr>
              <w:t>Factor</w:t>
            </w:r>
          </w:p>
        </w:tc>
        <w:tc>
          <w:tcPr>
            <w:tcW w:w="752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80D4923" w14:textId="77777777" w:rsidR="008B3464" w:rsidRDefault="00837D70">
            <w:pPr>
              <w:spacing w:line="276" w:lineRule="auto"/>
              <w:jc w:val="center"/>
            </w:pPr>
            <w:r>
              <w:rPr>
                <w:b/>
                <w:bCs/>
                <w:color w:val="FFFFFF"/>
                <w:sz w:val="22"/>
                <w:szCs w:val="22"/>
              </w:rPr>
              <w:t>Critical Analysis</w:t>
            </w:r>
          </w:p>
        </w:tc>
      </w:tr>
      <w:tr w:rsidR="008B3464" w14:paraId="2ACBB821"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320413E" w14:textId="77777777" w:rsidR="008B3464" w:rsidRDefault="00837D70">
            <w:pPr>
              <w:spacing w:line="270" w:lineRule="auto"/>
            </w:pPr>
            <w:r>
              <w:rPr>
                <w:b/>
                <w:bCs/>
                <w:color w:val="000000"/>
                <w:sz w:val="21"/>
                <w:szCs w:val="21"/>
              </w:rPr>
              <w:t>Political</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773A69C" w14:textId="039557D0" w:rsidR="008B3464" w:rsidRPr="00FA083C" w:rsidRDefault="0012662B">
            <w:pPr>
              <w:spacing w:line="270" w:lineRule="auto"/>
              <w:rPr>
                <w:color w:val="000000"/>
                <w:sz w:val="21"/>
                <w:szCs w:val="21"/>
              </w:rPr>
            </w:pPr>
            <w:r>
              <w:rPr>
                <w:color w:val="000000"/>
                <w:sz w:val="21"/>
                <w:szCs w:val="21"/>
              </w:rPr>
              <w:t>EU-level political support for a circular economy and food-waste reduction; member state legislation (e.g., France's 2016 Garot Law banning unsold supermarket food disposal) directly favours TGTG's model. Retaliation, however, might cause higher compliance costs if there were regulations on food-safety liability for unsold food.</w:t>
            </w:r>
          </w:p>
        </w:tc>
      </w:tr>
      <w:tr w:rsidR="008B3464" w14:paraId="6C20F5DA"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4639930" w14:textId="77777777" w:rsidR="008B3464" w:rsidRDefault="00837D70">
            <w:pPr>
              <w:spacing w:line="270" w:lineRule="auto"/>
            </w:pPr>
            <w:r>
              <w:rPr>
                <w:b/>
                <w:bCs/>
                <w:color w:val="000000"/>
                <w:sz w:val="21"/>
                <w:szCs w:val="21"/>
              </w:rPr>
              <w:t>Economic</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BF8A00D" w14:textId="1D38A571" w:rsidR="008B3464" w:rsidRPr="00FA083C" w:rsidRDefault="0039030F">
            <w:pPr>
              <w:spacing w:line="270" w:lineRule="auto"/>
              <w:rPr>
                <w:color w:val="000000"/>
                <w:sz w:val="21"/>
                <w:szCs w:val="21"/>
              </w:rPr>
            </w:pPr>
            <w:r w:rsidRPr="00FA083C">
              <w:rPr>
                <w:color w:val="000000"/>
                <w:sz w:val="21"/>
                <w:szCs w:val="21"/>
              </w:rPr>
              <w:t>There has been a sustained increase in the number of people eating on a low income since 2022, which is linked to the cost-of-living crisis (CNBC, 2024). On the other hand, partner economics are based on labour expenses in the preparation/handling of bags: when minimum wage increases in the core markets, partner margins become compressed.</w:t>
            </w:r>
          </w:p>
        </w:tc>
      </w:tr>
      <w:tr w:rsidR="008B3464" w14:paraId="7F4EF34B"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78491F3" w14:textId="77777777" w:rsidR="008B3464" w:rsidRDefault="00837D70">
            <w:pPr>
              <w:spacing w:line="270" w:lineRule="auto"/>
            </w:pPr>
            <w:r>
              <w:rPr>
                <w:b/>
                <w:bCs/>
                <w:color w:val="000000"/>
                <w:sz w:val="21"/>
                <w:szCs w:val="21"/>
              </w:rPr>
              <w:t>Social</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3DFE487" w14:textId="77777777" w:rsidR="008B3464" w:rsidRPr="00FA083C" w:rsidRDefault="00837D70">
            <w:pPr>
              <w:spacing w:line="270" w:lineRule="auto"/>
              <w:rPr>
                <w:color w:val="000000"/>
                <w:sz w:val="21"/>
                <w:szCs w:val="21"/>
              </w:rPr>
            </w:pPr>
            <w:r>
              <w:rPr>
                <w:color w:val="000000"/>
                <w:sz w:val="21"/>
                <w:szCs w:val="21"/>
              </w:rPr>
              <w:t>Rising consumer environmental consciousness, particularly among 18–34 demographics; growing acceptance of ‘ugly’ or surplus food. Counter-trend: persistent food-safety scepticism among older demographics may limit adoption.</w:t>
            </w:r>
          </w:p>
        </w:tc>
      </w:tr>
      <w:tr w:rsidR="008B3464" w14:paraId="4D60C412"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2D885CD" w14:textId="77777777" w:rsidR="008B3464" w:rsidRDefault="00837D70">
            <w:pPr>
              <w:spacing w:line="270" w:lineRule="auto"/>
            </w:pPr>
            <w:r>
              <w:rPr>
                <w:b/>
                <w:bCs/>
                <w:color w:val="000000"/>
                <w:sz w:val="21"/>
                <w:szCs w:val="21"/>
              </w:rPr>
              <w:t>Technological</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791BF33" w14:textId="77777777" w:rsidR="008B3464" w:rsidRPr="00FA083C" w:rsidRDefault="00837D70">
            <w:pPr>
              <w:spacing w:line="270" w:lineRule="auto"/>
              <w:rPr>
                <w:color w:val="000000"/>
                <w:sz w:val="21"/>
                <w:szCs w:val="21"/>
              </w:rPr>
            </w:pPr>
            <w:r>
              <w:rPr>
                <w:color w:val="000000"/>
                <w:sz w:val="21"/>
                <w:szCs w:val="21"/>
              </w:rPr>
              <w:t>Smartphone penetration above 90% in core markets; AI-driven demand forecasting is becoming feasible for the B2B Platform product. Risk: large platforms (Amazon, Walmart) could vertically integrate similar services.</w:t>
            </w:r>
          </w:p>
        </w:tc>
      </w:tr>
      <w:tr w:rsidR="008B3464" w14:paraId="280E9328"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44EB764" w14:textId="77777777" w:rsidR="008B3464" w:rsidRDefault="00837D70">
            <w:pPr>
              <w:spacing w:line="270" w:lineRule="auto"/>
            </w:pPr>
            <w:r>
              <w:rPr>
                <w:b/>
                <w:bCs/>
                <w:color w:val="000000"/>
                <w:sz w:val="21"/>
                <w:szCs w:val="21"/>
              </w:rPr>
              <w:t>Environmental</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ADE2A6E" w14:textId="77777777" w:rsidR="008B3464" w:rsidRPr="00FA083C" w:rsidRDefault="00837D70">
            <w:pPr>
              <w:spacing w:line="270" w:lineRule="auto"/>
              <w:rPr>
                <w:color w:val="000000"/>
                <w:sz w:val="21"/>
                <w:szCs w:val="21"/>
              </w:rPr>
            </w:pPr>
            <w:r w:rsidRPr="00FA083C">
              <w:rPr>
                <w:color w:val="000000"/>
                <w:sz w:val="21"/>
                <w:szCs w:val="21"/>
              </w:rPr>
              <w:t>Food waste contributes ~10% of global GHG emissions (Bocken et al., 2014); 40% of food produced globally is wasted. Public concern over climate change is structurally tailwind-positive for TGTG’s mission.</w:t>
            </w:r>
          </w:p>
        </w:tc>
      </w:tr>
      <w:tr w:rsidR="008B3464" w14:paraId="7289EE08"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2302D29" w14:textId="77777777" w:rsidR="008B3464" w:rsidRDefault="00837D70">
            <w:pPr>
              <w:spacing w:line="270" w:lineRule="auto"/>
            </w:pPr>
            <w:r>
              <w:rPr>
                <w:b/>
                <w:bCs/>
                <w:color w:val="000000"/>
                <w:sz w:val="21"/>
                <w:szCs w:val="21"/>
              </w:rPr>
              <w:t>Legal</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D41709D" w14:textId="77777777" w:rsidR="008B3464" w:rsidRPr="00FA083C" w:rsidRDefault="00837D70">
            <w:pPr>
              <w:spacing w:line="270" w:lineRule="auto"/>
              <w:rPr>
                <w:color w:val="000000"/>
                <w:sz w:val="21"/>
                <w:szCs w:val="21"/>
              </w:rPr>
            </w:pPr>
            <w:r>
              <w:rPr>
                <w:color w:val="000000"/>
                <w:sz w:val="21"/>
                <w:szCs w:val="21"/>
              </w:rPr>
              <w:t>B Corp legal framework reinforces social-mission credibility. GDPR compliance imposes data-handling obligations on the 130M-user database. Food-safety statutes vary by jurisdiction and require localised legal infrastructure.</w:t>
            </w:r>
          </w:p>
        </w:tc>
      </w:tr>
    </w:tbl>
    <w:p w14:paraId="307D8F2F" w14:textId="77777777" w:rsidR="008B3464" w:rsidRDefault="00837D70">
      <w:pPr>
        <w:spacing w:before="40" w:after="100"/>
      </w:pPr>
      <w:r>
        <w:rPr>
          <w:i/>
          <w:iCs/>
          <w:sz w:val="20"/>
          <w:szCs w:val="20"/>
        </w:rPr>
        <w:t xml:space="preserve">Source: Author’s analysis adapted from </w:t>
      </w:r>
      <w:r w:rsidRPr="00FA083C">
        <w:rPr>
          <w:i/>
          <w:iCs/>
          <w:sz w:val="20"/>
          <w:szCs w:val="20"/>
        </w:rPr>
        <w:t>Yüksel (2012)</w:t>
      </w:r>
      <w:r>
        <w:rPr>
          <w:i/>
          <w:iCs/>
          <w:sz w:val="20"/>
          <w:szCs w:val="20"/>
        </w:rPr>
        <w:t xml:space="preserve">; </w:t>
      </w:r>
      <w:r w:rsidRPr="00FA083C">
        <w:rPr>
          <w:i/>
          <w:iCs/>
          <w:sz w:val="20"/>
          <w:szCs w:val="20"/>
        </w:rPr>
        <w:t>Porter (2008); Porter and Kramer (2011); CNBC (2024)</w:t>
      </w:r>
      <w:r>
        <w:rPr>
          <w:i/>
          <w:iCs/>
          <w:sz w:val="20"/>
          <w:szCs w:val="20"/>
        </w:rPr>
        <w:t>.</w:t>
      </w:r>
    </w:p>
    <w:p w14:paraId="1D74DE81" w14:textId="0667C922" w:rsidR="00FA1BEF" w:rsidRDefault="00FA1BEF">
      <w:pPr>
        <w:spacing w:after="120" w:line="360" w:lineRule="auto"/>
        <w:jc w:val="both"/>
      </w:pPr>
      <w:r>
        <w:t xml:space="preserve">PESTEL can be used to show that the environment is made up of political, social and environmental factors that are structurally aligned with the mission and legal and economic factors that present asymmetric risk. The positive position is a strategic </w:t>
      </w:r>
      <w:r>
        <w:lastRenderedPageBreak/>
        <w:t>opportunity that also means a heavy reliance on ongoing support from EU policies on food waste; a change in the EU food-waste policy would jeopardise the platform's competitive premium.</w:t>
      </w:r>
    </w:p>
    <w:p w14:paraId="5B13C18F" w14:textId="77777777" w:rsidR="008B3464" w:rsidRDefault="00837D70">
      <w:pPr>
        <w:pStyle w:val="Heading2"/>
        <w:spacing w:line="360" w:lineRule="auto"/>
      </w:pPr>
      <w:bookmarkStart w:id="9" w:name="_Toc233333071"/>
      <w:r>
        <w:t>2.2 SWOT Analysis</w:t>
      </w:r>
      <w:bookmarkEnd w:id="9"/>
    </w:p>
    <w:p w14:paraId="2FE40681" w14:textId="284DA648" w:rsidR="00FA1BEF" w:rsidRDefault="00FA1BEF">
      <w:pPr>
        <w:spacing w:after="120" w:line="360" w:lineRule="auto"/>
        <w:jc w:val="both"/>
      </w:pPr>
      <w:r>
        <w:t>SWOT compares internal strengths and weaknesses with external opportunities and threats but is only really useful when quadrant interrelationships are looked at rather than when a list is presented decontextualised (Pickton and Wright, 1998; Helms and Nixon, 2010).</w:t>
      </w:r>
    </w:p>
    <w:p w14:paraId="255EDD17" w14:textId="77777777" w:rsidR="008B3464" w:rsidRDefault="00837D70">
      <w:pPr>
        <w:spacing w:after="60" w:line="360" w:lineRule="auto"/>
        <w:jc w:val="center"/>
      </w:pPr>
      <w:r>
        <w:rPr>
          <w:b/>
          <w:bCs/>
          <w:color w:val="000000"/>
          <w:sz w:val="22"/>
          <w:szCs w:val="22"/>
        </w:rPr>
        <w:t>Figure 2: SWOT Analysis of Too Good To Go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8B3464" w14:paraId="2D53B977" w14:textId="77777777">
        <w:tc>
          <w:tcPr>
            <w:tcW w:w="4513"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43547DAB" w14:textId="77777777" w:rsidR="008B3464" w:rsidRDefault="00837D70">
            <w:pPr>
              <w:spacing w:line="276" w:lineRule="auto"/>
              <w:jc w:val="center"/>
            </w:pPr>
            <w:r>
              <w:rPr>
                <w:b/>
                <w:bCs/>
                <w:color w:val="FFFFFF"/>
                <w:sz w:val="22"/>
                <w:szCs w:val="22"/>
              </w:rPr>
              <w:t>Strengths (Internal)</w:t>
            </w:r>
          </w:p>
        </w:tc>
        <w:tc>
          <w:tcPr>
            <w:tcW w:w="4513"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B65D972" w14:textId="77777777" w:rsidR="008B3464" w:rsidRDefault="00837D70">
            <w:pPr>
              <w:spacing w:line="276" w:lineRule="auto"/>
              <w:jc w:val="center"/>
            </w:pPr>
            <w:r>
              <w:rPr>
                <w:b/>
                <w:bCs/>
                <w:color w:val="FFFFFF"/>
                <w:sz w:val="22"/>
                <w:szCs w:val="22"/>
              </w:rPr>
              <w:t>Weaknesses (Internal)</w:t>
            </w:r>
          </w:p>
        </w:tc>
      </w:tr>
      <w:tr w:rsidR="008B3464" w14:paraId="7CB5C9B4" w14:textId="77777777">
        <w:tc>
          <w:tcPr>
            <w:tcW w:w="4513"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FFED5E8" w14:textId="77777777" w:rsidR="008B3464" w:rsidRDefault="00837D70">
            <w:pPr>
              <w:spacing w:after="40" w:line="264" w:lineRule="auto"/>
            </w:pPr>
            <w:r>
              <w:rPr>
                <w:sz w:val="20"/>
                <w:szCs w:val="20"/>
              </w:rPr>
              <w:t>• Global market leader: 130M users / 180K partners</w:t>
            </w:r>
          </w:p>
          <w:p w14:paraId="6E6110A7" w14:textId="77777777" w:rsidR="008B3464" w:rsidRDefault="00837D70">
            <w:pPr>
              <w:spacing w:after="40" w:line="264" w:lineRule="auto"/>
            </w:pPr>
            <w:r>
              <w:rPr>
                <w:sz w:val="20"/>
                <w:szCs w:val="20"/>
              </w:rPr>
              <w:t>• First-mover advantage and powerful two-sided network effects</w:t>
            </w:r>
          </w:p>
          <w:p w14:paraId="1CC8BBC0" w14:textId="77777777" w:rsidR="008B3464" w:rsidRDefault="00837D70">
            <w:pPr>
              <w:spacing w:after="40" w:line="264" w:lineRule="auto"/>
            </w:pPr>
            <w:r>
              <w:rPr>
                <w:sz w:val="20"/>
                <w:szCs w:val="20"/>
              </w:rPr>
              <w:t>• B Corp certification (2020) — externally verified mission credibility</w:t>
            </w:r>
          </w:p>
          <w:p w14:paraId="5BD76993" w14:textId="77777777" w:rsidR="008B3464" w:rsidRDefault="00837D70">
            <w:pPr>
              <w:spacing w:after="40" w:line="264" w:lineRule="auto"/>
            </w:pPr>
            <w:r>
              <w:rPr>
                <w:sz w:val="20"/>
                <w:szCs w:val="20"/>
              </w:rPr>
              <w:t>• DKK 725M revenue 2024 (+33% YoY); EBITDA-positive globally</w:t>
            </w:r>
          </w:p>
          <w:p w14:paraId="71FA0869" w14:textId="77777777" w:rsidR="008B3464" w:rsidRDefault="00837D70">
            <w:pPr>
              <w:spacing w:after="40" w:line="264" w:lineRule="auto"/>
            </w:pPr>
            <w:r>
              <w:rPr>
                <w:sz w:val="20"/>
                <w:szCs w:val="20"/>
              </w:rPr>
              <w:t>• Diversified portfolio: Surprise Bags, Parcels, Platform reduce single-stream risk</w:t>
            </w:r>
          </w:p>
          <w:p w14:paraId="2021A672" w14:textId="77777777" w:rsidR="008B3464" w:rsidRDefault="008B3464">
            <w:pPr>
              <w:spacing w:after="40" w:line="264" w:lineRule="auto"/>
            </w:pPr>
          </w:p>
        </w:tc>
        <w:tc>
          <w:tcPr>
            <w:tcW w:w="4513"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5FB3875" w14:textId="77777777" w:rsidR="008B3464" w:rsidRDefault="00837D70">
            <w:pPr>
              <w:spacing w:after="40" w:line="264" w:lineRule="auto"/>
            </w:pPr>
            <w:r>
              <w:rPr>
                <w:sz w:val="20"/>
                <w:szCs w:val="20"/>
              </w:rPr>
              <w:t>• Surprise Bag opacity creates dietary/allergy risk (Akerlof, 1970)</w:t>
            </w:r>
          </w:p>
          <w:p w14:paraId="51B1C090" w14:textId="77777777" w:rsidR="008B3464" w:rsidRDefault="00837D70">
            <w:pPr>
              <w:spacing w:after="40" w:line="264" w:lineRule="auto"/>
            </w:pPr>
            <w:r>
              <w:rPr>
                <w:sz w:val="20"/>
                <w:szCs w:val="20"/>
              </w:rPr>
              <w:t>• Thin 1.3% net margin (DKK 9.6M on DKK 725M revenue)</w:t>
            </w:r>
          </w:p>
          <w:p w14:paraId="2B3528E8" w14:textId="77777777" w:rsidR="008B3464" w:rsidRDefault="00837D70">
            <w:pPr>
              <w:spacing w:after="40" w:line="264" w:lineRule="auto"/>
            </w:pPr>
            <w:r>
              <w:rPr>
                <w:sz w:val="20"/>
                <w:szCs w:val="20"/>
              </w:rPr>
              <w:t>• Europe-concentrated revenue; limited Asia/global-south presence</w:t>
            </w:r>
          </w:p>
          <w:p w14:paraId="316F28E5" w14:textId="77777777" w:rsidR="008B3464" w:rsidRDefault="00837D70">
            <w:pPr>
              <w:spacing w:after="40" w:line="264" w:lineRule="auto"/>
            </w:pPr>
            <w:r>
              <w:rPr>
                <w:sz w:val="20"/>
                <w:szCs w:val="20"/>
              </w:rPr>
              <w:t>• Privately held — restricted access to public-market capital</w:t>
            </w:r>
          </w:p>
          <w:p w14:paraId="1080A027" w14:textId="77777777" w:rsidR="008B3464" w:rsidRDefault="00837D70">
            <w:pPr>
              <w:spacing w:after="40" w:line="264" w:lineRule="auto"/>
            </w:pPr>
            <w:r>
              <w:rPr>
                <w:sz w:val="20"/>
                <w:szCs w:val="20"/>
              </w:rPr>
              <w:t>• Greenwashing critique threatens mission legitimacy (Bocken et al., 2014)</w:t>
            </w:r>
          </w:p>
          <w:p w14:paraId="318CAC2B" w14:textId="77777777" w:rsidR="008B3464" w:rsidRDefault="008B3464">
            <w:pPr>
              <w:spacing w:after="40" w:line="264" w:lineRule="auto"/>
            </w:pPr>
          </w:p>
        </w:tc>
      </w:tr>
      <w:tr w:rsidR="008B3464" w14:paraId="1AC1B6FE" w14:textId="77777777">
        <w:tc>
          <w:tcPr>
            <w:tcW w:w="4513"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650807A8" w14:textId="77777777" w:rsidR="008B3464" w:rsidRDefault="00837D70">
            <w:pPr>
              <w:spacing w:line="276" w:lineRule="auto"/>
              <w:jc w:val="center"/>
            </w:pPr>
            <w:r>
              <w:rPr>
                <w:b/>
                <w:bCs/>
                <w:color w:val="FFFFFF"/>
                <w:sz w:val="22"/>
                <w:szCs w:val="22"/>
              </w:rPr>
              <w:t>Opportunities (External)</w:t>
            </w:r>
          </w:p>
        </w:tc>
        <w:tc>
          <w:tcPr>
            <w:tcW w:w="4513"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01AAF3F" w14:textId="77777777" w:rsidR="008B3464" w:rsidRDefault="00837D70">
            <w:pPr>
              <w:spacing w:line="276" w:lineRule="auto"/>
              <w:jc w:val="center"/>
            </w:pPr>
            <w:r>
              <w:rPr>
                <w:b/>
                <w:bCs/>
                <w:color w:val="FFFFFF"/>
                <w:sz w:val="22"/>
                <w:szCs w:val="22"/>
              </w:rPr>
              <w:t>Threats (External)</w:t>
            </w:r>
          </w:p>
        </w:tc>
      </w:tr>
      <w:tr w:rsidR="008B3464" w14:paraId="32E5902A" w14:textId="77777777">
        <w:tc>
          <w:tcPr>
            <w:tcW w:w="4513"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495DD1C" w14:textId="77777777" w:rsidR="008B3464" w:rsidRPr="00FA083C" w:rsidRDefault="00837D70">
            <w:pPr>
              <w:spacing w:after="40" w:line="264" w:lineRule="auto"/>
              <w:rPr>
                <w:sz w:val="20"/>
                <w:szCs w:val="20"/>
              </w:rPr>
            </w:pPr>
            <w:r>
              <w:rPr>
                <w:sz w:val="20"/>
                <w:szCs w:val="20"/>
              </w:rPr>
              <w:t xml:space="preserve">• EU food-waste reduction targets </w:t>
            </w:r>
            <w:r w:rsidRPr="00FA083C">
              <w:rPr>
                <w:sz w:val="20"/>
                <w:szCs w:val="20"/>
              </w:rPr>
              <w:t>(30% by 2030)</w:t>
            </w:r>
          </w:p>
          <w:p w14:paraId="54502AD3" w14:textId="77777777" w:rsidR="008B3464" w:rsidRPr="00FA083C" w:rsidRDefault="00837D70">
            <w:pPr>
              <w:spacing w:after="40" w:line="264" w:lineRule="auto"/>
              <w:rPr>
                <w:sz w:val="20"/>
                <w:szCs w:val="20"/>
              </w:rPr>
            </w:pPr>
            <w:r>
              <w:rPr>
                <w:sz w:val="20"/>
                <w:szCs w:val="20"/>
              </w:rPr>
              <w:t>• UN SDG 12.3 alignment provides policy tailwind</w:t>
            </w:r>
          </w:p>
          <w:p w14:paraId="2287CE93" w14:textId="77777777" w:rsidR="008B3464" w:rsidRPr="00FA083C" w:rsidRDefault="00837D70">
            <w:pPr>
              <w:spacing w:after="40" w:line="264" w:lineRule="auto"/>
              <w:rPr>
                <w:sz w:val="20"/>
                <w:szCs w:val="20"/>
              </w:rPr>
            </w:pPr>
            <w:r>
              <w:rPr>
                <w:sz w:val="20"/>
                <w:szCs w:val="20"/>
              </w:rPr>
              <w:t>• Rapid US growth: +67% YoY meal saves, +3.6M users in 7 months 2025</w:t>
            </w:r>
          </w:p>
          <w:p w14:paraId="4F0CA2C9" w14:textId="77777777" w:rsidR="008B3464" w:rsidRPr="00FA083C" w:rsidRDefault="00837D70">
            <w:pPr>
              <w:spacing w:after="40" w:line="264" w:lineRule="auto"/>
              <w:rPr>
                <w:sz w:val="20"/>
                <w:szCs w:val="20"/>
              </w:rPr>
            </w:pPr>
            <w:r>
              <w:rPr>
                <w:sz w:val="20"/>
                <w:szCs w:val="20"/>
              </w:rPr>
              <w:t>• AI-driven demand forecasting can deepen B2B Platform product</w:t>
            </w:r>
          </w:p>
          <w:p w14:paraId="32CDDA81" w14:textId="77777777" w:rsidR="008B3464" w:rsidRPr="00FA083C" w:rsidRDefault="00837D70">
            <w:pPr>
              <w:spacing w:after="40" w:line="264" w:lineRule="auto"/>
              <w:rPr>
                <w:sz w:val="20"/>
                <w:szCs w:val="20"/>
              </w:rPr>
            </w:pPr>
            <w:r>
              <w:rPr>
                <w:sz w:val="20"/>
                <w:szCs w:val="20"/>
              </w:rPr>
              <w:t>• Adjacent verticals: hospitality, airline catering, household partnerships</w:t>
            </w:r>
          </w:p>
          <w:p w14:paraId="1E444668" w14:textId="77777777" w:rsidR="008B3464" w:rsidRPr="00FA083C" w:rsidRDefault="008B3464">
            <w:pPr>
              <w:spacing w:after="40" w:line="264" w:lineRule="auto"/>
              <w:rPr>
                <w:sz w:val="20"/>
                <w:szCs w:val="20"/>
              </w:rPr>
            </w:pPr>
          </w:p>
        </w:tc>
        <w:tc>
          <w:tcPr>
            <w:tcW w:w="4513"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C4DB875" w14:textId="77777777" w:rsidR="008B3464" w:rsidRPr="00FA083C" w:rsidRDefault="00837D70">
            <w:pPr>
              <w:spacing w:after="40" w:line="264" w:lineRule="auto"/>
              <w:rPr>
                <w:sz w:val="20"/>
                <w:szCs w:val="20"/>
              </w:rPr>
            </w:pPr>
            <w:r>
              <w:rPr>
                <w:sz w:val="20"/>
                <w:szCs w:val="20"/>
              </w:rPr>
              <w:t>• Intensifying competition: Olio ($53M raised); Phenix; Karma transparency</w:t>
            </w:r>
          </w:p>
          <w:p w14:paraId="0CAA2E95" w14:textId="77777777" w:rsidR="008B3464" w:rsidRPr="00FA083C" w:rsidRDefault="00837D70">
            <w:pPr>
              <w:spacing w:after="40" w:line="264" w:lineRule="auto"/>
              <w:rPr>
                <w:sz w:val="20"/>
                <w:szCs w:val="20"/>
              </w:rPr>
            </w:pPr>
            <w:r>
              <w:rPr>
                <w:sz w:val="20"/>
                <w:szCs w:val="20"/>
              </w:rPr>
              <w:t>• Food-safety regulation tightening across EU member states</w:t>
            </w:r>
          </w:p>
          <w:p w14:paraId="77C9C7F1" w14:textId="77777777" w:rsidR="008B3464" w:rsidRPr="00FA083C" w:rsidRDefault="00837D70">
            <w:pPr>
              <w:spacing w:after="40" w:line="264" w:lineRule="auto"/>
              <w:rPr>
                <w:sz w:val="20"/>
                <w:szCs w:val="20"/>
              </w:rPr>
            </w:pPr>
            <w:r>
              <w:rPr>
                <w:sz w:val="20"/>
                <w:szCs w:val="20"/>
              </w:rPr>
              <w:t>• Macro recovery may reduce consumer price-sensitivity</w:t>
            </w:r>
          </w:p>
          <w:p w14:paraId="13086323" w14:textId="77777777" w:rsidR="008B3464" w:rsidRPr="00FA083C" w:rsidRDefault="00837D70">
            <w:pPr>
              <w:spacing w:after="40" w:line="264" w:lineRule="auto"/>
              <w:rPr>
                <w:sz w:val="20"/>
                <w:szCs w:val="20"/>
              </w:rPr>
            </w:pPr>
            <w:r>
              <w:rPr>
                <w:sz w:val="20"/>
                <w:szCs w:val="20"/>
              </w:rPr>
              <w:t>• Greenwashing accusations could damage B Corp credibility (CNBC, 2024)</w:t>
            </w:r>
          </w:p>
          <w:p w14:paraId="43CFEF7C" w14:textId="77777777" w:rsidR="008B3464" w:rsidRPr="00FA083C" w:rsidRDefault="00837D70">
            <w:pPr>
              <w:spacing w:after="40" w:line="264" w:lineRule="auto"/>
              <w:rPr>
                <w:sz w:val="20"/>
                <w:szCs w:val="20"/>
              </w:rPr>
            </w:pPr>
            <w:r>
              <w:rPr>
                <w:sz w:val="20"/>
                <w:szCs w:val="20"/>
              </w:rPr>
              <w:t xml:space="preserve">• Partner attrition if </w:t>
            </w:r>
            <w:r w:rsidRPr="00FA083C">
              <w:rPr>
                <w:sz w:val="20"/>
                <w:szCs w:val="20"/>
              </w:rPr>
              <w:t>discount customers do not convert</w:t>
            </w:r>
            <w:r>
              <w:rPr>
                <w:sz w:val="20"/>
                <w:szCs w:val="20"/>
              </w:rPr>
              <w:t xml:space="preserve"> to full-price</w:t>
            </w:r>
          </w:p>
          <w:p w14:paraId="1B23439D" w14:textId="77777777" w:rsidR="008B3464" w:rsidRPr="00FA083C" w:rsidRDefault="008B3464">
            <w:pPr>
              <w:spacing w:after="40" w:line="264" w:lineRule="auto"/>
              <w:rPr>
                <w:sz w:val="20"/>
                <w:szCs w:val="20"/>
              </w:rPr>
            </w:pPr>
          </w:p>
        </w:tc>
      </w:tr>
    </w:tbl>
    <w:p w14:paraId="2BD86297" w14:textId="77777777" w:rsidR="008B3464" w:rsidRPr="00FA083C" w:rsidRDefault="00837D70">
      <w:pPr>
        <w:spacing w:before="40" w:after="100"/>
        <w:rPr>
          <w:i/>
          <w:iCs/>
          <w:sz w:val="20"/>
          <w:szCs w:val="20"/>
        </w:rPr>
      </w:pPr>
      <w:r>
        <w:rPr>
          <w:i/>
          <w:iCs/>
          <w:sz w:val="20"/>
          <w:szCs w:val="20"/>
        </w:rPr>
        <w:t xml:space="preserve">Source: Author’s compilation from Too Good To Go ApS (2025); CNBC (2024); </w:t>
      </w:r>
      <w:r w:rsidRPr="00FA083C">
        <w:rPr>
          <w:i/>
          <w:iCs/>
          <w:sz w:val="20"/>
          <w:szCs w:val="20"/>
        </w:rPr>
        <w:t>CNBC (2024)</w:t>
      </w:r>
      <w:r>
        <w:rPr>
          <w:i/>
          <w:iCs/>
          <w:sz w:val="20"/>
          <w:szCs w:val="20"/>
        </w:rPr>
        <w:t>; academic literature.</w:t>
      </w:r>
    </w:p>
    <w:p w14:paraId="506C20BC" w14:textId="3E4AE7BA" w:rsidR="00A875AE" w:rsidRDefault="00A875AE">
      <w:pPr>
        <w:spacing w:after="120" w:line="360" w:lineRule="auto"/>
        <w:jc w:val="both"/>
      </w:pPr>
      <w:r>
        <w:t xml:space="preserve">There are two strategic dilemmas. The first-mover and network effect advantage not only allows for the greenwashing critique (the platform's visibility makes it a symbolic target of the “monetising waste perversely incentivises overproduction” critique (Bocken et al., 2014; CNBC, 2024)), but it is also a direct advantage to the </w:t>
      </w:r>
      <w:r>
        <w:lastRenderedPageBreak/>
        <w:t xml:space="preserve">greenwashing critique. Second, the social-impact USP generates net-margin compression: </w:t>
      </w:r>
      <w:r w:rsidRPr="00FA083C">
        <w:t>the firm cannot be aggressive</w:t>
      </w:r>
      <w:r>
        <w:t xml:space="preserve"> with the price without jeopardising positioning, which is why the net margin is only 1.3% and revenue growth is in the double digits (Porter and Kramer, 2011).</w:t>
      </w:r>
    </w:p>
    <w:p w14:paraId="05F2C783" w14:textId="77777777" w:rsidR="008B3464" w:rsidRDefault="00837D70">
      <w:pPr>
        <w:pStyle w:val="Heading2"/>
        <w:spacing w:line="360" w:lineRule="auto"/>
      </w:pPr>
      <w:bookmarkStart w:id="10" w:name="_Toc233333072"/>
      <w:r>
        <w:t>2.3 Competitor Analysis</w:t>
      </w:r>
      <w:bookmarkEnd w:id="10"/>
    </w:p>
    <w:p w14:paraId="06C374D5" w14:textId="703230C1" w:rsidR="00C86BEB" w:rsidRDefault="00C86BEB">
      <w:pPr>
        <w:spacing w:after="120" w:line="360" w:lineRule="auto"/>
        <w:jc w:val="both"/>
      </w:pPr>
      <w:r>
        <w:t>In the context of the food-waste app space, the market is structured by 40% of the global food wasted, and there is strategic group rivalry as several companies compete on similar value propositions. Direct competitors are OLIO (P2P sharing), Karma (item-level transparency) and Phenix (B2C/B2B hybrid). Indirect substitutes are the supermarket reduced-price aisles and food banks.</w:t>
      </w:r>
    </w:p>
    <w:p w14:paraId="25992AF8" w14:textId="77777777" w:rsidR="008B3464" w:rsidRDefault="00837D70">
      <w:pPr>
        <w:spacing w:after="60" w:line="360" w:lineRule="auto"/>
        <w:jc w:val="center"/>
      </w:pPr>
      <w:r>
        <w:rPr>
          <w:b/>
          <w:bCs/>
          <w:color w:val="000000"/>
          <w:sz w:val="22"/>
          <w:szCs w:val="22"/>
        </w:rPr>
        <w:t>Figure 3: Competitor Comparison Matrix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12"/>
        <w:gridCol w:w="1837"/>
        <w:gridCol w:w="1858"/>
        <w:gridCol w:w="1875"/>
        <w:gridCol w:w="1844"/>
      </w:tblGrid>
      <w:tr w:rsidR="008B3464" w14:paraId="48EE74AD"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0122B43" w14:textId="77777777" w:rsidR="008B3464" w:rsidRDefault="00837D70">
            <w:pPr>
              <w:spacing w:line="276" w:lineRule="auto"/>
              <w:jc w:val="center"/>
            </w:pPr>
            <w:r>
              <w:rPr>
                <w:b/>
                <w:bCs/>
                <w:color w:val="FFFFFF"/>
                <w:sz w:val="22"/>
                <w:szCs w:val="22"/>
              </w:rPr>
              <w:t>Criteria</w:t>
            </w:r>
          </w:p>
        </w:tc>
        <w:tc>
          <w:tcPr>
            <w:tcW w:w="188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54126189" w14:textId="77777777" w:rsidR="008B3464" w:rsidRDefault="00837D70">
            <w:pPr>
              <w:spacing w:line="276" w:lineRule="auto"/>
              <w:jc w:val="center"/>
            </w:pPr>
            <w:r>
              <w:rPr>
                <w:b/>
                <w:bCs/>
                <w:color w:val="FFFFFF"/>
                <w:sz w:val="22"/>
                <w:szCs w:val="22"/>
              </w:rPr>
              <w:t>OLIO (Direct)</w:t>
            </w:r>
          </w:p>
        </w:tc>
        <w:tc>
          <w:tcPr>
            <w:tcW w:w="188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6034A773" w14:textId="77777777" w:rsidR="008B3464" w:rsidRDefault="00837D70">
            <w:pPr>
              <w:spacing w:line="276" w:lineRule="auto"/>
              <w:jc w:val="center"/>
            </w:pPr>
            <w:r>
              <w:rPr>
                <w:b/>
                <w:bCs/>
                <w:color w:val="FFFFFF"/>
                <w:sz w:val="22"/>
                <w:szCs w:val="22"/>
              </w:rPr>
              <w:t>Karma (Direct)</w:t>
            </w:r>
          </w:p>
        </w:tc>
        <w:tc>
          <w:tcPr>
            <w:tcW w:w="188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5F08D6B8" w14:textId="77777777" w:rsidR="008B3464" w:rsidRDefault="00837D70">
            <w:pPr>
              <w:spacing w:line="276" w:lineRule="auto"/>
              <w:jc w:val="center"/>
            </w:pPr>
            <w:r>
              <w:rPr>
                <w:b/>
                <w:bCs/>
                <w:color w:val="FFFFFF"/>
                <w:sz w:val="22"/>
                <w:szCs w:val="22"/>
              </w:rPr>
              <w:t>Phenix (Indirect)</w:t>
            </w:r>
          </w:p>
        </w:tc>
        <w:tc>
          <w:tcPr>
            <w:tcW w:w="188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712238EB" w14:textId="77777777" w:rsidR="008B3464" w:rsidRDefault="00837D70">
            <w:pPr>
              <w:spacing w:line="276" w:lineRule="auto"/>
              <w:jc w:val="center"/>
            </w:pPr>
            <w:r>
              <w:rPr>
                <w:b/>
                <w:bCs/>
                <w:color w:val="FFFFFF"/>
                <w:sz w:val="22"/>
                <w:szCs w:val="22"/>
              </w:rPr>
              <w:t>OLIO Food Heroes</w:t>
            </w:r>
          </w:p>
        </w:tc>
      </w:tr>
      <w:tr w:rsidR="008B3464" w14:paraId="47A4A68E"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EFEDA80" w14:textId="77777777" w:rsidR="008B3464" w:rsidRDefault="00837D70">
            <w:pPr>
              <w:spacing w:line="270" w:lineRule="auto"/>
            </w:pPr>
            <w:r>
              <w:rPr>
                <w:b/>
                <w:bCs/>
                <w:color w:val="000000"/>
                <w:sz w:val="21"/>
                <w:szCs w:val="21"/>
              </w:rPr>
              <w:t>Origin</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2114F8C" w14:textId="77777777" w:rsidR="008B3464" w:rsidRDefault="00837D70">
            <w:pPr>
              <w:spacing w:line="270" w:lineRule="auto"/>
            </w:pPr>
            <w:r>
              <w:rPr>
                <w:color w:val="000000"/>
                <w:sz w:val="21"/>
                <w:szCs w:val="21"/>
              </w:rPr>
              <w:t>London 2015</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D2568D4" w14:textId="77777777" w:rsidR="008B3464" w:rsidRDefault="00837D70">
            <w:pPr>
              <w:spacing w:line="270" w:lineRule="auto"/>
            </w:pPr>
            <w:r>
              <w:rPr>
                <w:color w:val="000000"/>
                <w:sz w:val="21"/>
                <w:szCs w:val="21"/>
              </w:rPr>
              <w:t>Stockholm 2016</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F3364FB" w14:textId="77777777" w:rsidR="008B3464" w:rsidRDefault="00837D70">
            <w:pPr>
              <w:spacing w:line="270" w:lineRule="auto"/>
            </w:pPr>
            <w:r>
              <w:rPr>
                <w:color w:val="000000"/>
                <w:sz w:val="21"/>
                <w:szCs w:val="21"/>
              </w:rPr>
              <w:t>Paris 2014</w:t>
            </w:r>
          </w:p>
        </w:tc>
        <w:tc>
          <w:tcPr>
            <w:tcW w:w="188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1B5D476" w14:textId="77777777" w:rsidR="008B3464" w:rsidRDefault="00837D70">
            <w:pPr>
              <w:spacing w:line="270" w:lineRule="auto"/>
            </w:pPr>
            <w:r>
              <w:rPr>
                <w:color w:val="000000"/>
                <w:sz w:val="21"/>
                <w:szCs w:val="21"/>
              </w:rPr>
              <w:t>UK; OLIO ecosystem</w:t>
            </w:r>
          </w:p>
        </w:tc>
      </w:tr>
      <w:tr w:rsidR="008B3464" w14:paraId="1237CB36"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29680D0" w14:textId="77777777" w:rsidR="008B3464" w:rsidRDefault="00837D70">
            <w:pPr>
              <w:spacing w:line="270" w:lineRule="auto"/>
            </w:pPr>
            <w:r>
              <w:rPr>
                <w:b/>
                <w:bCs/>
                <w:color w:val="000000"/>
                <w:sz w:val="21"/>
                <w:szCs w:val="21"/>
              </w:rPr>
              <w:t>Model</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2D85C44" w14:textId="77777777" w:rsidR="008B3464" w:rsidRDefault="00837D70">
            <w:pPr>
              <w:spacing w:line="270" w:lineRule="auto"/>
            </w:pPr>
            <w:r>
              <w:rPr>
                <w:color w:val="000000"/>
                <w:sz w:val="21"/>
                <w:szCs w:val="21"/>
              </w:rPr>
              <w:t>P2P + B2C sharing</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1587917" w14:textId="77777777" w:rsidR="008B3464" w:rsidRDefault="00837D70">
            <w:pPr>
              <w:spacing w:line="270" w:lineRule="auto"/>
            </w:pPr>
            <w:r>
              <w:rPr>
                <w:color w:val="000000"/>
                <w:sz w:val="21"/>
                <w:szCs w:val="21"/>
              </w:rPr>
              <w:t>Item-level B2C</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A2A3FC6" w14:textId="77777777" w:rsidR="008B3464" w:rsidRDefault="00837D70">
            <w:pPr>
              <w:spacing w:line="270" w:lineRule="auto"/>
            </w:pPr>
            <w:r>
              <w:rPr>
                <w:color w:val="000000"/>
                <w:sz w:val="21"/>
                <w:szCs w:val="21"/>
              </w:rPr>
              <w:t>B2C + B2B retailer ops</w:t>
            </w:r>
          </w:p>
        </w:tc>
        <w:tc>
          <w:tcPr>
            <w:tcW w:w="188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1DD4F4B" w14:textId="77777777" w:rsidR="008B3464" w:rsidRDefault="00837D70">
            <w:pPr>
              <w:spacing w:line="270" w:lineRule="auto"/>
            </w:pPr>
            <w:r>
              <w:rPr>
                <w:color w:val="000000"/>
                <w:sz w:val="21"/>
                <w:szCs w:val="21"/>
              </w:rPr>
              <w:t>Volunteer collection</w:t>
            </w:r>
          </w:p>
        </w:tc>
      </w:tr>
      <w:tr w:rsidR="008B3464" w14:paraId="47BF03C3"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17B9DBA" w14:textId="77777777" w:rsidR="008B3464" w:rsidRDefault="00837D70">
            <w:pPr>
              <w:spacing w:line="270" w:lineRule="auto"/>
            </w:pPr>
            <w:r>
              <w:rPr>
                <w:b/>
                <w:bCs/>
                <w:color w:val="000000"/>
                <w:sz w:val="21"/>
                <w:szCs w:val="21"/>
              </w:rPr>
              <w:t>Reach</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E5EAA81" w14:textId="77777777" w:rsidR="008B3464" w:rsidRDefault="00837D70">
            <w:pPr>
              <w:spacing w:line="270" w:lineRule="auto"/>
            </w:pPr>
            <w:r>
              <w:rPr>
                <w:color w:val="000000"/>
                <w:sz w:val="21"/>
                <w:szCs w:val="21"/>
              </w:rPr>
              <w:t>~62 countries; 8M users</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0C01113" w14:textId="77777777" w:rsidR="008B3464" w:rsidRDefault="00837D70">
            <w:pPr>
              <w:spacing w:line="270" w:lineRule="auto"/>
            </w:pPr>
            <w:r>
              <w:rPr>
                <w:color w:val="000000"/>
                <w:sz w:val="21"/>
                <w:szCs w:val="21"/>
              </w:rPr>
              <w:t>UK &amp; Sweden; 9K venues</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35BCECF" w14:textId="77777777" w:rsidR="008B3464" w:rsidRDefault="00837D70">
            <w:pPr>
              <w:spacing w:line="270" w:lineRule="auto"/>
            </w:pPr>
            <w:r>
              <w:rPr>
                <w:color w:val="000000"/>
                <w:sz w:val="21"/>
                <w:szCs w:val="21"/>
              </w:rPr>
              <w:t>FR/ES/PT/BE/IT; 15K</w:t>
            </w:r>
          </w:p>
        </w:tc>
        <w:tc>
          <w:tcPr>
            <w:tcW w:w="188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419AAEC" w14:textId="77777777" w:rsidR="008B3464" w:rsidRDefault="00837D70">
            <w:pPr>
              <w:spacing w:line="270" w:lineRule="auto"/>
            </w:pPr>
            <w:r>
              <w:rPr>
                <w:color w:val="000000"/>
                <w:sz w:val="21"/>
                <w:szCs w:val="21"/>
              </w:rPr>
              <w:t>UK-focused</w:t>
            </w:r>
          </w:p>
        </w:tc>
      </w:tr>
      <w:tr w:rsidR="008B3464" w14:paraId="08A5EC9C"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6003C7D" w14:textId="77777777" w:rsidR="008B3464" w:rsidRDefault="00837D70">
            <w:pPr>
              <w:spacing w:line="270" w:lineRule="auto"/>
            </w:pPr>
            <w:r>
              <w:rPr>
                <w:b/>
                <w:bCs/>
                <w:color w:val="000000"/>
                <w:sz w:val="21"/>
                <w:szCs w:val="21"/>
              </w:rPr>
              <w:t>Price</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21D496C" w14:textId="77777777" w:rsidR="008B3464" w:rsidRDefault="00837D70">
            <w:pPr>
              <w:spacing w:line="270" w:lineRule="auto"/>
            </w:pPr>
            <w:r>
              <w:rPr>
                <w:color w:val="000000"/>
                <w:sz w:val="21"/>
                <w:szCs w:val="21"/>
              </w:rPr>
              <w:t>Mostly free + subs</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8968F0C" w14:textId="77777777" w:rsidR="008B3464" w:rsidRDefault="00837D70">
            <w:pPr>
              <w:spacing w:line="270" w:lineRule="auto"/>
            </w:pPr>
            <w:r>
              <w:rPr>
                <w:color w:val="000000"/>
                <w:sz w:val="21"/>
                <w:szCs w:val="21"/>
              </w:rPr>
              <w:t>~50% off; itemised</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2FA9EE4" w14:textId="77777777" w:rsidR="008B3464" w:rsidRDefault="00837D70">
            <w:pPr>
              <w:spacing w:line="270" w:lineRule="auto"/>
            </w:pPr>
            <w:r>
              <w:rPr>
                <w:color w:val="000000"/>
                <w:sz w:val="21"/>
                <w:szCs w:val="21"/>
              </w:rPr>
              <w:t>~50% off; baskets</w:t>
            </w:r>
          </w:p>
        </w:tc>
        <w:tc>
          <w:tcPr>
            <w:tcW w:w="188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3AE815E" w14:textId="77777777" w:rsidR="008B3464" w:rsidRDefault="00837D70">
            <w:pPr>
              <w:spacing w:line="270" w:lineRule="auto"/>
            </w:pPr>
            <w:r>
              <w:rPr>
                <w:color w:val="000000"/>
                <w:sz w:val="21"/>
                <w:szCs w:val="21"/>
              </w:rPr>
              <w:t>Free; volunteer-led</w:t>
            </w:r>
          </w:p>
        </w:tc>
      </w:tr>
      <w:tr w:rsidR="008B3464" w14:paraId="029DA10B"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072E114" w14:textId="77777777" w:rsidR="008B3464" w:rsidRDefault="00837D70">
            <w:pPr>
              <w:spacing w:line="270" w:lineRule="auto"/>
            </w:pPr>
            <w:r>
              <w:rPr>
                <w:b/>
                <w:bCs/>
                <w:color w:val="000000"/>
                <w:sz w:val="21"/>
                <w:szCs w:val="21"/>
              </w:rPr>
              <w:t>Funding/scale</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231B640" w14:textId="77777777" w:rsidR="008B3464" w:rsidRDefault="00837D70">
            <w:pPr>
              <w:spacing w:line="270" w:lineRule="auto"/>
            </w:pPr>
            <w:r>
              <w:rPr>
                <w:color w:val="000000"/>
                <w:sz w:val="21"/>
                <w:szCs w:val="21"/>
              </w:rPr>
              <w:t>~$53M raised</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8298400" w14:textId="77777777" w:rsidR="008B3464" w:rsidRDefault="00837D70">
            <w:pPr>
              <w:spacing w:line="270" w:lineRule="auto"/>
            </w:pPr>
            <w:r>
              <w:rPr>
                <w:color w:val="000000"/>
                <w:sz w:val="21"/>
                <w:szCs w:val="21"/>
              </w:rPr>
              <w:t>Series B-stage</w:t>
            </w:r>
          </w:p>
        </w:tc>
        <w:tc>
          <w:tcPr>
            <w:tcW w:w="188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BB9CA2B" w14:textId="77777777" w:rsidR="008B3464" w:rsidRDefault="00837D70">
            <w:pPr>
              <w:spacing w:line="270" w:lineRule="auto"/>
            </w:pPr>
            <w:r>
              <w:rPr>
                <w:color w:val="000000"/>
                <w:sz w:val="21"/>
                <w:szCs w:val="21"/>
              </w:rPr>
              <w:t>200M+ meals; 5M users</w:t>
            </w:r>
          </w:p>
        </w:tc>
        <w:tc>
          <w:tcPr>
            <w:tcW w:w="188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18DA91E" w14:textId="77777777" w:rsidR="008B3464" w:rsidRDefault="00837D70">
            <w:pPr>
              <w:spacing w:line="270" w:lineRule="auto"/>
            </w:pPr>
            <w:r>
              <w:rPr>
                <w:color w:val="000000"/>
                <w:sz w:val="21"/>
                <w:szCs w:val="21"/>
              </w:rPr>
              <w:t>Subsidiary of OLIO</w:t>
            </w:r>
          </w:p>
        </w:tc>
      </w:tr>
      <w:tr w:rsidR="008B3464" w14:paraId="1A5A2300"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437DEDC" w14:textId="77777777" w:rsidR="008B3464" w:rsidRDefault="00837D70">
            <w:pPr>
              <w:spacing w:line="270" w:lineRule="auto"/>
            </w:pPr>
            <w:r>
              <w:rPr>
                <w:b/>
                <w:bCs/>
                <w:color w:val="000000"/>
                <w:sz w:val="21"/>
                <w:szCs w:val="21"/>
              </w:rPr>
              <w:t>Key differentiator</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E6DA326" w14:textId="77777777" w:rsidR="008B3464" w:rsidRDefault="00837D70">
            <w:pPr>
              <w:spacing w:line="270" w:lineRule="auto"/>
            </w:pPr>
            <w:r>
              <w:rPr>
                <w:color w:val="000000"/>
                <w:sz w:val="21"/>
                <w:szCs w:val="21"/>
              </w:rPr>
              <w:t>P2P + non-food</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F18B1B5" w14:textId="77777777" w:rsidR="008B3464" w:rsidRDefault="00837D70">
            <w:pPr>
              <w:spacing w:line="270" w:lineRule="auto"/>
            </w:pPr>
            <w:r>
              <w:rPr>
                <w:color w:val="000000"/>
                <w:sz w:val="21"/>
                <w:szCs w:val="21"/>
              </w:rPr>
              <w:t>Transparency</w:t>
            </w:r>
          </w:p>
        </w:tc>
        <w:tc>
          <w:tcPr>
            <w:tcW w:w="188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16662D8" w14:textId="77777777" w:rsidR="008B3464" w:rsidRDefault="00837D70">
            <w:pPr>
              <w:spacing w:line="270" w:lineRule="auto"/>
            </w:pPr>
            <w:r>
              <w:rPr>
                <w:color w:val="000000"/>
                <w:sz w:val="21"/>
                <w:szCs w:val="21"/>
              </w:rPr>
              <w:t>B2B integration</w:t>
            </w:r>
          </w:p>
        </w:tc>
        <w:tc>
          <w:tcPr>
            <w:tcW w:w="188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FEAB622" w14:textId="77777777" w:rsidR="008B3464" w:rsidRDefault="00837D70">
            <w:pPr>
              <w:spacing w:line="270" w:lineRule="auto"/>
            </w:pPr>
            <w:r>
              <w:rPr>
                <w:color w:val="000000"/>
                <w:sz w:val="21"/>
                <w:szCs w:val="21"/>
              </w:rPr>
              <w:t>Charitable model</w:t>
            </w:r>
          </w:p>
        </w:tc>
      </w:tr>
    </w:tbl>
    <w:p w14:paraId="0EFD792A" w14:textId="77777777" w:rsidR="008B3464" w:rsidRPr="00FA083C" w:rsidRDefault="00837D70">
      <w:pPr>
        <w:spacing w:before="40" w:after="100"/>
        <w:rPr>
          <w:i/>
          <w:iCs/>
          <w:sz w:val="20"/>
          <w:szCs w:val="20"/>
        </w:rPr>
      </w:pPr>
      <w:r>
        <w:rPr>
          <w:i/>
          <w:iCs/>
          <w:sz w:val="20"/>
          <w:szCs w:val="20"/>
        </w:rPr>
        <w:t xml:space="preserve">Source: </w:t>
      </w:r>
      <w:r w:rsidRPr="00FA083C">
        <w:rPr>
          <w:i/>
          <w:iCs/>
          <w:sz w:val="20"/>
          <w:szCs w:val="20"/>
        </w:rPr>
        <w:t>CNBC (2024)</w:t>
      </w:r>
      <w:r>
        <w:rPr>
          <w:i/>
          <w:iCs/>
          <w:sz w:val="20"/>
          <w:szCs w:val="20"/>
        </w:rPr>
        <w:t xml:space="preserve">; </w:t>
      </w:r>
      <w:r w:rsidRPr="00FA083C">
        <w:rPr>
          <w:i/>
          <w:iCs/>
          <w:sz w:val="20"/>
          <w:szCs w:val="20"/>
        </w:rPr>
        <w:t>Porter (2008); CNBC (2024)</w:t>
      </w:r>
      <w:r>
        <w:rPr>
          <w:i/>
          <w:iCs/>
          <w:sz w:val="20"/>
          <w:szCs w:val="20"/>
        </w:rPr>
        <w:t>; company websites.</w:t>
      </w:r>
    </w:p>
    <w:p w14:paraId="32D60B03" w14:textId="23BA758E" w:rsidR="00E178D2" w:rsidRDefault="00E178D2">
      <w:pPr>
        <w:spacing w:after="120" w:line="360" w:lineRule="auto"/>
        <w:jc w:val="both"/>
      </w:pPr>
      <w:r>
        <w:t xml:space="preserve">One of the most important points is that TGTG is clearly a scale leader with 130M users compared to the 8M that had OLIO, but there are three strategically important dimensions that are more heterogeneous. Transparency: Karma's transparency at the item level directly addresses the surprise-bag information asymmetry. B2B integration: Phenix's comprehensive solution is a new product category to the market in continental Europe. Mission purity: This non-profit-leaning framing sets OLIO up with a moral positioning that </w:t>
      </w:r>
      <w:r w:rsidRPr="00FA083C">
        <w:t>a profitable B-corp cannot achieve</w:t>
      </w:r>
      <w:r>
        <w:t xml:space="preserve">. The biggest competitive threat is not one competitor displacing another but death by a thousand niches – a slow death from competitors that are filling in segments that </w:t>
      </w:r>
      <w:r w:rsidRPr="00FA083C">
        <w:t>TGTG cannot fill</w:t>
      </w:r>
      <w:r>
        <w:t xml:space="preserve"> optimally.</w:t>
      </w:r>
    </w:p>
    <w:p w14:paraId="1D4B07BA" w14:textId="77777777" w:rsidR="008B3464" w:rsidRDefault="00837D70">
      <w:pPr>
        <w:pStyle w:val="Heading1"/>
        <w:spacing w:line="360" w:lineRule="auto"/>
      </w:pPr>
      <w:bookmarkStart w:id="11" w:name="_Toc233333073"/>
      <w:r>
        <w:lastRenderedPageBreak/>
        <w:t>Element 3: 4Ps, Market Segmentation and Marketing Strategies</w:t>
      </w:r>
      <w:bookmarkEnd w:id="11"/>
    </w:p>
    <w:p w14:paraId="6274369F" w14:textId="77777777" w:rsidR="008B3464" w:rsidRDefault="00837D70">
      <w:pPr>
        <w:pStyle w:val="Heading2"/>
        <w:spacing w:line="360" w:lineRule="auto"/>
      </w:pPr>
      <w:bookmarkStart w:id="12" w:name="_Toc233333074"/>
      <w:r>
        <w:t>3.1 Market Segmentation</w:t>
      </w:r>
      <w:bookmarkEnd w:id="12"/>
    </w:p>
    <w:p w14:paraId="60E50EFB" w14:textId="06D46868" w:rsidR="007F3FDF" w:rsidRDefault="007F3FDF">
      <w:pPr>
        <w:spacing w:after="120" w:line="360" w:lineRule="auto"/>
        <w:jc w:val="both"/>
      </w:pPr>
      <w:r>
        <w:t xml:space="preserve">For effective marketing, it is necessary to identify coherent groups of customers (Kotler and Armstrong, 2021). TGTG is a multi-sided platform which, as such, requires segmentation on both sides – something that </w:t>
      </w:r>
      <w:r w:rsidRPr="00FA083C">
        <w:t>Kotler and Armstrong (2021) describe</w:t>
      </w:r>
      <w:r>
        <w:t xml:space="preserve"> as key characteristics of platform businesses.</w:t>
      </w:r>
    </w:p>
    <w:p w14:paraId="4E5AAC6F" w14:textId="77777777" w:rsidR="008B3464" w:rsidRDefault="00837D70">
      <w:pPr>
        <w:spacing w:after="60" w:line="360" w:lineRule="auto"/>
        <w:jc w:val="center"/>
      </w:pPr>
      <w:r>
        <w:rPr>
          <w:b/>
          <w:bCs/>
          <w:color w:val="000000"/>
          <w:sz w:val="22"/>
          <w:szCs w:val="22"/>
        </w:rPr>
        <w:t>Figure 4: Market Segmentation of Too Good To Go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6"/>
        <w:gridCol w:w="7320"/>
      </w:tblGrid>
      <w:tr w:rsidR="008B3464" w14:paraId="041A4F6E"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795F458" w14:textId="77777777" w:rsidR="008B3464" w:rsidRDefault="00837D70">
            <w:pPr>
              <w:spacing w:line="276" w:lineRule="auto"/>
              <w:jc w:val="center"/>
            </w:pPr>
            <w:r>
              <w:rPr>
                <w:b/>
                <w:bCs/>
                <w:color w:val="FFFFFF"/>
                <w:sz w:val="22"/>
                <w:szCs w:val="22"/>
              </w:rPr>
              <w:t>Segmentation Basis</w:t>
            </w:r>
          </w:p>
        </w:tc>
        <w:tc>
          <w:tcPr>
            <w:tcW w:w="752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ECB9B87" w14:textId="77777777" w:rsidR="008B3464" w:rsidRDefault="00837D70">
            <w:pPr>
              <w:spacing w:line="276" w:lineRule="auto"/>
              <w:jc w:val="center"/>
            </w:pPr>
            <w:r>
              <w:rPr>
                <w:b/>
                <w:bCs/>
                <w:color w:val="FFFFFF"/>
                <w:sz w:val="22"/>
                <w:szCs w:val="22"/>
              </w:rPr>
              <w:t>Application to Too Good To Go</w:t>
            </w:r>
          </w:p>
        </w:tc>
      </w:tr>
      <w:tr w:rsidR="008B3464" w14:paraId="6F9E37A8"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065EA15" w14:textId="77777777" w:rsidR="008B3464" w:rsidRDefault="00837D70">
            <w:pPr>
              <w:spacing w:line="270" w:lineRule="auto"/>
            </w:pPr>
            <w:r>
              <w:rPr>
                <w:b/>
                <w:bCs/>
                <w:color w:val="000000"/>
                <w:sz w:val="21"/>
                <w:szCs w:val="21"/>
              </w:rPr>
              <w:t>Demographic</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0D1E72B" w14:textId="3FD1977D" w:rsidR="008B3464" w:rsidRDefault="00047409">
            <w:pPr>
              <w:spacing w:line="270" w:lineRule="auto"/>
            </w:pPr>
            <w:r>
              <w:rPr>
                <w:color w:val="000000"/>
                <w:sz w:val="21"/>
                <w:szCs w:val="21"/>
              </w:rPr>
              <w:t>Primary audience: 18-44 years, urban, moderately tech-literate, evenly split between male and female. Secondary segment: those lower-income households that are willing to pay the price cut as the main motivator. Partner businesses range from single-trader bakeries to large chains of grocery stores.</w:t>
            </w:r>
          </w:p>
        </w:tc>
      </w:tr>
      <w:tr w:rsidR="008B3464" w14:paraId="73ACA9E5"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3CA2ADC" w14:textId="77777777" w:rsidR="008B3464" w:rsidRDefault="00837D70">
            <w:pPr>
              <w:spacing w:line="270" w:lineRule="auto"/>
            </w:pPr>
            <w:r>
              <w:rPr>
                <w:b/>
                <w:bCs/>
                <w:color w:val="000000"/>
                <w:sz w:val="21"/>
                <w:szCs w:val="21"/>
              </w:rPr>
              <w:t>Geographic</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DDAF318" w14:textId="3E55E1C8" w:rsidR="008B3464" w:rsidRDefault="007B6DC3">
            <w:pPr>
              <w:spacing w:line="270" w:lineRule="auto"/>
            </w:pPr>
            <w:r>
              <w:rPr>
                <w:color w:val="000000"/>
                <w:sz w:val="21"/>
                <w:szCs w:val="21"/>
              </w:rPr>
              <w:t>Geographically concentrated in urban centres in 21 markets across Europe (core: Denmark, France, Germany, the UK, and Italy), North America (US and Canada) and Asia-Pacific (Japan, Australia, and New Zealand). Structural rural penetration requires overcoming the logistics density constraint.</w:t>
            </w:r>
          </w:p>
        </w:tc>
      </w:tr>
      <w:tr w:rsidR="008B3464" w14:paraId="7D16F8E2"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1FEAFA6" w14:textId="77777777" w:rsidR="008B3464" w:rsidRDefault="00837D70">
            <w:pPr>
              <w:spacing w:line="270" w:lineRule="auto"/>
            </w:pPr>
            <w:r>
              <w:rPr>
                <w:b/>
                <w:bCs/>
                <w:color w:val="000000"/>
                <w:sz w:val="21"/>
                <w:szCs w:val="21"/>
              </w:rPr>
              <w:t>Psychographic</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2A55E13" w14:textId="52346290" w:rsidR="008B3464" w:rsidRPr="00FA083C" w:rsidRDefault="00FD0056">
            <w:pPr>
              <w:spacing w:line="270" w:lineRule="auto"/>
              <w:rPr>
                <w:color w:val="000000"/>
                <w:sz w:val="21"/>
                <w:szCs w:val="21"/>
              </w:rPr>
            </w:pPr>
            <w:r w:rsidRPr="00FA083C">
              <w:rPr>
                <w:color w:val="000000"/>
                <w:sz w:val="21"/>
                <w:szCs w:val="21"/>
              </w:rPr>
              <w:t>Environmentally conscious ‘Waste Warriors’ with an interest in climate action and sustainability beliefs. Price-rational consumers are interested in value; experimental food-curious users are interested in the discovery format. Relates to the ‘conscious consumer' archetype defined by Kotler and Armstrong (2021).</w:t>
            </w:r>
          </w:p>
        </w:tc>
      </w:tr>
      <w:tr w:rsidR="008B3464" w14:paraId="34732E3F"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556EB36" w14:textId="77777777" w:rsidR="008B3464" w:rsidRDefault="00837D70">
            <w:pPr>
              <w:spacing w:line="270" w:lineRule="auto"/>
            </w:pPr>
            <w:r>
              <w:rPr>
                <w:b/>
                <w:bCs/>
                <w:color w:val="000000"/>
                <w:sz w:val="21"/>
                <w:szCs w:val="21"/>
              </w:rPr>
              <w:t>Behavioural</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28A733A" w14:textId="0DC89671" w:rsidR="008B3464" w:rsidRPr="00FA083C" w:rsidRDefault="00D95722">
            <w:pPr>
              <w:spacing w:line="270" w:lineRule="auto"/>
              <w:rPr>
                <w:color w:val="000000"/>
                <w:sz w:val="21"/>
                <w:szCs w:val="21"/>
              </w:rPr>
            </w:pPr>
            <w:r w:rsidRPr="00FA083C">
              <w:rPr>
                <w:color w:val="000000"/>
                <w:sz w:val="21"/>
                <w:szCs w:val="21"/>
              </w:rPr>
              <w:t>Three main user behaviours are opportunistic bookers (single use), regular repeat bookers (book on the cheap), and brand-loyal waste warriors promoting the app. Sticky core user base, as per the Too Good To Go ApS (2025), with an estimated 100,000 bags saved each day, across all markets.</w:t>
            </w:r>
          </w:p>
        </w:tc>
      </w:tr>
    </w:tbl>
    <w:p w14:paraId="41C1E6E0" w14:textId="77777777" w:rsidR="008B3464" w:rsidRPr="00FA083C" w:rsidRDefault="00837D70" w:rsidP="00FA083C">
      <w:pPr>
        <w:spacing w:before="40" w:after="100"/>
        <w:jc w:val="center"/>
        <w:rPr>
          <w:i/>
          <w:iCs/>
          <w:sz w:val="20"/>
          <w:szCs w:val="20"/>
        </w:rPr>
      </w:pPr>
      <w:r>
        <w:rPr>
          <w:i/>
          <w:iCs/>
          <w:sz w:val="20"/>
          <w:szCs w:val="20"/>
        </w:rPr>
        <w:t xml:space="preserve">Source: Author’s analysis adapted from Kotler and Armstrong (2021); </w:t>
      </w:r>
      <w:r w:rsidRPr="00FA083C">
        <w:rPr>
          <w:i/>
          <w:iCs/>
          <w:sz w:val="20"/>
          <w:szCs w:val="20"/>
        </w:rPr>
        <w:t>Kotler and Armstrong (2021)</w:t>
      </w:r>
      <w:r>
        <w:rPr>
          <w:i/>
          <w:iCs/>
          <w:sz w:val="20"/>
          <w:szCs w:val="20"/>
        </w:rPr>
        <w:t>; Too Good To Go (2026a).</w:t>
      </w:r>
    </w:p>
    <w:p w14:paraId="0F4883B3" w14:textId="4C8812B2" w:rsidR="00AC7C7A" w:rsidRDefault="00837D70">
      <w:pPr>
        <w:spacing w:after="120" w:line="360" w:lineRule="auto"/>
        <w:jc w:val="both"/>
      </w:pPr>
      <w:r>
        <w:t>Critically, these two largest consumer groups – the “Waste Warriors” and the “budget shoppers” – are reacting for different reasons. Climate-impact messaging can turn off price-rational consumers, and heavy discount messaging can blur the mission-led brand promise. The challenge of simultaneously managing both segments without undermining either appeal is one of the most challenging strategic issues at TGTG (Mair and Marti, 2006).</w:t>
      </w:r>
    </w:p>
    <w:p w14:paraId="4191BCA2" w14:textId="77777777" w:rsidR="008B3464" w:rsidRDefault="00837D70">
      <w:pPr>
        <w:pStyle w:val="Heading2"/>
        <w:spacing w:line="360" w:lineRule="auto"/>
      </w:pPr>
      <w:bookmarkStart w:id="13" w:name="_Toc233333075"/>
      <w:r>
        <w:lastRenderedPageBreak/>
        <w:t>3.2 The Marketing Mix (Extended 7Ps)</w:t>
      </w:r>
      <w:bookmarkEnd w:id="13"/>
    </w:p>
    <w:p w14:paraId="50211ACD" w14:textId="67229FF9" w:rsidR="00AC7C7A" w:rsidRDefault="00AC7C7A">
      <w:pPr>
        <w:spacing w:after="120" w:line="360" w:lineRule="auto"/>
        <w:jc w:val="both"/>
      </w:pPr>
      <w:r>
        <w:t>Booms and Bitner (1981) adapted McCarthy's (1960) 4Ps for a 7Ps services-marketing mix and added the three elements of People, Process and Physical Evidence, which are especially important for service businesses like platform businesses.</w:t>
      </w:r>
    </w:p>
    <w:p w14:paraId="537F7E3F" w14:textId="77777777" w:rsidR="008B3464" w:rsidRDefault="00837D70">
      <w:pPr>
        <w:spacing w:after="60" w:line="360" w:lineRule="auto"/>
        <w:jc w:val="center"/>
      </w:pPr>
      <w:r>
        <w:rPr>
          <w:b/>
          <w:bCs/>
          <w:color w:val="000000"/>
          <w:sz w:val="22"/>
          <w:szCs w:val="22"/>
        </w:rPr>
        <w:t>Figure 5: Critical Evaluation of Too Good To Go’s 7Ps Marketing Mix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5"/>
        <w:gridCol w:w="3760"/>
        <w:gridCol w:w="3761"/>
      </w:tblGrid>
      <w:tr w:rsidR="008B3464" w14:paraId="6B227939"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5D1B0E7A" w14:textId="77777777" w:rsidR="008B3464" w:rsidRDefault="00837D70">
            <w:pPr>
              <w:spacing w:line="276" w:lineRule="auto"/>
              <w:jc w:val="center"/>
            </w:pPr>
            <w:r>
              <w:rPr>
                <w:b/>
                <w:bCs/>
                <w:color w:val="FFFFFF"/>
                <w:sz w:val="22"/>
                <w:szCs w:val="22"/>
              </w:rPr>
              <w:t>Marketing Mix</w:t>
            </w:r>
          </w:p>
        </w:tc>
        <w:tc>
          <w:tcPr>
            <w:tcW w:w="376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7207451F" w14:textId="77777777" w:rsidR="008B3464" w:rsidRDefault="00837D70">
            <w:pPr>
              <w:spacing w:line="276" w:lineRule="auto"/>
              <w:jc w:val="center"/>
            </w:pPr>
            <w:r>
              <w:rPr>
                <w:b/>
                <w:bCs/>
                <w:color w:val="FFFFFF"/>
                <w:sz w:val="22"/>
                <w:szCs w:val="22"/>
              </w:rPr>
              <w:t>Application to TGTG</w:t>
            </w:r>
          </w:p>
        </w:tc>
        <w:tc>
          <w:tcPr>
            <w:tcW w:w="376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BF39832" w14:textId="77777777" w:rsidR="008B3464" w:rsidRDefault="00837D70">
            <w:pPr>
              <w:spacing w:line="276" w:lineRule="auto"/>
              <w:jc w:val="center"/>
            </w:pPr>
            <w:r>
              <w:rPr>
                <w:b/>
                <w:bCs/>
                <w:color w:val="FFFFFF"/>
                <w:sz w:val="22"/>
                <w:szCs w:val="22"/>
              </w:rPr>
              <w:t>Critical Evaluation</w:t>
            </w:r>
          </w:p>
        </w:tc>
      </w:tr>
      <w:tr w:rsidR="008B3464" w14:paraId="15A95A46"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4916F5A" w14:textId="77777777" w:rsidR="008B3464" w:rsidRDefault="00837D70">
            <w:pPr>
              <w:spacing w:line="270" w:lineRule="auto"/>
            </w:pPr>
            <w:r>
              <w:rPr>
                <w:b/>
                <w:bCs/>
                <w:color w:val="000000"/>
                <w:sz w:val="21"/>
                <w:szCs w:val="21"/>
              </w:rPr>
              <w:t>Product</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A699C0B" w14:textId="77777777" w:rsidR="008B3464" w:rsidRDefault="00837D70">
            <w:pPr>
              <w:spacing w:line="270" w:lineRule="auto"/>
            </w:pPr>
            <w:r>
              <w:rPr>
                <w:color w:val="000000"/>
                <w:sz w:val="21"/>
                <w:szCs w:val="21"/>
              </w:rPr>
              <w:t>Surprise Bags; Parcels; Platform (B2B SaaS); impact reporting</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09455B8" w14:textId="77777777" w:rsidR="008B3464" w:rsidRDefault="00837D70">
            <w:pPr>
              <w:spacing w:line="270" w:lineRule="auto"/>
            </w:pPr>
            <w:r>
              <w:rPr>
                <w:color w:val="000000"/>
                <w:sz w:val="21"/>
                <w:szCs w:val="21"/>
              </w:rPr>
              <w:t>Multi-sided platform (Rochet and Tirole, 2003); blind-bag opacity creates dietary risk (Akerlof, 1970).</w:t>
            </w:r>
          </w:p>
        </w:tc>
      </w:tr>
      <w:tr w:rsidR="008B3464" w14:paraId="3CBB7990"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CF8EE86" w14:textId="77777777" w:rsidR="008B3464" w:rsidRDefault="00837D70">
            <w:pPr>
              <w:spacing w:line="270" w:lineRule="auto"/>
            </w:pPr>
            <w:r>
              <w:rPr>
                <w:b/>
                <w:bCs/>
                <w:color w:val="000000"/>
                <w:sz w:val="21"/>
                <w:szCs w:val="21"/>
              </w:rPr>
              <w:t>Price</w:t>
            </w:r>
          </w:p>
        </w:tc>
        <w:tc>
          <w:tcPr>
            <w:tcW w:w="376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4E33BE9" w14:textId="77777777" w:rsidR="008B3464" w:rsidRDefault="00837D70">
            <w:pPr>
              <w:spacing w:line="270" w:lineRule="auto"/>
            </w:pPr>
            <w:r>
              <w:rPr>
                <w:color w:val="000000"/>
                <w:sz w:val="21"/>
                <w:szCs w:val="21"/>
              </w:rPr>
              <w:t>~33% retail; ~$1.79/bag commission; $89/yr partner fee</w:t>
            </w:r>
          </w:p>
        </w:tc>
        <w:tc>
          <w:tcPr>
            <w:tcW w:w="376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C7E1A15" w14:textId="77777777" w:rsidR="008B3464" w:rsidRDefault="00837D70">
            <w:pPr>
              <w:spacing w:line="270" w:lineRule="auto"/>
            </w:pPr>
            <w:r>
              <w:rPr>
                <w:color w:val="000000"/>
                <w:sz w:val="21"/>
                <w:szCs w:val="21"/>
              </w:rPr>
              <w:t>Hybrid commission + SaaS. Discount-led pricing creates margin ceiling.</w:t>
            </w:r>
          </w:p>
        </w:tc>
      </w:tr>
      <w:tr w:rsidR="008B3464" w14:paraId="1A30258A"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F334C5F" w14:textId="77777777" w:rsidR="008B3464" w:rsidRDefault="00837D70">
            <w:pPr>
              <w:spacing w:line="270" w:lineRule="auto"/>
            </w:pPr>
            <w:r>
              <w:rPr>
                <w:b/>
                <w:bCs/>
                <w:color w:val="000000"/>
                <w:sz w:val="21"/>
                <w:szCs w:val="21"/>
              </w:rPr>
              <w:t>Place</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E05C827" w14:textId="77777777" w:rsidR="008B3464" w:rsidRDefault="00837D70">
            <w:pPr>
              <w:spacing w:line="270" w:lineRule="auto"/>
            </w:pPr>
            <w:r>
              <w:rPr>
                <w:color w:val="000000"/>
                <w:sz w:val="21"/>
                <w:szCs w:val="21"/>
              </w:rPr>
              <w:t>iOS/Android; click-and-collect; 21 countries</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EDC72E1" w14:textId="77777777" w:rsidR="008B3464" w:rsidRDefault="00837D70">
            <w:pPr>
              <w:spacing w:line="270" w:lineRule="auto"/>
            </w:pPr>
            <w:r>
              <w:rPr>
                <w:color w:val="000000"/>
                <w:sz w:val="21"/>
                <w:szCs w:val="21"/>
              </w:rPr>
              <w:t>Asset-light digital; pickup-only excludes mobility-impaired and rural users.</w:t>
            </w:r>
          </w:p>
        </w:tc>
      </w:tr>
      <w:tr w:rsidR="008B3464" w14:paraId="6F5CAD5D"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41CE617" w14:textId="77777777" w:rsidR="008B3464" w:rsidRDefault="00837D70">
            <w:pPr>
              <w:spacing w:line="270" w:lineRule="auto"/>
            </w:pPr>
            <w:r>
              <w:rPr>
                <w:b/>
                <w:bCs/>
                <w:color w:val="000000"/>
                <w:sz w:val="21"/>
                <w:szCs w:val="21"/>
              </w:rPr>
              <w:t>Promotion</w:t>
            </w:r>
          </w:p>
        </w:tc>
        <w:tc>
          <w:tcPr>
            <w:tcW w:w="376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3B3DAB9" w14:textId="77777777" w:rsidR="008B3464" w:rsidRDefault="00837D70">
            <w:pPr>
              <w:spacing w:line="270" w:lineRule="auto"/>
            </w:pPr>
            <w:r>
              <w:rPr>
                <w:color w:val="000000"/>
                <w:sz w:val="21"/>
                <w:szCs w:val="21"/>
              </w:rPr>
              <w:t>Waste Warrior narrative; TikTok/Instagram; influencers; B Corp</w:t>
            </w:r>
          </w:p>
        </w:tc>
        <w:tc>
          <w:tcPr>
            <w:tcW w:w="376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5DAA0EE" w14:textId="77777777" w:rsidR="008B3464" w:rsidRDefault="00837D70">
            <w:pPr>
              <w:spacing w:line="270" w:lineRule="auto"/>
            </w:pPr>
            <w:r>
              <w:rPr>
                <w:color w:val="000000"/>
                <w:sz w:val="21"/>
                <w:szCs w:val="21"/>
              </w:rPr>
              <w:t>UGC amplifies reach; sustainability framing creates reputational dependency.</w:t>
            </w:r>
          </w:p>
        </w:tc>
      </w:tr>
      <w:tr w:rsidR="008B3464" w14:paraId="497DA21A"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173BFFF" w14:textId="77777777" w:rsidR="008B3464" w:rsidRDefault="00837D70">
            <w:pPr>
              <w:spacing w:line="270" w:lineRule="auto"/>
            </w:pPr>
            <w:r>
              <w:rPr>
                <w:b/>
                <w:bCs/>
                <w:color w:val="000000"/>
                <w:sz w:val="21"/>
                <w:szCs w:val="21"/>
              </w:rPr>
              <w:t>People</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099732D" w14:textId="77777777" w:rsidR="008B3464" w:rsidRDefault="00837D70">
            <w:pPr>
              <w:spacing w:line="270" w:lineRule="auto"/>
            </w:pPr>
            <w:r>
              <w:rPr>
                <w:color w:val="000000"/>
                <w:sz w:val="21"/>
                <w:szCs w:val="21"/>
              </w:rPr>
              <w:t>1,300 staff; CEO Mette Lykke; localised partner teams</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9E46182" w14:textId="77777777" w:rsidR="008B3464" w:rsidRDefault="00837D70">
            <w:pPr>
              <w:spacing w:line="270" w:lineRule="auto"/>
            </w:pPr>
            <w:r>
              <w:rPr>
                <w:color w:val="000000"/>
                <w:sz w:val="21"/>
                <w:szCs w:val="21"/>
              </w:rPr>
              <w:t>Service quality depends on partner staff, not TGTG employees (Booms and Bitner, 1981).</w:t>
            </w:r>
          </w:p>
        </w:tc>
      </w:tr>
      <w:tr w:rsidR="008B3464" w14:paraId="15FDBEBF"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3C08C3E" w14:textId="77777777" w:rsidR="008B3464" w:rsidRDefault="00837D70">
            <w:pPr>
              <w:spacing w:line="270" w:lineRule="auto"/>
            </w:pPr>
            <w:r>
              <w:rPr>
                <w:b/>
                <w:bCs/>
                <w:color w:val="000000"/>
                <w:sz w:val="21"/>
                <w:szCs w:val="21"/>
              </w:rPr>
              <w:t>Process</w:t>
            </w:r>
          </w:p>
        </w:tc>
        <w:tc>
          <w:tcPr>
            <w:tcW w:w="376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CD12DB2" w14:textId="77777777" w:rsidR="008B3464" w:rsidRDefault="00837D70">
            <w:pPr>
              <w:spacing w:line="270" w:lineRule="auto"/>
            </w:pPr>
            <w:r>
              <w:rPr>
                <w:color w:val="000000"/>
                <w:sz w:val="21"/>
                <w:szCs w:val="21"/>
              </w:rPr>
              <w:t>List – reserve – pay – collect – swipe – review</w:t>
            </w:r>
          </w:p>
        </w:tc>
        <w:tc>
          <w:tcPr>
            <w:tcW w:w="376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FD2D337" w14:textId="77777777" w:rsidR="008B3464" w:rsidRPr="00575B92" w:rsidRDefault="00837D70">
            <w:pPr>
              <w:spacing w:line="270" w:lineRule="auto"/>
              <w:rPr>
                <w:color w:val="000000"/>
                <w:sz w:val="21"/>
                <w:szCs w:val="21"/>
              </w:rPr>
            </w:pPr>
            <w:r>
              <w:rPr>
                <w:color w:val="000000"/>
                <w:sz w:val="21"/>
                <w:szCs w:val="21"/>
              </w:rPr>
              <w:t>Simple/replicable but vulnerable to day-of partner cancellations.</w:t>
            </w:r>
          </w:p>
        </w:tc>
      </w:tr>
      <w:tr w:rsidR="008B3464" w14:paraId="18E2BEDA"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28B7017" w14:textId="77777777" w:rsidR="008B3464" w:rsidRDefault="00837D70">
            <w:pPr>
              <w:spacing w:line="270" w:lineRule="auto"/>
            </w:pPr>
            <w:r>
              <w:rPr>
                <w:b/>
                <w:bCs/>
                <w:color w:val="000000"/>
                <w:sz w:val="21"/>
                <w:szCs w:val="21"/>
              </w:rPr>
              <w:t>Physical Evidence</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A57FFDD" w14:textId="77777777" w:rsidR="008B3464" w:rsidRDefault="00837D70">
            <w:pPr>
              <w:spacing w:line="270" w:lineRule="auto"/>
            </w:pPr>
            <w:r>
              <w:rPr>
                <w:color w:val="000000"/>
                <w:sz w:val="21"/>
                <w:szCs w:val="21"/>
              </w:rPr>
              <w:t>App interface; surprise bag; in-app impact metrics</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CFFB580" w14:textId="77777777" w:rsidR="008B3464" w:rsidRPr="00575B92" w:rsidRDefault="00837D70">
            <w:pPr>
              <w:spacing w:line="270" w:lineRule="auto"/>
              <w:rPr>
                <w:color w:val="000000"/>
                <w:sz w:val="21"/>
                <w:szCs w:val="21"/>
              </w:rPr>
            </w:pPr>
            <w:r w:rsidRPr="00575B92">
              <w:rPr>
                <w:color w:val="000000"/>
                <w:sz w:val="21"/>
                <w:szCs w:val="21"/>
              </w:rPr>
              <w:t>Visible impact metrics sustain mission promise; accuracy contested (Bocken et al., 2014).</w:t>
            </w:r>
          </w:p>
        </w:tc>
      </w:tr>
    </w:tbl>
    <w:p w14:paraId="4DC07262" w14:textId="77777777" w:rsidR="008B3464" w:rsidRPr="00575B92" w:rsidRDefault="00837D70">
      <w:pPr>
        <w:spacing w:before="40" w:after="100"/>
        <w:rPr>
          <w:i/>
          <w:iCs/>
          <w:sz w:val="20"/>
          <w:szCs w:val="20"/>
        </w:rPr>
      </w:pPr>
      <w:r>
        <w:rPr>
          <w:i/>
          <w:iCs/>
          <w:sz w:val="20"/>
          <w:szCs w:val="20"/>
        </w:rPr>
        <w:t xml:space="preserve">Source: Author’s analysis applying </w:t>
      </w:r>
      <w:r w:rsidRPr="00575B92">
        <w:rPr>
          <w:i/>
          <w:iCs/>
          <w:sz w:val="20"/>
          <w:szCs w:val="20"/>
        </w:rPr>
        <w:t>Booms and Bitner (1981); Akerlof (1970); Bocken et al. (2014)</w:t>
      </w:r>
      <w:r>
        <w:rPr>
          <w:i/>
          <w:iCs/>
          <w:sz w:val="20"/>
          <w:szCs w:val="20"/>
        </w:rPr>
        <w:t>.</w:t>
      </w:r>
    </w:p>
    <w:p w14:paraId="6AF0F47D" w14:textId="2E7219C6" w:rsidR="008B3464" w:rsidRDefault="0016305A">
      <w:pPr>
        <w:spacing w:after="120" w:line="360" w:lineRule="auto"/>
        <w:jc w:val="both"/>
      </w:pPr>
      <w:r>
        <w:t xml:space="preserve">Two themes emerge. The elements of TGTG that can be controlled directly (Product, Promotion, and Physical Evidence) </w:t>
      </w:r>
      <w:r w:rsidRPr="00575B92">
        <w:t>are robustly managed; those mediated by partners</w:t>
      </w:r>
      <w:r>
        <w:t xml:space="preserve"> (People and Process) have structural service-quality risk, which cannot be fully addressed without changing the business model. Second, promotion is particularly tied to the legitimacy of the narrative, so that, in contrast to traditional advertising, a social-mission narrative </w:t>
      </w:r>
      <w:r w:rsidRPr="00575B92">
        <w:t>may be readily undermined</w:t>
      </w:r>
      <w:r>
        <w:t xml:space="preserve"> if the greenwashing critique were to get traction.</w:t>
      </w:r>
    </w:p>
    <w:p w14:paraId="6A538856" w14:textId="5BC31791" w:rsidR="00575B92" w:rsidRDefault="00575B92">
      <w:pPr>
        <w:spacing w:after="120" w:line="360" w:lineRule="auto"/>
        <w:jc w:val="both"/>
      </w:pPr>
    </w:p>
    <w:p w14:paraId="666BF7C1" w14:textId="77777777" w:rsidR="00575B92" w:rsidRDefault="00575B92">
      <w:pPr>
        <w:spacing w:after="120" w:line="360" w:lineRule="auto"/>
        <w:jc w:val="both"/>
      </w:pPr>
    </w:p>
    <w:p w14:paraId="38E045EA" w14:textId="77777777" w:rsidR="008B3464" w:rsidRDefault="00837D70">
      <w:pPr>
        <w:pStyle w:val="Heading2"/>
        <w:spacing w:line="360" w:lineRule="auto"/>
      </w:pPr>
      <w:bookmarkStart w:id="14" w:name="_Toc233333076"/>
      <w:r>
        <w:lastRenderedPageBreak/>
        <w:t>3.3 Online Marketing Strategies</w:t>
      </w:r>
      <w:bookmarkEnd w:id="14"/>
    </w:p>
    <w:p w14:paraId="13EF38A9" w14:textId="77777777" w:rsidR="00F671F7" w:rsidRDefault="00F671F7" w:rsidP="00F671F7">
      <w:pPr>
        <w:spacing w:after="120" w:line="360" w:lineRule="auto"/>
        <w:jc w:val="both"/>
      </w:pPr>
      <w:r>
        <w:t xml:space="preserve">TGTG's strategy is a representation of Chaffey and Ellis-Chadwick's (2019) digital marketing integrated strategy. TikTok and Instagram are doing cause-based storytelling while delivering utility content, which is highly engaging at low CPA. Extending reach </w:t>
      </w:r>
      <w:r w:rsidRPr="00575B92">
        <w:t>(Too Good To Go, 2026)</w:t>
      </w:r>
      <w:r>
        <w:t xml:space="preserve"> is a benefit of cause-led influencer partnerships </w:t>
      </w:r>
      <w:r w:rsidRPr="00575B92">
        <w:t>(Chaffey and Ellis-Chadwick, 2019)</w:t>
      </w:r>
      <w:r>
        <w:t>. SEO aims for long-tail keywords; in-app and email lifecycle campaigns are CRM.</w:t>
      </w:r>
    </w:p>
    <w:p w14:paraId="7C8B4728" w14:textId="3F363E00" w:rsidR="00F671F7" w:rsidRDefault="00F671F7" w:rsidP="00F671F7">
      <w:pPr>
        <w:spacing w:after="120" w:line="360" w:lineRule="auto"/>
        <w:jc w:val="both"/>
      </w:pPr>
      <w:r>
        <w:t>Critically, there are three caveats. First, app-store dependency: the customer-acquisition funnel goes through Apple and Google, thus introducing platform-policy risk and compression of commission which TGTG cannot manage on its own (</w:t>
      </w:r>
      <w:r w:rsidRPr="00575B92">
        <w:t>Cusumano, Gawer and Yoffie, 2019</w:t>
      </w:r>
      <w:r>
        <w:t xml:space="preserve">). Second, social media dependence leads to reputational concentration, whereby a single moderation crisis can be a blow to the brand's reputation. Finally, localised content costs increase in a non-linear fashion as TGTG moves into linguistically diverse areas, which increases the marginal cost of entering new markets and limits the geographic scaling rate. </w:t>
      </w:r>
    </w:p>
    <w:p w14:paraId="7C694C1D" w14:textId="77777777" w:rsidR="008B3464" w:rsidRDefault="00837D70">
      <w:r>
        <w:br w:type="page"/>
      </w:r>
    </w:p>
    <w:p w14:paraId="6E99F94E" w14:textId="77777777" w:rsidR="008B3464" w:rsidRDefault="00837D70">
      <w:pPr>
        <w:pStyle w:val="Heading1"/>
        <w:spacing w:line="360" w:lineRule="auto"/>
      </w:pPr>
      <w:bookmarkStart w:id="15" w:name="_Toc233333077"/>
      <w:r>
        <w:lastRenderedPageBreak/>
        <w:t>Element 4: Financial Planning</w:t>
      </w:r>
      <w:bookmarkEnd w:id="15"/>
    </w:p>
    <w:p w14:paraId="23FE2072" w14:textId="77777777" w:rsidR="008B3464" w:rsidRDefault="00837D70">
      <w:pPr>
        <w:pStyle w:val="Heading2"/>
        <w:spacing w:line="360" w:lineRule="auto"/>
      </w:pPr>
      <w:bookmarkStart w:id="16" w:name="_Toc233333078"/>
      <w:r>
        <w:t>4.1 Financial Growth Trajectory</w:t>
      </w:r>
      <w:bookmarkEnd w:id="16"/>
    </w:p>
    <w:p w14:paraId="6AD2160B" w14:textId="227E545C" w:rsidR="00F671F7" w:rsidRDefault="00F671F7">
      <w:pPr>
        <w:spacing w:after="120" w:line="360" w:lineRule="auto"/>
        <w:jc w:val="both"/>
      </w:pPr>
      <w:r>
        <w:t>In order to understand TGTG's trajectory, it needs to be understood in the context of its hybrid social-enterprise model. Pre-2023 data is estimated based on information from press releases, and the Danish operating entity has had audited accounts since 2019 (Too Good To Go ApS, 2025).</w:t>
      </w:r>
    </w:p>
    <w:p w14:paraId="235BA788" w14:textId="77777777" w:rsidR="008B3464" w:rsidRDefault="00837D70">
      <w:pPr>
        <w:spacing w:after="60" w:line="360" w:lineRule="auto"/>
        <w:jc w:val="center"/>
      </w:pPr>
      <w:r>
        <w:rPr>
          <w:b/>
          <w:bCs/>
          <w:color w:val="000000"/>
          <w:sz w:val="22"/>
          <w:szCs w:val="22"/>
        </w:rPr>
        <w:t>Figure 6: Too Good To Go Financial Performance Trajectory (2019–2025e)</w:t>
      </w:r>
    </w:p>
    <w:p w14:paraId="0E36E367" w14:textId="77777777" w:rsidR="008B3464" w:rsidRDefault="00837D70">
      <w:pPr>
        <w:spacing w:after="200" w:line="360" w:lineRule="auto"/>
        <w:jc w:val="center"/>
      </w:pPr>
      <w:r>
        <w:rPr>
          <w:noProof/>
        </w:rPr>
        <w:drawing>
          <wp:inline distT="0" distB="0" distL="0" distR="0" wp14:anchorId="052BD081" wp14:editId="7CEAA0BA">
            <wp:extent cx="5486400" cy="3200400"/>
            <wp:effectExtent l="0" t="0" r="0" b="0"/>
            <wp:docPr id="100" name="Chart 1" descr="TGTG Revenu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90"/>
        <w:gridCol w:w="1505"/>
        <w:gridCol w:w="1505"/>
        <w:gridCol w:w="1505"/>
        <w:gridCol w:w="1505"/>
        <w:gridCol w:w="1716"/>
      </w:tblGrid>
      <w:tr w:rsidR="008B3464" w14:paraId="07AAD680" w14:textId="77777777">
        <w:tc>
          <w:tcPr>
            <w:tcW w:w="129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6ABE9578" w14:textId="77777777" w:rsidR="008B3464" w:rsidRDefault="00837D70">
            <w:pPr>
              <w:spacing w:line="276" w:lineRule="auto"/>
              <w:jc w:val="center"/>
            </w:pPr>
            <w:r>
              <w:rPr>
                <w:b/>
                <w:bCs/>
                <w:color w:val="FFFFFF"/>
                <w:sz w:val="22"/>
                <w:szCs w:val="22"/>
              </w:rPr>
              <w:t>Year</w:t>
            </w:r>
          </w:p>
        </w:tc>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2C791F7F" w14:textId="77777777" w:rsidR="008B3464" w:rsidRDefault="00837D70">
            <w:pPr>
              <w:spacing w:line="276" w:lineRule="auto"/>
              <w:jc w:val="center"/>
            </w:pPr>
            <w:r>
              <w:rPr>
                <w:b/>
                <w:bCs/>
                <w:color w:val="FFFFFF"/>
                <w:sz w:val="22"/>
                <w:szCs w:val="22"/>
              </w:rPr>
              <w:t>Revenue (DKK M)</w:t>
            </w:r>
          </w:p>
        </w:tc>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3DBA0B20" w14:textId="77777777" w:rsidR="008B3464" w:rsidRDefault="00837D70">
            <w:pPr>
              <w:spacing w:line="276" w:lineRule="auto"/>
              <w:jc w:val="center"/>
            </w:pPr>
            <w:r>
              <w:rPr>
                <w:b/>
                <w:bCs/>
                <w:color w:val="FFFFFF"/>
                <w:sz w:val="22"/>
                <w:szCs w:val="22"/>
              </w:rPr>
              <w:t>YoY Growth</w:t>
            </w:r>
          </w:p>
        </w:tc>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2549A91D" w14:textId="77777777" w:rsidR="008B3464" w:rsidRDefault="00837D70">
            <w:pPr>
              <w:spacing w:line="276" w:lineRule="auto"/>
              <w:jc w:val="center"/>
            </w:pPr>
            <w:r>
              <w:rPr>
                <w:b/>
                <w:bCs/>
                <w:color w:val="FFFFFF"/>
                <w:sz w:val="22"/>
                <w:szCs w:val="22"/>
              </w:rPr>
              <w:t>Profit (DKK M)</w:t>
            </w:r>
          </w:p>
        </w:tc>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5E972E3" w14:textId="77777777" w:rsidR="008B3464" w:rsidRDefault="00837D70">
            <w:pPr>
              <w:spacing w:line="276" w:lineRule="auto"/>
              <w:jc w:val="center"/>
            </w:pPr>
            <w:r>
              <w:rPr>
                <w:b/>
                <w:bCs/>
                <w:color w:val="FFFFFF"/>
                <w:sz w:val="22"/>
                <w:szCs w:val="22"/>
              </w:rPr>
              <w:t>Meals Saved (Cumul.)</w:t>
            </w:r>
          </w:p>
        </w:tc>
        <w:tc>
          <w:tcPr>
            <w:tcW w:w="1716"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37E92E88" w14:textId="77777777" w:rsidR="008B3464" w:rsidRDefault="00837D70">
            <w:pPr>
              <w:spacing w:line="276" w:lineRule="auto"/>
              <w:jc w:val="center"/>
            </w:pPr>
            <w:r>
              <w:rPr>
                <w:b/>
                <w:bCs/>
                <w:color w:val="FFFFFF"/>
                <w:sz w:val="22"/>
                <w:szCs w:val="22"/>
              </w:rPr>
              <w:t>Notable Event</w:t>
            </w:r>
          </w:p>
        </w:tc>
      </w:tr>
      <w:tr w:rsidR="008B3464" w14:paraId="4858933B" w14:textId="77777777">
        <w:tc>
          <w:tcPr>
            <w:tcW w:w="129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FF39DBA" w14:textId="77777777" w:rsidR="008B3464" w:rsidRDefault="00837D70">
            <w:pPr>
              <w:spacing w:line="270" w:lineRule="auto"/>
              <w:jc w:val="center"/>
            </w:pPr>
            <w:r>
              <w:rPr>
                <w:color w:val="000000"/>
                <w:sz w:val="21"/>
                <w:szCs w:val="21"/>
              </w:rPr>
              <w:t>2019</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FF6CF5E" w14:textId="77777777" w:rsidR="008B3464" w:rsidRDefault="00837D70">
            <w:pPr>
              <w:spacing w:line="270" w:lineRule="auto"/>
              <w:jc w:val="center"/>
            </w:pPr>
            <w:r>
              <w:rPr>
                <w:color w:val="000000"/>
                <w:sz w:val="21"/>
                <w:szCs w:val="21"/>
              </w:rPr>
              <w:t>~140</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A7E5172" w14:textId="77777777" w:rsidR="008B3464" w:rsidRDefault="00837D70">
            <w:pPr>
              <w:spacing w:line="270" w:lineRule="auto"/>
              <w:jc w:val="center"/>
            </w:pPr>
            <w:r>
              <w:rPr>
                <w:color w:val="000000"/>
                <w:sz w:val="21"/>
                <w:szCs w:val="21"/>
              </w:rPr>
              <w:t>–</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B07457A" w14:textId="77777777" w:rsidR="008B3464" w:rsidRDefault="00837D70">
            <w:pPr>
              <w:spacing w:line="270" w:lineRule="auto"/>
              <w:jc w:val="center"/>
            </w:pPr>
            <w:r>
              <w:rPr>
                <w:color w:val="000000"/>
                <w:sz w:val="21"/>
                <w:szCs w:val="21"/>
              </w:rPr>
              <w:t>(loss)</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101229B" w14:textId="77777777" w:rsidR="008B3464" w:rsidRDefault="00837D70">
            <w:pPr>
              <w:spacing w:line="270" w:lineRule="auto"/>
              <w:jc w:val="center"/>
            </w:pPr>
            <w:r>
              <w:rPr>
                <w:color w:val="000000"/>
                <w:sz w:val="21"/>
                <w:szCs w:val="21"/>
              </w:rPr>
              <w:t>~25M</w:t>
            </w:r>
          </w:p>
        </w:tc>
        <w:tc>
          <w:tcPr>
            <w:tcW w:w="171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3993A26" w14:textId="77777777" w:rsidR="008B3464" w:rsidRDefault="00837D70">
            <w:pPr>
              <w:spacing w:line="270" w:lineRule="auto"/>
              <w:jc w:val="center"/>
            </w:pPr>
            <w:r>
              <w:rPr>
                <w:color w:val="000000"/>
                <w:sz w:val="21"/>
                <w:szCs w:val="21"/>
              </w:rPr>
              <w:t>Pre-pandemic baseline</w:t>
            </w:r>
          </w:p>
        </w:tc>
      </w:tr>
      <w:tr w:rsidR="008B3464" w14:paraId="10FC7BCC" w14:textId="77777777">
        <w:tc>
          <w:tcPr>
            <w:tcW w:w="129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9151218" w14:textId="77777777" w:rsidR="008B3464" w:rsidRDefault="00837D70">
            <w:pPr>
              <w:spacing w:line="270" w:lineRule="auto"/>
              <w:jc w:val="center"/>
            </w:pPr>
            <w:r>
              <w:rPr>
                <w:color w:val="000000"/>
                <w:sz w:val="21"/>
                <w:szCs w:val="21"/>
              </w:rPr>
              <w:t>2020</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863E1D0" w14:textId="77777777" w:rsidR="008B3464" w:rsidRDefault="00837D70">
            <w:pPr>
              <w:spacing w:line="270" w:lineRule="auto"/>
              <w:jc w:val="center"/>
            </w:pPr>
            <w:r>
              <w:rPr>
                <w:color w:val="000000"/>
                <w:sz w:val="21"/>
                <w:szCs w:val="21"/>
              </w:rPr>
              <w:t>~210</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ADA99CA" w14:textId="77777777" w:rsidR="008B3464" w:rsidRDefault="00837D70">
            <w:pPr>
              <w:spacing w:line="270" w:lineRule="auto"/>
              <w:jc w:val="center"/>
            </w:pPr>
            <w:r>
              <w:rPr>
                <w:color w:val="000000"/>
                <w:sz w:val="21"/>
                <w:szCs w:val="21"/>
              </w:rPr>
              <w:t>+50%</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F4AC130" w14:textId="77777777" w:rsidR="008B3464" w:rsidRDefault="00837D70">
            <w:pPr>
              <w:spacing w:line="270" w:lineRule="auto"/>
              <w:jc w:val="center"/>
            </w:pPr>
            <w:r>
              <w:rPr>
                <w:color w:val="000000"/>
                <w:sz w:val="21"/>
                <w:szCs w:val="21"/>
              </w:rPr>
              <w:t>(loss)</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1E20A01" w14:textId="77777777" w:rsidR="008B3464" w:rsidRDefault="00837D70">
            <w:pPr>
              <w:spacing w:line="270" w:lineRule="auto"/>
              <w:jc w:val="center"/>
            </w:pPr>
            <w:r>
              <w:rPr>
                <w:color w:val="000000"/>
                <w:sz w:val="21"/>
                <w:szCs w:val="21"/>
              </w:rPr>
              <w:t>~58M</w:t>
            </w:r>
          </w:p>
        </w:tc>
        <w:tc>
          <w:tcPr>
            <w:tcW w:w="171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7A6B1B7" w14:textId="77777777" w:rsidR="008B3464" w:rsidRDefault="00837D70">
            <w:pPr>
              <w:spacing w:line="270" w:lineRule="auto"/>
              <w:jc w:val="center"/>
            </w:pPr>
            <w:r>
              <w:rPr>
                <w:color w:val="000000"/>
                <w:sz w:val="21"/>
                <w:szCs w:val="21"/>
              </w:rPr>
              <w:t>COVID-19; US launch</w:t>
            </w:r>
          </w:p>
        </w:tc>
      </w:tr>
      <w:tr w:rsidR="008B3464" w14:paraId="69E47747" w14:textId="77777777">
        <w:tc>
          <w:tcPr>
            <w:tcW w:w="129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125EB12" w14:textId="77777777" w:rsidR="008B3464" w:rsidRDefault="00837D70">
            <w:pPr>
              <w:spacing w:line="270" w:lineRule="auto"/>
              <w:jc w:val="center"/>
            </w:pPr>
            <w:r>
              <w:rPr>
                <w:color w:val="000000"/>
                <w:sz w:val="21"/>
                <w:szCs w:val="21"/>
              </w:rPr>
              <w:t>2021</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6B7E096" w14:textId="77777777" w:rsidR="008B3464" w:rsidRDefault="00837D70">
            <w:pPr>
              <w:spacing w:line="270" w:lineRule="auto"/>
              <w:jc w:val="center"/>
            </w:pPr>
            <w:r>
              <w:rPr>
                <w:color w:val="000000"/>
                <w:sz w:val="21"/>
                <w:szCs w:val="21"/>
              </w:rPr>
              <w:t>~345</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72FCC89" w14:textId="77777777" w:rsidR="008B3464" w:rsidRDefault="00837D70">
            <w:pPr>
              <w:spacing w:line="270" w:lineRule="auto"/>
              <w:jc w:val="center"/>
            </w:pPr>
            <w:r>
              <w:rPr>
                <w:color w:val="000000"/>
                <w:sz w:val="21"/>
                <w:szCs w:val="21"/>
              </w:rPr>
              <w:t>+64%</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FC668C7" w14:textId="77777777" w:rsidR="008B3464" w:rsidRDefault="00837D70">
            <w:pPr>
              <w:spacing w:line="270" w:lineRule="auto"/>
              <w:jc w:val="center"/>
            </w:pPr>
            <w:r>
              <w:rPr>
                <w:color w:val="000000"/>
                <w:sz w:val="21"/>
                <w:szCs w:val="21"/>
              </w:rPr>
              <w:t>(loss)</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9AE7F4C" w14:textId="77777777" w:rsidR="008B3464" w:rsidRDefault="00837D70">
            <w:pPr>
              <w:spacing w:line="270" w:lineRule="auto"/>
              <w:jc w:val="center"/>
            </w:pPr>
            <w:r>
              <w:rPr>
                <w:color w:val="000000"/>
                <w:sz w:val="21"/>
                <w:szCs w:val="21"/>
              </w:rPr>
              <w:t>~93M</w:t>
            </w:r>
          </w:p>
        </w:tc>
        <w:tc>
          <w:tcPr>
            <w:tcW w:w="171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6565AC0" w14:textId="77777777" w:rsidR="008B3464" w:rsidRDefault="00837D70">
            <w:pPr>
              <w:spacing w:line="270" w:lineRule="auto"/>
              <w:jc w:val="center"/>
            </w:pPr>
            <w:r>
              <w:rPr>
                <w:color w:val="000000"/>
                <w:sz w:val="21"/>
                <w:szCs w:val="21"/>
              </w:rPr>
              <w:t>$31.1M Series A round</w:t>
            </w:r>
          </w:p>
        </w:tc>
      </w:tr>
      <w:tr w:rsidR="008B3464" w14:paraId="551D3EF1" w14:textId="77777777">
        <w:tc>
          <w:tcPr>
            <w:tcW w:w="129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CC0BE9F" w14:textId="77777777" w:rsidR="008B3464" w:rsidRDefault="00837D70">
            <w:pPr>
              <w:spacing w:line="270" w:lineRule="auto"/>
              <w:jc w:val="center"/>
            </w:pPr>
            <w:r>
              <w:rPr>
                <w:color w:val="000000"/>
                <w:sz w:val="21"/>
                <w:szCs w:val="21"/>
              </w:rPr>
              <w:t>2022</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95DE62E" w14:textId="77777777" w:rsidR="008B3464" w:rsidRDefault="00837D70">
            <w:pPr>
              <w:spacing w:line="270" w:lineRule="auto"/>
              <w:jc w:val="center"/>
            </w:pPr>
            <w:r>
              <w:rPr>
                <w:color w:val="000000"/>
                <w:sz w:val="21"/>
                <w:szCs w:val="21"/>
              </w:rPr>
              <w:t>~430</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2543578" w14:textId="77777777" w:rsidR="008B3464" w:rsidRDefault="00837D70">
            <w:pPr>
              <w:spacing w:line="270" w:lineRule="auto"/>
              <w:jc w:val="center"/>
            </w:pPr>
            <w:r>
              <w:rPr>
                <w:color w:val="000000"/>
                <w:sz w:val="21"/>
                <w:szCs w:val="21"/>
              </w:rPr>
              <w:t>+25%</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39436BB" w14:textId="77777777" w:rsidR="008B3464" w:rsidRDefault="00837D70">
            <w:pPr>
              <w:spacing w:line="270" w:lineRule="auto"/>
              <w:jc w:val="center"/>
            </w:pPr>
            <w:r>
              <w:rPr>
                <w:color w:val="000000"/>
                <w:sz w:val="21"/>
                <w:szCs w:val="21"/>
              </w:rPr>
              <w:t>(loss)</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8045A69" w14:textId="77777777" w:rsidR="008B3464" w:rsidRDefault="00837D70">
            <w:pPr>
              <w:spacing w:line="270" w:lineRule="auto"/>
              <w:jc w:val="center"/>
            </w:pPr>
            <w:r>
              <w:rPr>
                <w:color w:val="000000"/>
                <w:sz w:val="21"/>
                <w:szCs w:val="21"/>
              </w:rPr>
              <w:t>~150M</w:t>
            </w:r>
          </w:p>
        </w:tc>
        <w:tc>
          <w:tcPr>
            <w:tcW w:w="171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A0D23A5" w14:textId="77777777" w:rsidR="008B3464" w:rsidRDefault="00837D70">
            <w:pPr>
              <w:spacing w:line="270" w:lineRule="auto"/>
              <w:jc w:val="center"/>
            </w:pPr>
            <w:r>
              <w:rPr>
                <w:color w:val="000000"/>
                <w:sz w:val="21"/>
                <w:szCs w:val="21"/>
              </w:rPr>
              <w:t>Profitable in some markets</w:t>
            </w:r>
          </w:p>
        </w:tc>
      </w:tr>
      <w:tr w:rsidR="008B3464" w14:paraId="7E56EE5D" w14:textId="77777777">
        <w:tc>
          <w:tcPr>
            <w:tcW w:w="129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E0480C3" w14:textId="77777777" w:rsidR="008B3464" w:rsidRDefault="00837D70">
            <w:pPr>
              <w:spacing w:line="270" w:lineRule="auto"/>
              <w:jc w:val="center"/>
            </w:pPr>
            <w:r>
              <w:rPr>
                <w:color w:val="000000"/>
                <w:sz w:val="21"/>
                <w:szCs w:val="21"/>
              </w:rPr>
              <w:t>2023</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DCC912E" w14:textId="77777777" w:rsidR="008B3464" w:rsidRDefault="00837D70">
            <w:pPr>
              <w:spacing w:line="270" w:lineRule="auto"/>
              <w:jc w:val="center"/>
            </w:pPr>
            <w:r>
              <w:rPr>
                <w:color w:val="000000"/>
                <w:sz w:val="21"/>
                <w:szCs w:val="21"/>
              </w:rPr>
              <w:t>545</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BEA7178" w14:textId="77777777" w:rsidR="008B3464" w:rsidRDefault="00837D70">
            <w:pPr>
              <w:spacing w:line="270" w:lineRule="auto"/>
              <w:jc w:val="center"/>
            </w:pPr>
            <w:r>
              <w:rPr>
                <w:color w:val="000000"/>
                <w:sz w:val="21"/>
                <w:szCs w:val="21"/>
              </w:rPr>
              <w:t>+27%</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C0FE7D4" w14:textId="77777777" w:rsidR="008B3464" w:rsidRDefault="00837D70">
            <w:pPr>
              <w:spacing w:line="270" w:lineRule="auto"/>
              <w:jc w:val="center"/>
            </w:pPr>
            <w:r>
              <w:rPr>
                <w:color w:val="000000"/>
                <w:sz w:val="21"/>
                <w:szCs w:val="21"/>
              </w:rPr>
              <w:t>15.7</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93D84B0" w14:textId="77777777" w:rsidR="008B3464" w:rsidRDefault="00837D70">
            <w:pPr>
              <w:spacing w:line="270" w:lineRule="auto"/>
              <w:jc w:val="center"/>
            </w:pPr>
            <w:r>
              <w:rPr>
                <w:color w:val="000000"/>
                <w:sz w:val="21"/>
                <w:szCs w:val="21"/>
              </w:rPr>
              <w:t>~200M</w:t>
            </w:r>
          </w:p>
        </w:tc>
        <w:tc>
          <w:tcPr>
            <w:tcW w:w="171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8181127" w14:textId="77777777" w:rsidR="008B3464" w:rsidRDefault="00837D70">
            <w:pPr>
              <w:spacing w:line="270" w:lineRule="auto"/>
              <w:jc w:val="center"/>
            </w:pPr>
            <w:r>
              <w:rPr>
                <w:color w:val="000000"/>
                <w:sz w:val="21"/>
                <w:szCs w:val="21"/>
              </w:rPr>
              <w:t>First full-year profit</w:t>
            </w:r>
          </w:p>
        </w:tc>
      </w:tr>
      <w:tr w:rsidR="008B3464" w14:paraId="3CD5D2B7" w14:textId="77777777">
        <w:tc>
          <w:tcPr>
            <w:tcW w:w="129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80366E2" w14:textId="77777777" w:rsidR="008B3464" w:rsidRDefault="00837D70">
            <w:pPr>
              <w:spacing w:line="270" w:lineRule="auto"/>
              <w:jc w:val="center"/>
            </w:pPr>
            <w:r>
              <w:rPr>
                <w:color w:val="000000"/>
                <w:sz w:val="21"/>
                <w:szCs w:val="21"/>
              </w:rPr>
              <w:lastRenderedPageBreak/>
              <w:t>2024</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58EEB1A" w14:textId="77777777" w:rsidR="008B3464" w:rsidRDefault="00837D70">
            <w:pPr>
              <w:spacing w:line="270" w:lineRule="auto"/>
              <w:jc w:val="center"/>
            </w:pPr>
            <w:r>
              <w:rPr>
                <w:color w:val="000000"/>
                <w:sz w:val="21"/>
                <w:szCs w:val="21"/>
              </w:rPr>
              <w:t>725</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6DE4014" w14:textId="77777777" w:rsidR="008B3464" w:rsidRDefault="00837D70">
            <w:pPr>
              <w:spacing w:line="270" w:lineRule="auto"/>
              <w:jc w:val="center"/>
            </w:pPr>
            <w:r>
              <w:rPr>
                <w:color w:val="000000"/>
                <w:sz w:val="21"/>
                <w:szCs w:val="21"/>
              </w:rPr>
              <w:t>+33%</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74D0DDF" w14:textId="77777777" w:rsidR="008B3464" w:rsidRDefault="00837D70">
            <w:pPr>
              <w:spacing w:line="270" w:lineRule="auto"/>
              <w:jc w:val="center"/>
            </w:pPr>
            <w:r>
              <w:rPr>
                <w:color w:val="000000"/>
                <w:sz w:val="21"/>
                <w:szCs w:val="21"/>
              </w:rPr>
              <w:t>9.6</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219C5E1" w14:textId="77777777" w:rsidR="008B3464" w:rsidRDefault="00837D70">
            <w:pPr>
              <w:spacing w:line="270" w:lineRule="auto"/>
              <w:jc w:val="center"/>
            </w:pPr>
            <w:r>
              <w:rPr>
                <w:color w:val="000000"/>
                <w:sz w:val="21"/>
                <w:szCs w:val="21"/>
              </w:rPr>
              <w:t>~360M</w:t>
            </w:r>
          </w:p>
        </w:tc>
        <w:tc>
          <w:tcPr>
            <w:tcW w:w="171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1C9267A" w14:textId="77777777" w:rsidR="008B3464" w:rsidRDefault="00837D70">
            <w:pPr>
              <w:spacing w:line="270" w:lineRule="auto"/>
              <w:jc w:val="center"/>
            </w:pPr>
            <w:r>
              <w:rPr>
                <w:color w:val="000000"/>
                <w:sz w:val="21"/>
                <w:szCs w:val="21"/>
              </w:rPr>
              <w:t>EBITDA-positive globally</w:t>
            </w:r>
          </w:p>
        </w:tc>
      </w:tr>
      <w:tr w:rsidR="008B3464" w14:paraId="2395E4C6" w14:textId="77777777">
        <w:tc>
          <w:tcPr>
            <w:tcW w:w="129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2017964" w14:textId="77777777" w:rsidR="008B3464" w:rsidRDefault="00837D70">
            <w:pPr>
              <w:spacing w:line="270" w:lineRule="auto"/>
              <w:jc w:val="center"/>
            </w:pPr>
            <w:r>
              <w:rPr>
                <w:color w:val="000000"/>
                <w:sz w:val="21"/>
                <w:szCs w:val="21"/>
              </w:rPr>
              <w:t>2025e</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D9AD309" w14:textId="77777777" w:rsidR="008B3464" w:rsidRDefault="00837D70">
            <w:pPr>
              <w:spacing w:line="270" w:lineRule="auto"/>
              <w:jc w:val="center"/>
            </w:pPr>
            <w:r>
              <w:rPr>
                <w:color w:val="000000"/>
                <w:sz w:val="21"/>
                <w:szCs w:val="21"/>
              </w:rPr>
              <w:t>~870</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79ED4B6" w14:textId="77777777" w:rsidR="008B3464" w:rsidRDefault="00837D70">
            <w:pPr>
              <w:spacing w:line="270" w:lineRule="auto"/>
              <w:jc w:val="center"/>
            </w:pPr>
            <w:r>
              <w:rPr>
                <w:color w:val="000000"/>
                <w:sz w:val="21"/>
                <w:szCs w:val="21"/>
              </w:rPr>
              <w:t>+20%</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3533F28" w14:textId="77777777" w:rsidR="008B3464" w:rsidRDefault="00837D70">
            <w:pPr>
              <w:spacing w:line="270" w:lineRule="auto"/>
              <w:jc w:val="center"/>
            </w:pPr>
            <w:r>
              <w:rPr>
                <w:color w:val="000000"/>
                <w:sz w:val="21"/>
                <w:szCs w:val="21"/>
              </w:rPr>
              <w:t>~10</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BAAB0E1" w14:textId="77777777" w:rsidR="008B3464" w:rsidRDefault="00837D70">
            <w:pPr>
              <w:spacing w:line="270" w:lineRule="auto"/>
              <w:jc w:val="center"/>
            </w:pPr>
            <w:r>
              <w:rPr>
                <w:color w:val="000000"/>
                <w:sz w:val="21"/>
                <w:szCs w:val="21"/>
              </w:rPr>
              <w:t>~500M</w:t>
            </w:r>
          </w:p>
        </w:tc>
        <w:tc>
          <w:tcPr>
            <w:tcW w:w="171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E508F49" w14:textId="77777777" w:rsidR="008B3464" w:rsidRDefault="00837D70">
            <w:pPr>
              <w:spacing w:line="270" w:lineRule="auto"/>
              <w:jc w:val="center"/>
            </w:pPr>
            <w:r>
              <w:rPr>
                <w:color w:val="000000"/>
                <w:sz w:val="21"/>
                <w:szCs w:val="21"/>
              </w:rPr>
              <w:t>Japan launch; 1M bags/day</w:t>
            </w:r>
          </w:p>
        </w:tc>
      </w:tr>
    </w:tbl>
    <w:p w14:paraId="48764025" w14:textId="77777777" w:rsidR="008B3464" w:rsidRPr="00575B92" w:rsidRDefault="00837D70">
      <w:pPr>
        <w:spacing w:before="40" w:after="100"/>
        <w:rPr>
          <w:i/>
          <w:iCs/>
          <w:sz w:val="20"/>
          <w:szCs w:val="20"/>
        </w:rPr>
      </w:pPr>
      <w:r>
        <w:rPr>
          <w:i/>
          <w:iCs/>
          <w:sz w:val="20"/>
          <w:szCs w:val="20"/>
        </w:rPr>
        <w:t xml:space="preserve">Source: Too Good To Go ApS Annual Reports (2023, 2024); </w:t>
      </w:r>
      <w:r w:rsidRPr="00575B92">
        <w:rPr>
          <w:i/>
          <w:iCs/>
          <w:sz w:val="20"/>
          <w:szCs w:val="20"/>
        </w:rPr>
        <w:t>PR Newswire (2025); PitchBook (2026)</w:t>
      </w:r>
      <w:r>
        <w:rPr>
          <w:i/>
          <w:iCs/>
          <w:sz w:val="20"/>
          <w:szCs w:val="20"/>
        </w:rPr>
        <w:t>. 2019–2022 figures estimated.</w:t>
      </w:r>
    </w:p>
    <w:p w14:paraId="0B33B89D" w14:textId="34E80983" w:rsidR="001A558E" w:rsidRDefault="001A558E">
      <w:pPr>
        <w:spacing w:after="120" w:line="360" w:lineRule="auto"/>
        <w:jc w:val="both"/>
      </w:pPr>
      <w:r>
        <w:t xml:space="preserve">There are three key patterns to emerge. One is that COVID-19 strains strengthened, not weakened, the adoption process: 50%+ revenue growth in 2020 was </w:t>
      </w:r>
      <w:r w:rsidRPr="00575B92">
        <w:t>as the lockdowns coincided with</w:t>
      </w:r>
      <w:r>
        <w:t xml:space="preserve"> increased home cooking and budget-consciousness, unlike hotel-sector platforms that had a dramatic downturn. Second, the company has finally reached the point of profitability in its first year of operations at a size of 200 million users, per </w:t>
      </w:r>
      <w:r w:rsidRPr="00575B92">
        <w:t>the maturation pathway described by Burns (2022)</w:t>
      </w:r>
      <w:r>
        <w:t>, with a switch from venture funding to self-funding for scaling. Third, the 2024 net margin of 1.3% is materially below peers on similar technology platforms, as a mission-led pricing strategy (Porter and Kramer, 2011) constrains that margin.</w:t>
      </w:r>
    </w:p>
    <w:p w14:paraId="1BF102F2" w14:textId="77777777" w:rsidR="008B3464" w:rsidRDefault="00837D70">
      <w:pPr>
        <w:pStyle w:val="Heading2"/>
        <w:spacing w:line="360" w:lineRule="auto"/>
      </w:pPr>
      <w:bookmarkStart w:id="17" w:name="_Toc233333079"/>
      <w:r>
        <w:t>4.2 Early Funding and Capital Raising</w:t>
      </w:r>
      <w:bookmarkEnd w:id="17"/>
    </w:p>
    <w:p w14:paraId="279B3B75" w14:textId="0EBCBE64" w:rsidR="00286433" w:rsidRDefault="00286433">
      <w:pPr>
        <w:spacing w:after="120" w:line="360" w:lineRule="auto"/>
        <w:jc w:val="both"/>
      </w:pPr>
      <w:r>
        <w:t xml:space="preserve">Deliberately mission-orientated as opposed to the hyper-growth venture model common to consumer tech (Burns, 2022) is illustrated by the funding history. </w:t>
      </w:r>
      <w:r w:rsidRPr="00575B92">
        <w:t>The five co-founders bootstrapped the venture in 2015 using personal capital</w:t>
      </w:r>
      <w:r>
        <w:t xml:space="preserve"> and waited for the product-market fit before attracting external funding </w:t>
      </w:r>
      <w:r w:rsidRPr="00575B92">
        <w:t>(Burns, 2022)</w:t>
      </w:r>
      <w:r>
        <w:t>.</w:t>
      </w:r>
    </w:p>
    <w:p w14:paraId="1F550335" w14:textId="77777777" w:rsidR="008B3464" w:rsidRDefault="00837D70">
      <w:pPr>
        <w:spacing w:after="60" w:line="360" w:lineRule="auto"/>
        <w:jc w:val="center"/>
      </w:pPr>
      <w:r>
        <w:rPr>
          <w:b/>
          <w:bCs/>
          <w:color w:val="000000"/>
          <w:sz w:val="22"/>
          <w:szCs w:val="22"/>
        </w:rPr>
        <w:t>Figure 7: Too Good To Go Funding Timeline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5"/>
        <w:gridCol w:w="2256"/>
        <w:gridCol w:w="2509"/>
        <w:gridCol w:w="2756"/>
      </w:tblGrid>
      <w:tr w:rsidR="008B3464" w14:paraId="74DDB76E"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B68C446" w14:textId="77777777" w:rsidR="008B3464" w:rsidRDefault="00837D70">
            <w:pPr>
              <w:spacing w:line="276" w:lineRule="auto"/>
              <w:jc w:val="center"/>
            </w:pPr>
            <w:r>
              <w:rPr>
                <w:b/>
                <w:bCs/>
                <w:color w:val="FFFFFF"/>
                <w:sz w:val="22"/>
                <w:szCs w:val="22"/>
              </w:rPr>
              <w:t>Year/Stage</w:t>
            </w:r>
          </w:p>
        </w:tc>
        <w:tc>
          <w:tcPr>
            <w:tcW w:w="2256"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D3E77DD" w14:textId="77777777" w:rsidR="008B3464" w:rsidRDefault="00837D70">
            <w:pPr>
              <w:spacing w:line="276" w:lineRule="auto"/>
              <w:jc w:val="center"/>
            </w:pPr>
            <w:r>
              <w:rPr>
                <w:b/>
                <w:bCs/>
                <w:color w:val="FFFFFF"/>
                <w:sz w:val="22"/>
                <w:szCs w:val="22"/>
              </w:rPr>
              <w:t>Round Type</w:t>
            </w:r>
          </w:p>
        </w:tc>
        <w:tc>
          <w:tcPr>
            <w:tcW w:w="2509"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089293D" w14:textId="77777777" w:rsidR="008B3464" w:rsidRDefault="00837D70">
            <w:pPr>
              <w:spacing w:line="276" w:lineRule="auto"/>
              <w:jc w:val="center"/>
            </w:pPr>
            <w:r>
              <w:rPr>
                <w:b/>
                <w:bCs/>
                <w:color w:val="FFFFFF"/>
                <w:sz w:val="22"/>
                <w:szCs w:val="22"/>
              </w:rPr>
              <w:t>Amount Raised</w:t>
            </w:r>
          </w:p>
        </w:tc>
        <w:tc>
          <w:tcPr>
            <w:tcW w:w="2756"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28FFB55F" w14:textId="77777777" w:rsidR="008B3464" w:rsidRDefault="00837D70">
            <w:pPr>
              <w:spacing w:line="276" w:lineRule="auto"/>
              <w:jc w:val="center"/>
            </w:pPr>
            <w:r>
              <w:rPr>
                <w:b/>
                <w:bCs/>
                <w:color w:val="FFFFFF"/>
                <w:sz w:val="22"/>
                <w:szCs w:val="22"/>
              </w:rPr>
              <w:t>Critical Detail</w:t>
            </w:r>
          </w:p>
        </w:tc>
      </w:tr>
      <w:tr w:rsidR="008B3464" w14:paraId="6140CA50"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8D2EBF5" w14:textId="77777777" w:rsidR="008B3464" w:rsidRDefault="00837D70">
            <w:pPr>
              <w:spacing w:line="270" w:lineRule="auto"/>
            </w:pPr>
            <w:r>
              <w:rPr>
                <w:b/>
                <w:bCs/>
                <w:color w:val="000000"/>
                <w:sz w:val="21"/>
                <w:szCs w:val="21"/>
              </w:rPr>
              <w:t>2015</w:t>
            </w:r>
          </w:p>
        </w:tc>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EB31B4D" w14:textId="77777777" w:rsidR="008B3464" w:rsidRDefault="00837D70">
            <w:pPr>
              <w:spacing w:line="270" w:lineRule="auto"/>
            </w:pPr>
            <w:r>
              <w:rPr>
                <w:color w:val="000000"/>
                <w:sz w:val="21"/>
                <w:szCs w:val="21"/>
              </w:rPr>
              <w:t>Bootstrapping (founders)</w:t>
            </w:r>
          </w:p>
        </w:tc>
        <w:tc>
          <w:tcPr>
            <w:tcW w:w="2509"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82B3835" w14:textId="77777777" w:rsidR="008B3464" w:rsidRDefault="00837D70">
            <w:pPr>
              <w:spacing w:line="270" w:lineRule="auto"/>
            </w:pPr>
            <w:r>
              <w:rPr>
                <w:color w:val="000000"/>
                <w:sz w:val="21"/>
                <w:szCs w:val="21"/>
              </w:rPr>
              <w:t>Self-funded</w:t>
            </w:r>
          </w:p>
        </w:tc>
        <w:tc>
          <w:tcPr>
            <w:tcW w:w="27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D181DEC" w14:textId="77777777" w:rsidR="008B3464" w:rsidRDefault="00837D70">
            <w:pPr>
              <w:spacing w:line="270" w:lineRule="auto"/>
            </w:pPr>
            <w:r>
              <w:rPr>
                <w:color w:val="000000"/>
                <w:sz w:val="21"/>
                <w:szCs w:val="21"/>
              </w:rPr>
              <w:t>Personal capital from 5 co-founders</w:t>
            </w:r>
          </w:p>
        </w:tc>
      </w:tr>
      <w:tr w:rsidR="008B3464" w14:paraId="6E922AEE"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D9E4844" w14:textId="77777777" w:rsidR="008B3464" w:rsidRDefault="00837D70">
            <w:pPr>
              <w:spacing w:line="270" w:lineRule="auto"/>
            </w:pPr>
            <w:r>
              <w:rPr>
                <w:b/>
                <w:bCs/>
                <w:color w:val="000000"/>
                <w:sz w:val="21"/>
                <w:szCs w:val="21"/>
              </w:rPr>
              <w:t>Oct 2016</w:t>
            </w:r>
          </w:p>
        </w:tc>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C470D15" w14:textId="77777777" w:rsidR="008B3464" w:rsidRDefault="00837D70">
            <w:pPr>
              <w:spacing w:line="270" w:lineRule="auto"/>
            </w:pPr>
            <w:r>
              <w:rPr>
                <w:color w:val="000000"/>
                <w:sz w:val="21"/>
                <w:szCs w:val="21"/>
              </w:rPr>
              <w:t>Angel investment (Mette Lykke)</w:t>
            </w:r>
          </w:p>
        </w:tc>
        <w:tc>
          <w:tcPr>
            <w:tcW w:w="2509"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CCD90D5" w14:textId="77777777" w:rsidR="008B3464" w:rsidRDefault="00837D70">
            <w:pPr>
              <w:spacing w:line="270" w:lineRule="auto"/>
            </w:pPr>
            <w:r>
              <w:rPr>
                <w:color w:val="000000"/>
                <w:sz w:val="21"/>
                <w:szCs w:val="21"/>
              </w:rPr>
              <w:t>Undisclosed</w:t>
            </w:r>
          </w:p>
        </w:tc>
        <w:tc>
          <w:tcPr>
            <w:tcW w:w="27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53A09AF" w14:textId="77777777" w:rsidR="008B3464" w:rsidRDefault="00837D70">
            <w:pPr>
              <w:spacing w:line="270" w:lineRule="auto"/>
            </w:pPr>
            <w:r>
              <w:rPr>
                <w:color w:val="000000"/>
                <w:sz w:val="21"/>
                <w:szCs w:val="21"/>
              </w:rPr>
              <w:t>Lykke becomes investor following ‘bus encounter’</w:t>
            </w:r>
          </w:p>
        </w:tc>
      </w:tr>
      <w:tr w:rsidR="008B3464" w14:paraId="7CEBBD05"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885DAAD" w14:textId="77777777" w:rsidR="008B3464" w:rsidRDefault="00837D70">
            <w:pPr>
              <w:spacing w:line="270" w:lineRule="auto"/>
            </w:pPr>
            <w:r>
              <w:rPr>
                <w:b/>
                <w:bCs/>
                <w:color w:val="000000"/>
                <w:sz w:val="21"/>
                <w:szCs w:val="21"/>
              </w:rPr>
              <w:t>Nov 2016</w:t>
            </w:r>
          </w:p>
        </w:tc>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223268B" w14:textId="77777777" w:rsidR="008B3464" w:rsidRDefault="00837D70">
            <w:pPr>
              <w:spacing w:line="270" w:lineRule="auto"/>
            </w:pPr>
            <w:r>
              <w:rPr>
                <w:color w:val="000000"/>
                <w:sz w:val="21"/>
                <w:szCs w:val="21"/>
              </w:rPr>
              <w:t>Seed round</w:t>
            </w:r>
          </w:p>
        </w:tc>
        <w:tc>
          <w:tcPr>
            <w:tcW w:w="2509"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98A7A89" w14:textId="77777777" w:rsidR="008B3464" w:rsidRDefault="00837D70">
            <w:pPr>
              <w:spacing w:line="270" w:lineRule="auto"/>
            </w:pPr>
            <w:r>
              <w:rPr>
                <w:color w:val="000000"/>
                <w:sz w:val="21"/>
                <w:szCs w:val="21"/>
              </w:rPr>
              <w:t>Undisclosed</w:t>
            </w:r>
          </w:p>
        </w:tc>
        <w:tc>
          <w:tcPr>
            <w:tcW w:w="27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08BC405" w14:textId="77777777" w:rsidR="008B3464" w:rsidRPr="00575B92" w:rsidRDefault="00837D70">
            <w:pPr>
              <w:spacing w:line="270" w:lineRule="auto"/>
              <w:rPr>
                <w:color w:val="000000"/>
                <w:sz w:val="21"/>
                <w:szCs w:val="21"/>
              </w:rPr>
            </w:pPr>
            <w:r w:rsidRPr="00575B92">
              <w:rPr>
                <w:color w:val="000000"/>
                <w:sz w:val="21"/>
                <w:szCs w:val="21"/>
              </w:rPr>
              <w:t>First institutional round (PitchBook, 2026)</w:t>
            </w:r>
          </w:p>
        </w:tc>
      </w:tr>
      <w:tr w:rsidR="008B3464" w14:paraId="44791E32"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ABF5469" w14:textId="77777777" w:rsidR="008B3464" w:rsidRDefault="00837D70">
            <w:pPr>
              <w:spacing w:line="270" w:lineRule="auto"/>
            </w:pPr>
            <w:r>
              <w:rPr>
                <w:b/>
                <w:bCs/>
                <w:color w:val="000000"/>
                <w:sz w:val="21"/>
                <w:szCs w:val="21"/>
              </w:rPr>
              <w:t>Feb 2019</w:t>
            </w:r>
          </w:p>
        </w:tc>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9163A0E" w14:textId="77777777" w:rsidR="008B3464" w:rsidRDefault="00837D70">
            <w:pPr>
              <w:spacing w:line="270" w:lineRule="auto"/>
            </w:pPr>
            <w:r>
              <w:rPr>
                <w:color w:val="000000"/>
                <w:sz w:val="21"/>
                <w:szCs w:val="21"/>
              </w:rPr>
              <w:t>Bridge financing</w:t>
            </w:r>
          </w:p>
        </w:tc>
        <w:tc>
          <w:tcPr>
            <w:tcW w:w="2509"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4BDF2F2" w14:textId="77777777" w:rsidR="008B3464" w:rsidRDefault="00837D70">
            <w:pPr>
              <w:spacing w:line="270" w:lineRule="auto"/>
            </w:pPr>
            <w:r>
              <w:rPr>
                <w:color w:val="000000"/>
                <w:sz w:val="21"/>
                <w:szCs w:val="21"/>
              </w:rPr>
              <w:t>€6.0 million</w:t>
            </w:r>
          </w:p>
        </w:tc>
        <w:tc>
          <w:tcPr>
            <w:tcW w:w="27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61DE8D0" w14:textId="77777777" w:rsidR="008B3464" w:rsidRPr="00575B92" w:rsidRDefault="00837D70">
            <w:pPr>
              <w:spacing w:line="270" w:lineRule="auto"/>
              <w:rPr>
                <w:color w:val="000000"/>
                <w:sz w:val="21"/>
                <w:szCs w:val="21"/>
              </w:rPr>
            </w:pPr>
            <w:r>
              <w:rPr>
                <w:color w:val="000000"/>
                <w:sz w:val="21"/>
                <w:szCs w:val="21"/>
              </w:rPr>
              <w:t>Used for European market expansion</w:t>
            </w:r>
          </w:p>
        </w:tc>
      </w:tr>
      <w:tr w:rsidR="008B3464" w14:paraId="5C200457"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5884B90" w14:textId="77777777" w:rsidR="008B3464" w:rsidRDefault="00837D70">
            <w:pPr>
              <w:spacing w:line="270" w:lineRule="auto"/>
            </w:pPr>
            <w:r>
              <w:rPr>
                <w:b/>
                <w:bCs/>
                <w:color w:val="000000"/>
                <w:sz w:val="21"/>
                <w:szCs w:val="21"/>
              </w:rPr>
              <w:t>Jul 2020</w:t>
            </w:r>
          </w:p>
        </w:tc>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8C7C6A1" w14:textId="77777777" w:rsidR="008B3464" w:rsidRDefault="00837D70">
            <w:pPr>
              <w:spacing w:line="270" w:lineRule="auto"/>
            </w:pPr>
            <w:r>
              <w:rPr>
                <w:color w:val="000000"/>
                <w:sz w:val="21"/>
                <w:szCs w:val="21"/>
              </w:rPr>
              <w:t>Series A (early)</w:t>
            </w:r>
          </w:p>
        </w:tc>
        <w:tc>
          <w:tcPr>
            <w:tcW w:w="2509"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31BD6F1" w14:textId="77777777" w:rsidR="008B3464" w:rsidRDefault="00837D70">
            <w:pPr>
              <w:spacing w:line="270" w:lineRule="auto"/>
            </w:pPr>
            <w:r>
              <w:rPr>
                <w:color w:val="000000"/>
                <w:sz w:val="21"/>
                <w:szCs w:val="21"/>
              </w:rPr>
              <w:t>Undisclosed</w:t>
            </w:r>
          </w:p>
        </w:tc>
        <w:tc>
          <w:tcPr>
            <w:tcW w:w="27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E11CE32" w14:textId="77777777" w:rsidR="008B3464" w:rsidRPr="00575B92" w:rsidRDefault="00837D70">
            <w:pPr>
              <w:spacing w:line="270" w:lineRule="auto"/>
              <w:rPr>
                <w:color w:val="000000"/>
                <w:sz w:val="21"/>
                <w:szCs w:val="21"/>
              </w:rPr>
            </w:pPr>
            <w:r>
              <w:rPr>
                <w:color w:val="000000"/>
                <w:sz w:val="21"/>
                <w:szCs w:val="21"/>
              </w:rPr>
              <w:t>Funded US market entry</w:t>
            </w:r>
          </w:p>
        </w:tc>
      </w:tr>
      <w:tr w:rsidR="008B3464" w14:paraId="1083F7F4"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35375F0" w14:textId="77777777" w:rsidR="008B3464" w:rsidRDefault="00837D70">
            <w:pPr>
              <w:spacing w:line="270" w:lineRule="auto"/>
            </w:pPr>
            <w:r>
              <w:rPr>
                <w:b/>
                <w:bCs/>
                <w:color w:val="000000"/>
                <w:sz w:val="21"/>
                <w:szCs w:val="21"/>
              </w:rPr>
              <w:t>Jan 2021</w:t>
            </w:r>
          </w:p>
        </w:tc>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3E06D73" w14:textId="77777777" w:rsidR="008B3464" w:rsidRDefault="00837D70">
            <w:pPr>
              <w:spacing w:line="270" w:lineRule="auto"/>
            </w:pPr>
            <w:r>
              <w:rPr>
                <w:color w:val="000000"/>
                <w:sz w:val="21"/>
                <w:szCs w:val="21"/>
              </w:rPr>
              <w:t>Series A extension</w:t>
            </w:r>
          </w:p>
        </w:tc>
        <w:tc>
          <w:tcPr>
            <w:tcW w:w="2509"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3D3B8E2" w14:textId="77777777" w:rsidR="008B3464" w:rsidRDefault="00837D70">
            <w:pPr>
              <w:spacing w:line="270" w:lineRule="auto"/>
            </w:pPr>
            <w:r>
              <w:rPr>
                <w:color w:val="000000"/>
                <w:sz w:val="21"/>
                <w:szCs w:val="21"/>
              </w:rPr>
              <w:t>$31.1 million</w:t>
            </w:r>
          </w:p>
        </w:tc>
        <w:tc>
          <w:tcPr>
            <w:tcW w:w="27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C68835A" w14:textId="77777777" w:rsidR="008B3464" w:rsidRPr="00575B92" w:rsidRDefault="00837D70">
            <w:pPr>
              <w:spacing w:line="270" w:lineRule="auto"/>
              <w:rPr>
                <w:color w:val="000000"/>
                <w:sz w:val="21"/>
                <w:szCs w:val="21"/>
              </w:rPr>
            </w:pPr>
            <w:r>
              <w:rPr>
                <w:color w:val="000000"/>
                <w:sz w:val="21"/>
                <w:szCs w:val="21"/>
              </w:rPr>
              <w:t>Lead: Blisce; Princeville Capital, Audeo Ventures et al.</w:t>
            </w:r>
          </w:p>
        </w:tc>
      </w:tr>
      <w:tr w:rsidR="008B3464" w14:paraId="1596ACB5"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1CC0077" w14:textId="77777777" w:rsidR="008B3464" w:rsidRDefault="00837D70">
            <w:pPr>
              <w:spacing w:line="270" w:lineRule="auto"/>
            </w:pPr>
            <w:r>
              <w:rPr>
                <w:b/>
                <w:bCs/>
                <w:color w:val="000000"/>
                <w:sz w:val="21"/>
                <w:szCs w:val="21"/>
              </w:rPr>
              <w:t>2023</w:t>
            </w:r>
          </w:p>
        </w:tc>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A3AB13D" w14:textId="77777777" w:rsidR="008B3464" w:rsidRDefault="00837D70">
            <w:pPr>
              <w:spacing w:line="270" w:lineRule="auto"/>
            </w:pPr>
            <w:r>
              <w:rPr>
                <w:color w:val="000000"/>
                <w:sz w:val="21"/>
                <w:szCs w:val="21"/>
              </w:rPr>
              <w:t>Strategic round</w:t>
            </w:r>
          </w:p>
        </w:tc>
        <w:tc>
          <w:tcPr>
            <w:tcW w:w="2509"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8AE7376" w14:textId="77777777" w:rsidR="008B3464" w:rsidRDefault="00837D70">
            <w:pPr>
              <w:spacing w:line="270" w:lineRule="auto"/>
            </w:pPr>
            <w:r>
              <w:rPr>
                <w:color w:val="000000"/>
                <w:sz w:val="21"/>
                <w:szCs w:val="21"/>
              </w:rPr>
              <w:t>Undisclosed</w:t>
            </w:r>
          </w:p>
        </w:tc>
        <w:tc>
          <w:tcPr>
            <w:tcW w:w="27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7904AEA" w14:textId="77777777" w:rsidR="008B3464" w:rsidRPr="00575B92" w:rsidRDefault="00837D70">
            <w:pPr>
              <w:spacing w:line="270" w:lineRule="auto"/>
              <w:rPr>
                <w:color w:val="000000"/>
                <w:sz w:val="21"/>
                <w:szCs w:val="21"/>
              </w:rPr>
            </w:pPr>
            <w:r>
              <w:rPr>
                <w:color w:val="000000"/>
                <w:sz w:val="21"/>
                <w:szCs w:val="21"/>
              </w:rPr>
              <w:t>Continued partner-network expansion</w:t>
            </w:r>
          </w:p>
        </w:tc>
      </w:tr>
      <w:tr w:rsidR="008B3464" w14:paraId="1986D70A"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06C49FC" w14:textId="77777777" w:rsidR="008B3464" w:rsidRDefault="00837D70">
            <w:pPr>
              <w:spacing w:line="270" w:lineRule="auto"/>
            </w:pPr>
            <w:r>
              <w:rPr>
                <w:b/>
                <w:bCs/>
                <w:color w:val="000000"/>
                <w:sz w:val="21"/>
                <w:szCs w:val="21"/>
              </w:rPr>
              <w:lastRenderedPageBreak/>
              <w:t>2026 (March)</w:t>
            </w:r>
          </w:p>
        </w:tc>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655F2528" w14:textId="77777777" w:rsidR="008B3464" w:rsidRDefault="00837D70">
            <w:pPr>
              <w:spacing w:line="270" w:lineRule="auto"/>
            </w:pPr>
            <w:r>
              <w:rPr>
                <w:color w:val="000000"/>
                <w:sz w:val="21"/>
                <w:szCs w:val="21"/>
              </w:rPr>
              <w:t>Latest round</w:t>
            </w:r>
          </w:p>
        </w:tc>
        <w:tc>
          <w:tcPr>
            <w:tcW w:w="2509"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E215CDB" w14:textId="77777777" w:rsidR="008B3464" w:rsidRDefault="00837D70">
            <w:pPr>
              <w:spacing w:line="270" w:lineRule="auto"/>
            </w:pPr>
            <w:r>
              <w:rPr>
                <w:color w:val="000000"/>
                <w:sz w:val="21"/>
                <w:szCs w:val="21"/>
              </w:rPr>
              <w:t>$27.4 million</w:t>
            </w:r>
          </w:p>
        </w:tc>
        <w:tc>
          <w:tcPr>
            <w:tcW w:w="27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30F3F18F" w14:textId="77777777" w:rsidR="008B3464" w:rsidRDefault="00837D70">
            <w:pPr>
              <w:spacing w:line="270" w:lineRule="auto"/>
            </w:pPr>
            <w:r>
              <w:rPr>
                <w:color w:val="000000"/>
                <w:sz w:val="21"/>
                <w:szCs w:val="21"/>
              </w:rPr>
              <w:t>Sofina, Audeo Ventures and existing investors</w:t>
            </w:r>
          </w:p>
        </w:tc>
      </w:tr>
      <w:tr w:rsidR="008B3464" w14:paraId="6ABB2334"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4F4572C" w14:textId="77777777" w:rsidR="008B3464" w:rsidRDefault="00837D70">
            <w:pPr>
              <w:spacing w:line="270" w:lineRule="auto"/>
            </w:pPr>
            <w:r>
              <w:rPr>
                <w:b/>
                <w:bCs/>
                <w:color w:val="000000"/>
                <w:sz w:val="21"/>
                <w:szCs w:val="21"/>
              </w:rPr>
              <w:t>Total to date</w:t>
            </w:r>
          </w:p>
        </w:tc>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CC12A33" w14:textId="77777777" w:rsidR="008B3464" w:rsidRDefault="00837D70">
            <w:pPr>
              <w:spacing w:line="270" w:lineRule="auto"/>
            </w:pPr>
            <w:r>
              <w:rPr>
                <w:color w:val="000000"/>
                <w:sz w:val="21"/>
                <w:szCs w:val="21"/>
              </w:rPr>
              <w:t>6–7 rounds</w:t>
            </w:r>
          </w:p>
        </w:tc>
        <w:tc>
          <w:tcPr>
            <w:tcW w:w="2509"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97C99A0" w14:textId="77777777" w:rsidR="008B3464" w:rsidRDefault="00837D70">
            <w:pPr>
              <w:spacing w:line="270" w:lineRule="auto"/>
            </w:pPr>
            <w:r>
              <w:rPr>
                <w:color w:val="000000"/>
                <w:sz w:val="21"/>
                <w:szCs w:val="21"/>
              </w:rPr>
              <w:t>$145M (PitchBook estimate)</w:t>
            </w:r>
          </w:p>
        </w:tc>
        <w:tc>
          <w:tcPr>
            <w:tcW w:w="27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C1E8AAE" w14:textId="77777777" w:rsidR="008B3464" w:rsidRDefault="00837D70">
            <w:pPr>
              <w:spacing w:line="270" w:lineRule="auto"/>
            </w:pPr>
            <w:r>
              <w:rPr>
                <w:color w:val="000000"/>
                <w:sz w:val="21"/>
                <w:szCs w:val="21"/>
              </w:rPr>
              <w:t>21 investors; B Corp certified 2020</w:t>
            </w:r>
          </w:p>
        </w:tc>
      </w:tr>
    </w:tbl>
    <w:p w14:paraId="2842749C" w14:textId="77777777" w:rsidR="008B3464" w:rsidRDefault="00837D70">
      <w:pPr>
        <w:spacing w:before="40" w:after="100"/>
      </w:pPr>
      <w:r>
        <w:rPr>
          <w:i/>
          <w:iCs/>
          <w:sz w:val="20"/>
          <w:szCs w:val="20"/>
        </w:rPr>
        <w:t xml:space="preserve">Source: </w:t>
      </w:r>
      <w:r w:rsidRPr="00575B92">
        <w:rPr>
          <w:i/>
          <w:iCs/>
          <w:sz w:val="20"/>
          <w:szCs w:val="20"/>
        </w:rPr>
        <w:t>PitchBook (2026)</w:t>
      </w:r>
      <w:r>
        <w:rPr>
          <w:i/>
          <w:iCs/>
          <w:sz w:val="20"/>
          <w:szCs w:val="20"/>
        </w:rPr>
        <w:t xml:space="preserve">; PitchBook (2026); </w:t>
      </w:r>
      <w:r w:rsidRPr="00575B92">
        <w:rPr>
          <w:i/>
          <w:iCs/>
          <w:sz w:val="20"/>
          <w:szCs w:val="20"/>
        </w:rPr>
        <w:t>PitchBook (2026)</w:t>
      </w:r>
      <w:r>
        <w:rPr>
          <w:i/>
          <w:iCs/>
          <w:sz w:val="20"/>
          <w:szCs w:val="20"/>
        </w:rPr>
        <w:t>.</w:t>
      </w:r>
    </w:p>
    <w:p w14:paraId="424CD0A9" w14:textId="12D1F1DE" w:rsidR="002569BE" w:rsidRDefault="002569BE">
      <w:pPr>
        <w:spacing w:after="120" w:line="360" w:lineRule="auto"/>
        <w:jc w:val="both"/>
      </w:pPr>
      <w:r>
        <w:t xml:space="preserve">It is a relatively small USD 145M cumulative investment for a 21-country platform with 130M users, compared to competitors in the United States, such as Imperfect Foods, which raised more than USD 200M for a much smaller scale. This capital efficiency has ensured the mission orientation and founder control. Specific objectives were funded with each round: EUR 6M in 2019 for the European expansion; USD 31.1M Series A in 2021 for the US entry and the launch of Parcels; and a USD 27.4M round in 2026 (led by Sofina and Audeo Ventures, </w:t>
      </w:r>
      <w:r w:rsidRPr="00575B92">
        <w:t>PitchBook, 2026</w:t>
      </w:r>
      <w:r>
        <w:t xml:space="preserve">) for the European expansion. </w:t>
      </w:r>
      <w:r w:rsidRPr="00575B92">
        <w:t>More critical, however,</w:t>
      </w:r>
      <w:r>
        <w:t xml:space="preserve">, however, is that </w:t>
      </w:r>
      <w:r w:rsidRPr="00575B92">
        <w:t>the company remains vulnerable to a well-capitalised competitor pursuing aggressive market entry.</w:t>
      </w:r>
    </w:p>
    <w:p w14:paraId="0A7DF567" w14:textId="77777777" w:rsidR="008B3464" w:rsidRDefault="00837D70">
      <w:r>
        <w:br w:type="page"/>
      </w:r>
    </w:p>
    <w:p w14:paraId="1D3C2193" w14:textId="77777777" w:rsidR="008B3464" w:rsidRDefault="00837D70">
      <w:pPr>
        <w:pStyle w:val="Heading1"/>
        <w:spacing w:line="360" w:lineRule="auto"/>
      </w:pPr>
      <w:bookmarkStart w:id="18" w:name="_Toc233333080"/>
      <w:r>
        <w:lastRenderedPageBreak/>
        <w:t>Reference List</w:t>
      </w:r>
      <w:bookmarkEnd w:id="18"/>
    </w:p>
    <w:p w14:paraId="596E6780"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Akerlof, G.A.</w:t>
      </w:r>
      <w:r>
        <w:rPr>
          <w:rFonts w:ascii="Arial" w:hAnsi="Arial" w:cs="Arial"/>
        </w:rPr>
        <w:t xml:space="preserve"> (1970) 'The market for lemons: quality uncertainty and the market mechanism', </w:t>
      </w:r>
      <w:r>
        <w:rPr>
          <w:rStyle w:val="Emphasis"/>
          <w:rFonts w:ascii="Arial" w:hAnsi="Arial" w:cs="Arial"/>
        </w:rPr>
        <w:t>Quarterly Journal of Economics</w:t>
      </w:r>
      <w:r>
        <w:rPr>
          <w:rFonts w:ascii="Arial" w:hAnsi="Arial" w:cs="Arial"/>
        </w:rPr>
        <w:t>, 84(3), pp. 488–500. doi: 10.2307/1879431.</w:t>
      </w:r>
    </w:p>
    <w:p w14:paraId="7B8582FF"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Ansoff, H.I.</w:t>
      </w:r>
      <w:r>
        <w:rPr>
          <w:rFonts w:ascii="Arial" w:hAnsi="Arial" w:cs="Arial"/>
        </w:rPr>
        <w:t xml:space="preserve"> (1957) 'Strategies for diversification', </w:t>
      </w:r>
      <w:r>
        <w:rPr>
          <w:rStyle w:val="Emphasis"/>
          <w:rFonts w:ascii="Arial" w:hAnsi="Arial" w:cs="Arial"/>
        </w:rPr>
        <w:t>Harvard Business Review</w:t>
      </w:r>
      <w:r>
        <w:rPr>
          <w:rFonts w:ascii="Arial" w:hAnsi="Arial" w:cs="Arial"/>
        </w:rPr>
        <w:t>, 35(5), pp. 113–124.</w:t>
      </w:r>
    </w:p>
    <w:p w14:paraId="4BFF673F"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Bocken, N.M.P., Short, S.W., Rana, P. and Evans, S.</w:t>
      </w:r>
      <w:r>
        <w:rPr>
          <w:rFonts w:ascii="Arial" w:hAnsi="Arial" w:cs="Arial"/>
        </w:rPr>
        <w:t xml:space="preserve"> (2014) 'A literature and practice review to develop sustainable business model archetypes', </w:t>
      </w:r>
      <w:r>
        <w:rPr>
          <w:rStyle w:val="Emphasis"/>
          <w:rFonts w:ascii="Arial" w:hAnsi="Arial" w:cs="Arial"/>
        </w:rPr>
        <w:t>Journal of Cleaner Production</w:t>
      </w:r>
      <w:r>
        <w:rPr>
          <w:rFonts w:ascii="Arial" w:hAnsi="Arial" w:cs="Arial"/>
        </w:rPr>
        <w:t>, 65, pp. 42–56. doi: 10.1016/j.jclepro.2013.11.039.</w:t>
      </w:r>
    </w:p>
    <w:p w14:paraId="2028CA69"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Booms, B.H. and Bitner, M.J.</w:t>
      </w:r>
      <w:r>
        <w:rPr>
          <w:rFonts w:ascii="Arial" w:hAnsi="Arial" w:cs="Arial"/>
        </w:rPr>
        <w:t xml:space="preserve"> (1981) 'Marketing strategies and organization structures for service firms', in Donnelly, J.H. and George, W.R. (eds.) </w:t>
      </w:r>
      <w:r>
        <w:rPr>
          <w:rStyle w:val="Emphasis"/>
          <w:rFonts w:ascii="Arial" w:hAnsi="Arial" w:cs="Arial"/>
        </w:rPr>
        <w:t>Marketing of Services</w:t>
      </w:r>
      <w:r>
        <w:rPr>
          <w:rFonts w:ascii="Arial" w:hAnsi="Arial" w:cs="Arial"/>
        </w:rPr>
        <w:t>. Chicago: American Marketing Association, pp. 47–51.</w:t>
      </w:r>
    </w:p>
    <w:p w14:paraId="57E9CE8C"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Burns, P.</w:t>
      </w:r>
      <w:r>
        <w:rPr>
          <w:rFonts w:ascii="Arial" w:hAnsi="Arial" w:cs="Arial"/>
        </w:rPr>
        <w:t xml:space="preserve"> (2022) </w:t>
      </w:r>
      <w:r>
        <w:rPr>
          <w:rStyle w:val="Emphasis"/>
          <w:rFonts w:ascii="Arial" w:hAnsi="Arial" w:cs="Arial"/>
        </w:rPr>
        <w:t>Entrepreneurship and Small Business: Start-up, Growth and Maturity</w:t>
      </w:r>
      <w:r>
        <w:rPr>
          <w:rFonts w:ascii="Arial" w:hAnsi="Arial" w:cs="Arial"/>
        </w:rPr>
        <w:t>. 5th edn. London: Red Globe Press.</w:t>
      </w:r>
    </w:p>
    <w:p w14:paraId="3FA5B7BC"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Chaffey, D. and Ellis-Chadwick, F.</w:t>
      </w:r>
      <w:r>
        <w:rPr>
          <w:rFonts w:ascii="Arial" w:hAnsi="Arial" w:cs="Arial"/>
        </w:rPr>
        <w:t xml:space="preserve"> (2019) </w:t>
      </w:r>
      <w:r>
        <w:rPr>
          <w:rStyle w:val="Emphasis"/>
          <w:rFonts w:ascii="Arial" w:hAnsi="Arial" w:cs="Arial"/>
        </w:rPr>
        <w:t>Digital Marketing: Strategy, Implementation and Practice</w:t>
      </w:r>
      <w:r>
        <w:rPr>
          <w:rFonts w:ascii="Arial" w:hAnsi="Arial" w:cs="Arial"/>
        </w:rPr>
        <w:t>. 7th edn. Harlow: Pearson.</w:t>
      </w:r>
    </w:p>
    <w:p w14:paraId="53869032"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Christensen, C.M., Raynor, M.E. and McDonald, R.</w:t>
      </w:r>
      <w:r>
        <w:rPr>
          <w:rFonts w:ascii="Arial" w:hAnsi="Arial" w:cs="Arial"/>
        </w:rPr>
        <w:t xml:space="preserve"> (2015) 'What is disruptive innovation?', </w:t>
      </w:r>
      <w:r>
        <w:rPr>
          <w:rStyle w:val="Emphasis"/>
          <w:rFonts w:ascii="Arial" w:hAnsi="Arial" w:cs="Arial"/>
        </w:rPr>
        <w:t>Harvard Business Review</w:t>
      </w:r>
      <w:r>
        <w:rPr>
          <w:rFonts w:ascii="Arial" w:hAnsi="Arial" w:cs="Arial"/>
        </w:rPr>
        <w:t>, 93(12), pp. 44–53.</w:t>
      </w:r>
    </w:p>
    <w:p w14:paraId="6C56B364"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CNBC</w:t>
      </w:r>
      <w:r>
        <w:rPr>
          <w:rFonts w:ascii="Arial" w:hAnsi="Arial" w:cs="Arial"/>
        </w:rPr>
        <w:t xml:space="preserve"> (2024) 'How Too Good To Go brings in $162 million/year selling leftovers', </w:t>
      </w:r>
      <w:r>
        <w:rPr>
          <w:rStyle w:val="Emphasis"/>
          <w:rFonts w:ascii="Arial" w:hAnsi="Arial" w:cs="Arial"/>
        </w:rPr>
        <w:t>CNBC</w:t>
      </w:r>
      <w:r>
        <w:rPr>
          <w:rFonts w:ascii="Arial" w:hAnsi="Arial" w:cs="Arial"/>
        </w:rPr>
        <w:t xml:space="preserve">, 16 November. Available at: </w:t>
      </w:r>
      <w:hyperlink r:id="rId8" w:history="1">
        <w:r>
          <w:rPr>
            <w:rStyle w:val="Hyperlink"/>
            <w:rFonts w:ascii="Arial" w:hAnsi="Arial" w:cs="Arial"/>
          </w:rPr>
          <w:t>https://www.cnbc.com/video/2024/11/16/how-too-good-to-go-brings-in-162-millionyear-selling-leftovers.html</w:t>
        </w:r>
      </w:hyperlink>
      <w:r>
        <w:rPr>
          <w:rFonts w:ascii="Arial" w:hAnsi="Arial" w:cs="Arial"/>
        </w:rPr>
        <w:t xml:space="preserve"> (Accessed: 22 June 2026).</w:t>
      </w:r>
    </w:p>
    <w:p w14:paraId="552CEC60"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Cusumano, M.A., Gawer, A. and Yoffie, D.B.</w:t>
      </w:r>
      <w:r>
        <w:rPr>
          <w:rFonts w:ascii="Arial" w:hAnsi="Arial" w:cs="Arial"/>
        </w:rPr>
        <w:t xml:space="preserve"> (2019) </w:t>
      </w:r>
      <w:r>
        <w:rPr>
          <w:rStyle w:val="Emphasis"/>
          <w:rFonts w:ascii="Arial" w:hAnsi="Arial" w:cs="Arial"/>
        </w:rPr>
        <w:t>The Business of Platforms: Strategy in the Age of Digital Competition, Innovation, and Power</w:t>
      </w:r>
      <w:r>
        <w:rPr>
          <w:rFonts w:ascii="Arial" w:hAnsi="Arial" w:cs="Arial"/>
        </w:rPr>
        <w:t>. New York: HarperBusiness.</w:t>
      </w:r>
    </w:p>
    <w:p w14:paraId="37751231"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Dees, J.G.</w:t>
      </w:r>
      <w:r>
        <w:rPr>
          <w:rFonts w:ascii="Arial" w:hAnsi="Arial" w:cs="Arial"/>
        </w:rPr>
        <w:t xml:space="preserve"> (2001) </w:t>
      </w:r>
      <w:r>
        <w:rPr>
          <w:rStyle w:val="Emphasis"/>
          <w:rFonts w:ascii="Arial" w:hAnsi="Arial" w:cs="Arial"/>
        </w:rPr>
        <w:t>The Meaning of 'Social Entrepreneurship'</w:t>
      </w:r>
      <w:r>
        <w:rPr>
          <w:rFonts w:ascii="Arial" w:hAnsi="Arial" w:cs="Arial"/>
        </w:rPr>
        <w:t>. Stanford: Center for the Advancement of Social Entrepreneurship, Stanford Graduate School of Business.</w:t>
      </w:r>
    </w:p>
    <w:p w14:paraId="2147AA2F"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lastRenderedPageBreak/>
        <w:t>Defourny, J. and Nyssens, M.</w:t>
      </w:r>
      <w:r>
        <w:rPr>
          <w:rFonts w:ascii="Arial" w:hAnsi="Arial" w:cs="Arial"/>
        </w:rPr>
        <w:t xml:space="preserve"> (2010) 'Conceptions of social enterprise and social entrepreneurship in Europe and the United States: convergences and divergences', </w:t>
      </w:r>
      <w:r>
        <w:rPr>
          <w:rStyle w:val="Emphasis"/>
          <w:rFonts w:ascii="Arial" w:hAnsi="Arial" w:cs="Arial"/>
        </w:rPr>
        <w:t>Journal of Social Entrepreneurship</w:t>
      </w:r>
      <w:r>
        <w:rPr>
          <w:rFonts w:ascii="Arial" w:hAnsi="Arial" w:cs="Arial"/>
        </w:rPr>
        <w:t>, 1(1), pp. 32–53. doi: 10.1080/19420670903442053.</w:t>
      </w:r>
    </w:p>
    <w:p w14:paraId="55589262"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Doran, G.T.</w:t>
      </w:r>
      <w:r>
        <w:rPr>
          <w:rFonts w:ascii="Arial" w:hAnsi="Arial" w:cs="Arial"/>
        </w:rPr>
        <w:t xml:space="preserve"> (1981) 'There's a S.M.A.R.T. way to write management's goals and objectives', </w:t>
      </w:r>
      <w:r>
        <w:rPr>
          <w:rStyle w:val="Emphasis"/>
          <w:rFonts w:ascii="Arial" w:hAnsi="Arial" w:cs="Arial"/>
        </w:rPr>
        <w:t>Management Review</w:t>
      </w:r>
      <w:r>
        <w:rPr>
          <w:rFonts w:ascii="Arial" w:hAnsi="Arial" w:cs="Arial"/>
        </w:rPr>
        <w:t>, 70(11), pp. 35–36.</w:t>
      </w:r>
    </w:p>
    <w:p w14:paraId="41F4941D"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Drucker, P.F.</w:t>
      </w:r>
      <w:r>
        <w:rPr>
          <w:rFonts w:ascii="Arial" w:hAnsi="Arial" w:cs="Arial"/>
        </w:rPr>
        <w:t xml:space="preserve"> (2007) </w:t>
      </w:r>
      <w:r>
        <w:rPr>
          <w:rStyle w:val="Emphasis"/>
          <w:rFonts w:ascii="Arial" w:hAnsi="Arial" w:cs="Arial"/>
        </w:rPr>
        <w:t>Innovation and Entrepreneurship: Practice and Principles</w:t>
      </w:r>
      <w:r>
        <w:rPr>
          <w:rFonts w:ascii="Arial" w:hAnsi="Arial" w:cs="Arial"/>
        </w:rPr>
        <w:t>. Rev. edn. Oxford: Butterworth-Heinemann.</w:t>
      </w:r>
    </w:p>
    <w:p w14:paraId="5EE3068F"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Elkington, J.</w:t>
      </w:r>
      <w:r>
        <w:rPr>
          <w:rFonts w:ascii="Arial" w:hAnsi="Arial" w:cs="Arial"/>
        </w:rPr>
        <w:t xml:space="preserve"> (1997) </w:t>
      </w:r>
      <w:r>
        <w:rPr>
          <w:rStyle w:val="Emphasis"/>
          <w:rFonts w:ascii="Arial" w:hAnsi="Arial" w:cs="Arial"/>
        </w:rPr>
        <w:t>Cannibals with Forks: The Triple Bottom Line of 21st Century Business</w:t>
      </w:r>
      <w:r>
        <w:rPr>
          <w:rFonts w:ascii="Arial" w:hAnsi="Arial" w:cs="Arial"/>
        </w:rPr>
        <w:t>. Oxford: Capstone.</w:t>
      </w:r>
    </w:p>
    <w:p w14:paraId="467F769D"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Helms, M.M. and Nixon, J.</w:t>
      </w:r>
      <w:r>
        <w:rPr>
          <w:rFonts w:ascii="Arial" w:hAnsi="Arial" w:cs="Arial"/>
        </w:rPr>
        <w:t xml:space="preserve"> (2010) 'Exploring SWOT analysis – where are we now? A review of academic research from the last decade', </w:t>
      </w:r>
      <w:r>
        <w:rPr>
          <w:rStyle w:val="Emphasis"/>
          <w:rFonts w:ascii="Arial" w:hAnsi="Arial" w:cs="Arial"/>
        </w:rPr>
        <w:t>Journal of Strategy and Management</w:t>
      </w:r>
      <w:r>
        <w:rPr>
          <w:rFonts w:ascii="Arial" w:hAnsi="Arial" w:cs="Arial"/>
        </w:rPr>
        <w:t>, 3(3), pp. 215–251. doi: 10.1108/17554251011064837.</w:t>
      </w:r>
    </w:p>
    <w:p w14:paraId="22F636A2"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Kotler, P. and Armstrong, G.</w:t>
      </w:r>
      <w:r>
        <w:rPr>
          <w:rFonts w:ascii="Arial" w:hAnsi="Arial" w:cs="Arial"/>
        </w:rPr>
        <w:t xml:space="preserve"> (2021) </w:t>
      </w:r>
      <w:r>
        <w:rPr>
          <w:rStyle w:val="Emphasis"/>
          <w:rFonts w:ascii="Arial" w:hAnsi="Arial" w:cs="Arial"/>
        </w:rPr>
        <w:t>Principles of Marketing</w:t>
      </w:r>
      <w:r>
        <w:rPr>
          <w:rFonts w:ascii="Arial" w:hAnsi="Arial" w:cs="Arial"/>
        </w:rPr>
        <w:t>. 18th edn. Harlow: Pearson.</w:t>
      </w:r>
    </w:p>
    <w:p w14:paraId="5A9AB745"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Mair, J. and Marti, I.</w:t>
      </w:r>
      <w:r>
        <w:rPr>
          <w:rFonts w:ascii="Arial" w:hAnsi="Arial" w:cs="Arial"/>
        </w:rPr>
        <w:t xml:space="preserve"> (2006) 'Social entrepreneurship research: a source of explanation, prediction, and delight', </w:t>
      </w:r>
      <w:r>
        <w:rPr>
          <w:rStyle w:val="Emphasis"/>
          <w:rFonts w:ascii="Arial" w:hAnsi="Arial" w:cs="Arial"/>
        </w:rPr>
        <w:t>Journal of World Business</w:t>
      </w:r>
      <w:r>
        <w:rPr>
          <w:rFonts w:ascii="Arial" w:hAnsi="Arial" w:cs="Arial"/>
        </w:rPr>
        <w:t>, 41(1), pp. 36–44. doi: 10.1016/j.jwb.2005.09.002.</w:t>
      </w:r>
    </w:p>
    <w:p w14:paraId="7C75CAC6"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McCarthy, E.J.</w:t>
      </w:r>
      <w:r>
        <w:rPr>
          <w:rFonts w:ascii="Arial" w:hAnsi="Arial" w:cs="Arial"/>
        </w:rPr>
        <w:t xml:space="preserve"> (1960) </w:t>
      </w:r>
      <w:r>
        <w:rPr>
          <w:rStyle w:val="Emphasis"/>
          <w:rFonts w:ascii="Arial" w:hAnsi="Arial" w:cs="Arial"/>
        </w:rPr>
        <w:t>Basic Marketing: A Managerial Approach</w:t>
      </w:r>
      <w:r>
        <w:rPr>
          <w:rFonts w:ascii="Arial" w:hAnsi="Arial" w:cs="Arial"/>
        </w:rPr>
        <w:t>. Homewood, IL: Richard D. Irwin.</w:t>
      </w:r>
    </w:p>
    <w:p w14:paraId="4DF0FFAC"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Osterwalder, A. and Pigneur, Y.</w:t>
      </w:r>
      <w:r>
        <w:rPr>
          <w:rFonts w:ascii="Arial" w:hAnsi="Arial" w:cs="Arial"/>
        </w:rPr>
        <w:t xml:space="preserve"> (2010) </w:t>
      </w:r>
      <w:r>
        <w:rPr>
          <w:rStyle w:val="Emphasis"/>
          <w:rFonts w:ascii="Arial" w:hAnsi="Arial" w:cs="Arial"/>
        </w:rPr>
        <w:t>Business Model Generation: A Handbook for Visionaries, Game Changers, and Challengers</w:t>
      </w:r>
      <w:r>
        <w:rPr>
          <w:rFonts w:ascii="Arial" w:hAnsi="Arial" w:cs="Arial"/>
        </w:rPr>
        <w:t>. Hoboken, NJ: Wiley.</w:t>
      </w:r>
    </w:p>
    <w:p w14:paraId="318D3922"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Pickton, D.W. and Wright, S.</w:t>
      </w:r>
      <w:r>
        <w:rPr>
          <w:rFonts w:ascii="Arial" w:hAnsi="Arial" w:cs="Arial"/>
        </w:rPr>
        <w:t xml:space="preserve"> (1998) 'What's SWOT in strategic analysis?', </w:t>
      </w:r>
      <w:r>
        <w:rPr>
          <w:rStyle w:val="Emphasis"/>
          <w:rFonts w:ascii="Arial" w:hAnsi="Arial" w:cs="Arial"/>
        </w:rPr>
        <w:t>Strategic Change</w:t>
      </w:r>
      <w:r>
        <w:rPr>
          <w:rFonts w:ascii="Arial" w:hAnsi="Arial" w:cs="Arial"/>
        </w:rPr>
        <w:t>, 7(2), pp. 101–109.</w:t>
      </w:r>
    </w:p>
    <w:p w14:paraId="11D5AA6A"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PitchBook</w:t>
      </w:r>
      <w:r>
        <w:rPr>
          <w:rFonts w:ascii="Arial" w:hAnsi="Arial" w:cs="Arial"/>
        </w:rPr>
        <w:t xml:space="preserve"> (2026) </w:t>
      </w:r>
      <w:r>
        <w:rPr>
          <w:rStyle w:val="Emphasis"/>
          <w:rFonts w:ascii="Arial" w:hAnsi="Arial" w:cs="Arial"/>
        </w:rPr>
        <w:t>Too Good To Go: Company Profile, Valuation, Funding &amp; Investors</w:t>
      </w:r>
      <w:r>
        <w:rPr>
          <w:rFonts w:ascii="Arial" w:hAnsi="Arial" w:cs="Arial"/>
        </w:rPr>
        <w:t xml:space="preserve">. Available at: </w:t>
      </w:r>
      <w:hyperlink r:id="rId9" w:history="1">
        <w:r>
          <w:rPr>
            <w:rStyle w:val="Hyperlink"/>
            <w:rFonts w:ascii="Arial" w:hAnsi="Arial" w:cs="Arial"/>
          </w:rPr>
          <w:t>https://pitchbook.com/profiles/company/167210-56</w:t>
        </w:r>
      </w:hyperlink>
      <w:r>
        <w:rPr>
          <w:rFonts w:ascii="Arial" w:hAnsi="Arial" w:cs="Arial"/>
        </w:rPr>
        <w:t xml:space="preserve"> (Accessed: 23 June 2026).</w:t>
      </w:r>
    </w:p>
    <w:p w14:paraId="4CF76EE9"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lastRenderedPageBreak/>
        <w:t>Porter, M.E.</w:t>
      </w:r>
      <w:r>
        <w:rPr>
          <w:rFonts w:ascii="Arial" w:hAnsi="Arial" w:cs="Arial"/>
        </w:rPr>
        <w:t xml:space="preserve"> (2008) 'The five competitive forces that shape strategy', </w:t>
      </w:r>
      <w:r>
        <w:rPr>
          <w:rStyle w:val="Emphasis"/>
          <w:rFonts w:ascii="Arial" w:hAnsi="Arial" w:cs="Arial"/>
        </w:rPr>
        <w:t>Harvard Business Review</w:t>
      </w:r>
      <w:r>
        <w:rPr>
          <w:rFonts w:ascii="Arial" w:hAnsi="Arial" w:cs="Arial"/>
        </w:rPr>
        <w:t>, 86(1), pp. 78–93.</w:t>
      </w:r>
    </w:p>
    <w:p w14:paraId="4B66C8A5"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Porter, M.E. and Kramer, M.R.</w:t>
      </w:r>
      <w:r>
        <w:rPr>
          <w:rFonts w:ascii="Arial" w:hAnsi="Arial" w:cs="Arial"/>
        </w:rPr>
        <w:t xml:space="preserve"> (2011) 'Creating shared value', </w:t>
      </w:r>
      <w:r>
        <w:rPr>
          <w:rStyle w:val="Emphasis"/>
          <w:rFonts w:ascii="Arial" w:hAnsi="Arial" w:cs="Arial"/>
        </w:rPr>
        <w:t>Harvard Business Review</w:t>
      </w:r>
      <w:r>
        <w:rPr>
          <w:rFonts w:ascii="Arial" w:hAnsi="Arial" w:cs="Arial"/>
        </w:rPr>
        <w:t>, 89(1–2), pp. 62–77.</w:t>
      </w:r>
    </w:p>
    <w:p w14:paraId="412C4047"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PR Newswire</w:t>
      </w:r>
      <w:r>
        <w:rPr>
          <w:rFonts w:ascii="Arial" w:hAnsi="Arial" w:cs="Arial"/>
        </w:rPr>
        <w:t xml:space="preserve"> (2025) 'Too Good To Go accelerates U.S. expansion through rapidly growing partner network', </w:t>
      </w:r>
      <w:r>
        <w:rPr>
          <w:rStyle w:val="Emphasis"/>
          <w:rFonts w:ascii="Arial" w:hAnsi="Arial" w:cs="Arial"/>
        </w:rPr>
        <w:t>PR Newswire</w:t>
      </w:r>
      <w:r>
        <w:rPr>
          <w:rFonts w:ascii="Arial" w:hAnsi="Arial" w:cs="Arial"/>
        </w:rPr>
        <w:t xml:space="preserve">, 27 August. Available at: </w:t>
      </w:r>
      <w:hyperlink r:id="rId10" w:history="1">
        <w:r>
          <w:rPr>
            <w:rStyle w:val="Hyperlink"/>
            <w:rFonts w:ascii="Arial" w:hAnsi="Arial" w:cs="Arial"/>
          </w:rPr>
          <w:t>https://www.prnewswire.com/news-releases/too-good-to-go-accelerates-us-expansion-through-rapidly-growing-partner-network-302539498.html</w:t>
        </w:r>
      </w:hyperlink>
      <w:r>
        <w:rPr>
          <w:rFonts w:ascii="Arial" w:hAnsi="Arial" w:cs="Arial"/>
        </w:rPr>
        <w:t xml:space="preserve"> (Accessed: 24 June 2026).</w:t>
      </w:r>
    </w:p>
    <w:p w14:paraId="59AAB191"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Rochet, J.-C. and Tirole, J.</w:t>
      </w:r>
      <w:r>
        <w:rPr>
          <w:rFonts w:ascii="Arial" w:hAnsi="Arial" w:cs="Arial"/>
        </w:rPr>
        <w:t xml:space="preserve"> (2003) 'Platform competition in two-sided markets', </w:t>
      </w:r>
      <w:r>
        <w:rPr>
          <w:rStyle w:val="Emphasis"/>
          <w:rFonts w:ascii="Arial" w:hAnsi="Arial" w:cs="Arial"/>
        </w:rPr>
        <w:t>Journal of the European Economic Association</w:t>
      </w:r>
      <w:r>
        <w:rPr>
          <w:rFonts w:ascii="Arial" w:hAnsi="Arial" w:cs="Arial"/>
        </w:rPr>
        <w:t>, 1(4), pp. 990–1029. doi: 10.1162/154247603322493212.</w:t>
      </w:r>
    </w:p>
    <w:p w14:paraId="046AF659"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Sarasvathy, S.D.</w:t>
      </w:r>
      <w:r>
        <w:rPr>
          <w:rFonts w:ascii="Arial" w:hAnsi="Arial" w:cs="Arial"/>
        </w:rPr>
        <w:t xml:space="preserve"> (2001) 'Causation and effectuation: toward a theoretical shift from economic inevitability to entrepreneurial contingency', </w:t>
      </w:r>
      <w:r>
        <w:rPr>
          <w:rStyle w:val="Emphasis"/>
          <w:rFonts w:ascii="Arial" w:hAnsi="Arial" w:cs="Arial"/>
        </w:rPr>
        <w:t>Academy of Management Review</w:t>
      </w:r>
      <w:r>
        <w:rPr>
          <w:rFonts w:ascii="Arial" w:hAnsi="Arial" w:cs="Arial"/>
        </w:rPr>
        <w:t>, 26(2), pp. 243–263. doi: 10.5465/amr.2001.4378020.</w:t>
      </w:r>
    </w:p>
    <w:p w14:paraId="167972AD"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Too Good To Go</w:t>
      </w:r>
      <w:r>
        <w:rPr>
          <w:rFonts w:ascii="Arial" w:hAnsi="Arial" w:cs="Arial"/>
        </w:rPr>
        <w:t xml:space="preserve"> (2026) </w:t>
      </w:r>
      <w:r>
        <w:rPr>
          <w:rStyle w:val="Emphasis"/>
          <w:rFonts w:ascii="Arial" w:hAnsi="Arial" w:cs="Arial"/>
        </w:rPr>
        <w:t>About Us – Our History</w:t>
      </w:r>
      <w:r>
        <w:rPr>
          <w:rFonts w:ascii="Arial" w:hAnsi="Arial" w:cs="Arial"/>
        </w:rPr>
        <w:t xml:space="preserve">. Available at: </w:t>
      </w:r>
      <w:hyperlink r:id="rId11" w:history="1">
        <w:r>
          <w:rPr>
            <w:rStyle w:val="Hyperlink"/>
            <w:rFonts w:ascii="Arial" w:hAnsi="Arial" w:cs="Arial"/>
          </w:rPr>
          <w:t>https://www.toogoodtogo.com/en-us/about-us/our-history</w:t>
        </w:r>
      </w:hyperlink>
      <w:r>
        <w:rPr>
          <w:rFonts w:ascii="Arial" w:hAnsi="Arial" w:cs="Arial"/>
        </w:rPr>
        <w:t xml:space="preserve"> (Accessed: 20 June 2026).</w:t>
      </w:r>
    </w:p>
    <w:p w14:paraId="4C310F1E"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Too Good To Go ApS</w:t>
      </w:r>
      <w:r>
        <w:rPr>
          <w:rFonts w:ascii="Arial" w:hAnsi="Arial" w:cs="Arial"/>
        </w:rPr>
        <w:t xml:space="preserve"> (2025) </w:t>
      </w:r>
      <w:r>
        <w:rPr>
          <w:rStyle w:val="Emphasis"/>
          <w:rFonts w:ascii="Arial" w:hAnsi="Arial" w:cs="Arial"/>
        </w:rPr>
        <w:t>Annual Report 2024</w:t>
      </w:r>
      <w:r>
        <w:rPr>
          <w:rFonts w:ascii="Arial" w:hAnsi="Arial" w:cs="Arial"/>
        </w:rPr>
        <w:t>. Copenhagen: Too Good To Go ApS.</w:t>
      </w:r>
    </w:p>
    <w:p w14:paraId="111DDB8D"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Wasserman, N.</w:t>
      </w:r>
      <w:r>
        <w:rPr>
          <w:rFonts w:ascii="Arial" w:hAnsi="Arial" w:cs="Arial"/>
        </w:rPr>
        <w:t xml:space="preserve"> (2008) 'The founder's dilemma', </w:t>
      </w:r>
      <w:r>
        <w:rPr>
          <w:rStyle w:val="Emphasis"/>
          <w:rFonts w:ascii="Arial" w:hAnsi="Arial" w:cs="Arial"/>
        </w:rPr>
        <w:t>Harvard Business Review</w:t>
      </w:r>
      <w:r>
        <w:rPr>
          <w:rFonts w:ascii="Arial" w:hAnsi="Arial" w:cs="Arial"/>
        </w:rPr>
        <w:t>, 86(2), pp. 102–109.</w:t>
      </w:r>
    </w:p>
    <w:p w14:paraId="417C680B" w14:textId="77777777" w:rsidR="00752CC1" w:rsidRPr="00E7779E" w:rsidRDefault="00752CC1" w:rsidP="00A61539">
      <w:pPr>
        <w:pStyle w:val="font-claude-response-body"/>
        <w:spacing w:line="360" w:lineRule="auto"/>
        <w:jc w:val="both"/>
        <w:rPr>
          <w:rFonts w:ascii="Arial" w:hAnsi="Arial" w:cs="Arial"/>
        </w:rPr>
      </w:pPr>
      <w:r>
        <w:rPr>
          <w:rStyle w:val="Strong"/>
          <w:rFonts w:ascii="Arial" w:hAnsi="Arial" w:cs="Arial"/>
          <w:b w:val="0"/>
          <w:bCs w:val="0"/>
        </w:rPr>
        <w:t>Yüksel, İ.</w:t>
      </w:r>
      <w:r>
        <w:rPr>
          <w:rFonts w:ascii="Arial" w:hAnsi="Arial" w:cs="Arial"/>
        </w:rPr>
        <w:t xml:space="preserve"> (2012) 'Developing a multi-criteria decision making model for PESTEL analysis', </w:t>
      </w:r>
      <w:r>
        <w:rPr>
          <w:rStyle w:val="Emphasis"/>
          <w:rFonts w:ascii="Arial" w:hAnsi="Arial" w:cs="Arial"/>
        </w:rPr>
        <w:t>International Journal of Business and Management</w:t>
      </w:r>
      <w:r>
        <w:rPr>
          <w:rFonts w:ascii="Arial" w:hAnsi="Arial" w:cs="Arial"/>
        </w:rPr>
        <w:t>, 7(24), pp. 52–66. doi: 10.5539/ijbm.v7n24p52.</w:t>
      </w:r>
    </w:p>
    <w:p w14:paraId="7D95D270" w14:textId="77777777" w:rsidR="008B3464" w:rsidRDefault="00837D70">
      <w:r>
        <w:br w:type="page"/>
      </w:r>
    </w:p>
    <w:p w14:paraId="77B70028" w14:textId="77777777" w:rsidR="008B3464" w:rsidRDefault="00837D70">
      <w:pPr>
        <w:pStyle w:val="Heading1"/>
        <w:spacing w:line="360" w:lineRule="auto"/>
      </w:pPr>
      <w:bookmarkStart w:id="19" w:name="_Toc233333081"/>
      <w:r>
        <w:lastRenderedPageBreak/>
        <w:t>Appendices</w:t>
      </w:r>
      <w:bookmarkEnd w:id="19"/>
    </w:p>
    <w:p w14:paraId="428DE6E8" w14:textId="77777777" w:rsidR="008B3464" w:rsidRDefault="00837D70">
      <w:pPr>
        <w:pStyle w:val="Heading2"/>
        <w:spacing w:line="360" w:lineRule="auto"/>
      </w:pPr>
      <w:bookmarkStart w:id="20" w:name="_Toc233333082"/>
      <w:r>
        <w:t>Appendix A: Business Model Canvas</w:t>
      </w:r>
      <w:bookmarkEnd w:id="20"/>
    </w:p>
    <w:p w14:paraId="58E02D2B" w14:textId="77777777" w:rsidR="008B3464" w:rsidRDefault="00837D70">
      <w:pPr>
        <w:spacing w:after="60" w:line="360" w:lineRule="auto"/>
        <w:jc w:val="center"/>
      </w:pPr>
      <w:r>
        <w:rPr>
          <w:b/>
          <w:bCs/>
          <w:color w:val="000000"/>
          <w:sz w:val="22"/>
          <w:szCs w:val="22"/>
        </w:rPr>
        <w:t>Figure A1: Too Good To Go Business Model Canvas (Osterwalder and Pigneur, 2010)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5"/>
        <w:gridCol w:w="1805"/>
        <w:gridCol w:w="1805"/>
        <w:gridCol w:w="1806"/>
        <w:gridCol w:w="1805"/>
      </w:tblGrid>
      <w:tr w:rsidR="008B3464" w14:paraId="58CE096F" w14:textId="77777777">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2B31B120" w14:textId="77777777" w:rsidR="008B3464" w:rsidRDefault="00837D70">
            <w:pPr>
              <w:spacing w:line="276" w:lineRule="auto"/>
              <w:jc w:val="center"/>
            </w:pPr>
            <w:r>
              <w:rPr>
                <w:b/>
                <w:bCs/>
                <w:color w:val="FFFFFF"/>
                <w:sz w:val="22"/>
                <w:szCs w:val="22"/>
              </w:rPr>
              <w:t>Key Partners</w:t>
            </w:r>
          </w:p>
        </w:tc>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2C64DEAF" w14:textId="77777777" w:rsidR="008B3464" w:rsidRDefault="00837D70">
            <w:pPr>
              <w:spacing w:line="276" w:lineRule="auto"/>
              <w:jc w:val="center"/>
            </w:pPr>
            <w:r>
              <w:rPr>
                <w:b/>
                <w:bCs/>
                <w:color w:val="FFFFFF"/>
                <w:sz w:val="22"/>
                <w:szCs w:val="22"/>
              </w:rPr>
              <w:t>Key Activities</w:t>
            </w:r>
          </w:p>
        </w:tc>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34BFB30C" w14:textId="77777777" w:rsidR="008B3464" w:rsidRDefault="00837D70">
            <w:pPr>
              <w:spacing w:line="276" w:lineRule="auto"/>
              <w:jc w:val="center"/>
            </w:pPr>
            <w:r>
              <w:rPr>
                <w:b/>
                <w:bCs/>
                <w:color w:val="FFFFFF"/>
                <w:sz w:val="22"/>
                <w:szCs w:val="22"/>
              </w:rPr>
              <w:t>Value Propositions</w:t>
            </w:r>
          </w:p>
        </w:tc>
        <w:tc>
          <w:tcPr>
            <w:tcW w:w="1806"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3944942C" w14:textId="77777777" w:rsidR="008B3464" w:rsidRDefault="00837D70">
            <w:pPr>
              <w:spacing w:line="276" w:lineRule="auto"/>
              <w:jc w:val="center"/>
            </w:pPr>
            <w:r>
              <w:rPr>
                <w:b/>
                <w:bCs/>
                <w:color w:val="FFFFFF"/>
                <w:sz w:val="22"/>
                <w:szCs w:val="22"/>
              </w:rPr>
              <w:t>Customer Relationships</w:t>
            </w:r>
          </w:p>
        </w:tc>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6F53A66" w14:textId="77777777" w:rsidR="008B3464" w:rsidRDefault="00837D70">
            <w:pPr>
              <w:spacing w:line="276" w:lineRule="auto"/>
              <w:jc w:val="center"/>
            </w:pPr>
            <w:r>
              <w:rPr>
                <w:b/>
                <w:bCs/>
                <w:color w:val="FFFFFF"/>
                <w:sz w:val="22"/>
                <w:szCs w:val="22"/>
              </w:rPr>
              <w:t>Customer Segments</w:t>
            </w:r>
          </w:p>
        </w:tc>
      </w:tr>
      <w:tr w:rsidR="008B3464" w14:paraId="2DE89D2B" w14:textId="77777777">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734CD1DF" w14:textId="77777777" w:rsidR="008B3464" w:rsidRDefault="00837D70">
            <w:pPr>
              <w:spacing w:after="20" w:line="250" w:lineRule="auto"/>
            </w:pPr>
            <w:r>
              <w:rPr>
                <w:sz w:val="19"/>
                <w:szCs w:val="19"/>
              </w:rPr>
              <w:t>180K food partners</w:t>
            </w:r>
          </w:p>
          <w:p w14:paraId="651C3D17" w14:textId="77777777" w:rsidR="008B3464" w:rsidRDefault="00837D70">
            <w:pPr>
              <w:spacing w:after="20" w:line="250" w:lineRule="auto"/>
            </w:pPr>
            <w:r>
              <w:rPr>
                <w:sz w:val="19"/>
                <w:szCs w:val="19"/>
              </w:rPr>
              <w:t>(restaurants, supermarkets, bakeries, manufacturers)</w:t>
            </w:r>
          </w:p>
          <w:p w14:paraId="0760768C" w14:textId="77777777" w:rsidR="008B3464" w:rsidRDefault="00837D70">
            <w:pPr>
              <w:spacing w:after="20" w:line="250" w:lineRule="auto"/>
            </w:pPr>
            <w:r>
              <w:rPr>
                <w:sz w:val="19"/>
                <w:szCs w:val="19"/>
              </w:rPr>
              <w:t>Payment processors (Stripe, Adyen)</w:t>
            </w:r>
          </w:p>
          <w:p w14:paraId="1AB08E83" w14:textId="77777777" w:rsidR="008B3464" w:rsidRDefault="00837D70">
            <w:pPr>
              <w:spacing w:after="20" w:line="250" w:lineRule="auto"/>
            </w:pPr>
            <w:r>
              <w:rPr>
                <w:sz w:val="19"/>
                <w:szCs w:val="19"/>
              </w:rPr>
              <w:t>Local governments / EU</w:t>
            </w:r>
          </w:p>
          <w:p w14:paraId="0257ED2B" w14:textId="77777777" w:rsidR="008B3464" w:rsidRDefault="00837D70">
            <w:pPr>
              <w:spacing w:after="20" w:line="250" w:lineRule="auto"/>
            </w:pPr>
            <w:r>
              <w:rPr>
                <w:sz w:val="19"/>
                <w:szCs w:val="19"/>
              </w:rPr>
              <w:t>NGOs (UNEP, WWF)</w:t>
            </w:r>
          </w:p>
        </w:tc>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0232393B" w14:textId="77777777" w:rsidR="008B3464" w:rsidRDefault="00837D70">
            <w:pPr>
              <w:spacing w:after="20" w:line="250" w:lineRule="auto"/>
            </w:pPr>
            <w:r>
              <w:rPr>
                <w:sz w:val="19"/>
                <w:szCs w:val="19"/>
              </w:rPr>
              <w:t>Platform development</w:t>
            </w:r>
          </w:p>
          <w:p w14:paraId="5BCA3F29" w14:textId="77777777" w:rsidR="008B3464" w:rsidRDefault="00837D70">
            <w:pPr>
              <w:spacing w:after="20" w:line="250" w:lineRule="auto"/>
            </w:pPr>
            <w:r>
              <w:rPr>
                <w:sz w:val="19"/>
                <w:szCs w:val="19"/>
              </w:rPr>
              <w:t>Partner acquisition / onboarding</w:t>
            </w:r>
          </w:p>
          <w:p w14:paraId="78E5F79B" w14:textId="77777777" w:rsidR="008B3464" w:rsidRDefault="00837D70">
            <w:pPr>
              <w:spacing w:after="20" w:line="250" w:lineRule="auto"/>
            </w:pPr>
            <w:r>
              <w:rPr>
                <w:sz w:val="19"/>
                <w:szCs w:val="19"/>
              </w:rPr>
              <w:t>User support and trust/safety</w:t>
            </w:r>
          </w:p>
          <w:p w14:paraId="2958E734" w14:textId="77777777" w:rsidR="008B3464" w:rsidRDefault="00837D70">
            <w:pPr>
              <w:spacing w:after="20" w:line="250" w:lineRule="auto"/>
            </w:pPr>
            <w:r>
              <w:rPr>
                <w:sz w:val="19"/>
                <w:szCs w:val="19"/>
              </w:rPr>
              <w:t>Impact measurement &amp; reporting</w:t>
            </w:r>
          </w:p>
          <w:p w14:paraId="52AA6CF6" w14:textId="77777777" w:rsidR="008B3464" w:rsidRDefault="00837D70">
            <w:pPr>
              <w:spacing w:after="20" w:line="250" w:lineRule="auto"/>
            </w:pPr>
            <w:r>
              <w:rPr>
                <w:sz w:val="19"/>
                <w:szCs w:val="19"/>
              </w:rPr>
              <w:t>Marketing &amp; cause-led storytelling</w:t>
            </w:r>
          </w:p>
        </w:tc>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6F23069C" w14:textId="77777777" w:rsidR="008B3464" w:rsidRDefault="00837D70">
            <w:pPr>
              <w:spacing w:after="20" w:line="250" w:lineRule="auto"/>
            </w:pPr>
            <w:r>
              <w:rPr>
                <w:sz w:val="19"/>
                <w:szCs w:val="19"/>
              </w:rPr>
              <w:t>For consumers: discounted quality food (⅓ of retail) + climate impact narrative</w:t>
            </w:r>
          </w:p>
          <w:p w14:paraId="2DC1886F" w14:textId="77777777" w:rsidR="008B3464" w:rsidRDefault="00837D70">
            <w:pPr>
              <w:spacing w:after="20" w:line="250" w:lineRule="auto"/>
            </w:pPr>
            <w:r>
              <w:rPr>
                <w:sz w:val="19"/>
                <w:szCs w:val="19"/>
              </w:rPr>
              <w:t>For partners: incremental revenue from waste, new customers, sustainability marketing</w:t>
            </w:r>
          </w:p>
          <w:p w14:paraId="749BC43E" w14:textId="77777777" w:rsidR="008B3464" w:rsidRDefault="00837D70">
            <w:pPr>
              <w:spacing w:after="20" w:line="250" w:lineRule="auto"/>
            </w:pPr>
            <w:r>
              <w:rPr>
                <w:sz w:val="19"/>
                <w:szCs w:val="19"/>
              </w:rPr>
              <w:t>For society: 500M+ meals saved, 1.35M tonnes CO₂e avoided</w:t>
            </w:r>
          </w:p>
        </w:tc>
        <w:tc>
          <w:tcPr>
            <w:tcW w:w="1806"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16C46806" w14:textId="77777777" w:rsidR="008B3464" w:rsidRDefault="00837D70">
            <w:pPr>
              <w:spacing w:after="20" w:line="250" w:lineRule="auto"/>
            </w:pPr>
            <w:r>
              <w:rPr>
                <w:sz w:val="19"/>
                <w:szCs w:val="19"/>
              </w:rPr>
              <w:t>Self-service mobile app</w:t>
            </w:r>
          </w:p>
          <w:p w14:paraId="07D77E6F" w14:textId="77777777" w:rsidR="008B3464" w:rsidRDefault="00837D70">
            <w:pPr>
              <w:spacing w:after="20" w:line="250" w:lineRule="auto"/>
            </w:pPr>
            <w:r>
              <w:rPr>
                <w:sz w:val="19"/>
                <w:szCs w:val="19"/>
              </w:rPr>
              <w:t>In-app review system</w:t>
            </w:r>
          </w:p>
          <w:p w14:paraId="711A0A0A" w14:textId="77777777" w:rsidR="008B3464" w:rsidRDefault="00837D70">
            <w:pPr>
              <w:spacing w:after="20" w:line="250" w:lineRule="auto"/>
            </w:pPr>
            <w:r>
              <w:rPr>
                <w:sz w:val="19"/>
                <w:szCs w:val="19"/>
              </w:rPr>
              <w:t>Localised partner-success teams</w:t>
            </w:r>
          </w:p>
          <w:p w14:paraId="0F0017CC" w14:textId="77777777" w:rsidR="008B3464" w:rsidRDefault="00837D70">
            <w:pPr>
              <w:spacing w:after="20" w:line="250" w:lineRule="auto"/>
            </w:pPr>
            <w:r>
              <w:rPr>
                <w:sz w:val="19"/>
                <w:szCs w:val="19"/>
              </w:rPr>
              <w:t>Waste Warrior community building</w:t>
            </w:r>
          </w:p>
          <w:p w14:paraId="119DB1D2" w14:textId="77777777" w:rsidR="008B3464" w:rsidRDefault="00837D70">
            <w:pPr>
              <w:spacing w:after="20" w:line="250" w:lineRule="auto"/>
            </w:pPr>
            <w:r>
              <w:rPr>
                <w:sz w:val="19"/>
                <w:szCs w:val="19"/>
              </w:rPr>
              <w:t>In-app impact dashboard</w:t>
            </w:r>
          </w:p>
        </w:tc>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69BB8E6B" w14:textId="77777777" w:rsidR="008B3464" w:rsidRDefault="00837D70">
            <w:pPr>
              <w:spacing w:after="20" w:line="250" w:lineRule="auto"/>
            </w:pPr>
            <w:r>
              <w:rPr>
                <w:sz w:val="19"/>
                <w:szCs w:val="19"/>
              </w:rPr>
              <w:t>B2C: 18–44 urban ‘Waste Warriors’, budget-conscious households, experimental foodies</w:t>
            </w:r>
          </w:p>
          <w:p w14:paraId="5B538380" w14:textId="77777777" w:rsidR="008B3464" w:rsidRDefault="00837D70">
            <w:pPr>
              <w:spacing w:after="20" w:line="250" w:lineRule="auto"/>
            </w:pPr>
            <w:r>
              <w:rPr>
                <w:sz w:val="19"/>
                <w:szCs w:val="19"/>
              </w:rPr>
              <w:t>B2B: food retailers, bakeries, manufacturers (Carrefour, ALDI, Unilever, Starbucks)</w:t>
            </w:r>
          </w:p>
        </w:tc>
      </w:tr>
      <w:tr w:rsidR="008B3464" w14:paraId="53DA8EC3" w14:textId="77777777">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4FE24207" w14:textId="77777777" w:rsidR="008B3464" w:rsidRDefault="00837D70">
            <w:pPr>
              <w:spacing w:line="276" w:lineRule="auto"/>
              <w:jc w:val="center"/>
            </w:pPr>
            <w:r>
              <w:rPr>
                <w:b/>
                <w:bCs/>
                <w:color w:val="FFFFFF"/>
                <w:sz w:val="22"/>
                <w:szCs w:val="22"/>
              </w:rPr>
              <w:t>Key Resources</w:t>
            </w:r>
          </w:p>
        </w:tc>
        <w:tc>
          <w:tcPr>
            <w:tcW w:w="1805" w:type="dxa"/>
            <w:tcBorders>
              <w:top w:val="single" w:sz="1" w:space="0" w:color="BDBDBD"/>
              <w:left w:val="single" w:sz="1" w:space="0" w:color="BDBDBD"/>
              <w:bottom w:val="single" w:sz="1" w:space="0" w:color="BDBDBD"/>
              <w:right w:val="single" w:sz="1" w:space="0" w:color="BDBDBD"/>
            </w:tcBorders>
            <w:shd w:val="clear" w:color="auto" w:fill="1B5E20"/>
          </w:tcPr>
          <w:p w14:paraId="360BE45B" w14:textId="77777777" w:rsidR="008B3464" w:rsidRDefault="008B3464"/>
        </w:tc>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01443A6C" w14:textId="77777777" w:rsidR="008B3464" w:rsidRDefault="00837D70">
            <w:pPr>
              <w:spacing w:line="276" w:lineRule="auto"/>
              <w:jc w:val="center"/>
            </w:pPr>
            <w:r>
              <w:rPr>
                <w:b/>
                <w:bCs/>
                <w:color w:val="FFFFFF"/>
                <w:sz w:val="22"/>
                <w:szCs w:val="22"/>
              </w:rPr>
              <w:t>Channels</w:t>
            </w:r>
          </w:p>
        </w:tc>
        <w:tc>
          <w:tcPr>
            <w:tcW w:w="1806" w:type="dxa"/>
            <w:tcBorders>
              <w:top w:val="single" w:sz="1" w:space="0" w:color="BDBDBD"/>
              <w:left w:val="single" w:sz="1" w:space="0" w:color="BDBDBD"/>
              <w:bottom w:val="single" w:sz="1" w:space="0" w:color="BDBDBD"/>
              <w:right w:val="single" w:sz="1" w:space="0" w:color="BDBDBD"/>
            </w:tcBorders>
            <w:shd w:val="clear" w:color="auto" w:fill="1B5E20"/>
          </w:tcPr>
          <w:p w14:paraId="31820007" w14:textId="77777777" w:rsidR="008B3464" w:rsidRDefault="008B3464"/>
        </w:tc>
        <w:tc>
          <w:tcPr>
            <w:tcW w:w="18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6347C843" w14:textId="77777777" w:rsidR="008B3464" w:rsidRDefault="00837D70">
            <w:pPr>
              <w:spacing w:line="276" w:lineRule="auto"/>
              <w:jc w:val="center"/>
            </w:pPr>
            <w:r>
              <w:rPr>
                <w:b/>
                <w:bCs/>
                <w:color w:val="FFFFFF"/>
                <w:sz w:val="22"/>
                <w:szCs w:val="22"/>
              </w:rPr>
              <w:t>Revenue Streams</w:t>
            </w:r>
          </w:p>
        </w:tc>
      </w:tr>
      <w:tr w:rsidR="008B3464" w14:paraId="69A21E08" w14:textId="77777777">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02A3BDE3" w14:textId="77777777" w:rsidR="008B3464" w:rsidRDefault="00837D70">
            <w:pPr>
              <w:spacing w:after="20" w:line="250" w:lineRule="auto"/>
            </w:pPr>
            <w:r>
              <w:rPr>
                <w:sz w:val="19"/>
                <w:szCs w:val="19"/>
              </w:rPr>
              <w:t>Technology platform</w:t>
            </w:r>
          </w:p>
          <w:p w14:paraId="5EB86848" w14:textId="77777777" w:rsidR="008B3464" w:rsidRDefault="00837D70">
            <w:pPr>
              <w:spacing w:after="20" w:line="250" w:lineRule="auto"/>
            </w:pPr>
            <w:r>
              <w:rPr>
                <w:sz w:val="19"/>
                <w:szCs w:val="19"/>
              </w:rPr>
              <w:t>Brand &amp; B Corp certification</w:t>
            </w:r>
          </w:p>
          <w:p w14:paraId="6385828D" w14:textId="77777777" w:rsidR="008B3464" w:rsidRDefault="00837D70">
            <w:pPr>
              <w:spacing w:after="20" w:line="250" w:lineRule="auto"/>
            </w:pPr>
            <w:r>
              <w:rPr>
                <w:sz w:val="19"/>
                <w:szCs w:val="19"/>
              </w:rPr>
              <w:t>180K partner network</w:t>
            </w:r>
          </w:p>
          <w:p w14:paraId="13EE3763" w14:textId="77777777" w:rsidR="008B3464" w:rsidRDefault="00837D70">
            <w:pPr>
              <w:spacing w:after="20" w:line="250" w:lineRule="auto"/>
            </w:pPr>
            <w:r>
              <w:rPr>
                <w:sz w:val="19"/>
                <w:szCs w:val="19"/>
              </w:rPr>
              <w:t>130M-user database</w:t>
            </w:r>
          </w:p>
          <w:p w14:paraId="34CF947A" w14:textId="77777777" w:rsidR="008B3464" w:rsidRDefault="00837D70">
            <w:pPr>
              <w:spacing w:after="20" w:line="250" w:lineRule="auto"/>
            </w:pPr>
            <w:r>
              <w:rPr>
                <w:sz w:val="19"/>
                <w:szCs w:val="19"/>
              </w:rPr>
              <w:t>~1,300 employees</w:t>
            </w:r>
          </w:p>
          <w:p w14:paraId="1A7FD90D" w14:textId="77777777" w:rsidR="008B3464" w:rsidRDefault="00837D70">
            <w:pPr>
              <w:spacing w:after="20" w:line="250" w:lineRule="auto"/>
            </w:pPr>
            <w:r>
              <w:rPr>
                <w:sz w:val="19"/>
                <w:szCs w:val="19"/>
              </w:rPr>
              <w:t>Proprietary impact-measurement methodology</w:t>
            </w:r>
          </w:p>
        </w:tc>
        <w:tc>
          <w:tcPr>
            <w:tcW w:w="1805" w:type="dxa"/>
            <w:tcBorders>
              <w:top w:val="single" w:sz="1" w:space="0" w:color="BDBDBD"/>
              <w:left w:val="single" w:sz="1" w:space="0" w:color="BDBDBD"/>
              <w:bottom w:val="single" w:sz="1" w:space="0" w:color="BDBDBD"/>
              <w:right w:val="single" w:sz="1" w:space="0" w:color="BDBDBD"/>
            </w:tcBorders>
            <w:shd w:val="clear" w:color="auto" w:fill="FFFFFF"/>
          </w:tcPr>
          <w:p w14:paraId="35B67B33" w14:textId="77777777" w:rsidR="008B3464" w:rsidRDefault="008B3464"/>
        </w:tc>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34A12533" w14:textId="77777777" w:rsidR="008B3464" w:rsidRDefault="00837D70">
            <w:pPr>
              <w:spacing w:after="20" w:line="250" w:lineRule="auto"/>
            </w:pPr>
            <w:r>
              <w:rPr>
                <w:sz w:val="19"/>
                <w:szCs w:val="19"/>
              </w:rPr>
              <w:t>iOS and Android mobile apps</w:t>
            </w:r>
          </w:p>
          <w:p w14:paraId="251CEEEB" w14:textId="77777777" w:rsidR="008B3464" w:rsidRDefault="00837D70">
            <w:pPr>
              <w:spacing w:after="20" w:line="250" w:lineRule="auto"/>
            </w:pPr>
            <w:r>
              <w:rPr>
                <w:sz w:val="19"/>
                <w:szCs w:val="19"/>
              </w:rPr>
              <w:t>Partner direct sales</w:t>
            </w:r>
          </w:p>
          <w:p w14:paraId="62067B98" w14:textId="77777777" w:rsidR="008B3464" w:rsidRDefault="00837D70">
            <w:pPr>
              <w:spacing w:after="20" w:line="250" w:lineRule="auto"/>
            </w:pPr>
            <w:r>
              <w:rPr>
                <w:sz w:val="19"/>
                <w:szCs w:val="19"/>
              </w:rPr>
              <w:t>Social media (Instagram, TikTok)</w:t>
            </w:r>
          </w:p>
          <w:p w14:paraId="2DC06856" w14:textId="77777777" w:rsidR="008B3464" w:rsidRDefault="00837D70">
            <w:pPr>
              <w:spacing w:after="20" w:line="250" w:lineRule="auto"/>
            </w:pPr>
            <w:r>
              <w:rPr>
                <w:sz w:val="19"/>
                <w:szCs w:val="19"/>
              </w:rPr>
              <w:t>Search engine marketing</w:t>
            </w:r>
          </w:p>
          <w:p w14:paraId="496F7738" w14:textId="77777777" w:rsidR="008B3464" w:rsidRDefault="00837D70">
            <w:pPr>
              <w:spacing w:after="20" w:line="250" w:lineRule="auto"/>
            </w:pPr>
            <w:r>
              <w:rPr>
                <w:sz w:val="19"/>
                <w:szCs w:val="19"/>
              </w:rPr>
              <w:t>PR and earned media</w:t>
            </w:r>
          </w:p>
          <w:p w14:paraId="543D803A" w14:textId="77777777" w:rsidR="008B3464" w:rsidRDefault="00837D70">
            <w:pPr>
              <w:spacing w:after="20" w:line="250" w:lineRule="auto"/>
            </w:pPr>
            <w:r>
              <w:rPr>
                <w:sz w:val="19"/>
                <w:szCs w:val="19"/>
              </w:rPr>
              <w:t>B Corp directory</w:t>
            </w:r>
          </w:p>
        </w:tc>
        <w:tc>
          <w:tcPr>
            <w:tcW w:w="1806" w:type="dxa"/>
            <w:tcBorders>
              <w:top w:val="single" w:sz="1" w:space="0" w:color="BDBDBD"/>
              <w:left w:val="single" w:sz="1" w:space="0" w:color="BDBDBD"/>
              <w:bottom w:val="single" w:sz="1" w:space="0" w:color="BDBDBD"/>
              <w:right w:val="single" w:sz="1" w:space="0" w:color="BDBDBD"/>
            </w:tcBorders>
            <w:shd w:val="clear" w:color="auto" w:fill="FFFFFF"/>
          </w:tcPr>
          <w:p w14:paraId="566D0597" w14:textId="77777777" w:rsidR="008B3464" w:rsidRDefault="008B3464"/>
        </w:tc>
        <w:tc>
          <w:tcPr>
            <w:tcW w:w="1805" w:type="dxa"/>
            <w:tcBorders>
              <w:top w:val="single" w:sz="1" w:space="0" w:color="BDBDBD"/>
              <w:left w:val="single" w:sz="1" w:space="0" w:color="BDBDBD"/>
              <w:bottom w:val="single" w:sz="1" w:space="0" w:color="BDBDBD"/>
              <w:right w:val="single" w:sz="1" w:space="0" w:color="BDBDBD"/>
            </w:tcBorders>
            <w:shd w:val="clear" w:color="auto" w:fill="E8F5E9"/>
            <w:tcMar>
              <w:top w:w="40" w:type="dxa"/>
              <w:left w:w="80" w:type="dxa"/>
              <w:bottom w:w="40" w:type="dxa"/>
              <w:right w:w="80" w:type="dxa"/>
            </w:tcMar>
          </w:tcPr>
          <w:p w14:paraId="2F7C4780" w14:textId="77777777" w:rsidR="008B3464" w:rsidRDefault="00837D70">
            <w:pPr>
              <w:spacing w:after="20" w:line="250" w:lineRule="auto"/>
            </w:pPr>
            <w:r>
              <w:rPr>
                <w:sz w:val="19"/>
                <w:szCs w:val="19"/>
              </w:rPr>
              <w:t>Commission per Surprise Bag (≈$1.79 USD)</w:t>
            </w:r>
          </w:p>
          <w:p w14:paraId="4DCFC494" w14:textId="77777777" w:rsidR="008B3464" w:rsidRDefault="00837D70">
            <w:pPr>
              <w:spacing w:after="20" w:line="250" w:lineRule="auto"/>
            </w:pPr>
            <w:r>
              <w:rPr>
                <w:sz w:val="19"/>
                <w:szCs w:val="19"/>
              </w:rPr>
              <w:t>Annual partner membership fees ($89/yr US)</w:t>
            </w:r>
          </w:p>
          <w:p w14:paraId="36B53BC1" w14:textId="77777777" w:rsidR="008B3464" w:rsidRDefault="00837D70">
            <w:pPr>
              <w:spacing w:after="20" w:line="250" w:lineRule="auto"/>
            </w:pPr>
            <w:r>
              <w:rPr>
                <w:sz w:val="19"/>
                <w:szCs w:val="19"/>
              </w:rPr>
              <w:t>B2B Platform SaaS fees</w:t>
            </w:r>
          </w:p>
          <w:p w14:paraId="61C23AB8" w14:textId="77777777" w:rsidR="008B3464" w:rsidRDefault="00837D70">
            <w:pPr>
              <w:spacing w:after="20" w:line="250" w:lineRule="auto"/>
            </w:pPr>
            <w:r>
              <w:rPr>
                <w:sz w:val="19"/>
                <w:szCs w:val="19"/>
              </w:rPr>
              <w:t>Parcels commission</w:t>
            </w:r>
          </w:p>
          <w:p w14:paraId="73539C5A" w14:textId="77777777" w:rsidR="008B3464" w:rsidRDefault="00837D70">
            <w:pPr>
              <w:spacing w:after="20" w:line="250" w:lineRule="auto"/>
            </w:pPr>
            <w:r>
              <w:rPr>
                <w:sz w:val="19"/>
                <w:szCs w:val="19"/>
              </w:rPr>
              <w:t>CSR partnership contracts</w:t>
            </w:r>
          </w:p>
        </w:tc>
      </w:tr>
    </w:tbl>
    <w:p w14:paraId="0B670422" w14:textId="77777777" w:rsidR="008B3464" w:rsidRDefault="00837D70">
      <w:pPr>
        <w:spacing w:before="40" w:after="100"/>
      </w:pPr>
      <w:r>
        <w:rPr>
          <w:i/>
          <w:iCs/>
          <w:color w:val="555555"/>
          <w:sz w:val="20"/>
          <w:szCs w:val="20"/>
        </w:rPr>
        <w:t>Source: Author’s compilation adapted from Osterwalder and Pigneur (2010); Too Good To Go ApS (2025); company website.</w:t>
      </w:r>
    </w:p>
    <w:p w14:paraId="0A163D0F" w14:textId="77777777" w:rsidR="008B3464" w:rsidRDefault="00837D70">
      <w:r>
        <w:br w:type="page"/>
      </w:r>
    </w:p>
    <w:p w14:paraId="12311E7A" w14:textId="77777777" w:rsidR="008B3464" w:rsidRDefault="00837D70">
      <w:pPr>
        <w:pStyle w:val="Heading2"/>
        <w:spacing w:line="360" w:lineRule="auto"/>
      </w:pPr>
      <w:bookmarkStart w:id="21" w:name="_Toc233333083"/>
      <w:r>
        <w:lastRenderedPageBreak/>
        <w:t>Appendix B: Porter’s Five Forces Analysis</w:t>
      </w:r>
      <w:bookmarkEnd w:id="21"/>
    </w:p>
    <w:p w14:paraId="016AE060" w14:textId="77777777" w:rsidR="008B3464" w:rsidRDefault="00837D70">
      <w:pPr>
        <w:spacing w:after="60" w:line="360" w:lineRule="auto"/>
        <w:jc w:val="center"/>
      </w:pPr>
      <w:r>
        <w:rPr>
          <w:b/>
          <w:bCs/>
          <w:color w:val="000000"/>
          <w:sz w:val="22"/>
          <w:szCs w:val="22"/>
        </w:rPr>
        <w:t>Figure B1: Porter’s Five Forces Applied to Too Good To Go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3"/>
        <w:gridCol w:w="1519"/>
        <w:gridCol w:w="5254"/>
      </w:tblGrid>
      <w:tr w:rsidR="008B3464" w14:paraId="0CBA6A52" w14:textId="77777777">
        <w:tc>
          <w:tcPr>
            <w:tcW w:w="2256"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7C2E833C" w14:textId="77777777" w:rsidR="008B3464" w:rsidRDefault="00837D70">
            <w:pPr>
              <w:spacing w:line="276" w:lineRule="auto"/>
              <w:jc w:val="center"/>
            </w:pPr>
            <w:r>
              <w:rPr>
                <w:b/>
                <w:bCs/>
                <w:color w:val="FFFFFF"/>
                <w:sz w:val="22"/>
                <w:szCs w:val="22"/>
              </w:rPr>
              <w:t>Force</w:t>
            </w:r>
          </w:p>
        </w:tc>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1F6D9620" w14:textId="77777777" w:rsidR="008B3464" w:rsidRDefault="00837D70">
            <w:pPr>
              <w:spacing w:line="276" w:lineRule="auto"/>
              <w:jc w:val="center"/>
            </w:pPr>
            <w:r>
              <w:rPr>
                <w:b/>
                <w:bCs/>
                <w:color w:val="FFFFFF"/>
                <w:sz w:val="22"/>
                <w:szCs w:val="22"/>
              </w:rPr>
              <w:t>Intensity</w:t>
            </w:r>
          </w:p>
        </w:tc>
        <w:tc>
          <w:tcPr>
            <w:tcW w:w="526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4A251C45" w14:textId="77777777" w:rsidR="008B3464" w:rsidRDefault="00837D70">
            <w:pPr>
              <w:spacing w:line="276" w:lineRule="auto"/>
              <w:jc w:val="center"/>
            </w:pPr>
            <w:r>
              <w:rPr>
                <w:b/>
                <w:bCs/>
                <w:color w:val="FFFFFF"/>
                <w:sz w:val="22"/>
                <w:szCs w:val="22"/>
              </w:rPr>
              <w:t>Critical Analysis</w:t>
            </w:r>
          </w:p>
        </w:tc>
      </w:tr>
      <w:tr w:rsidR="008B3464" w14:paraId="73521727" w14:textId="77777777">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68D8ACD" w14:textId="77777777" w:rsidR="008B3464" w:rsidRDefault="00837D70">
            <w:pPr>
              <w:spacing w:line="270" w:lineRule="auto"/>
            </w:pPr>
            <w:r>
              <w:rPr>
                <w:b/>
                <w:bCs/>
                <w:color w:val="000000"/>
                <w:sz w:val="21"/>
                <w:szCs w:val="21"/>
              </w:rPr>
              <w:t>Competitive Rivalry</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F12D175" w14:textId="77777777" w:rsidR="008B3464" w:rsidRDefault="00837D70">
            <w:pPr>
              <w:spacing w:line="270" w:lineRule="auto"/>
            </w:pPr>
            <w:r>
              <w:rPr>
                <w:b/>
                <w:bCs/>
                <w:color w:val="000000"/>
                <w:sz w:val="21"/>
                <w:szCs w:val="21"/>
              </w:rPr>
              <w:t>MODERATE–HIGH</w:t>
            </w:r>
          </w:p>
        </w:tc>
        <w:tc>
          <w:tcPr>
            <w:tcW w:w="526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FFA606D" w14:textId="77777777" w:rsidR="008B3464" w:rsidRDefault="00837D70">
            <w:pPr>
              <w:spacing w:line="270" w:lineRule="auto"/>
            </w:pPr>
            <w:r>
              <w:rPr>
                <w:color w:val="000000"/>
                <w:sz w:val="21"/>
                <w:szCs w:val="21"/>
              </w:rPr>
              <w:t>Numerous direct competitors (OLIO, Karma, Phenix, Flashfood) but each is geographically concentrated, leaving TGTG as the only truly global player. Intensity increases as competitors copy the surprise-bag format. Estimated to grow as VC funding for food-tech accelerates.</w:t>
            </w:r>
          </w:p>
        </w:tc>
      </w:tr>
      <w:tr w:rsidR="008B3464" w14:paraId="101EAA71" w14:textId="77777777">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F4F2031" w14:textId="77777777" w:rsidR="008B3464" w:rsidRDefault="00837D70">
            <w:pPr>
              <w:spacing w:line="270" w:lineRule="auto"/>
            </w:pPr>
            <w:r>
              <w:rPr>
                <w:b/>
                <w:bCs/>
                <w:color w:val="000000"/>
                <w:sz w:val="21"/>
                <w:szCs w:val="21"/>
              </w:rPr>
              <w:t>Threat of New Entrants</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992B65F" w14:textId="77777777" w:rsidR="008B3464" w:rsidRDefault="00837D70">
            <w:pPr>
              <w:spacing w:line="270" w:lineRule="auto"/>
            </w:pPr>
            <w:r>
              <w:rPr>
                <w:b/>
                <w:bCs/>
                <w:color w:val="000000"/>
                <w:sz w:val="21"/>
                <w:szCs w:val="21"/>
              </w:rPr>
              <w:t>MODERATE</w:t>
            </w:r>
          </w:p>
        </w:tc>
        <w:tc>
          <w:tcPr>
            <w:tcW w:w="526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C6B0153" w14:textId="77777777" w:rsidR="008B3464" w:rsidRDefault="00837D70">
            <w:pPr>
              <w:spacing w:line="270" w:lineRule="auto"/>
            </w:pPr>
            <w:r>
              <w:rPr>
                <w:color w:val="000000"/>
                <w:sz w:val="21"/>
                <w:szCs w:val="21"/>
              </w:rPr>
              <w:t>Network effects and first-mover advantage create barriers, but the underlying technology is replicable and the B2B model could attract well-capitalised entrants (e.g. Amazon, Uber Eats, DoorDash) seeking sustainability-positioning.</w:t>
            </w:r>
          </w:p>
        </w:tc>
      </w:tr>
      <w:tr w:rsidR="008B3464" w14:paraId="7E31892F" w14:textId="77777777">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37D6A00" w14:textId="77777777" w:rsidR="008B3464" w:rsidRDefault="00837D70">
            <w:pPr>
              <w:spacing w:line="270" w:lineRule="auto"/>
            </w:pPr>
            <w:r>
              <w:rPr>
                <w:b/>
                <w:bCs/>
                <w:color w:val="000000"/>
                <w:sz w:val="21"/>
                <w:szCs w:val="21"/>
              </w:rPr>
              <w:t>Threat of Substitutes</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D583745" w14:textId="77777777" w:rsidR="008B3464" w:rsidRDefault="00837D70">
            <w:pPr>
              <w:spacing w:line="270" w:lineRule="auto"/>
            </w:pPr>
            <w:r>
              <w:rPr>
                <w:b/>
                <w:bCs/>
                <w:color w:val="000000"/>
                <w:sz w:val="21"/>
                <w:szCs w:val="21"/>
              </w:rPr>
              <w:t>MODERATE–HIGH</w:t>
            </w:r>
          </w:p>
        </w:tc>
        <w:tc>
          <w:tcPr>
            <w:tcW w:w="526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3C4D57E4" w14:textId="77777777" w:rsidR="008B3464" w:rsidRDefault="00837D70">
            <w:pPr>
              <w:spacing w:line="270" w:lineRule="auto"/>
            </w:pPr>
            <w:r>
              <w:rPr>
                <w:color w:val="000000"/>
                <w:sz w:val="21"/>
                <w:szCs w:val="21"/>
              </w:rPr>
              <w:t>Direct substitutes include supermarket reduced-price aisles, food banks, household food planning apps, and ‘ugly produce’ subscription services (Misfits Market). Indirect substitute: consumers cooking from existing pantry.</w:t>
            </w:r>
          </w:p>
        </w:tc>
      </w:tr>
      <w:tr w:rsidR="008B3464" w14:paraId="0905E764" w14:textId="77777777">
        <w:tc>
          <w:tcPr>
            <w:tcW w:w="2256"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D68DB97" w14:textId="77777777" w:rsidR="008B3464" w:rsidRDefault="00837D70">
            <w:pPr>
              <w:spacing w:line="270" w:lineRule="auto"/>
            </w:pPr>
            <w:r>
              <w:rPr>
                <w:b/>
                <w:bCs/>
                <w:color w:val="000000"/>
                <w:sz w:val="21"/>
                <w:szCs w:val="21"/>
              </w:rPr>
              <w:t>Bargaining Power of Suppliers (Partners)</w:t>
            </w:r>
          </w:p>
        </w:tc>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4ABD1216" w14:textId="77777777" w:rsidR="008B3464" w:rsidRDefault="00837D70">
            <w:pPr>
              <w:spacing w:line="270" w:lineRule="auto"/>
            </w:pPr>
            <w:r>
              <w:rPr>
                <w:b/>
                <w:bCs/>
                <w:color w:val="000000"/>
                <w:sz w:val="21"/>
                <w:szCs w:val="21"/>
              </w:rPr>
              <w:t>LOW–MODERATE</w:t>
            </w:r>
          </w:p>
        </w:tc>
        <w:tc>
          <w:tcPr>
            <w:tcW w:w="526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26BB4DA" w14:textId="77777777" w:rsidR="008B3464" w:rsidRDefault="00837D70">
            <w:pPr>
              <w:spacing w:line="270" w:lineRule="auto"/>
            </w:pPr>
            <w:r>
              <w:rPr>
                <w:color w:val="000000"/>
                <w:sz w:val="21"/>
                <w:szCs w:val="21"/>
              </w:rPr>
              <w:t>Individual restaurant/bakery partners have low bargaining power due to TGTG’s dominant user base; however large grocery chains (Carrefour, ALDI) negotiate as enterprise customers and can extract preferential terms.</w:t>
            </w:r>
          </w:p>
        </w:tc>
      </w:tr>
      <w:tr w:rsidR="008B3464" w14:paraId="4AB7ABED" w14:textId="77777777">
        <w:tc>
          <w:tcPr>
            <w:tcW w:w="2256"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28A92C9" w14:textId="77777777" w:rsidR="008B3464" w:rsidRDefault="00837D70">
            <w:pPr>
              <w:spacing w:line="270" w:lineRule="auto"/>
            </w:pPr>
            <w:r>
              <w:rPr>
                <w:b/>
                <w:bCs/>
                <w:color w:val="000000"/>
                <w:sz w:val="21"/>
                <w:szCs w:val="21"/>
              </w:rPr>
              <w:t>Bargaining Power of Buyers (Users)</w:t>
            </w:r>
          </w:p>
        </w:tc>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92E1058" w14:textId="77777777" w:rsidR="008B3464" w:rsidRDefault="00837D70">
            <w:pPr>
              <w:spacing w:line="270" w:lineRule="auto"/>
            </w:pPr>
            <w:r>
              <w:rPr>
                <w:b/>
                <w:bCs/>
                <w:color w:val="000000"/>
                <w:sz w:val="21"/>
                <w:szCs w:val="21"/>
              </w:rPr>
              <w:t>LOW</w:t>
            </w:r>
          </w:p>
        </w:tc>
        <w:tc>
          <w:tcPr>
            <w:tcW w:w="526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735EC50" w14:textId="77777777" w:rsidR="008B3464" w:rsidRDefault="00837D70">
            <w:pPr>
              <w:spacing w:line="270" w:lineRule="auto"/>
            </w:pPr>
            <w:r>
              <w:rPr>
                <w:color w:val="000000"/>
                <w:sz w:val="21"/>
                <w:szCs w:val="21"/>
              </w:rPr>
              <w:t>Consumers face low switching costs but high search costs to find alternatives in their immediate locality. The local-density network effect locks users in geographically.</w:t>
            </w:r>
          </w:p>
        </w:tc>
      </w:tr>
    </w:tbl>
    <w:p w14:paraId="034B8E66" w14:textId="77777777" w:rsidR="008B3464" w:rsidRPr="00575B92" w:rsidRDefault="00837D70">
      <w:pPr>
        <w:spacing w:before="40" w:after="100"/>
        <w:rPr>
          <w:i/>
          <w:iCs/>
          <w:sz w:val="20"/>
          <w:szCs w:val="20"/>
        </w:rPr>
      </w:pPr>
      <w:r>
        <w:rPr>
          <w:i/>
          <w:iCs/>
          <w:sz w:val="20"/>
          <w:szCs w:val="20"/>
        </w:rPr>
        <w:t xml:space="preserve">Source: Author’s analysis adapted from Porter (2008); Cusumano, Gawer and Yoffie (2019); </w:t>
      </w:r>
      <w:r w:rsidRPr="00575B92">
        <w:rPr>
          <w:i/>
          <w:iCs/>
          <w:sz w:val="20"/>
          <w:szCs w:val="20"/>
        </w:rPr>
        <w:t>CNBC (2024)</w:t>
      </w:r>
      <w:r>
        <w:rPr>
          <w:i/>
          <w:iCs/>
          <w:sz w:val="20"/>
          <w:szCs w:val="20"/>
        </w:rPr>
        <w:t>.</w:t>
      </w:r>
    </w:p>
    <w:p w14:paraId="04A296BB" w14:textId="77777777" w:rsidR="008B3464" w:rsidRDefault="00837D70">
      <w:r>
        <w:br w:type="page"/>
      </w:r>
    </w:p>
    <w:p w14:paraId="6C7D35D6" w14:textId="77777777" w:rsidR="008B3464" w:rsidRDefault="00837D70">
      <w:pPr>
        <w:pStyle w:val="Heading2"/>
        <w:spacing w:line="360" w:lineRule="auto"/>
      </w:pPr>
      <w:bookmarkStart w:id="22" w:name="_Toc233333084"/>
      <w:r>
        <w:lastRenderedPageBreak/>
        <w:t>Appendix C: Triple Bottom Line Assessment</w:t>
      </w:r>
      <w:bookmarkEnd w:id="22"/>
    </w:p>
    <w:p w14:paraId="598133ED" w14:textId="695620AA" w:rsidR="00575B92" w:rsidRDefault="00575B92">
      <w:pPr>
        <w:spacing w:after="120" w:line="360" w:lineRule="auto"/>
        <w:jc w:val="both"/>
      </w:pPr>
      <w:r w:rsidRPr="00575B92">
        <w:t xml:space="preserve">A useful lens for any B Corp, and especially for Too Good </w:t>
      </w:r>
      <w:proofErr w:type="gramStart"/>
      <w:r w:rsidRPr="00575B92">
        <w:t>To</w:t>
      </w:r>
      <w:proofErr w:type="gramEnd"/>
      <w:r w:rsidRPr="00575B92">
        <w:t xml:space="preserve"> Go, to evaluate how well their activities are going in all 3 aspects is Elkington's (1997) triple bottom line.</w:t>
      </w:r>
    </w:p>
    <w:p w14:paraId="5210000C" w14:textId="77777777" w:rsidR="008B3464" w:rsidRDefault="00837D70">
      <w:pPr>
        <w:spacing w:after="60" w:line="360" w:lineRule="auto"/>
        <w:jc w:val="center"/>
      </w:pPr>
      <w:r>
        <w:rPr>
          <w:b/>
          <w:bCs/>
          <w:color w:val="000000"/>
          <w:sz w:val="22"/>
          <w:szCs w:val="22"/>
        </w:rPr>
        <w:t xml:space="preserve">Figure C1: Triple Bottom Line Assessment of Too Good </w:t>
      </w:r>
      <w:proofErr w:type="gramStart"/>
      <w:r>
        <w:rPr>
          <w:b/>
          <w:bCs/>
          <w:color w:val="000000"/>
          <w:sz w:val="22"/>
          <w:szCs w:val="22"/>
        </w:rPr>
        <w:t>To</w:t>
      </w:r>
      <w:proofErr w:type="gramEnd"/>
      <w:r>
        <w:rPr>
          <w:b/>
          <w:bCs/>
          <w:color w:val="000000"/>
          <w:sz w:val="22"/>
          <w:szCs w:val="22"/>
        </w:rPr>
        <w:t xml:space="preserve"> Go</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5"/>
        <w:gridCol w:w="3760"/>
        <w:gridCol w:w="3761"/>
      </w:tblGrid>
      <w:tr w:rsidR="008B3464" w14:paraId="7246D024"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4ADE9F61" w14:textId="77777777" w:rsidR="008B3464" w:rsidRDefault="00837D70">
            <w:pPr>
              <w:spacing w:line="276" w:lineRule="auto"/>
              <w:jc w:val="center"/>
            </w:pPr>
            <w:r>
              <w:rPr>
                <w:b/>
                <w:bCs/>
                <w:color w:val="FFFFFF"/>
                <w:sz w:val="22"/>
                <w:szCs w:val="22"/>
              </w:rPr>
              <w:t>Pillar</w:t>
            </w:r>
          </w:p>
        </w:tc>
        <w:tc>
          <w:tcPr>
            <w:tcW w:w="3760"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59952FF7" w14:textId="77777777" w:rsidR="008B3464" w:rsidRDefault="00837D70">
            <w:pPr>
              <w:spacing w:line="276" w:lineRule="auto"/>
              <w:jc w:val="center"/>
            </w:pPr>
            <w:r>
              <w:rPr>
                <w:b/>
                <w:bCs/>
                <w:color w:val="FFFFFF"/>
                <w:sz w:val="22"/>
                <w:szCs w:val="22"/>
              </w:rPr>
              <w:t>Performance</w:t>
            </w:r>
          </w:p>
        </w:tc>
        <w:tc>
          <w:tcPr>
            <w:tcW w:w="376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4B5E0DDE" w14:textId="77777777" w:rsidR="008B3464" w:rsidRDefault="00837D70">
            <w:pPr>
              <w:spacing w:line="276" w:lineRule="auto"/>
              <w:jc w:val="center"/>
            </w:pPr>
            <w:r>
              <w:rPr>
                <w:b/>
                <w:bCs/>
                <w:color w:val="FFFFFF"/>
                <w:sz w:val="22"/>
                <w:szCs w:val="22"/>
              </w:rPr>
              <w:t>Critical Analysis</w:t>
            </w:r>
          </w:p>
        </w:tc>
      </w:tr>
      <w:tr w:rsidR="008B3464" w14:paraId="496B1496"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1ABF4C2" w14:textId="77777777" w:rsidR="008B3464" w:rsidRDefault="00837D70">
            <w:pPr>
              <w:spacing w:line="270" w:lineRule="auto"/>
            </w:pPr>
            <w:r>
              <w:rPr>
                <w:b/>
                <w:bCs/>
                <w:color w:val="000000"/>
                <w:sz w:val="21"/>
                <w:szCs w:val="21"/>
              </w:rPr>
              <w:t>People</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5CD97DBB" w14:textId="77777777" w:rsidR="008B3464" w:rsidRPr="00575B92" w:rsidRDefault="00837D70">
            <w:pPr>
              <w:spacing w:line="270" w:lineRule="auto"/>
              <w:rPr>
                <w:sz w:val="21"/>
                <w:szCs w:val="21"/>
              </w:rPr>
            </w:pPr>
            <w:r w:rsidRPr="00575B92">
              <w:rPr>
                <w:sz w:val="21"/>
                <w:szCs w:val="21"/>
              </w:rPr>
              <w:t>Empowers 130M consumers to participate in food-waste reduction; supports 180K small businesses; employs 1,300 staff globally; partners with cause-led influencers and educational programmes (NextGen initiative)</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EB9652C" w14:textId="77777777" w:rsidR="008B3464" w:rsidRPr="00575B92" w:rsidRDefault="00837D70">
            <w:pPr>
              <w:spacing w:line="270" w:lineRule="auto"/>
              <w:rPr>
                <w:sz w:val="21"/>
                <w:szCs w:val="21"/>
              </w:rPr>
            </w:pPr>
            <w:r w:rsidRPr="00575B92">
              <w:rPr>
                <w:sz w:val="21"/>
                <w:szCs w:val="21"/>
              </w:rPr>
              <w:t>Genuine social impact is documented but unevenly distributed across income groups; the model relies on smartphone access, potentially excluding lower-income consumers who arguably most need affordable food</w:t>
            </w:r>
          </w:p>
        </w:tc>
      </w:tr>
      <w:tr w:rsidR="008B3464" w14:paraId="4C4EC9DA"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2C01A2E6" w14:textId="77777777" w:rsidR="008B3464" w:rsidRDefault="00837D70">
            <w:pPr>
              <w:spacing w:line="270" w:lineRule="auto"/>
            </w:pPr>
            <w:r>
              <w:rPr>
                <w:b/>
                <w:bCs/>
                <w:color w:val="000000"/>
                <w:sz w:val="21"/>
                <w:szCs w:val="21"/>
              </w:rPr>
              <w:t>Planet</w:t>
            </w:r>
          </w:p>
        </w:tc>
        <w:tc>
          <w:tcPr>
            <w:tcW w:w="3760"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5D31451" w14:textId="77777777" w:rsidR="008B3464" w:rsidRPr="00575B92" w:rsidRDefault="00837D70">
            <w:pPr>
              <w:spacing w:line="270" w:lineRule="auto"/>
              <w:rPr>
                <w:sz w:val="21"/>
                <w:szCs w:val="21"/>
              </w:rPr>
            </w:pPr>
            <w:r>
              <w:rPr>
                <w:sz w:val="21"/>
                <w:szCs w:val="21"/>
              </w:rPr>
              <w:t xml:space="preserve">500M+ meals saved cumulatively; 1.35M tonnes CO₂e avoided; 405 billion litres of water conserved; 1.4 billion m² of land use avoided </w:t>
            </w:r>
            <w:r w:rsidRPr="00575B92">
              <w:rPr>
                <w:sz w:val="21"/>
                <w:szCs w:val="21"/>
              </w:rPr>
              <w:t>(PitchBook, 2026)</w:t>
            </w:r>
          </w:p>
        </w:tc>
        <w:tc>
          <w:tcPr>
            <w:tcW w:w="376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DBF3B33" w14:textId="77777777" w:rsidR="008B3464" w:rsidRPr="00575B92" w:rsidRDefault="00837D70">
            <w:pPr>
              <w:spacing w:line="270" w:lineRule="auto"/>
              <w:rPr>
                <w:sz w:val="21"/>
                <w:szCs w:val="21"/>
              </w:rPr>
            </w:pPr>
            <w:r>
              <w:rPr>
                <w:sz w:val="21"/>
                <w:szCs w:val="21"/>
              </w:rPr>
              <w:t xml:space="preserve">Impact metrics use industry-average emissions factors that may overstate actual benefits </w:t>
            </w:r>
            <w:r w:rsidRPr="00575B92">
              <w:rPr>
                <w:sz w:val="21"/>
                <w:szCs w:val="21"/>
              </w:rPr>
              <w:t>(Bocken et al., 2014)</w:t>
            </w:r>
            <w:r>
              <w:rPr>
                <w:sz w:val="21"/>
                <w:szCs w:val="21"/>
              </w:rPr>
              <w:t>; the rebound effect (consumers buying more because of discounts) is not quantified</w:t>
            </w:r>
          </w:p>
        </w:tc>
      </w:tr>
      <w:tr w:rsidR="008B3464" w14:paraId="1336258A"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05A27E20" w14:textId="77777777" w:rsidR="008B3464" w:rsidRDefault="00837D70">
            <w:pPr>
              <w:spacing w:line="270" w:lineRule="auto"/>
            </w:pPr>
            <w:r>
              <w:rPr>
                <w:b/>
                <w:bCs/>
                <w:color w:val="000000"/>
                <w:sz w:val="21"/>
                <w:szCs w:val="21"/>
              </w:rPr>
              <w:t>Profit</w:t>
            </w:r>
          </w:p>
        </w:tc>
        <w:tc>
          <w:tcPr>
            <w:tcW w:w="3760"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45CD4181" w14:textId="77777777" w:rsidR="008B3464" w:rsidRPr="00575B92" w:rsidRDefault="00837D70">
            <w:pPr>
              <w:spacing w:line="270" w:lineRule="auto"/>
              <w:rPr>
                <w:sz w:val="21"/>
                <w:szCs w:val="21"/>
              </w:rPr>
            </w:pPr>
            <w:r w:rsidRPr="00575B92">
              <w:rPr>
                <w:sz w:val="21"/>
                <w:szCs w:val="21"/>
              </w:rPr>
              <w:t>DKK 725M revenue (2024); 33% YoY growth; EBITDA-positive; achieved first full-year profit in 2023; capital-efficient growth on only $145M total funding raised</w:t>
            </w:r>
          </w:p>
        </w:tc>
        <w:tc>
          <w:tcPr>
            <w:tcW w:w="376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6E56CE53" w14:textId="77777777" w:rsidR="008B3464" w:rsidRPr="00575B92" w:rsidRDefault="00837D70">
            <w:pPr>
              <w:spacing w:line="270" w:lineRule="auto"/>
              <w:rPr>
                <w:sz w:val="21"/>
                <w:szCs w:val="21"/>
              </w:rPr>
            </w:pPr>
            <w:r w:rsidRPr="00575B92">
              <w:rPr>
                <w:sz w:val="21"/>
                <w:szCs w:val="21"/>
              </w:rPr>
              <w:t>1.3% net margin is structurally thin; mission-led pricing constrains profitability; vulnerability to well-capitalised competitor entry</w:t>
            </w:r>
          </w:p>
        </w:tc>
      </w:tr>
    </w:tbl>
    <w:p w14:paraId="1F4ADB74" w14:textId="77777777" w:rsidR="008B3464" w:rsidRPr="00575B92" w:rsidRDefault="00837D70">
      <w:pPr>
        <w:spacing w:before="40" w:after="100"/>
        <w:rPr>
          <w:i/>
          <w:iCs/>
          <w:sz w:val="20"/>
          <w:szCs w:val="20"/>
        </w:rPr>
      </w:pPr>
      <w:r>
        <w:rPr>
          <w:i/>
          <w:iCs/>
          <w:sz w:val="20"/>
          <w:szCs w:val="20"/>
        </w:rPr>
        <w:t xml:space="preserve">Source: Author’s analysis applying Elkington (1997); </w:t>
      </w:r>
      <w:r w:rsidRPr="00575B92">
        <w:rPr>
          <w:i/>
          <w:iCs/>
          <w:sz w:val="20"/>
          <w:szCs w:val="20"/>
        </w:rPr>
        <w:t>Too Good To Go ApS (2025); Bocken et al. (2014)</w:t>
      </w:r>
      <w:r>
        <w:rPr>
          <w:i/>
          <w:iCs/>
          <w:sz w:val="20"/>
          <w:szCs w:val="20"/>
        </w:rPr>
        <w:t>.</w:t>
      </w:r>
    </w:p>
    <w:p w14:paraId="15D1AD16" w14:textId="77777777" w:rsidR="008B3464" w:rsidRDefault="00837D70">
      <w:r>
        <w:br w:type="page"/>
      </w:r>
    </w:p>
    <w:p w14:paraId="27E9E475" w14:textId="77777777" w:rsidR="008B3464" w:rsidRDefault="00837D70">
      <w:pPr>
        <w:pStyle w:val="Heading2"/>
        <w:spacing w:line="360" w:lineRule="auto"/>
      </w:pPr>
      <w:bookmarkStart w:id="23" w:name="_Toc233333085"/>
      <w:r>
        <w:lastRenderedPageBreak/>
        <w:t>Appendix D: Transaction Process Flow</w:t>
      </w:r>
      <w:bookmarkEnd w:id="23"/>
    </w:p>
    <w:p w14:paraId="2DECE4F9" w14:textId="198E8B93" w:rsidR="00AB69A5" w:rsidRDefault="00AB69A5">
      <w:pPr>
        <w:spacing w:after="120" w:line="360" w:lineRule="auto"/>
        <w:jc w:val="both"/>
      </w:pPr>
      <w:r w:rsidRPr="00AB69A5">
        <w:t xml:space="preserve">The Too Good </w:t>
      </w:r>
      <w:proofErr w:type="gramStart"/>
      <w:r w:rsidRPr="00AB69A5">
        <w:t>To</w:t>
      </w:r>
      <w:proofErr w:type="gramEnd"/>
      <w:r w:rsidRPr="00AB69A5">
        <w:t xml:space="preserve"> Go transaction can be seen as a six-step adventure that goes from partner-side listing to user-side rating and impact reporting. Analytically identifying where this flow is provides a detailed map of the number of steps involved and where operational failures most often happen (steps 2 and 4) and why it makes sense to have a simple operation.</w:t>
      </w:r>
    </w:p>
    <w:p w14:paraId="16CA499A" w14:textId="77777777" w:rsidR="008B3464" w:rsidRDefault="00837D70">
      <w:pPr>
        <w:spacing w:after="60" w:line="360" w:lineRule="auto"/>
        <w:jc w:val="center"/>
      </w:pPr>
      <w:r>
        <w:rPr>
          <w:b/>
          <w:bCs/>
          <w:color w:val="000000"/>
          <w:sz w:val="22"/>
          <w:szCs w:val="22"/>
        </w:rPr>
        <w:t xml:space="preserve">Figure D1: Too Good </w:t>
      </w:r>
      <w:proofErr w:type="gramStart"/>
      <w:r>
        <w:rPr>
          <w:b/>
          <w:bCs/>
          <w:color w:val="000000"/>
          <w:sz w:val="22"/>
          <w:szCs w:val="22"/>
        </w:rPr>
        <w:t>To</w:t>
      </w:r>
      <w:proofErr w:type="gramEnd"/>
      <w:r>
        <w:rPr>
          <w:b/>
          <w:bCs/>
          <w:color w:val="000000"/>
          <w:sz w:val="22"/>
          <w:szCs w:val="22"/>
        </w:rPr>
        <w:t xml:space="preserve"> Go Transaction Process Flow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5"/>
        <w:gridCol w:w="7521"/>
      </w:tblGrid>
      <w:tr w:rsidR="008B3464" w14:paraId="654B4D21" w14:textId="77777777">
        <w:tc>
          <w:tcPr>
            <w:tcW w:w="1505"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69765662" w14:textId="77777777" w:rsidR="008B3464" w:rsidRDefault="00837D70">
            <w:pPr>
              <w:spacing w:line="276" w:lineRule="auto"/>
              <w:jc w:val="center"/>
            </w:pPr>
            <w:r>
              <w:rPr>
                <w:b/>
                <w:bCs/>
                <w:color w:val="FFFFFF"/>
                <w:sz w:val="22"/>
                <w:szCs w:val="22"/>
              </w:rPr>
              <w:t>Stage</w:t>
            </w:r>
          </w:p>
        </w:tc>
        <w:tc>
          <w:tcPr>
            <w:tcW w:w="7521" w:type="dxa"/>
            <w:tcBorders>
              <w:top w:val="single" w:sz="1" w:space="0" w:color="BDBDBD"/>
              <w:left w:val="single" w:sz="1" w:space="0" w:color="BDBDBD"/>
              <w:bottom w:val="single" w:sz="1" w:space="0" w:color="BDBDBD"/>
              <w:right w:val="single" w:sz="1" w:space="0" w:color="BDBDBD"/>
            </w:tcBorders>
            <w:shd w:val="clear" w:color="auto" w:fill="1B5E20"/>
            <w:tcMar>
              <w:top w:w="60" w:type="dxa"/>
              <w:left w:w="100" w:type="dxa"/>
              <w:bottom w:w="60" w:type="dxa"/>
              <w:right w:w="100" w:type="dxa"/>
            </w:tcMar>
          </w:tcPr>
          <w:p w14:paraId="7BDCEBB4" w14:textId="77777777" w:rsidR="008B3464" w:rsidRDefault="00837D70">
            <w:pPr>
              <w:spacing w:line="276" w:lineRule="auto"/>
              <w:jc w:val="center"/>
            </w:pPr>
            <w:r>
              <w:rPr>
                <w:b/>
                <w:bCs/>
                <w:color w:val="FFFFFF"/>
                <w:sz w:val="22"/>
                <w:szCs w:val="22"/>
              </w:rPr>
              <w:t>Process Description</w:t>
            </w:r>
          </w:p>
        </w:tc>
      </w:tr>
      <w:tr w:rsidR="008B3464" w14:paraId="37159B54"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4DAC4D5" w14:textId="77777777" w:rsidR="008B3464" w:rsidRDefault="00837D70">
            <w:pPr>
              <w:spacing w:line="270" w:lineRule="auto"/>
            </w:pPr>
            <w:r>
              <w:rPr>
                <w:b/>
                <w:bCs/>
                <w:color w:val="000000"/>
                <w:sz w:val="21"/>
                <w:szCs w:val="21"/>
              </w:rPr>
              <w:t>Step 1: Partner Listing</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7BDCAB0" w14:textId="77777777" w:rsidR="008B3464" w:rsidRDefault="00837D70">
            <w:pPr>
              <w:spacing w:line="270" w:lineRule="auto"/>
            </w:pPr>
            <w:r>
              <w:rPr>
                <w:color w:val="000000"/>
                <w:sz w:val="21"/>
                <w:szCs w:val="21"/>
              </w:rPr>
              <w:t>Restaurant/bakery/supermarket logs into TGTG partner portal at end of day, estimates surplus volume (e.g. 5 bags at 10pm pickup), sets pickup window, and confirms listing.</w:t>
            </w:r>
          </w:p>
        </w:tc>
      </w:tr>
      <w:tr w:rsidR="008B3464" w14:paraId="7087DD45"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52F4B3BD" w14:textId="77777777" w:rsidR="008B3464" w:rsidRDefault="00837D70">
            <w:pPr>
              <w:spacing w:line="270" w:lineRule="auto"/>
            </w:pPr>
            <w:r>
              <w:rPr>
                <w:b/>
                <w:bCs/>
                <w:color w:val="000000"/>
                <w:sz w:val="21"/>
                <w:szCs w:val="21"/>
              </w:rPr>
              <w:t>Step 2: User Discovery</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10A04BC7" w14:textId="77777777" w:rsidR="008B3464" w:rsidRDefault="00837D70">
            <w:pPr>
              <w:spacing w:line="270" w:lineRule="auto"/>
            </w:pPr>
            <w:r>
              <w:rPr>
                <w:color w:val="000000"/>
                <w:sz w:val="21"/>
                <w:szCs w:val="21"/>
              </w:rPr>
              <w:t>App users in proximity receive notification or browse map; bags displayed with category icon (bakery, meal, vegan), price, original value, and pickup window.</w:t>
            </w:r>
          </w:p>
        </w:tc>
      </w:tr>
      <w:tr w:rsidR="008B3464" w14:paraId="3B6A4DA0"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274080F3" w14:textId="77777777" w:rsidR="008B3464" w:rsidRDefault="00837D70">
            <w:pPr>
              <w:spacing w:line="270" w:lineRule="auto"/>
            </w:pPr>
            <w:r>
              <w:rPr>
                <w:b/>
                <w:bCs/>
                <w:color w:val="000000"/>
                <w:sz w:val="21"/>
                <w:szCs w:val="21"/>
              </w:rPr>
              <w:t>Step 3: Purchase</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09FBEDE" w14:textId="77777777" w:rsidR="008B3464" w:rsidRDefault="00837D70">
            <w:pPr>
              <w:spacing w:line="270" w:lineRule="auto"/>
            </w:pPr>
            <w:r>
              <w:rPr>
                <w:color w:val="000000"/>
                <w:sz w:val="21"/>
                <w:szCs w:val="21"/>
              </w:rPr>
              <w:t>User taps to reserve; in-app payment processed (Stripe/Adyen); confirmation email and in-app receipt issued; user receives reminder before pickup window.</w:t>
            </w:r>
          </w:p>
        </w:tc>
      </w:tr>
      <w:tr w:rsidR="008B3464" w14:paraId="6D709982"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830BA14" w14:textId="77777777" w:rsidR="008B3464" w:rsidRDefault="00837D70">
            <w:pPr>
              <w:spacing w:line="270" w:lineRule="auto"/>
            </w:pPr>
            <w:r>
              <w:rPr>
                <w:b/>
                <w:bCs/>
                <w:color w:val="000000"/>
                <w:sz w:val="21"/>
                <w:szCs w:val="21"/>
              </w:rPr>
              <w:t>Step 4: Pickup</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005F91FF" w14:textId="77777777" w:rsidR="008B3464" w:rsidRDefault="00837D70">
            <w:pPr>
              <w:spacing w:line="270" w:lineRule="auto"/>
            </w:pPr>
            <w:r>
              <w:rPr>
                <w:color w:val="000000"/>
                <w:sz w:val="21"/>
                <w:szCs w:val="21"/>
              </w:rPr>
              <w:t>User attends partner location within pickup window; presents app; staff hands over surprise bag; user swipes ‘collected’ in-app to confirm transaction completion.</w:t>
            </w:r>
          </w:p>
        </w:tc>
      </w:tr>
      <w:tr w:rsidR="008B3464" w14:paraId="4407C4D3" w14:textId="77777777">
        <w:tc>
          <w:tcPr>
            <w:tcW w:w="1505"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13BE0113" w14:textId="77777777" w:rsidR="008B3464" w:rsidRDefault="00837D70">
            <w:pPr>
              <w:spacing w:line="270" w:lineRule="auto"/>
            </w:pPr>
            <w:r>
              <w:rPr>
                <w:b/>
                <w:bCs/>
                <w:color w:val="000000"/>
                <w:sz w:val="21"/>
                <w:szCs w:val="21"/>
              </w:rPr>
              <w:t>Step 5: Rating</w:t>
            </w:r>
          </w:p>
        </w:tc>
        <w:tc>
          <w:tcPr>
            <w:tcW w:w="7521" w:type="dxa"/>
            <w:tcBorders>
              <w:top w:val="single" w:sz="1" w:space="0" w:color="BDBDBD"/>
              <w:left w:val="single" w:sz="1" w:space="0" w:color="BDBDBD"/>
              <w:bottom w:val="single" w:sz="1" w:space="0" w:color="BDBDBD"/>
              <w:right w:val="single" w:sz="1" w:space="0" w:color="BDBDBD"/>
            </w:tcBorders>
            <w:shd w:val="clear" w:color="auto" w:fill="E8F5E9"/>
            <w:tcMar>
              <w:top w:w="60" w:type="dxa"/>
              <w:left w:w="100" w:type="dxa"/>
              <w:bottom w:w="60" w:type="dxa"/>
              <w:right w:w="100" w:type="dxa"/>
            </w:tcMar>
          </w:tcPr>
          <w:p w14:paraId="7B3BE687" w14:textId="77777777" w:rsidR="008B3464" w:rsidRDefault="00837D70">
            <w:pPr>
              <w:spacing w:line="270" w:lineRule="auto"/>
            </w:pPr>
            <w:r>
              <w:rPr>
                <w:color w:val="000000"/>
                <w:sz w:val="21"/>
                <w:szCs w:val="21"/>
              </w:rPr>
              <w:t>User prompted to rate the partner experience and the bag value; ratings feed into the partner’s in-app reputation score visible to subsequent users.</w:t>
            </w:r>
          </w:p>
        </w:tc>
      </w:tr>
      <w:tr w:rsidR="008B3464" w14:paraId="4FE3E604" w14:textId="77777777">
        <w:tc>
          <w:tcPr>
            <w:tcW w:w="1505"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916AF30" w14:textId="77777777" w:rsidR="008B3464" w:rsidRDefault="00837D70">
            <w:pPr>
              <w:spacing w:line="270" w:lineRule="auto"/>
            </w:pPr>
            <w:r>
              <w:rPr>
                <w:b/>
                <w:bCs/>
                <w:color w:val="000000"/>
                <w:sz w:val="21"/>
                <w:szCs w:val="21"/>
              </w:rPr>
              <w:t>Step 6: Impact Reporting</w:t>
            </w:r>
          </w:p>
        </w:tc>
        <w:tc>
          <w:tcPr>
            <w:tcW w:w="7521" w:type="dxa"/>
            <w:tcBorders>
              <w:top w:val="single" w:sz="1" w:space="0" w:color="BDBDBD"/>
              <w:left w:val="single" w:sz="1" w:space="0" w:color="BDBDBD"/>
              <w:bottom w:val="single" w:sz="1" w:space="0" w:color="BDBDBD"/>
              <w:right w:val="single" w:sz="1" w:space="0" w:color="BDBDBD"/>
            </w:tcBorders>
            <w:shd w:val="clear" w:color="auto" w:fill="FFFFFF"/>
            <w:tcMar>
              <w:top w:w="60" w:type="dxa"/>
              <w:left w:w="100" w:type="dxa"/>
              <w:bottom w:w="60" w:type="dxa"/>
              <w:right w:w="100" w:type="dxa"/>
            </w:tcMar>
          </w:tcPr>
          <w:p w14:paraId="764BAAC9" w14:textId="77777777" w:rsidR="008B3464" w:rsidRDefault="00837D70">
            <w:pPr>
              <w:spacing w:line="270" w:lineRule="auto"/>
            </w:pPr>
            <w:r>
              <w:rPr>
                <w:color w:val="000000"/>
                <w:sz w:val="21"/>
                <w:szCs w:val="21"/>
              </w:rPr>
              <w:t>Aggregate ‘meals saved’, CO₂ avoided, and litres of water conserved are tallied at user-level and partner-level dashboards, reinforcing the impact narrative.</w:t>
            </w:r>
          </w:p>
        </w:tc>
      </w:tr>
    </w:tbl>
    <w:p w14:paraId="74FC112D" w14:textId="77777777" w:rsidR="008B3464" w:rsidRPr="00AB69A5" w:rsidRDefault="00837D70">
      <w:pPr>
        <w:spacing w:before="40" w:after="100"/>
        <w:rPr>
          <w:i/>
          <w:iCs/>
          <w:sz w:val="20"/>
          <w:szCs w:val="20"/>
        </w:rPr>
      </w:pPr>
      <w:r>
        <w:rPr>
          <w:i/>
          <w:iCs/>
          <w:sz w:val="20"/>
          <w:szCs w:val="20"/>
        </w:rPr>
        <w:t xml:space="preserve">Source: Author’s analysis adapted from </w:t>
      </w:r>
      <w:r w:rsidRPr="00AB69A5">
        <w:rPr>
          <w:i/>
          <w:iCs/>
          <w:sz w:val="20"/>
          <w:szCs w:val="20"/>
        </w:rPr>
        <w:t>Too Good To Go (2026); Too Good To Go ApS (2025)</w:t>
      </w:r>
      <w:r>
        <w:rPr>
          <w:i/>
          <w:iCs/>
          <w:sz w:val="20"/>
          <w:szCs w:val="20"/>
        </w:rPr>
        <w:t xml:space="preserve"> user guidance.</w:t>
      </w:r>
    </w:p>
    <w:sectPr w:rsidR="008B3464" w:rsidRPr="00AB69A5">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55C74" w14:textId="77777777" w:rsidR="00991FD7" w:rsidRDefault="00991FD7">
      <w:r>
        <w:separator/>
      </w:r>
    </w:p>
  </w:endnote>
  <w:endnote w:type="continuationSeparator" w:id="0">
    <w:p w14:paraId="345D052A" w14:textId="77777777" w:rsidR="00991FD7" w:rsidRDefault="00991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89491" w14:textId="77777777" w:rsidR="008B3464" w:rsidRDefault="00837D7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EE0CE6">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F6F27" w14:textId="77777777" w:rsidR="00991FD7" w:rsidRDefault="00991FD7">
      <w:r>
        <w:separator/>
      </w:r>
    </w:p>
  </w:footnote>
  <w:footnote w:type="continuationSeparator" w:id="0">
    <w:p w14:paraId="5F759D70" w14:textId="77777777" w:rsidR="00991FD7" w:rsidRDefault="00991F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1607CD"/>
    <w:multiLevelType w:val="hybridMultilevel"/>
    <w:tmpl w:val="DC7AC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916C41"/>
    <w:multiLevelType w:val="hybridMultilevel"/>
    <w:tmpl w:val="83249BCA"/>
    <w:lvl w:ilvl="0" w:tplc="13002E82">
      <w:start w:val="1"/>
      <w:numFmt w:val="bullet"/>
      <w:lvlText w:val="●"/>
      <w:lvlJc w:val="left"/>
      <w:pPr>
        <w:ind w:left="720" w:hanging="360"/>
      </w:pPr>
    </w:lvl>
    <w:lvl w:ilvl="1" w:tplc="869A62D0">
      <w:start w:val="1"/>
      <w:numFmt w:val="bullet"/>
      <w:lvlText w:val="○"/>
      <w:lvlJc w:val="left"/>
      <w:pPr>
        <w:ind w:left="1440" w:hanging="360"/>
      </w:pPr>
    </w:lvl>
    <w:lvl w:ilvl="2" w:tplc="2F96FC92">
      <w:start w:val="1"/>
      <w:numFmt w:val="bullet"/>
      <w:lvlText w:val="■"/>
      <w:lvlJc w:val="left"/>
      <w:pPr>
        <w:ind w:left="2160" w:hanging="360"/>
      </w:pPr>
    </w:lvl>
    <w:lvl w:ilvl="3" w:tplc="28B8717A">
      <w:start w:val="1"/>
      <w:numFmt w:val="bullet"/>
      <w:lvlText w:val="●"/>
      <w:lvlJc w:val="left"/>
      <w:pPr>
        <w:ind w:left="2880" w:hanging="360"/>
      </w:pPr>
    </w:lvl>
    <w:lvl w:ilvl="4" w:tplc="D36EA1D2">
      <w:start w:val="1"/>
      <w:numFmt w:val="bullet"/>
      <w:lvlText w:val="○"/>
      <w:lvlJc w:val="left"/>
      <w:pPr>
        <w:ind w:left="3600" w:hanging="360"/>
      </w:pPr>
    </w:lvl>
    <w:lvl w:ilvl="5" w:tplc="7FF2FE28">
      <w:start w:val="1"/>
      <w:numFmt w:val="bullet"/>
      <w:lvlText w:val="■"/>
      <w:lvlJc w:val="left"/>
      <w:pPr>
        <w:ind w:left="4320" w:hanging="360"/>
      </w:pPr>
    </w:lvl>
    <w:lvl w:ilvl="6" w:tplc="E2989D72">
      <w:start w:val="1"/>
      <w:numFmt w:val="bullet"/>
      <w:lvlText w:val="●"/>
      <w:lvlJc w:val="left"/>
      <w:pPr>
        <w:ind w:left="5040" w:hanging="360"/>
      </w:pPr>
    </w:lvl>
    <w:lvl w:ilvl="7" w:tplc="99ACEB52">
      <w:start w:val="1"/>
      <w:numFmt w:val="bullet"/>
      <w:lvlText w:val="●"/>
      <w:lvlJc w:val="left"/>
      <w:pPr>
        <w:ind w:left="5760" w:hanging="360"/>
      </w:pPr>
    </w:lvl>
    <w:lvl w:ilvl="8" w:tplc="5860EEC6">
      <w:start w:val="1"/>
      <w:numFmt w:val="bullet"/>
      <w:lvlText w:val="●"/>
      <w:lvlJc w:val="left"/>
      <w:pPr>
        <w:ind w:left="6480" w:hanging="360"/>
      </w:pPr>
    </w:lvl>
  </w:abstractNum>
  <w:num w:numId="1" w16cid:durableId="492643148">
    <w:abstractNumId w:val="1"/>
    <w:lvlOverride w:ilvl="0">
      <w:startOverride w:val="1"/>
    </w:lvlOverride>
  </w:num>
  <w:num w:numId="2" w16cid:durableId="1562516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464"/>
    <w:rsid w:val="00047409"/>
    <w:rsid w:val="000504D5"/>
    <w:rsid w:val="0005090A"/>
    <w:rsid w:val="0012662B"/>
    <w:rsid w:val="0016305A"/>
    <w:rsid w:val="001A558E"/>
    <w:rsid w:val="002569BE"/>
    <w:rsid w:val="00286433"/>
    <w:rsid w:val="0039030F"/>
    <w:rsid w:val="003979F0"/>
    <w:rsid w:val="00575B92"/>
    <w:rsid w:val="00622DEE"/>
    <w:rsid w:val="006B2CBF"/>
    <w:rsid w:val="00752CC1"/>
    <w:rsid w:val="007905EA"/>
    <w:rsid w:val="007B6DC3"/>
    <w:rsid w:val="007F3FDF"/>
    <w:rsid w:val="008079A8"/>
    <w:rsid w:val="00837D70"/>
    <w:rsid w:val="008807E0"/>
    <w:rsid w:val="008B3464"/>
    <w:rsid w:val="00991FD7"/>
    <w:rsid w:val="009F7AB3"/>
    <w:rsid w:val="00A062C7"/>
    <w:rsid w:val="00A56778"/>
    <w:rsid w:val="00A61539"/>
    <w:rsid w:val="00A875AE"/>
    <w:rsid w:val="00AB69A5"/>
    <w:rsid w:val="00AC7C7A"/>
    <w:rsid w:val="00BD175A"/>
    <w:rsid w:val="00C16838"/>
    <w:rsid w:val="00C352A6"/>
    <w:rsid w:val="00C86BEB"/>
    <w:rsid w:val="00CC362A"/>
    <w:rsid w:val="00D03A20"/>
    <w:rsid w:val="00D60D2D"/>
    <w:rsid w:val="00D73C13"/>
    <w:rsid w:val="00D95722"/>
    <w:rsid w:val="00DB40E5"/>
    <w:rsid w:val="00DB7D21"/>
    <w:rsid w:val="00E03B00"/>
    <w:rsid w:val="00E178D2"/>
    <w:rsid w:val="00E408A8"/>
    <w:rsid w:val="00E7779E"/>
    <w:rsid w:val="00EE0CE6"/>
    <w:rsid w:val="00F16444"/>
    <w:rsid w:val="00F671F7"/>
    <w:rsid w:val="00FA083C"/>
    <w:rsid w:val="00FA1BEF"/>
    <w:rsid w:val="00FD00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99EF9"/>
  <w15:docId w15:val="{2664831C-44CD-4113-B66B-C0AF29BFC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240"/>
      <w:outlineLvl w:val="0"/>
    </w:pPr>
    <w:rPr>
      <w:b/>
      <w:bCs/>
      <w:color w:val="1B5E20"/>
      <w:sz w:val="32"/>
      <w:szCs w:val="32"/>
    </w:rPr>
  </w:style>
  <w:style w:type="paragraph" w:styleId="Heading2">
    <w:name w:val="heading 2"/>
    <w:uiPriority w:val="9"/>
    <w:unhideWhenUsed/>
    <w:qFormat/>
    <w:pPr>
      <w:spacing w:before="200" w:after="200"/>
      <w:outlineLvl w:val="1"/>
    </w:pPr>
    <w:rPr>
      <w:b/>
      <w:bCs/>
      <w:color w:val="4A7C2A"/>
      <w:sz w:val="28"/>
      <w:szCs w:val="28"/>
    </w:rPr>
  </w:style>
  <w:style w:type="paragraph" w:styleId="Heading3">
    <w:name w:val="heading 3"/>
    <w:uiPriority w:val="9"/>
    <w:semiHidden/>
    <w:unhideWhenUsed/>
    <w:qFormat/>
    <w:pPr>
      <w:spacing w:before="160" w:after="160"/>
      <w:outlineLvl w:val="2"/>
    </w:pPr>
    <w:rPr>
      <w:b/>
      <w:bCs/>
      <w:color w:val="263238"/>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EE0CE6"/>
    <w:pPr>
      <w:spacing w:after="100"/>
    </w:pPr>
  </w:style>
  <w:style w:type="paragraph" w:styleId="TOC2">
    <w:name w:val="toc 2"/>
    <w:basedOn w:val="Normal"/>
    <w:next w:val="Normal"/>
    <w:autoRedefine/>
    <w:uiPriority w:val="39"/>
    <w:unhideWhenUsed/>
    <w:rsid w:val="00EE0CE6"/>
    <w:pPr>
      <w:spacing w:after="100"/>
      <w:ind w:left="240"/>
    </w:pPr>
  </w:style>
  <w:style w:type="paragraph" w:styleId="Header">
    <w:name w:val="header"/>
    <w:basedOn w:val="Normal"/>
    <w:link w:val="HeaderChar"/>
    <w:uiPriority w:val="99"/>
    <w:unhideWhenUsed/>
    <w:rsid w:val="007905EA"/>
    <w:pPr>
      <w:tabs>
        <w:tab w:val="center" w:pos="4680"/>
        <w:tab w:val="right" w:pos="9360"/>
      </w:tabs>
    </w:pPr>
  </w:style>
  <w:style w:type="character" w:customStyle="1" w:styleId="HeaderChar">
    <w:name w:val="Header Char"/>
    <w:basedOn w:val="DefaultParagraphFont"/>
    <w:link w:val="Header"/>
    <w:uiPriority w:val="99"/>
    <w:rsid w:val="007905EA"/>
  </w:style>
  <w:style w:type="paragraph" w:styleId="Footer">
    <w:name w:val="footer"/>
    <w:basedOn w:val="Normal"/>
    <w:link w:val="FooterChar"/>
    <w:uiPriority w:val="99"/>
    <w:unhideWhenUsed/>
    <w:rsid w:val="007905EA"/>
    <w:pPr>
      <w:tabs>
        <w:tab w:val="center" w:pos="4680"/>
        <w:tab w:val="right" w:pos="9360"/>
      </w:tabs>
    </w:pPr>
  </w:style>
  <w:style w:type="character" w:customStyle="1" w:styleId="FooterChar">
    <w:name w:val="Footer Char"/>
    <w:basedOn w:val="DefaultParagraphFont"/>
    <w:link w:val="Footer"/>
    <w:uiPriority w:val="99"/>
    <w:rsid w:val="007905EA"/>
  </w:style>
  <w:style w:type="paragraph" w:customStyle="1" w:styleId="font-claude-response-body">
    <w:name w:val="font-claude-response-body"/>
    <w:basedOn w:val="Normal"/>
    <w:rsid w:val="00752CC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52CC1"/>
    <w:rPr>
      <w:b/>
      <w:bCs/>
    </w:rPr>
  </w:style>
  <w:style w:type="character" w:styleId="Emphasis">
    <w:name w:val="Emphasis"/>
    <w:basedOn w:val="DefaultParagraphFont"/>
    <w:uiPriority w:val="20"/>
    <w:qFormat/>
    <w:rsid w:val="00752C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7178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nbc.com/video/2024/11/16/how-too-good-to-go-brings-in-162-millionyear-selling-leftover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goodtogo.com/en-us/about-us/our-history" TargetMode="External"/><Relationship Id="rId5" Type="http://schemas.openxmlformats.org/officeDocument/2006/relationships/footnotes" Target="footnotes.xml"/><Relationship Id="rId10" Type="http://schemas.openxmlformats.org/officeDocument/2006/relationships/hyperlink" Target="https://www.prnewswire.com/news-releases/too-good-to-go-accelerates-us-expansion-through-rapidly-growing-partner-network-302539498.html" TargetMode="External"/><Relationship Id="rId4" Type="http://schemas.openxmlformats.org/officeDocument/2006/relationships/webSettings" Target="webSettings.xml"/><Relationship Id="rId9" Type="http://schemas.openxmlformats.org/officeDocument/2006/relationships/hyperlink" Target="https://pitchbook.com/profiles/company/167210-56"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title>
      <c:tx>
        <c:rich>
          <a:bodyPr rot="0" spcFirstLastPara="1" vertOverflow="ellipsis" wrap="square" anchor="ctr" anchorCtr="1"/>
          <a:lstStyle/>
          <a:p>
            <a:pPr>
              <a:defRPr sz="1400" b="1">
                <a:latin typeface="Arial"/>
              </a:defRPr>
            </a:pPr>
            <a:r>
              <a:rPr lang="en-GB" sz="1400" b="1">
                <a:latin typeface="Arial"/>
              </a:rPr>
              <a:t>TGTG ApS Revenue Trajectory (DKK Millions)</a:t>
            </a:r>
          </a:p>
        </c:rich>
      </c:tx>
      <c:overlay val="0"/>
    </c:title>
    <c:autoTitleDeleted val="0"/>
    <c:plotArea>
      <c:layout/>
      <c:barChart>
        <c:barDir val="col"/>
        <c:grouping val="clustered"/>
        <c:varyColors val="0"/>
        <c:ser>
          <c:idx val="0"/>
          <c:order val="0"/>
          <c:tx>
            <c:strRef>
              <c:f>Sheet1!$B$1</c:f>
              <c:strCache>
                <c:ptCount val="1"/>
                <c:pt idx="0">
                  <c:v>Revenue (DKK M)</c:v>
                </c:pt>
              </c:strCache>
            </c:strRef>
          </c:tx>
          <c:spPr>
            <a:solidFill>
              <a:srgbClr val="1B5E20"/>
            </a:solidFill>
            <a:ln>
              <a:noFill/>
            </a:ln>
          </c:spPr>
          <c:invertIfNegative val="0"/>
          <c:dLbls>
            <c:spPr>
              <a:noFill/>
              <a:ln>
                <a:noFill/>
              </a:ln>
            </c:spPr>
            <c:txPr>
              <a:bodyPr rot="0" spcFirstLastPara="1" vertOverflow="ellipsis" wrap="square" lIns="38100" tIns="19050" rIns="38100" bIns="19050" anchor="ctr" anchorCtr="1"/>
              <a:lstStyle/>
              <a:p>
                <a:pPr>
                  <a:defRPr sz="900" b="0">
                    <a:latin typeface="Arial"/>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Sheet1!$A$2:$A$8</c:f>
              <c:strCache>
                <c:ptCount val="7"/>
                <c:pt idx="0">
                  <c:v>2019</c:v>
                </c:pt>
                <c:pt idx="1">
                  <c:v>2020</c:v>
                </c:pt>
                <c:pt idx="2">
                  <c:v>2021</c:v>
                </c:pt>
                <c:pt idx="3">
                  <c:v>2022</c:v>
                </c:pt>
                <c:pt idx="4">
                  <c:v>2023</c:v>
                </c:pt>
                <c:pt idx="5">
                  <c:v>2024</c:v>
                </c:pt>
                <c:pt idx="6">
                  <c:v>2025e</c:v>
                </c:pt>
              </c:strCache>
            </c:strRef>
          </c:cat>
          <c:val>
            <c:numRef>
              <c:f>Sheet1!$B$2:$B$8</c:f>
              <c:numCache>
                <c:formatCode>General</c:formatCode>
                <c:ptCount val="7"/>
                <c:pt idx="0">
                  <c:v>140</c:v>
                </c:pt>
                <c:pt idx="1">
                  <c:v>210</c:v>
                </c:pt>
                <c:pt idx="2">
                  <c:v>345</c:v>
                </c:pt>
                <c:pt idx="3">
                  <c:v>430</c:v>
                </c:pt>
                <c:pt idx="4">
                  <c:v>545</c:v>
                </c:pt>
                <c:pt idx="5">
                  <c:v>725</c:v>
                </c:pt>
                <c:pt idx="6">
                  <c:v>870</c:v>
                </c:pt>
              </c:numCache>
            </c:numRef>
          </c:val>
          <c:extLst>
            <c:ext xmlns:c16="http://schemas.microsoft.com/office/drawing/2014/chart" uri="{C3380CC4-5D6E-409C-BE32-E72D297353CC}">
              <c16:uniqueId val="{00000000-3553-4DCF-89C3-A8FC8C58017A}"/>
            </c:ext>
          </c:extLst>
        </c:ser>
        <c:dLbls>
          <c:showLegendKey val="0"/>
          <c:showVal val="0"/>
          <c:showCatName val="0"/>
          <c:showSerName val="0"/>
          <c:showPercent val="0"/>
          <c:showBubbleSize val="0"/>
        </c:dLbls>
        <c:gapWidth val="80"/>
        <c:axId val="111111111"/>
        <c:axId val="222222222"/>
      </c:barChart>
      <c:catAx>
        <c:axId val="111111111"/>
        <c:scaling>
          <c:orientation val="minMax"/>
        </c:scaling>
        <c:delete val="0"/>
        <c:axPos val="b"/>
        <c:numFmt formatCode="General" sourceLinked="0"/>
        <c:majorTickMark val="cross"/>
        <c:minorTickMark val="cross"/>
        <c:tickLblPos val="nextTo"/>
        <c:txPr>
          <a:bodyPr rot="0" spcFirstLastPara="1" vertOverflow="ellipsis" wrap="square" anchor="ctr" anchorCtr="1"/>
          <a:lstStyle/>
          <a:p>
            <a:pPr>
              <a:defRPr sz="1000">
                <a:latin typeface="Arial"/>
              </a:defRPr>
            </a:pPr>
            <a:endParaRPr lang="en-US"/>
          </a:p>
        </c:txPr>
        <c:crossAx val="222222222"/>
        <c:crosses val="autoZero"/>
        <c:auto val="1"/>
        <c:lblAlgn val="ctr"/>
        <c:lblOffset val="100"/>
        <c:noMultiLvlLbl val="0"/>
      </c:catAx>
      <c:valAx>
        <c:axId val="222222222"/>
        <c:scaling>
          <c:orientation val="minMax"/>
        </c:scaling>
        <c:delete val="0"/>
        <c:axPos val="l"/>
        <c:majorGridlines>
          <c:spPr>
            <a:ln w="9525" cap="flat" cmpd="sng" algn="ctr">
              <a:solidFill>
                <a:srgbClr val="D9D9D9"/>
              </a:solidFill>
              <a:round/>
            </a:ln>
          </c:spPr>
        </c:majorGridlines>
        <c:numFmt formatCode="General" sourceLinked="1"/>
        <c:majorTickMark val="out"/>
        <c:minorTickMark val="none"/>
        <c:tickLblPos val="nextTo"/>
        <c:txPr>
          <a:bodyPr rot="-60000000" spcFirstLastPara="1" vertOverflow="ellipsis" wrap="square" anchor="ctr" anchorCtr="1"/>
          <a:lstStyle/>
          <a:p>
            <a:pPr>
              <a:defRPr sz="1000">
                <a:latin typeface="Arial"/>
              </a:defRPr>
            </a:pPr>
            <a:endParaRPr lang="en-US"/>
          </a:p>
        </c:txPr>
        <c:crossAx val="111111111"/>
        <c:crosses val="autoZero"/>
        <c:crossBetween val="between"/>
      </c:valAx>
    </c:plotArea>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22</Pages>
  <Words>5457</Words>
  <Characters>31111</Characters>
  <Application>Microsoft Office Word</Application>
  <DocSecurity>0</DocSecurity>
  <Lines>259</Lines>
  <Paragraphs>72</Paragraphs>
  <ScaleCrop>false</ScaleCrop>
  <Company/>
  <LinksUpToDate>false</LinksUpToDate>
  <CharactersWithSpaces>36496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6</cp:revision>
  <dcterms:created xsi:type="dcterms:W3CDTF">2026-06-25T14:31:00Z</dcterms:created>
  <dcterms:modified xsi:type="dcterms:W3CDTF">2026-06-28T15:26:00Z</dcterms:modified>
</cp:coreProperties>
</file>