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75867648"/>
        <w:docPartObj>
          <w:docPartGallery w:val="Cover Pages"/>
          <w:docPartUnique/>
        </w:docPartObj>
      </w:sdtPr>
      <w:sdtEndPr>
        <w:rPr>
          <w:rFonts w:ascii="Arial" w:hAnsi="Arial" w:cs="Arial"/>
        </w:rPr>
      </w:sdtEndPr>
      <w:sdtContent>
        <w:p w14:paraId="0B328A17" w14:textId="77777777" w:rsidR="00F01EA6" w:rsidRDefault="00F01EA6" w:rsidP="00F01EA6">
          <w:r>
            <w:rPr>
              <w:noProof/>
            </w:rPr>
            <mc:AlternateContent>
              <mc:Choice Requires="wpg">
                <w:drawing>
                  <wp:anchor distT="0" distB="0" distL="114300" distR="114300" simplePos="0" relativeHeight="251659264" behindDoc="1" locked="0" layoutInCell="1" allowOverlap="1" wp14:anchorId="501C3DA3" wp14:editId="66757273">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EC8A87" w14:textId="77777777" w:rsidR="00F01EA6" w:rsidRDefault="00F01EA6" w:rsidP="00F01EA6">
                                  <w:pPr>
                                    <w:pStyle w:val="NoSpacing"/>
                                    <w:spacing w:before="120"/>
                                    <w:rPr>
                                      <w:color w:val="FFFFFF" w:themeColor="background1"/>
                                    </w:rPr>
                                  </w:pPr>
                                </w:p>
                                <w:p w14:paraId="638B2F63" w14:textId="77777777" w:rsidR="00F01EA6" w:rsidRDefault="00F01EA6" w:rsidP="00F01EA6">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EC42142" w14:textId="573F45F6" w:rsidR="00F01EA6" w:rsidRPr="00BE6DDC" w:rsidRDefault="00F01EA6" w:rsidP="00F01EA6">
                                      <w:pPr>
                                        <w:pStyle w:val="NoSpacing"/>
                                        <w:jc w:val="center"/>
                                        <w:rPr>
                                          <w:rFonts w:asciiTheme="majorHAnsi" w:eastAsiaTheme="majorEastAsia" w:hAnsiTheme="majorHAnsi" w:cstheme="majorBidi"/>
                                          <w:caps/>
                                          <w:color w:val="156082" w:themeColor="accent1"/>
                                          <w:sz w:val="36"/>
                                          <w:szCs w:val="36"/>
                                        </w:rPr>
                                      </w:pPr>
                                      <w:r w:rsidRPr="001D0CC9">
                                        <w:rPr>
                                          <w:rFonts w:asciiTheme="majorHAnsi" w:eastAsiaTheme="majorEastAsia" w:hAnsiTheme="majorHAnsi" w:cstheme="majorBidi"/>
                                          <w:caps/>
                                          <w:color w:val="156082" w:themeColor="accent1"/>
                                          <w:sz w:val="28"/>
                                          <w:szCs w:val="28"/>
                                        </w:rPr>
                                        <w:t>CASE STUDY OF INTERCONTINENTAL HOTEL GROUP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1C3DA3"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4EEC8A87" w14:textId="77777777" w:rsidR="00F01EA6" w:rsidRDefault="00F01EA6" w:rsidP="00F01EA6">
                            <w:pPr>
                              <w:pStyle w:val="NoSpacing"/>
                              <w:spacing w:before="120"/>
                              <w:rPr>
                                <w:color w:val="FFFFFF" w:themeColor="background1"/>
                              </w:rPr>
                            </w:pPr>
                          </w:p>
                          <w:p w14:paraId="638B2F63" w14:textId="77777777" w:rsidR="00F01EA6" w:rsidRDefault="00F01EA6" w:rsidP="00F01EA6">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EC42142" w14:textId="573F45F6" w:rsidR="00F01EA6" w:rsidRPr="00BE6DDC" w:rsidRDefault="00F01EA6" w:rsidP="00F01EA6">
                                <w:pPr>
                                  <w:pStyle w:val="NoSpacing"/>
                                  <w:jc w:val="center"/>
                                  <w:rPr>
                                    <w:rFonts w:asciiTheme="majorHAnsi" w:eastAsiaTheme="majorEastAsia" w:hAnsiTheme="majorHAnsi" w:cstheme="majorBidi"/>
                                    <w:caps/>
                                    <w:color w:val="156082" w:themeColor="accent1"/>
                                    <w:sz w:val="36"/>
                                    <w:szCs w:val="36"/>
                                  </w:rPr>
                                </w:pPr>
                                <w:r w:rsidRPr="001D0CC9">
                                  <w:rPr>
                                    <w:rFonts w:asciiTheme="majorHAnsi" w:eastAsiaTheme="majorEastAsia" w:hAnsiTheme="majorHAnsi" w:cstheme="majorBidi"/>
                                    <w:caps/>
                                    <w:color w:val="156082" w:themeColor="accent1"/>
                                    <w:sz w:val="28"/>
                                    <w:szCs w:val="28"/>
                                  </w:rPr>
                                  <w:t>CASE STUDY OF INTERCONTINENTAL HOTEL GROUP</w:t>
                                </w:r>
                              </w:p>
                            </w:sdtContent>
                          </w:sdt>
                        </w:txbxContent>
                      </v:textbox>
                    </v:shape>
                    <w10:wrap anchorx="page" anchory="page"/>
                  </v:group>
                </w:pict>
              </mc:Fallback>
            </mc:AlternateContent>
          </w:r>
        </w:p>
        <w:p w14:paraId="2CE845E2" w14:textId="77777777" w:rsidR="00F01EA6" w:rsidRDefault="00F01EA6" w:rsidP="00F01EA6">
          <w:pPr>
            <w:rPr>
              <w:rFonts w:ascii="Arial" w:eastAsiaTheme="majorEastAsia" w:hAnsi="Arial" w:cs="Arial"/>
              <w:spacing w:val="-10"/>
              <w:kern w:val="28"/>
              <w:sz w:val="56"/>
              <w:szCs w:val="56"/>
            </w:rPr>
          </w:pPr>
          <w:r>
            <w:rPr>
              <w:rFonts w:ascii="Arial" w:hAnsi="Arial" w:cs="Arial"/>
              <w:noProof/>
            </w:rPr>
            <mc:AlternateContent>
              <mc:Choice Requires="wps">
                <w:drawing>
                  <wp:anchor distT="0" distB="0" distL="114300" distR="114300" simplePos="0" relativeHeight="251660288" behindDoc="0" locked="0" layoutInCell="1" allowOverlap="1" wp14:anchorId="42B4969F" wp14:editId="25031A5F">
                    <wp:simplePos x="0" y="0"/>
                    <wp:positionH relativeFrom="column">
                      <wp:posOffset>1385668</wp:posOffset>
                    </wp:positionH>
                    <wp:positionV relativeFrom="paragraph">
                      <wp:posOffset>6326065</wp:posOffset>
                    </wp:positionV>
                    <wp:extent cx="3200400" cy="1772530"/>
                    <wp:effectExtent l="0" t="0" r="19050" b="18415"/>
                    <wp:wrapNone/>
                    <wp:docPr id="1066552949" name="Text Box 1"/>
                    <wp:cNvGraphicFramePr/>
                    <a:graphic xmlns:a="http://schemas.openxmlformats.org/drawingml/2006/main">
                      <a:graphicData uri="http://schemas.microsoft.com/office/word/2010/wordprocessingShape">
                        <wps:wsp>
                          <wps:cNvSpPr txBox="1"/>
                          <wps:spPr>
                            <a:xfrm>
                              <a:off x="0" y="0"/>
                              <a:ext cx="3200400" cy="1772530"/>
                            </a:xfrm>
                            <a:prstGeom prst="rect">
                              <a:avLst/>
                            </a:prstGeom>
                            <a:solidFill>
                              <a:schemeClr val="lt1"/>
                            </a:solidFill>
                            <a:ln w="6350">
                              <a:solidFill>
                                <a:prstClr val="black"/>
                              </a:solidFill>
                            </a:ln>
                          </wps:spPr>
                          <wps:txbx>
                            <w:txbxContent>
                              <w:p w14:paraId="4E7FCA2D" w14:textId="77777777" w:rsidR="00F01EA6" w:rsidRPr="00AD5614" w:rsidRDefault="00F01EA6" w:rsidP="00F01EA6">
                                <w:pPr>
                                  <w:rPr>
                                    <w:sz w:val="20"/>
                                    <w:szCs w:val="20"/>
                                  </w:rPr>
                                </w:pPr>
                                <w:r w:rsidRPr="00AD5614">
                                  <w:rPr>
                                    <w:sz w:val="20"/>
                                    <w:szCs w:val="20"/>
                                  </w:rPr>
                                  <w:t>Name: Sebastian Piotr Garbaty</w:t>
                                </w:r>
                              </w:p>
                              <w:p w14:paraId="177C037B" w14:textId="77777777" w:rsidR="00F01EA6" w:rsidRPr="00AD5614" w:rsidRDefault="00F01EA6" w:rsidP="00F01EA6">
                                <w:pPr>
                                  <w:rPr>
                                    <w:sz w:val="20"/>
                                    <w:szCs w:val="20"/>
                                  </w:rPr>
                                </w:pPr>
                                <w:r w:rsidRPr="00AD5614">
                                  <w:rPr>
                                    <w:sz w:val="20"/>
                                    <w:szCs w:val="20"/>
                                  </w:rPr>
                                  <w:t>Student code: 2211131</w:t>
                                </w:r>
                              </w:p>
                              <w:p w14:paraId="0B9E4514" w14:textId="77777777" w:rsidR="00F01EA6" w:rsidRPr="00AD5614" w:rsidRDefault="00F01EA6" w:rsidP="00F01EA6">
                                <w:pPr>
                                  <w:rPr>
                                    <w:sz w:val="20"/>
                                    <w:szCs w:val="20"/>
                                  </w:rPr>
                                </w:pPr>
                                <w:r w:rsidRPr="00AD5614">
                                  <w:rPr>
                                    <w:sz w:val="20"/>
                                    <w:szCs w:val="20"/>
                                  </w:rPr>
                                  <w:t>Module: Management &amp; Organisational Behaviour</w:t>
                                </w:r>
                              </w:p>
                              <w:p w14:paraId="51CCB701" w14:textId="77777777" w:rsidR="00F01EA6" w:rsidRPr="00AD5614" w:rsidRDefault="00F01EA6" w:rsidP="00F01EA6">
                                <w:pPr>
                                  <w:rPr>
                                    <w:sz w:val="20"/>
                                    <w:szCs w:val="20"/>
                                  </w:rPr>
                                </w:pPr>
                                <w:r w:rsidRPr="00AD5614">
                                  <w:rPr>
                                    <w:sz w:val="20"/>
                                    <w:szCs w:val="20"/>
                                  </w:rPr>
                                  <w:t>Module code: BMIH5004</w:t>
                                </w:r>
                              </w:p>
                              <w:p w14:paraId="359577AE" w14:textId="77777777" w:rsidR="00F01EA6" w:rsidRPr="00AD5614" w:rsidRDefault="00F01EA6" w:rsidP="00F01EA6">
                                <w:pPr>
                                  <w:rPr>
                                    <w:sz w:val="20"/>
                                    <w:szCs w:val="20"/>
                                  </w:rPr>
                                </w:pPr>
                                <w:r w:rsidRPr="00AD5614">
                                  <w:rPr>
                                    <w:sz w:val="20"/>
                                    <w:szCs w:val="20"/>
                                  </w:rPr>
                                  <w:t xml:space="preserve">Lecturer: Ernest Wavei </w:t>
                                </w:r>
                              </w:p>
                              <w:p w14:paraId="421D31A4" w14:textId="77777777" w:rsidR="00F01EA6" w:rsidRPr="00AD5614" w:rsidRDefault="00F01EA6" w:rsidP="00F01EA6">
                                <w:pPr>
                                  <w:rPr>
                                    <w:sz w:val="20"/>
                                    <w:szCs w:val="20"/>
                                  </w:rPr>
                                </w:pPr>
                                <w:r w:rsidRPr="00AD5614">
                                  <w:rPr>
                                    <w:sz w:val="20"/>
                                    <w:szCs w:val="20"/>
                                  </w:rPr>
                                  <w:t>Word count: 2139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B4969F" id="Text Box 1" o:spid="_x0000_s1030" type="#_x0000_t202" style="position:absolute;margin-left:109.1pt;margin-top:498.1pt;width:252pt;height:139.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" fillcolor="white [3201]" strokeweight=".5pt">
                    <v:textbox>
                      <w:txbxContent>
                        <w:p w14:paraId="4E7FCA2D" w14:textId="77777777" w:rsidR="00F01EA6" w:rsidRPr="00AD5614" w:rsidRDefault="00F01EA6" w:rsidP="00F01EA6">
                          <w:pPr>
                            <w:rPr>
                              <w:sz w:val="20"/>
                              <w:szCs w:val="20"/>
                            </w:rPr>
                          </w:pPr>
                          <w:r w:rsidRPr="00AD5614">
                            <w:rPr>
                              <w:sz w:val="20"/>
                              <w:szCs w:val="20"/>
                            </w:rPr>
                            <w:t>Name: Sebastian Piotr Garbaty</w:t>
                          </w:r>
                        </w:p>
                        <w:p w14:paraId="177C037B" w14:textId="77777777" w:rsidR="00F01EA6" w:rsidRPr="00AD5614" w:rsidRDefault="00F01EA6" w:rsidP="00F01EA6">
                          <w:pPr>
                            <w:rPr>
                              <w:sz w:val="20"/>
                              <w:szCs w:val="20"/>
                            </w:rPr>
                          </w:pPr>
                          <w:r w:rsidRPr="00AD5614">
                            <w:rPr>
                              <w:sz w:val="20"/>
                              <w:szCs w:val="20"/>
                            </w:rPr>
                            <w:t>Student code: 2211131</w:t>
                          </w:r>
                        </w:p>
                        <w:p w14:paraId="0B9E4514" w14:textId="77777777" w:rsidR="00F01EA6" w:rsidRPr="00AD5614" w:rsidRDefault="00F01EA6" w:rsidP="00F01EA6">
                          <w:pPr>
                            <w:rPr>
                              <w:sz w:val="20"/>
                              <w:szCs w:val="20"/>
                            </w:rPr>
                          </w:pPr>
                          <w:r w:rsidRPr="00AD5614">
                            <w:rPr>
                              <w:sz w:val="20"/>
                              <w:szCs w:val="20"/>
                            </w:rPr>
                            <w:t>Module: Management &amp; Organisational Behaviour</w:t>
                          </w:r>
                        </w:p>
                        <w:p w14:paraId="51CCB701" w14:textId="77777777" w:rsidR="00F01EA6" w:rsidRPr="00AD5614" w:rsidRDefault="00F01EA6" w:rsidP="00F01EA6">
                          <w:pPr>
                            <w:rPr>
                              <w:sz w:val="20"/>
                              <w:szCs w:val="20"/>
                            </w:rPr>
                          </w:pPr>
                          <w:r w:rsidRPr="00AD5614">
                            <w:rPr>
                              <w:sz w:val="20"/>
                              <w:szCs w:val="20"/>
                            </w:rPr>
                            <w:t>Module code: BMIH5004</w:t>
                          </w:r>
                        </w:p>
                        <w:p w14:paraId="359577AE" w14:textId="77777777" w:rsidR="00F01EA6" w:rsidRPr="00AD5614" w:rsidRDefault="00F01EA6" w:rsidP="00F01EA6">
                          <w:pPr>
                            <w:rPr>
                              <w:sz w:val="20"/>
                              <w:szCs w:val="20"/>
                            </w:rPr>
                          </w:pPr>
                          <w:r w:rsidRPr="00AD5614">
                            <w:rPr>
                              <w:sz w:val="20"/>
                              <w:szCs w:val="20"/>
                            </w:rPr>
                            <w:t xml:space="preserve">Lecturer: Ernest Wavei </w:t>
                          </w:r>
                        </w:p>
                        <w:p w14:paraId="421D31A4" w14:textId="77777777" w:rsidR="00F01EA6" w:rsidRPr="00AD5614" w:rsidRDefault="00F01EA6" w:rsidP="00F01EA6">
                          <w:pPr>
                            <w:rPr>
                              <w:sz w:val="20"/>
                              <w:szCs w:val="20"/>
                            </w:rPr>
                          </w:pPr>
                          <w:r w:rsidRPr="00AD5614">
                            <w:rPr>
                              <w:sz w:val="20"/>
                              <w:szCs w:val="20"/>
                            </w:rPr>
                            <w:t>Word count: 2139</w:t>
                          </w:r>
                        </w:p>
                      </w:txbxContent>
                    </v:textbox>
                  </v:shape>
                </w:pict>
              </mc:Fallback>
            </mc:AlternateContent>
          </w:r>
          <w:r>
            <w:rPr>
              <w:rFonts w:ascii="Arial" w:hAnsi="Arial" w:cs="Arial"/>
            </w:rPr>
            <w:br w:type="page"/>
          </w:r>
        </w:p>
      </w:sdtContent>
    </w:sdt>
    <w:p w14:paraId="65CDCB69" w14:textId="77777777" w:rsidR="00F01EA6" w:rsidRPr="006524D7" w:rsidRDefault="00F01EA6" w:rsidP="00F01EA6">
      <w:pPr>
        <w:pStyle w:val="Heading1"/>
        <w:rPr>
          <w:rFonts w:ascii="Arial" w:hAnsi="Arial" w:cs="Arial"/>
        </w:rPr>
      </w:pPr>
      <w:bookmarkStart w:id="0" w:name="_Toc166496593"/>
      <w:r w:rsidRPr="006524D7">
        <w:rPr>
          <w:rFonts w:ascii="Arial" w:hAnsi="Arial" w:cs="Arial"/>
        </w:rPr>
        <w:lastRenderedPageBreak/>
        <w:t>Executive summary</w:t>
      </w:r>
      <w:bookmarkEnd w:id="0"/>
    </w:p>
    <w:p w14:paraId="230172F5"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This case study of the InterContinental Hotels Group (IHG) provides an in-depth exploration of the organization's structure, culture, and strategic goals, with a focus on how these elements have been adapted to meet the challenges and opportunities of the global hospitality industry. The study also evaluates recent transformation initiatives and their impact on the company, underlining IHG's commitment to innovation, excellence, and sustainable growth.</w:t>
      </w:r>
    </w:p>
    <w:p w14:paraId="09A3E57E"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The ethos of "True Hospitality" is central to IHG's philosophy, which emphasizes caring for people to increase employee engagement and customer satisfaction. This cultural pillar fosters an environment where service excellence, attention to detail, proactive problem-solving, and a guest-centric approach are standard practices. IHG's commitment to creating a supportive and inclusive workplace where individuals from all backgrounds can thrive is also a testament to its forward-thinking cultural strategies. These cultural aspects are crucial in attracting and retaining top talent while ensuring high levels of customer loyalty.</w:t>
      </w:r>
    </w:p>
    <w:p w14:paraId="6FA7C6FF"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IHG's recent strategic initiatives have focused on leveraging technology and sustainability</w:t>
      </w:r>
      <w:r>
        <w:rPr>
          <w:rFonts w:ascii="Arial" w:hAnsi="Arial" w:cs="Arial"/>
          <w:sz w:val="24"/>
          <w:szCs w:val="24"/>
        </w:rPr>
        <w:t>,</w:t>
      </w:r>
      <w:r w:rsidRPr="006524D7">
        <w:rPr>
          <w:rFonts w:ascii="Arial" w:hAnsi="Arial" w:cs="Arial"/>
          <w:sz w:val="24"/>
          <w:szCs w:val="24"/>
        </w:rPr>
        <w:t xml:space="preserve"> </w:t>
      </w:r>
      <w:r>
        <w:rPr>
          <w:rFonts w:ascii="Arial" w:hAnsi="Arial" w:cs="Arial"/>
          <w:sz w:val="24"/>
          <w:szCs w:val="24"/>
        </w:rPr>
        <w:t>t</w:t>
      </w:r>
      <w:r w:rsidRPr="006524D7">
        <w:rPr>
          <w:rFonts w:ascii="Arial" w:hAnsi="Arial" w:cs="Arial"/>
          <w:sz w:val="24"/>
          <w:szCs w:val="24"/>
        </w:rPr>
        <w:t>he adoption of AI, IoT, and sustainable building practices has not only streamlined operations but also significantly reduced the company's carbon footprint and operational costs. The effectiveness of these changes has been largely dependent on IHG's robust management practices, which emphasize comprehensive training, legacy system upgrades, and strong cybersecurity measures. However, challenges such as implementation delays and budget overruns have been noted, necessitating ongoing adjustments and leadership focus to ensure strategic alignment and execution fidelity.</w:t>
      </w:r>
    </w:p>
    <w:p w14:paraId="128A15A2"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Effective management of change has been critical for IHG, with a collaborative leadership approach that engages managers at all levels to be part of the decision-making process. This inclusive management style has facilitated the successful integration of sustainability into the core business strategy, reflecting IHG's commitment to ethical practices and community involvement. The regular engagement with stakeholders including employees, guests, and the community has been pivotal in refining these strategies and enhancing IHG's market positioning as a responsible corporate entity.</w:t>
      </w:r>
    </w:p>
    <w:p w14:paraId="566C9808"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IHG's dynamic approach to managing its organizational structure, culture, and strategic innovations demonstrates a robust model for navigating the complexities of the modern hospitality industry. The company's ability to adapt to market conditions, anticipate future trends, and implement effective change initiatives underpins its ongoing success. This case study underscores the importance of cohesive organizational practices and strategic foresight in achieving sustainable growth and operational excellence, positioning IHG as a leader committed to innovation and excellence in the hospitality sector.</w:t>
      </w:r>
    </w:p>
    <w:p w14:paraId="1F113CE1" w14:textId="77777777" w:rsidR="00F01EA6" w:rsidRPr="006524D7" w:rsidRDefault="00F01EA6" w:rsidP="00F01EA6">
      <w:pPr>
        <w:rPr>
          <w:rFonts w:ascii="Arial" w:eastAsiaTheme="majorEastAsia" w:hAnsi="Arial" w:cs="Arial"/>
          <w:spacing w:val="-10"/>
          <w:kern w:val="28"/>
          <w:sz w:val="56"/>
          <w:szCs w:val="56"/>
        </w:rPr>
      </w:pPr>
    </w:p>
    <w:p w14:paraId="735952A3" w14:textId="77777777" w:rsidR="00F01EA6" w:rsidRPr="006524D7" w:rsidRDefault="00F01EA6" w:rsidP="00F01EA6">
      <w:pPr>
        <w:rPr>
          <w:rFonts w:ascii="Arial" w:eastAsiaTheme="majorEastAsia" w:hAnsi="Arial" w:cs="Arial"/>
          <w:spacing w:val="-10"/>
          <w:kern w:val="28"/>
          <w:sz w:val="56"/>
          <w:szCs w:val="56"/>
        </w:rPr>
      </w:pPr>
    </w:p>
    <w:p w14:paraId="44C41B52" w14:textId="77777777" w:rsidR="00F01EA6" w:rsidRPr="006524D7" w:rsidRDefault="00F01EA6" w:rsidP="00F01EA6">
      <w:pPr>
        <w:rPr>
          <w:rFonts w:ascii="Arial" w:eastAsiaTheme="majorEastAsia" w:hAnsi="Arial" w:cs="Arial"/>
          <w:spacing w:val="-10"/>
          <w:kern w:val="28"/>
          <w:sz w:val="56"/>
          <w:szCs w:val="56"/>
        </w:rPr>
      </w:pPr>
    </w:p>
    <w:p w14:paraId="3258E60B" w14:textId="77777777" w:rsidR="00F01EA6" w:rsidRPr="006524D7" w:rsidRDefault="00F01EA6" w:rsidP="00F01EA6">
      <w:pPr>
        <w:rPr>
          <w:rFonts w:ascii="Arial" w:eastAsiaTheme="majorEastAsia" w:hAnsi="Arial" w:cs="Arial"/>
          <w:spacing w:val="-10"/>
          <w:kern w:val="28"/>
          <w:sz w:val="56"/>
          <w:szCs w:val="56"/>
        </w:rPr>
      </w:pPr>
    </w:p>
    <w:p w14:paraId="177DF1E4" w14:textId="77777777" w:rsidR="00F01EA6" w:rsidRPr="006524D7" w:rsidRDefault="00F01EA6" w:rsidP="00F01EA6">
      <w:pPr>
        <w:rPr>
          <w:rFonts w:ascii="Arial" w:eastAsiaTheme="majorEastAsia" w:hAnsi="Arial" w:cs="Arial"/>
          <w:spacing w:val="-10"/>
          <w:kern w:val="28"/>
          <w:sz w:val="56"/>
          <w:szCs w:val="56"/>
        </w:rPr>
      </w:pPr>
      <w:r w:rsidRPr="006524D7">
        <w:rPr>
          <w:rFonts w:ascii="Arial" w:eastAsiaTheme="majorEastAsia" w:hAnsi="Arial" w:cs="Arial"/>
          <w:spacing w:val="-10"/>
          <w:kern w:val="28"/>
          <w:sz w:val="56"/>
          <w:szCs w:val="56"/>
        </w:rPr>
        <w:br w:type="page"/>
      </w:r>
    </w:p>
    <w:sdt>
      <w:sdtPr>
        <w:rPr>
          <w:rFonts w:ascii="Arial" w:eastAsiaTheme="minorHAnsi" w:hAnsi="Arial" w:cs="Arial"/>
          <w:color w:val="auto"/>
          <w:sz w:val="22"/>
          <w:szCs w:val="22"/>
          <w:lang w:eastAsia="en-US"/>
        </w:rPr>
        <w:id w:val="-103960910"/>
        <w:docPartObj>
          <w:docPartGallery w:val="Table of Contents"/>
          <w:docPartUnique/>
        </w:docPartObj>
      </w:sdtPr>
      <w:sdtEndPr>
        <w:rPr>
          <w:b/>
          <w:bCs/>
        </w:rPr>
      </w:sdtEndPr>
      <w:sdtContent>
        <w:p w14:paraId="55B56CA7" w14:textId="77777777" w:rsidR="00F01EA6" w:rsidRPr="006524D7" w:rsidRDefault="00F01EA6" w:rsidP="00F01EA6">
          <w:pPr>
            <w:pStyle w:val="TOCHeading"/>
            <w:rPr>
              <w:rFonts w:ascii="Arial" w:hAnsi="Arial" w:cs="Arial"/>
            </w:rPr>
          </w:pPr>
          <w:r w:rsidRPr="006524D7">
            <w:rPr>
              <w:rFonts w:ascii="Arial" w:hAnsi="Arial" w:cs="Arial"/>
            </w:rPr>
            <w:t>Contents</w:t>
          </w:r>
        </w:p>
        <w:p w14:paraId="2C161EAE" w14:textId="77777777" w:rsidR="00F01EA6" w:rsidRPr="006524D7" w:rsidRDefault="00F01EA6" w:rsidP="00F01EA6">
          <w:pPr>
            <w:pStyle w:val="TOC1"/>
            <w:tabs>
              <w:tab w:val="right" w:leader="dot" w:pos="9016"/>
            </w:tabs>
            <w:rPr>
              <w:rFonts w:ascii="Arial" w:eastAsiaTheme="minorEastAsia" w:hAnsi="Arial" w:cs="Arial"/>
              <w:noProof/>
              <w:kern w:val="2"/>
              <w:sz w:val="24"/>
              <w:szCs w:val="24"/>
              <w:lang w:eastAsia="en-GB"/>
              <w14:ligatures w14:val="standardContextual"/>
            </w:rPr>
          </w:pPr>
          <w:r w:rsidRPr="006524D7">
            <w:rPr>
              <w:rFonts w:ascii="Arial" w:hAnsi="Arial" w:cs="Arial"/>
            </w:rPr>
            <w:fldChar w:fldCharType="begin"/>
          </w:r>
          <w:r w:rsidRPr="006524D7">
            <w:rPr>
              <w:rFonts w:ascii="Arial" w:hAnsi="Arial" w:cs="Arial"/>
            </w:rPr>
            <w:instrText xml:space="preserve"> TOC \o "1-3" \h \z \u </w:instrText>
          </w:r>
          <w:r w:rsidRPr="006524D7">
            <w:rPr>
              <w:rFonts w:ascii="Arial" w:hAnsi="Arial" w:cs="Arial"/>
            </w:rPr>
            <w:fldChar w:fldCharType="separate"/>
          </w:r>
          <w:hyperlink w:anchor="_Toc166496593" w:history="1">
            <w:r w:rsidRPr="006524D7">
              <w:rPr>
                <w:rStyle w:val="Hyperlink"/>
                <w:rFonts w:ascii="Arial" w:hAnsi="Arial" w:cs="Arial"/>
                <w:noProof/>
              </w:rPr>
              <w:t>Executive summary</w:t>
            </w:r>
            <w:r w:rsidRPr="006524D7">
              <w:rPr>
                <w:rFonts w:ascii="Arial" w:hAnsi="Arial" w:cs="Arial"/>
                <w:noProof/>
                <w:webHidden/>
              </w:rPr>
              <w:tab/>
            </w:r>
            <w:r w:rsidRPr="006524D7">
              <w:rPr>
                <w:rFonts w:ascii="Arial" w:hAnsi="Arial" w:cs="Arial"/>
                <w:noProof/>
                <w:webHidden/>
              </w:rPr>
              <w:fldChar w:fldCharType="begin"/>
            </w:r>
            <w:r w:rsidRPr="006524D7">
              <w:rPr>
                <w:rFonts w:ascii="Arial" w:hAnsi="Arial" w:cs="Arial"/>
                <w:noProof/>
                <w:webHidden/>
              </w:rPr>
              <w:instrText xml:space="preserve"> PAGEREF _Toc166496593 \h </w:instrText>
            </w:r>
            <w:r w:rsidRPr="006524D7">
              <w:rPr>
                <w:rFonts w:ascii="Arial" w:hAnsi="Arial" w:cs="Arial"/>
                <w:noProof/>
                <w:webHidden/>
              </w:rPr>
            </w:r>
            <w:r w:rsidRPr="006524D7">
              <w:rPr>
                <w:rFonts w:ascii="Arial" w:hAnsi="Arial" w:cs="Arial"/>
                <w:noProof/>
                <w:webHidden/>
              </w:rPr>
              <w:fldChar w:fldCharType="separate"/>
            </w:r>
            <w:r w:rsidRPr="006524D7">
              <w:rPr>
                <w:rFonts w:ascii="Arial" w:hAnsi="Arial" w:cs="Arial"/>
                <w:noProof/>
                <w:webHidden/>
              </w:rPr>
              <w:t>1</w:t>
            </w:r>
            <w:r w:rsidRPr="006524D7">
              <w:rPr>
                <w:rFonts w:ascii="Arial" w:hAnsi="Arial" w:cs="Arial"/>
                <w:noProof/>
                <w:webHidden/>
              </w:rPr>
              <w:fldChar w:fldCharType="end"/>
            </w:r>
          </w:hyperlink>
        </w:p>
        <w:p w14:paraId="67A3D525" w14:textId="77777777" w:rsidR="00F01EA6" w:rsidRPr="006524D7" w:rsidRDefault="001D0CC9" w:rsidP="00F01EA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6496594" w:history="1">
            <w:r w:rsidR="00F01EA6" w:rsidRPr="006524D7">
              <w:rPr>
                <w:rStyle w:val="Hyperlink"/>
                <w:rFonts w:ascii="Arial" w:hAnsi="Arial" w:cs="Arial"/>
                <w:noProof/>
              </w:rPr>
              <w:t>Introduction</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_Toc166496594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5</w:t>
            </w:r>
            <w:r w:rsidR="00F01EA6" w:rsidRPr="006524D7">
              <w:rPr>
                <w:rFonts w:ascii="Arial" w:hAnsi="Arial" w:cs="Arial"/>
                <w:noProof/>
                <w:webHidden/>
              </w:rPr>
              <w:fldChar w:fldCharType="end"/>
            </w:r>
          </w:hyperlink>
        </w:p>
        <w:p w14:paraId="1334E7C7" w14:textId="77777777" w:rsidR="00F01EA6" w:rsidRPr="006524D7" w:rsidRDefault="001D0CC9" w:rsidP="00F01EA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6496595" w:history="1">
            <w:r w:rsidR="00F01EA6" w:rsidRPr="006524D7">
              <w:rPr>
                <w:rStyle w:val="Hyperlink"/>
                <w:rFonts w:ascii="Arial" w:hAnsi="Arial" w:cs="Arial"/>
                <w:noProof/>
              </w:rPr>
              <w:t>Organisational structure, Culture and Goals</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_Toc166496595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6</w:t>
            </w:r>
            <w:r w:rsidR="00F01EA6" w:rsidRPr="006524D7">
              <w:rPr>
                <w:rFonts w:ascii="Arial" w:hAnsi="Arial" w:cs="Arial"/>
                <w:noProof/>
                <w:webHidden/>
              </w:rPr>
              <w:fldChar w:fldCharType="end"/>
            </w:r>
          </w:hyperlink>
        </w:p>
        <w:p w14:paraId="6FAC7004" w14:textId="77777777" w:rsidR="00F01EA6" w:rsidRPr="006524D7" w:rsidRDefault="001D0CC9" w:rsidP="00F01EA6">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66496596" w:history="1">
            <w:r w:rsidR="00F01EA6" w:rsidRPr="006524D7">
              <w:rPr>
                <w:rStyle w:val="Hyperlink"/>
                <w:rFonts w:ascii="Arial" w:hAnsi="Arial" w:cs="Arial"/>
                <w:noProof/>
              </w:rPr>
              <w:t>Culture</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_Toc166496596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7</w:t>
            </w:r>
            <w:r w:rsidR="00F01EA6" w:rsidRPr="006524D7">
              <w:rPr>
                <w:rFonts w:ascii="Arial" w:hAnsi="Arial" w:cs="Arial"/>
                <w:noProof/>
                <w:webHidden/>
              </w:rPr>
              <w:fldChar w:fldCharType="end"/>
            </w:r>
          </w:hyperlink>
        </w:p>
        <w:p w14:paraId="45524888" w14:textId="77777777" w:rsidR="00F01EA6" w:rsidRPr="006524D7" w:rsidRDefault="001D0CC9" w:rsidP="00F01EA6">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66496597" w:history="1">
            <w:r w:rsidR="00F01EA6" w:rsidRPr="006524D7">
              <w:rPr>
                <w:rStyle w:val="Hyperlink"/>
                <w:rFonts w:ascii="Arial" w:hAnsi="Arial" w:cs="Arial"/>
                <w:noProof/>
              </w:rPr>
              <w:t>Goals</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_Toc166496597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8</w:t>
            </w:r>
            <w:r w:rsidR="00F01EA6" w:rsidRPr="006524D7">
              <w:rPr>
                <w:rFonts w:ascii="Arial" w:hAnsi="Arial" w:cs="Arial"/>
                <w:noProof/>
                <w:webHidden/>
              </w:rPr>
              <w:fldChar w:fldCharType="end"/>
            </w:r>
          </w:hyperlink>
        </w:p>
        <w:p w14:paraId="00B565A6" w14:textId="77777777" w:rsidR="00F01EA6" w:rsidRPr="006524D7" w:rsidRDefault="001D0CC9" w:rsidP="00F01EA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6496598" w:history="1">
            <w:r w:rsidR="00F01EA6" w:rsidRPr="006524D7">
              <w:rPr>
                <w:rStyle w:val="Hyperlink"/>
                <w:rFonts w:ascii="Arial" w:hAnsi="Arial" w:cs="Arial"/>
                <w:noProof/>
              </w:rPr>
              <w:t>Recent change initiatives</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_Toc166496598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9</w:t>
            </w:r>
            <w:r w:rsidR="00F01EA6" w:rsidRPr="006524D7">
              <w:rPr>
                <w:rFonts w:ascii="Arial" w:hAnsi="Arial" w:cs="Arial"/>
                <w:noProof/>
                <w:webHidden/>
              </w:rPr>
              <w:fldChar w:fldCharType="end"/>
            </w:r>
          </w:hyperlink>
        </w:p>
        <w:p w14:paraId="4A09356B" w14:textId="77777777" w:rsidR="00F01EA6" w:rsidRPr="006524D7" w:rsidRDefault="001D0CC9" w:rsidP="00F01EA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6496599" w:history="1">
            <w:r w:rsidR="00F01EA6" w:rsidRPr="006524D7">
              <w:rPr>
                <w:rStyle w:val="Hyperlink"/>
                <w:rFonts w:ascii="Arial" w:hAnsi="Arial" w:cs="Arial"/>
                <w:noProof/>
              </w:rPr>
              <w:t>The organisation’s strategic direction</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_Toc166496599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10</w:t>
            </w:r>
            <w:r w:rsidR="00F01EA6" w:rsidRPr="006524D7">
              <w:rPr>
                <w:rFonts w:ascii="Arial" w:hAnsi="Arial" w:cs="Arial"/>
                <w:noProof/>
                <w:webHidden/>
              </w:rPr>
              <w:fldChar w:fldCharType="end"/>
            </w:r>
          </w:hyperlink>
        </w:p>
        <w:p w14:paraId="5E5338D7" w14:textId="77777777" w:rsidR="00F01EA6" w:rsidRPr="006524D7" w:rsidRDefault="001D0CC9" w:rsidP="00F01EA6">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66496600" w:history="1">
            <w:r w:rsidR="00F01EA6" w:rsidRPr="006524D7">
              <w:rPr>
                <w:rStyle w:val="Hyperlink"/>
                <w:rFonts w:ascii="Arial" w:hAnsi="Arial" w:cs="Arial"/>
                <w:noProof/>
              </w:rPr>
              <w:t>Sustainability Practices</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_Toc166496600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11</w:t>
            </w:r>
            <w:r w:rsidR="00F01EA6" w:rsidRPr="006524D7">
              <w:rPr>
                <w:rFonts w:ascii="Arial" w:hAnsi="Arial" w:cs="Arial"/>
                <w:noProof/>
                <w:webHidden/>
              </w:rPr>
              <w:fldChar w:fldCharType="end"/>
            </w:r>
          </w:hyperlink>
        </w:p>
        <w:p w14:paraId="39B875C9" w14:textId="77777777" w:rsidR="00F01EA6" w:rsidRPr="006524D7" w:rsidRDefault="001D0CC9" w:rsidP="00F01EA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6496601" w:history="1">
            <w:r w:rsidR="00F01EA6" w:rsidRPr="006524D7">
              <w:rPr>
                <w:rStyle w:val="Hyperlink"/>
                <w:rFonts w:ascii="Arial" w:hAnsi="Arial" w:cs="Arial"/>
                <w:noProof/>
              </w:rPr>
              <w:t>Conclusion</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_Toc166496601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13</w:t>
            </w:r>
            <w:r w:rsidR="00F01EA6" w:rsidRPr="006524D7">
              <w:rPr>
                <w:rFonts w:ascii="Arial" w:hAnsi="Arial" w:cs="Arial"/>
                <w:noProof/>
                <w:webHidden/>
              </w:rPr>
              <w:fldChar w:fldCharType="end"/>
            </w:r>
          </w:hyperlink>
        </w:p>
        <w:p w14:paraId="748B6626" w14:textId="77777777" w:rsidR="00F01EA6" w:rsidRPr="006524D7" w:rsidRDefault="001D0CC9" w:rsidP="00F01EA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6496602" w:history="1">
            <w:r w:rsidR="00F01EA6" w:rsidRPr="006524D7">
              <w:rPr>
                <w:rStyle w:val="Hyperlink"/>
                <w:rFonts w:ascii="Arial" w:hAnsi="Arial" w:cs="Arial"/>
                <w:noProof/>
              </w:rPr>
              <w:t>Recommendation</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_Toc166496602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13</w:t>
            </w:r>
            <w:r w:rsidR="00F01EA6" w:rsidRPr="006524D7">
              <w:rPr>
                <w:rFonts w:ascii="Arial" w:hAnsi="Arial" w:cs="Arial"/>
                <w:noProof/>
                <w:webHidden/>
              </w:rPr>
              <w:fldChar w:fldCharType="end"/>
            </w:r>
          </w:hyperlink>
        </w:p>
        <w:p w14:paraId="22DAC09C" w14:textId="77777777" w:rsidR="00F01EA6" w:rsidRPr="006524D7" w:rsidRDefault="001D0CC9" w:rsidP="00F01EA6">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66496603" w:history="1">
            <w:r w:rsidR="00F01EA6" w:rsidRPr="006524D7">
              <w:rPr>
                <w:rStyle w:val="Hyperlink"/>
                <w:rFonts w:ascii="Arial" w:hAnsi="Arial" w:cs="Arial"/>
                <w:noProof/>
              </w:rPr>
              <w:t>Reference list</w:t>
            </w:r>
            <w:r w:rsidR="00F01EA6" w:rsidRPr="006524D7">
              <w:rPr>
                <w:rFonts w:ascii="Arial" w:hAnsi="Arial" w:cs="Arial"/>
                <w:noProof/>
                <w:webHidden/>
              </w:rPr>
              <w:tab/>
            </w:r>
            <w:r w:rsidR="00F01EA6" w:rsidRPr="006524D7">
              <w:rPr>
                <w:rFonts w:ascii="Arial" w:hAnsi="Arial" w:cs="Arial"/>
                <w:noProof/>
                <w:webHidden/>
              </w:rPr>
              <w:fldChar w:fldCharType="begin"/>
            </w:r>
            <w:r w:rsidR="00F01EA6" w:rsidRPr="006524D7">
              <w:rPr>
                <w:rFonts w:ascii="Arial" w:hAnsi="Arial" w:cs="Arial"/>
                <w:noProof/>
                <w:webHidden/>
              </w:rPr>
              <w:instrText xml:space="preserve"> PAGEREF _Toc166496603 \h </w:instrText>
            </w:r>
            <w:r w:rsidR="00F01EA6" w:rsidRPr="006524D7">
              <w:rPr>
                <w:rFonts w:ascii="Arial" w:hAnsi="Arial" w:cs="Arial"/>
                <w:noProof/>
                <w:webHidden/>
              </w:rPr>
            </w:r>
            <w:r w:rsidR="00F01EA6" w:rsidRPr="006524D7">
              <w:rPr>
                <w:rFonts w:ascii="Arial" w:hAnsi="Arial" w:cs="Arial"/>
                <w:noProof/>
                <w:webHidden/>
              </w:rPr>
              <w:fldChar w:fldCharType="separate"/>
            </w:r>
            <w:r w:rsidR="00F01EA6" w:rsidRPr="006524D7">
              <w:rPr>
                <w:rFonts w:ascii="Arial" w:hAnsi="Arial" w:cs="Arial"/>
                <w:noProof/>
                <w:webHidden/>
              </w:rPr>
              <w:t>15</w:t>
            </w:r>
            <w:r w:rsidR="00F01EA6" w:rsidRPr="006524D7">
              <w:rPr>
                <w:rFonts w:ascii="Arial" w:hAnsi="Arial" w:cs="Arial"/>
                <w:noProof/>
                <w:webHidden/>
              </w:rPr>
              <w:fldChar w:fldCharType="end"/>
            </w:r>
          </w:hyperlink>
        </w:p>
        <w:p w14:paraId="3D1BDD70" w14:textId="77777777" w:rsidR="00F01EA6" w:rsidRPr="006524D7" w:rsidRDefault="00F01EA6" w:rsidP="00F01EA6">
          <w:pPr>
            <w:rPr>
              <w:rFonts w:ascii="Arial" w:hAnsi="Arial" w:cs="Arial"/>
            </w:rPr>
          </w:pPr>
          <w:r w:rsidRPr="006524D7">
            <w:rPr>
              <w:rFonts w:ascii="Arial" w:hAnsi="Arial" w:cs="Arial"/>
              <w:b/>
              <w:bCs/>
            </w:rPr>
            <w:fldChar w:fldCharType="end"/>
          </w:r>
        </w:p>
      </w:sdtContent>
    </w:sdt>
    <w:p w14:paraId="710AF770" w14:textId="77777777" w:rsidR="00F01EA6" w:rsidRPr="006524D7" w:rsidRDefault="00F01EA6" w:rsidP="00F01EA6">
      <w:pPr>
        <w:rPr>
          <w:rFonts w:ascii="Arial" w:eastAsiaTheme="majorEastAsia" w:hAnsi="Arial" w:cs="Arial"/>
          <w:spacing w:val="-10"/>
          <w:kern w:val="28"/>
          <w:sz w:val="56"/>
          <w:szCs w:val="56"/>
        </w:rPr>
      </w:pPr>
      <w:r w:rsidRPr="006524D7">
        <w:rPr>
          <w:rFonts w:ascii="Arial" w:eastAsiaTheme="majorEastAsia" w:hAnsi="Arial" w:cs="Arial"/>
          <w:spacing w:val="-10"/>
          <w:kern w:val="28"/>
          <w:sz w:val="56"/>
          <w:szCs w:val="56"/>
        </w:rPr>
        <w:br w:type="page"/>
      </w:r>
    </w:p>
    <w:p w14:paraId="4CC37727" w14:textId="77777777" w:rsidR="00F01EA6" w:rsidRPr="006524D7" w:rsidRDefault="00F01EA6" w:rsidP="00F01EA6">
      <w:pPr>
        <w:pStyle w:val="Title"/>
        <w:spacing w:line="480" w:lineRule="auto"/>
        <w:jc w:val="center"/>
        <w:rPr>
          <w:rFonts w:ascii="Arial" w:hAnsi="Arial" w:cs="Arial"/>
          <w:sz w:val="44"/>
          <w:szCs w:val="44"/>
        </w:rPr>
      </w:pPr>
      <w:r w:rsidRPr="006524D7">
        <w:rPr>
          <w:rFonts w:ascii="Arial" w:hAnsi="Arial" w:cs="Arial"/>
          <w:sz w:val="44"/>
          <w:szCs w:val="44"/>
        </w:rPr>
        <w:t>Case study of Intercontinental Hotel Group</w:t>
      </w:r>
    </w:p>
    <w:p w14:paraId="01BEE990" w14:textId="77777777" w:rsidR="00F01EA6" w:rsidRPr="006524D7" w:rsidRDefault="00F01EA6" w:rsidP="00F01EA6">
      <w:pPr>
        <w:pStyle w:val="Heading1"/>
        <w:spacing w:line="480" w:lineRule="auto"/>
        <w:jc w:val="both"/>
        <w:rPr>
          <w:rFonts w:ascii="Arial" w:hAnsi="Arial" w:cs="Arial"/>
        </w:rPr>
      </w:pPr>
      <w:bookmarkStart w:id="1" w:name="_Toc166496594"/>
      <w:r w:rsidRPr="006524D7">
        <w:rPr>
          <w:rFonts w:ascii="Arial" w:hAnsi="Arial" w:cs="Arial"/>
        </w:rPr>
        <w:t>Introduction</w:t>
      </w:r>
      <w:bookmarkEnd w:id="1"/>
    </w:p>
    <w:p w14:paraId="1412FD5A"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InterContinental Hotels Group (IHG), a global hotel industry pioneer, takes a dynamic approach to its organisational structure, culture, and strategic goals. This case study explores IHG's operational strategies, with a focus on current transformation initiatives and project management, with the purpose of providing insights into the conglomerate's strategic orientation.</w:t>
      </w:r>
    </w:p>
    <w:p w14:paraId="378E167A"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IHG (2024) has a decentralised structure that promotes regional autonomy and high operational standards in order to manage a diverse portfolio across multiple market categories. The concept of "True Hospitality," a cultural pillar that emphasises caring for people to increase employee engagement and customer experience, is central to IHG's philosophy. In terms of business strategy, IHG prioritises expansion by diversifying its existing brand portfolio and entering new markets. Recent endeavours include the use of cutting-edge technologies and ecologically responsible practices with the goal of enhancing productivity while reducing negative environmental impact (Barriball et al., 2020). This study will look at these changes, assessing the effectiveness of their management and the issues that have arisen. The goal of this case study is to provide a thorough understanding of strategic adaptation in the hospitality industry by examining how IHG navigates complex market situations and aligns its operations with long-term goals. This will demonstrate IHG's commitment to innovation and excellence.</w:t>
      </w:r>
    </w:p>
    <w:p w14:paraId="61011A50" w14:textId="77777777" w:rsidR="00F01EA6" w:rsidRPr="006524D7" w:rsidRDefault="00F01EA6" w:rsidP="00F01EA6">
      <w:pPr>
        <w:pStyle w:val="Heading1"/>
        <w:spacing w:line="480" w:lineRule="auto"/>
        <w:jc w:val="both"/>
        <w:rPr>
          <w:rFonts w:ascii="Arial" w:hAnsi="Arial" w:cs="Arial"/>
        </w:rPr>
      </w:pPr>
      <w:bookmarkStart w:id="2" w:name="_Toc166496595"/>
      <w:r w:rsidRPr="006524D7">
        <w:rPr>
          <w:rFonts w:ascii="Arial" w:hAnsi="Arial" w:cs="Arial"/>
        </w:rPr>
        <w:t>Organisational structure, Culture and Goals</w:t>
      </w:r>
      <w:bookmarkEnd w:id="2"/>
    </w:p>
    <w:p w14:paraId="025B60A8" w14:textId="77777777" w:rsidR="00F01EA6" w:rsidRPr="006524D7" w:rsidRDefault="00F01EA6" w:rsidP="00F01EA6">
      <w:pPr>
        <w:spacing w:line="480" w:lineRule="auto"/>
        <w:jc w:val="both"/>
        <w:rPr>
          <w:rFonts w:ascii="Arial" w:eastAsia="Times New Roman" w:hAnsi="Arial" w:cs="Arial"/>
          <w:sz w:val="24"/>
          <w:szCs w:val="24"/>
          <w:lang w:eastAsia="en-GB"/>
        </w:rPr>
      </w:pPr>
      <w:r w:rsidRPr="006524D7">
        <w:rPr>
          <w:rFonts w:ascii="Arial" w:hAnsi="Arial" w:cs="Arial"/>
          <w:sz w:val="24"/>
          <w:szCs w:val="24"/>
        </w:rPr>
        <w:t xml:space="preserve">A hotel's organisational structure is intended to allow seamless operations while also optimising guest pleasure and business efficiency. This structure is often hierarchical and might vary based on the hotel's size and type. The General Manager is in charge of all hotel operations and is assisted by department heads who handle specialised divisions such as the Front Office, Housekeeping, Food and Beverage, Human Resources, and Maintenance </w:t>
      </w:r>
      <w:r w:rsidRPr="006524D7">
        <w:rPr>
          <w:rFonts w:ascii="Arial" w:eastAsia="Times New Roman" w:hAnsi="Arial" w:cs="Arial"/>
          <w:sz w:val="24"/>
          <w:szCs w:val="24"/>
          <w:lang w:eastAsia="en-GB"/>
        </w:rPr>
        <w:t>(Sobaih et al., 2020)</w:t>
      </w:r>
      <w:r w:rsidRPr="006524D7">
        <w:rPr>
          <w:rFonts w:ascii="Arial" w:hAnsi="Arial" w:cs="Arial"/>
          <w:sz w:val="24"/>
          <w:szCs w:val="24"/>
        </w:rPr>
        <w:t xml:space="preserve">. To accommodate its global presence, IHG has a hierarchical yet adaptable organisational structure. The executive team, which includes the CEO and other C-level executives, determines the company's strategic direction (IHG, 2024) Below them, the organisation is divided into regional divisions (such as Americas, Europe, Asia, the Middle East, and Africa), each overseen by a regional CEO. Described by </w:t>
      </w:r>
      <w:r w:rsidRPr="006524D7">
        <w:rPr>
          <w:rFonts w:ascii="Arial" w:eastAsia="Times New Roman" w:hAnsi="Arial" w:cs="Arial"/>
          <w:sz w:val="24"/>
          <w:szCs w:val="24"/>
          <w:lang w:eastAsia="en-GB"/>
        </w:rPr>
        <w:t xml:space="preserve">Voegeli (2021) </w:t>
      </w:r>
      <w:r w:rsidRPr="006524D7">
        <w:rPr>
          <w:rFonts w:ascii="Arial" w:hAnsi="Arial" w:cs="Arial"/>
          <w:sz w:val="24"/>
          <w:szCs w:val="24"/>
        </w:rPr>
        <w:t xml:space="preserve">These regions are further classified as sub-regions and individual properties, the structure enables IHG to maintain global management and oversight while allowing regional teams to change strategies in response to local market conditions and client preferences. Large hotels frequently have complicated organisations with multiple levels of management, including assistant managers, executive chefs, and facilities managers, among others. Smaller hotels may have a more streamlined organisation with fewer layers, with managers taking on several responsibilities </w:t>
      </w:r>
      <w:r w:rsidRPr="006524D7">
        <w:rPr>
          <w:rFonts w:ascii="Arial" w:eastAsia="Times New Roman" w:hAnsi="Arial" w:cs="Arial"/>
          <w:sz w:val="24"/>
          <w:szCs w:val="24"/>
          <w:lang w:eastAsia="en-GB"/>
        </w:rPr>
        <w:t>(Moneva, Bonilla-Priego and Ortas, 2019)</w:t>
      </w:r>
      <w:r w:rsidRPr="006524D7">
        <w:rPr>
          <w:rFonts w:ascii="Arial" w:hAnsi="Arial" w:cs="Arial"/>
          <w:sz w:val="24"/>
          <w:szCs w:val="24"/>
        </w:rPr>
        <w:t xml:space="preserve"> This hierarchical structure guarantees that roles are well defined and that information flows smoothly throughout the organisation.</w:t>
      </w:r>
    </w:p>
    <w:p w14:paraId="0697CE99" w14:textId="77777777" w:rsidR="00F01EA6" w:rsidRPr="006524D7" w:rsidRDefault="00F01EA6" w:rsidP="00F01EA6">
      <w:pPr>
        <w:spacing w:line="480" w:lineRule="auto"/>
        <w:jc w:val="both"/>
        <w:rPr>
          <w:rFonts w:ascii="Arial" w:hAnsi="Arial" w:cs="Arial"/>
        </w:rPr>
      </w:pPr>
    </w:p>
    <w:p w14:paraId="08DD7497" w14:textId="77777777" w:rsidR="00F01EA6" w:rsidRPr="006524D7" w:rsidRDefault="00F01EA6" w:rsidP="00F01EA6">
      <w:pPr>
        <w:pStyle w:val="Heading2"/>
        <w:spacing w:line="480" w:lineRule="auto"/>
        <w:jc w:val="both"/>
        <w:rPr>
          <w:rFonts w:ascii="Arial" w:hAnsi="Arial" w:cs="Arial"/>
        </w:rPr>
      </w:pPr>
      <w:bookmarkStart w:id="3" w:name="_Toc166496596"/>
      <w:r w:rsidRPr="006524D7">
        <w:rPr>
          <w:rFonts w:ascii="Arial" w:hAnsi="Arial" w:cs="Arial"/>
        </w:rPr>
        <w:t>Culture</w:t>
      </w:r>
      <w:bookmarkEnd w:id="3"/>
    </w:p>
    <w:p w14:paraId="32CE8762"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A hotel's culture shapes its operations and affects staff and guests. A hotel's positive organisational culture fosters teamwork, devotion, and excellent service, which are essential in the hospitality sector. Service quality, attention to detail, proactive issue resolution, and a guest-centric attitude are cultural traits, according to Laerdal, Palmer, and Lester (2021). Create a friendly and inclusive environment where people from all backgrounds may thrive is another IHG (2024) goal. The organisation promotes employee growth through training, advancement, and a polite workplace. Ashikali, Groeneveld, and Kuipers (2020) say these elements matter. In daily operations, staff interactions, and the work environment, leadership shapes hotel culture. A healthy corporate culture includes empowering staff to make guest-satisfying decisions, recognising good performance, and creating an inclusive and friendly environment (Lancefield, 2023).</w:t>
      </w:r>
    </w:p>
    <w:p w14:paraId="382C9093"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 xml:space="preserve">IHG's 2024 culture values "True Hospitality." This requires caring for employees, consumers, and communities. IHG fosters employee growth in a diverse and inclusive workplace. Training and development are emphasised to prepare all staff to give exceptional service. The culture emphasises using new technologies and services to improve visitor experiences and operations (Bendak et al., 2020). Changing an organization's culture is difficult since it entails changing strongly held values, behaviours, and traditions. Diversity, inclusivity, innovation, and customer-centricity can be promoted (Walker and Soule, 2017). Cultural transformation improves employee satisfaction, customer loyalty, and organisational resilience over time. Effective cultural transformations need constant leadership and the incorporation of desirable cultural traits into hiring, training, performance reviews, and leadership development. Cultural transformation can benefit from regular feedback and employee-driven programme changes (Raithel, Knippenberg, and Stam, 2021). Change projects often depend on organisational culture, especially for diversity and inclusion.  </w:t>
      </w:r>
    </w:p>
    <w:p w14:paraId="20B31F69" w14:textId="77777777" w:rsidR="00F01EA6" w:rsidRPr="006524D7" w:rsidRDefault="00F01EA6" w:rsidP="00F01EA6">
      <w:pPr>
        <w:spacing w:line="480" w:lineRule="auto"/>
        <w:jc w:val="both"/>
        <w:rPr>
          <w:rFonts w:ascii="Arial" w:hAnsi="Arial" w:cs="Arial"/>
        </w:rPr>
      </w:pPr>
    </w:p>
    <w:p w14:paraId="12C8C7FA" w14:textId="77777777" w:rsidR="00F01EA6" w:rsidRPr="006524D7" w:rsidRDefault="00F01EA6" w:rsidP="00F01EA6">
      <w:pPr>
        <w:pStyle w:val="Heading2"/>
        <w:spacing w:line="480" w:lineRule="auto"/>
        <w:jc w:val="both"/>
        <w:rPr>
          <w:rFonts w:ascii="Arial" w:hAnsi="Arial" w:cs="Arial"/>
        </w:rPr>
      </w:pPr>
      <w:bookmarkStart w:id="4" w:name="_Toc166496597"/>
      <w:r w:rsidRPr="006524D7">
        <w:rPr>
          <w:rFonts w:ascii="Arial" w:hAnsi="Arial" w:cs="Arial"/>
        </w:rPr>
        <w:t>Goals</w:t>
      </w:r>
      <w:bookmarkEnd w:id="4"/>
    </w:p>
    <w:p w14:paraId="3BAC8A94"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A hotel organization's aims are diverse and consistent with its strategic objectives; these objectives are frequently focused on growing profits, enhancing guest satisfaction, increasing operational efficiency, and maintaining a competitive advantage in the market (Nyambok, 2023). To attain these goals, hotels use a range of strategies (Nair, Manohar, and Mittal, 2024), such as increasing room occupancy rates, investing in employee training and development, developing new marketing and sales strategies, and improving facilities. Many hotels prioritise sustainability due to growing environmental awareness and visitor desire for eco-friendly practices (Duric and Potočnik Topler, 2021). This includes initiatives such as waste reduction, energy conservation, and the use of sustainable materials, all of which assist the environment while also boosting the hotel's image and attracting more customers. IHG (2024) is committed to reducing its environmental footprint and promoting sustainable practices throughout its operations, which includes cutting carbon emissions, reducing waste, and using environmentally friendly materials. In addition, IHG prioritises ethical business practices, community involvement, and responsible sourcing.</w:t>
      </w:r>
    </w:p>
    <w:p w14:paraId="654D118D" w14:textId="77777777" w:rsidR="00F01EA6" w:rsidRPr="006524D7" w:rsidRDefault="00F01EA6" w:rsidP="00F01EA6">
      <w:pPr>
        <w:spacing w:line="480" w:lineRule="auto"/>
        <w:jc w:val="both"/>
        <w:rPr>
          <w:rFonts w:ascii="Arial" w:eastAsia="Times New Roman" w:hAnsi="Arial" w:cs="Arial"/>
          <w:sz w:val="24"/>
          <w:szCs w:val="24"/>
          <w:lang w:eastAsia="en-GB"/>
        </w:rPr>
      </w:pPr>
      <w:r w:rsidRPr="006524D7">
        <w:rPr>
          <w:rFonts w:ascii="Arial" w:hAnsi="Arial" w:cs="Arial"/>
          <w:sz w:val="24"/>
          <w:szCs w:val="24"/>
        </w:rPr>
        <w:t>Furthermore, adapting to technological advances is a crucial goal for modern hotels (Ferreira, Sérgio, and Guerreiro, 2021). Implementing cutting-edge management systems, offering online check-in/out services, and improving guest experiences with digital technologies are vital to being relevant and competitive. These efforts may range from deploying new technologies and reorganising operations to adopting sustainable practices and transforming organisational culture (Barriball et al., 2020). These changes have a significant impact on employee morale, operational efficiency, customer happiness, and financial results. The management of these initiatives typically determines whether they succeed or fail. IHG's (2024) strategy aims to achieve sustainable growth, increase revenue per available room (RevPAR), grow their portfolio through organic expansion and acquisitions, and improve the guest experience through digital innovation. Sustainability is also a top priority, with goals to reduce environmental impact and promote ethical business practices across all operations.</w:t>
      </w:r>
    </w:p>
    <w:p w14:paraId="58A73A7E" w14:textId="77777777" w:rsidR="00F01EA6" w:rsidRPr="006524D7" w:rsidRDefault="00F01EA6" w:rsidP="00F01EA6">
      <w:pPr>
        <w:pStyle w:val="Heading1"/>
        <w:spacing w:line="480" w:lineRule="auto"/>
        <w:jc w:val="both"/>
        <w:rPr>
          <w:rFonts w:ascii="Arial" w:hAnsi="Arial" w:cs="Arial"/>
        </w:rPr>
      </w:pPr>
      <w:bookmarkStart w:id="5" w:name="_Toc166496598"/>
      <w:r w:rsidRPr="006524D7">
        <w:rPr>
          <w:rFonts w:ascii="Arial" w:hAnsi="Arial" w:cs="Arial"/>
        </w:rPr>
        <w:t>Recent change initiatives</w:t>
      </w:r>
      <w:bookmarkEnd w:id="5"/>
    </w:p>
    <w:p w14:paraId="227BDFAC" w14:textId="77777777" w:rsidR="00F01EA6" w:rsidRPr="006524D7" w:rsidRDefault="00F01EA6" w:rsidP="00F01EA6">
      <w:pPr>
        <w:spacing w:line="480" w:lineRule="auto"/>
        <w:jc w:val="both"/>
        <w:rPr>
          <w:rFonts w:ascii="Arial" w:eastAsia="Times New Roman" w:hAnsi="Arial" w:cs="Arial"/>
          <w:sz w:val="24"/>
          <w:szCs w:val="24"/>
          <w:lang w:eastAsia="en-GB"/>
        </w:rPr>
      </w:pPr>
      <w:r w:rsidRPr="006524D7">
        <w:rPr>
          <w:rFonts w:ascii="Arial" w:hAnsi="Arial" w:cs="Arial"/>
          <w:sz w:val="24"/>
          <w:szCs w:val="24"/>
        </w:rPr>
        <w:t xml:space="preserve">An important recent change endeavour entails implementing cutting-edge technology to streamline operations and improve service delivery. For example, numerous financial companies have adopted blockchain technology to improve transaction security and transparency </w:t>
      </w:r>
      <w:r w:rsidRPr="006524D7">
        <w:rPr>
          <w:rFonts w:ascii="Arial" w:eastAsia="Times New Roman" w:hAnsi="Arial" w:cs="Arial"/>
          <w:sz w:val="24"/>
          <w:szCs w:val="24"/>
          <w:lang w:eastAsia="en-GB"/>
        </w:rPr>
        <w:t>(Marr, 2021)</w:t>
      </w:r>
      <w:r w:rsidRPr="006524D7">
        <w:rPr>
          <w:rFonts w:ascii="Arial" w:hAnsi="Arial" w:cs="Arial"/>
          <w:sz w:val="24"/>
          <w:szCs w:val="24"/>
        </w:rPr>
        <w:t xml:space="preserve"> In manufacturing, the integration of Internet of Things (IoT) devices has resulted in better supply chains and production processes. These technologies have a significant influence, frequently resulting in improved data integrity, lower costs, and faster service delivery. However, the success of these programmes is primarily dependent on good change management, which includes comprehensive staff training, legacy system updates, and the maintenance of strong cybersecurity measures </w:t>
      </w:r>
      <w:r w:rsidRPr="006524D7">
        <w:rPr>
          <w:rFonts w:ascii="Arial" w:hAnsi="Arial" w:cs="Arial"/>
          <w:sz w:val="24"/>
          <w:szCs w:val="24"/>
          <w:lang w:eastAsia="en-GB"/>
        </w:rPr>
        <w:t>(Ford, Ford and Polin, 2021)</w:t>
      </w:r>
      <w:r w:rsidRPr="006524D7">
        <w:rPr>
          <w:rFonts w:ascii="Arial" w:hAnsi="Arial" w:cs="Arial"/>
          <w:sz w:val="24"/>
          <w:szCs w:val="24"/>
        </w:rPr>
        <w:t xml:space="preserve"> when properly managed, these technological adoptions can significantly increase efficiency and productivity. In contrast, poor management can lead to implementation delays, budget overruns, and employee opposition, one of the most common current change projects across numerous industries is the incorporation of new technologies </w:t>
      </w:r>
      <w:r w:rsidRPr="006524D7">
        <w:rPr>
          <w:rFonts w:ascii="Arial" w:eastAsia="Times New Roman" w:hAnsi="Arial" w:cs="Arial"/>
          <w:sz w:val="24"/>
          <w:szCs w:val="24"/>
          <w:lang w:eastAsia="en-GB"/>
        </w:rPr>
        <w:t>(Alawag et al., 2023)</w:t>
      </w:r>
      <w:r w:rsidRPr="006524D7">
        <w:rPr>
          <w:rFonts w:ascii="Arial" w:hAnsi="Arial" w:cs="Arial"/>
          <w:sz w:val="24"/>
          <w:szCs w:val="24"/>
        </w:rPr>
        <w:t>. Organisations are rapidly using digital tools like artificial intelligence (AI), machine learning, big data analytics, and cloud computing to streamline operations, make better decisions, and improve consumer experiences. For example, in retail, the use of e-commerce platforms and customer relationship management (CRM) systems has transformed how companies engage with customers and manage data (Tariq, Poulin, &amp; Abonamah, 2021), Telemedicine systems have dramatically increased access to healthcare services, leading to better patient outcomes and operational efficiency.</w:t>
      </w:r>
      <w:r w:rsidRPr="006524D7">
        <w:rPr>
          <w:rFonts w:ascii="Arial" w:eastAsia="Times New Roman" w:hAnsi="Arial" w:cs="Arial"/>
          <w:sz w:val="24"/>
          <w:szCs w:val="24"/>
          <w:lang w:eastAsia="en-GB"/>
        </w:rPr>
        <w:t xml:space="preserve"> </w:t>
      </w:r>
      <w:r w:rsidRPr="006524D7">
        <w:rPr>
          <w:rFonts w:ascii="Arial" w:hAnsi="Arial" w:cs="Arial"/>
          <w:sz w:val="24"/>
          <w:szCs w:val="24"/>
        </w:rPr>
        <w:t>These technological advances have a significant influence, but how well they are controlled determines how far they go, successful management requires extensive planning, clear communication, proper personnel training, and continual assistance to solve difficulties as they emerge. When properly managed, these efforts not only increase efficiency but also promote innovation and growth, in contrast, poor management can result in employee resistance, operational disruptions, and unsuccessful investments.</w:t>
      </w:r>
    </w:p>
    <w:p w14:paraId="0540928B" w14:textId="77777777" w:rsidR="00F01EA6" w:rsidRPr="006524D7" w:rsidRDefault="00F01EA6" w:rsidP="00F01EA6">
      <w:pPr>
        <w:spacing w:line="480" w:lineRule="auto"/>
        <w:jc w:val="both"/>
        <w:rPr>
          <w:rFonts w:ascii="Arial" w:hAnsi="Arial" w:cs="Arial"/>
        </w:rPr>
      </w:pPr>
    </w:p>
    <w:p w14:paraId="194295CC" w14:textId="77777777" w:rsidR="00F01EA6" w:rsidRPr="006524D7" w:rsidRDefault="00F01EA6" w:rsidP="00F01EA6">
      <w:pPr>
        <w:pStyle w:val="Heading1"/>
        <w:spacing w:line="480" w:lineRule="auto"/>
        <w:jc w:val="both"/>
        <w:rPr>
          <w:rFonts w:ascii="Arial" w:hAnsi="Arial" w:cs="Arial"/>
          <w:sz w:val="24"/>
          <w:szCs w:val="24"/>
        </w:rPr>
      </w:pPr>
      <w:bookmarkStart w:id="6" w:name="_Toc166496599"/>
      <w:r w:rsidRPr="006524D7">
        <w:rPr>
          <w:rFonts w:ascii="Arial" w:hAnsi="Arial" w:cs="Arial"/>
        </w:rPr>
        <w:t>The organisation’s strategic direction</w:t>
      </w:r>
      <w:bookmarkEnd w:id="6"/>
    </w:p>
    <w:p w14:paraId="2A796889" w14:textId="77777777" w:rsidR="00F01EA6" w:rsidRPr="006524D7" w:rsidRDefault="00F01EA6" w:rsidP="00F01EA6">
      <w:pPr>
        <w:spacing w:line="480" w:lineRule="auto"/>
        <w:jc w:val="both"/>
        <w:rPr>
          <w:rFonts w:ascii="Arial" w:eastAsia="Times New Roman" w:hAnsi="Arial" w:cs="Arial"/>
          <w:sz w:val="24"/>
          <w:szCs w:val="24"/>
          <w:lang w:eastAsia="en-GB"/>
        </w:rPr>
      </w:pPr>
      <w:r w:rsidRPr="006524D7">
        <w:rPr>
          <w:rFonts w:ascii="Arial" w:eastAsia="Times New Roman" w:hAnsi="Arial" w:cs="Arial"/>
          <w:sz w:val="24"/>
          <w:szCs w:val="24"/>
          <w:lang w:eastAsia="en-GB"/>
        </w:rPr>
        <w:t>According to Abbas (2022), restructuring often has a rapid and significant impact on worker duties, workflows, and morale; hence, effective management of restructuring programmes requires open communication and employee participation at all levels. Providing clear reasons for the changes, outlining benefits, and requesting employee feedback can all assist to mitigate negative outcomes and boost buy-in. To integrate sustainability principles, IHG has to go beyond restructuring and training for employees to address the knowledge gap; providing training and assistance is vital to ensuring that personnel effectively adjust to new tasks or processes. IHG (2024) takes a collaborative leadership approach, encouraging managers at all levels to engage with their teams and stakeholders. This method encourages open communication and feedback, which are critical for effectively implementing sustainability programmes and responding to changing environmental and societal demands. Managers are empowered to make decisions that align with the company's sustainability goals, and they are held accountable for the outcomes. This empowerment is crucial for ensuring that local managers can tailor strategies to the unique needs of their locations and resources (Bunders, Broerse, and Regeer, 2021). IHG (2024) invests in staff training and development to raise awareness about sustainability issues and equip employees with the skills needed to implement eco-friendly practices, including regular workshops and seminars on the most latest environmental trends and technologies.</w:t>
      </w:r>
    </w:p>
    <w:p w14:paraId="0EAC16CE" w14:textId="77777777" w:rsidR="00F01EA6" w:rsidRPr="006524D7" w:rsidRDefault="00F01EA6" w:rsidP="00F01EA6">
      <w:pPr>
        <w:spacing w:line="480" w:lineRule="auto"/>
        <w:jc w:val="both"/>
        <w:rPr>
          <w:rFonts w:ascii="Arial" w:eastAsia="Times New Roman" w:hAnsi="Arial" w:cs="Arial"/>
          <w:sz w:val="24"/>
          <w:szCs w:val="24"/>
          <w:lang w:eastAsia="en-GB"/>
        </w:rPr>
      </w:pPr>
      <w:r w:rsidRPr="006524D7">
        <w:rPr>
          <w:rFonts w:ascii="Arial" w:eastAsia="Times New Roman" w:hAnsi="Arial" w:cs="Arial"/>
          <w:sz w:val="24"/>
          <w:szCs w:val="24"/>
          <w:lang w:eastAsia="en-GB"/>
        </w:rPr>
        <w:t>The corporation incorporates sustainability criteria into its performance management systems; managers and their teams are assessed on their capacity to meet these sustainability standards, as well as their financial and operational goals (Singh and Rahman, 2021). IHG's (2024) management style involves regular meetings with stakeholders such as workers, guests, local communities, and investors to discuss sustainability concerns, allowing the company to gather diverse perspectives and enhance its environmental policy.</w:t>
      </w:r>
    </w:p>
    <w:p w14:paraId="7AF397CD" w14:textId="77777777" w:rsidR="00F01EA6" w:rsidRPr="006524D7" w:rsidRDefault="00F01EA6" w:rsidP="00F01EA6">
      <w:pPr>
        <w:spacing w:line="480" w:lineRule="auto"/>
        <w:jc w:val="both"/>
        <w:rPr>
          <w:rFonts w:ascii="Arial" w:hAnsi="Arial" w:cs="Arial"/>
        </w:rPr>
      </w:pPr>
    </w:p>
    <w:p w14:paraId="6E1391CD" w14:textId="77777777" w:rsidR="00F01EA6" w:rsidRPr="006524D7" w:rsidRDefault="00F01EA6" w:rsidP="00F01EA6">
      <w:pPr>
        <w:pStyle w:val="Heading2"/>
        <w:spacing w:line="480" w:lineRule="auto"/>
        <w:jc w:val="both"/>
        <w:rPr>
          <w:rFonts w:ascii="Arial" w:hAnsi="Arial" w:cs="Arial"/>
        </w:rPr>
      </w:pPr>
      <w:bookmarkStart w:id="7" w:name="_Toc166496600"/>
      <w:r w:rsidRPr="006524D7">
        <w:rPr>
          <w:rFonts w:ascii="Arial" w:hAnsi="Arial" w:cs="Arial"/>
        </w:rPr>
        <w:t>Sustainability Practices</w:t>
      </w:r>
      <w:bookmarkEnd w:id="7"/>
    </w:p>
    <w:p w14:paraId="7FCD48E6" w14:textId="77777777" w:rsidR="00F01EA6" w:rsidRPr="006524D7" w:rsidRDefault="00F01EA6" w:rsidP="00F01EA6">
      <w:pPr>
        <w:spacing w:line="480" w:lineRule="auto"/>
        <w:jc w:val="both"/>
        <w:rPr>
          <w:rFonts w:ascii="Arial" w:hAnsi="Arial" w:cs="Arial"/>
          <w:sz w:val="24"/>
          <w:szCs w:val="24"/>
        </w:rPr>
      </w:pPr>
      <w:r w:rsidRPr="006524D7">
        <w:rPr>
          <w:rFonts w:ascii="Arial" w:hAnsi="Arial" w:cs="Arial"/>
          <w:sz w:val="24"/>
          <w:szCs w:val="24"/>
        </w:rPr>
        <w:t>Organisations are progressively making efforts to become more environmentally conscious. These changes include employing green technologies, reducing waste, boosting energy efficiency, and ethical sourcing (Hegab et al.,2023). These programmes have a far-reaching impact, contributing to greater environmental benefits while also boosting the organization's reputation among consumers, particularly those who value corporate responsibility.</w:t>
      </w:r>
    </w:p>
    <w:p w14:paraId="0172A142" w14:textId="77777777" w:rsidR="00F01EA6" w:rsidRPr="006524D7" w:rsidRDefault="00F01EA6" w:rsidP="00F01EA6">
      <w:pPr>
        <w:spacing w:line="480" w:lineRule="auto"/>
        <w:jc w:val="both"/>
        <w:rPr>
          <w:rFonts w:ascii="Arial" w:eastAsia="Times New Roman" w:hAnsi="Arial" w:cs="Arial"/>
          <w:sz w:val="24"/>
          <w:szCs w:val="24"/>
          <w:lang w:eastAsia="en-GB"/>
        </w:rPr>
      </w:pPr>
      <w:r w:rsidRPr="006524D7">
        <w:rPr>
          <w:rFonts w:ascii="Arial" w:hAnsi="Arial" w:cs="Arial"/>
          <w:sz w:val="24"/>
          <w:szCs w:val="24"/>
        </w:rPr>
        <w:t>The InterContinental Hotels Group (IHG, 2024) has committed to significant environmental activities as part of its operational and ethical criteria, dubbed the "Journey to Tomorrow" project. This project illustrates their commitment to environmental stewardship and social responsibility, with the purpose of benefiting both people and the environment. Along with their sustainability initiatives, IHG's management style is crucial to effectively applying these concepts. To effectively manage sustainability efforts, incorporate sustainable practices into the overall business plan rather than treating them as side projects. It requires senior management commitment and clear communication of environmental and economic benefits to all stakeholders. Sustainability programmes have risen in relevance as businesses attempt to reduce their environmental impact while satisfying customer expectations for responsible operations. Initiatives frequently focus on garbage reduction, renewable energy utilisation, and supply chain sustainability. The advantages of such programmes include not just reduced operational expenses and regulatory compliance, but also better market positioning as a responsible corporation (Rafi, 2022). Integrating sustainable practices into core corporate strategies, comprehensive reporting on environmental impact, and stakeholder engagement are all required for effective sustainability initiative management. Well-managed projects connect environmental goals with business objectives, ensuring long-term commitment and measurable results.</w:t>
      </w:r>
    </w:p>
    <w:p w14:paraId="25A124A4" w14:textId="77777777" w:rsidR="00F01EA6" w:rsidRPr="006524D7" w:rsidRDefault="00F01EA6" w:rsidP="00F01EA6">
      <w:pPr>
        <w:pStyle w:val="Heading1"/>
        <w:spacing w:line="480" w:lineRule="auto"/>
        <w:jc w:val="both"/>
        <w:rPr>
          <w:rFonts w:ascii="Arial" w:hAnsi="Arial" w:cs="Arial"/>
        </w:rPr>
      </w:pPr>
      <w:bookmarkStart w:id="8" w:name="_Toc166496601"/>
      <w:r w:rsidRPr="006524D7">
        <w:rPr>
          <w:rFonts w:ascii="Arial" w:hAnsi="Arial" w:cs="Arial"/>
        </w:rPr>
        <w:t>Conclusion</w:t>
      </w:r>
      <w:bookmarkEnd w:id="8"/>
    </w:p>
    <w:p w14:paraId="32075BE1" w14:textId="77777777" w:rsidR="00F01EA6" w:rsidRPr="00D14FEF" w:rsidRDefault="00F01EA6" w:rsidP="00F01EA6">
      <w:pPr>
        <w:spacing w:line="480" w:lineRule="auto"/>
        <w:jc w:val="both"/>
        <w:rPr>
          <w:rFonts w:ascii="Arial" w:hAnsi="Arial" w:cs="Arial"/>
          <w:sz w:val="24"/>
          <w:szCs w:val="24"/>
        </w:rPr>
      </w:pPr>
      <w:r w:rsidRPr="00D14FEF">
        <w:rPr>
          <w:rFonts w:ascii="Arial" w:hAnsi="Arial" w:cs="Arial"/>
          <w:sz w:val="24"/>
          <w:szCs w:val="24"/>
        </w:rPr>
        <w:t>Organisational structure, culture, and strategic direction, highlighting how these elements combine to drive the company's success in a highly competitive global market. IHG's decentralized structure promotes regional autonomy, allowing for tailored strategies that cater to diverse market needs, thereby enhancing operational efficiency and customer satisfaction (IHG, 2024). The company's commitment to "True Hospitality" forms the core of its culture, emphasizing care for employees, guests, and communities, which in turn fosters a positive work environment and enhances guest experiences (Voegeli, 2021). The implementation of cutting-edge technologies and environmentally sustainable practices not only improves productivity and reduces environmental impact but also positions IHG as a forward-thinking leader in the hospitality industry (Barriball et al., 2020). The management of these change initiatives is critical; IHG's effective leadership and clear strategic direction have enabled successful implementation and management of these changes, reflecting in improved operational outcomes and strategic alignment with long-term objectives (Raithel, Knippenberg, &amp; Stam, 2021). Overall, IHG’s approach to managing its structure, culture, and strategic innovations demonstrates a robust model for navigating the complexities of the modern hospitality landscape, showing that effective adaptation and management of change are pivotal to maintaining industry leadership and the importance of cohesive organizational practices and strategic foresight in achieving sustainable growth and operational excellence (Bunders, Broerse, &amp; Regeer, 2021).</w:t>
      </w:r>
    </w:p>
    <w:p w14:paraId="5F5CA3D6" w14:textId="77777777" w:rsidR="00F01EA6" w:rsidRPr="006524D7" w:rsidRDefault="00F01EA6" w:rsidP="00F01EA6">
      <w:pPr>
        <w:pStyle w:val="Heading1"/>
        <w:spacing w:line="480" w:lineRule="auto"/>
        <w:jc w:val="both"/>
        <w:rPr>
          <w:rFonts w:ascii="Arial" w:hAnsi="Arial" w:cs="Arial"/>
        </w:rPr>
      </w:pPr>
      <w:bookmarkStart w:id="9" w:name="_Toc166496602"/>
      <w:r w:rsidRPr="006524D7">
        <w:rPr>
          <w:rFonts w:ascii="Arial" w:hAnsi="Arial" w:cs="Arial"/>
        </w:rPr>
        <w:t>Recommendation</w:t>
      </w:r>
      <w:bookmarkEnd w:id="9"/>
    </w:p>
    <w:p w14:paraId="000629D1" w14:textId="77777777" w:rsidR="00F01EA6" w:rsidRPr="006524D7" w:rsidRDefault="00F01EA6" w:rsidP="00F01EA6">
      <w:pPr>
        <w:spacing w:line="480" w:lineRule="auto"/>
        <w:jc w:val="both"/>
        <w:rPr>
          <w:rFonts w:ascii="Arial" w:hAnsi="Arial" w:cs="Arial"/>
        </w:rPr>
      </w:pPr>
      <w:r w:rsidRPr="006524D7">
        <w:rPr>
          <w:rFonts w:ascii="Arial" w:hAnsi="Arial" w:cs="Arial"/>
          <w:sz w:val="24"/>
          <w:szCs w:val="24"/>
        </w:rPr>
        <w:t>Many organisations have initiated measures to improve workplace diversity and foster more inclusive work environments, such as training sessions, modified recruiting practices, and support for affinity groups. To effectively manage these changes, top management must commit and act consistently, instill these values in the company culture, and regularly assess progress against established diversity and inclusion benchmarks. The success of these programmes typically relies on genuine buy-in from all levels of the company.</w:t>
      </w:r>
      <w:r w:rsidRPr="006524D7">
        <w:rPr>
          <w:rFonts w:ascii="Arial" w:hAnsi="Arial" w:cs="Arial"/>
        </w:rPr>
        <w:br w:type="page"/>
      </w:r>
    </w:p>
    <w:p w14:paraId="077EE34A" w14:textId="77777777" w:rsidR="00F01EA6" w:rsidRPr="00EA624E" w:rsidRDefault="00F01EA6" w:rsidP="00F01EA6"/>
    <w:p w14:paraId="29E22F61" w14:textId="77777777" w:rsidR="00F01EA6" w:rsidRPr="00EA624E" w:rsidRDefault="00F01EA6" w:rsidP="00F01EA6">
      <w:pPr>
        <w:pStyle w:val="Heading1"/>
        <w:spacing w:line="480" w:lineRule="auto"/>
        <w:jc w:val="both"/>
        <w:rPr>
          <w:rFonts w:ascii="Arial" w:hAnsi="Arial" w:cs="Arial"/>
        </w:rPr>
      </w:pPr>
      <w:bookmarkStart w:id="10" w:name="_Toc166496603"/>
      <w:r w:rsidRPr="00EA624E">
        <w:rPr>
          <w:rFonts w:ascii="Arial" w:hAnsi="Arial" w:cs="Arial"/>
        </w:rPr>
        <w:t>Reference list</w:t>
      </w:r>
      <w:bookmarkEnd w:id="10"/>
    </w:p>
    <w:p w14:paraId="654064C9"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Abbas, T. (2022) </w:t>
      </w:r>
      <w:r w:rsidRPr="002F2503">
        <w:rPr>
          <w:rFonts w:ascii="Arial" w:hAnsi="Arial" w:cs="Arial"/>
          <w:i/>
          <w:iCs/>
        </w:rPr>
        <w:t>Change Management for Organizational Restructuring</w:t>
      </w:r>
      <w:r w:rsidRPr="002F2503">
        <w:rPr>
          <w:rFonts w:ascii="Arial" w:hAnsi="Arial" w:cs="Arial"/>
        </w:rPr>
        <w:t xml:space="preserve">. [online] CMI. Available at: </w:t>
      </w:r>
      <w:hyperlink r:id="rId4" w:history="1">
        <w:r w:rsidRPr="002F2503">
          <w:rPr>
            <w:rStyle w:val="Hyperlink"/>
            <w:rFonts w:ascii="Arial" w:hAnsi="Arial" w:cs="Arial"/>
          </w:rPr>
          <w:t>https://changemanagementinsight.com/change-management-for-organizational-restructuring/</w:t>
        </w:r>
      </w:hyperlink>
      <w:r w:rsidRPr="002F2503">
        <w:rPr>
          <w:rFonts w:ascii="Arial" w:hAnsi="Arial" w:cs="Arial"/>
        </w:rPr>
        <w:t xml:space="preserve"> (Accessed on 27</w:t>
      </w:r>
      <w:r w:rsidRPr="002F2503">
        <w:rPr>
          <w:rFonts w:ascii="Arial" w:hAnsi="Arial" w:cs="Arial"/>
          <w:vertAlign w:val="superscript"/>
        </w:rPr>
        <w:t>th</w:t>
      </w:r>
      <w:r w:rsidRPr="002F2503">
        <w:rPr>
          <w:rFonts w:ascii="Arial" w:hAnsi="Arial" w:cs="Arial"/>
        </w:rPr>
        <w:t xml:space="preserve"> May 2024).</w:t>
      </w:r>
    </w:p>
    <w:p w14:paraId="726764C2"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Alawag, A.M., Alaloul, W.S., Liew, M.S., Baarimah, A.O., Musarat, M.A. and Al-Mekhlafi, A.-B.A. (2023) </w:t>
      </w:r>
      <w:r w:rsidRPr="002F2503">
        <w:rPr>
          <w:rFonts w:ascii="Arial" w:hAnsi="Arial" w:cs="Arial"/>
          <w:i/>
          <w:iCs/>
        </w:rPr>
        <w:t xml:space="preserve">The Role of the Total-Quality-Management (TQM) Drivers in Overcoming the Challenges of Implementing TQM in Industrialized-Building-System (IBS) Projects in Malaysia: Experts’ Perspectives. </w:t>
      </w:r>
      <w:r w:rsidRPr="002F2503">
        <w:rPr>
          <w:rFonts w:ascii="Arial" w:hAnsi="Arial" w:cs="Arial"/>
        </w:rPr>
        <w:t>Sustainability, [online] 15(8), p.6607. doi:https://doi.org/10.3390/su15086607 (Accessed on 24</w:t>
      </w:r>
      <w:r w:rsidRPr="002F2503">
        <w:rPr>
          <w:rFonts w:ascii="Arial" w:hAnsi="Arial" w:cs="Arial"/>
          <w:vertAlign w:val="superscript"/>
        </w:rPr>
        <w:t>th</w:t>
      </w:r>
      <w:r w:rsidRPr="002F2503">
        <w:rPr>
          <w:rFonts w:ascii="Arial" w:hAnsi="Arial" w:cs="Arial"/>
        </w:rPr>
        <w:t xml:space="preserve"> May 2024).</w:t>
      </w:r>
    </w:p>
    <w:p w14:paraId="03915C58"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Ashikali, T., Groeneveld, S. and Kuipers, B. (2020) ‘</w:t>
      </w:r>
      <w:r w:rsidRPr="002F2503">
        <w:rPr>
          <w:rFonts w:ascii="Arial" w:hAnsi="Arial" w:cs="Arial"/>
          <w:i/>
          <w:iCs/>
        </w:rPr>
        <w:t>The Role of Inclusive Leadership in Supporting an Inclusive Climate in Diverse Public Sector Teams’</w:t>
      </w:r>
      <w:r w:rsidRPr="002F2503">
        <w:rPr>
          <w:rFonts w:ascii="Arial" w:hAnsi="Arial" w:cs="Arial"/>
        </w:rPr>
        <w:t xml:space="preserve">. </w:t>
      </w:r>
      <w:r w:rsidRPr="002F2503">
        <w:rPr>
          <w:rFonts w:ascii="Arial" w:hAnsi="Arial" w:cs="Arial"/>
          <w:i/>
          <w:iCs/>
        </w:rPr>
        <w:t>Review of Public Personnel Administration journal</w:t>
      </w:r>
      <w:r w:rsidRPr="002F2503">
        <w:rPr>
          <w:rFonts w:ascii="Arial" w:hAnsi="Arial" w:cs="Arial"/>
        </w:rPr>
        <w:t>, [online] 41(3), p.0734371X1989972. doi:https://doi.org/10.1177/0734371X19899722 (Accessed on 24</w:t>
      </w:r>
      <w:r w:rsidRPr="002F2503">
        <w:rPr>
          <w:rFonts w:ascii="Arial" w:hAnsi="Arial" w:cs="Arial"/>
          <w:vertAlign w:val="superscript"/>
        </w:rPr>
        <w:t>th</w:t>
      </w:r>
      <w:r w:rsidRPr="002F2503">
        <w:rPr>
          <w:rFonts w:ascii="Arial" w:hAnsi="Arial" w:cs="Arial"/>
        </w:rPr>
        <w:t xml:space="preserve"> May 2024).</w:t>
      </w:r>
    </w:p>
    <w:p w14:paraId="7A9044CD" w14:textId="77777777" w:rsidR="00F01EA6" w:rsidRPr="002F2503" w:rsidRDefault="00F01EA6" w:rsidP="00F01EA6">
      <w:pPr>
        <w:spacing w:line="360" w:lineRule="auto"/>
        <w:jc w:val="both"/>
        <w:rPr>
          <w:rFonts w:ascii="Arial" w:hAnsi="Arial" w:cs="Arial"/>
          <w:sz w:val="24"/>
          <w:szCs w:val="24"/>
        </w:rPr>
      </w:pPr>
      <w:r w:rsidRPr="002F2503">
        <w:rPr>
          <w:rFonts w:ascii="Arial" w:hAnsi="Arial" w:cs="Arial"/>
          <w:sz w:val="24"/>
          <w:szCs w:val="24"/>
        </w:rPr>
        <w:t xml:space="preserve">Barriball, E., George, K., Marcos, I. &amp; Radtke, P., (2020) </w:t>
      </w:r>
      <w:r w:rsidRPr="002F2503">
        <w:rPr>
          <w:rFonts w:ascii="Arial" w:hAnsi="Arial" w:cs="Arial"/>
          <w:i/>
          <w:iCs/>
          <w:sz w:val="24"/>
          <w:szCs w:val="24"/>
        </w:rPr>
        <w:t>Jump-starting resilient and reimagined operations.</w:t>
      </w:r>
      <w:r w:rsidRPr="002F2503">
        <w:rPr>
          <w:rFonts w:ascii="Arial" w:hAnsi="Arial" w:cs="Arial"/>
          <w:sz w:val="24"/>
          <w:szCs w:val="24"/>
        </w:rPr>
        <w:t xml:space="preserve"> McKinsey &amp; Company. [online] Available at: </w:t>
      </w:r>
      <w:hyperlink r:id="rId5" w:history="1">
        <w:r w:rsidRPr="002F2503">
          <w:rPr>
            <w:rStyle w:val="Hyperlink"/>
            <w:rFonts w:ascii="Arial" w:hAnsi="Arial" w:cs="Arial"/>
            <w:sz w:val="24"/>
            <w:szCs w:val="24"/>
          </w:rPr>
          <w:t>https://www.mckinsey.com/capabilities/operations/our-insights/jump-starting-resilient-and-reimagined-operations</w:t>
        </w:r>
      </w:hyperlink>
      <w:r w:rsidRPr="002F2503">
        <w:rPr>
          <w:rStyle w:val="Hyperlink"/>
          <w:rFonts w:ascii="Arial" w:hAnsi="Arial" w:cs="Arial"/>
          <w:sz w:val="24"/>
          <w:szCs w:val="24"/>
        </w:rPr>
        <w:t xml:space="preserve"> </w:t>
      </w:r>
      <w:r w:rsidRPr="002F2503">
        <w:rPr>
          <w:rFonts w:ascii="Arial" w:hAnsi="Arial" w:cs="Arial"/>
          <w:sz w:val="24"/>
          <w:szCs w:val="24"/>
        </w:rPr>
        <w:t>(Accessed on 27</w:t>
      </w:r>
      <w:r w:rsidRPr="002F2503">
        <w:rPr>
          <w:rFonts w:ascii="Arial" w:hAnsi="Arial" w:cs="Arial"/>
          <w:sz w:val="24"/>
          <w:szCs w:val="24"/>
          <w:vertAlign w:val="superscript"/>
        </w:rPr>
        <w:t>th</w:t>
      </w:r>
      <w:r w:rsidRPr="002F2503">
        <w:rPr>
          <w:rFonts w:ascii="Arial" w:hAnsi="Arial" w:cs="Arial"/>
          <w:sz w:val="24"/>
          <w:szCs w:val="24"/>
        </w:rPr>
        <w:t xml:space="preserve"> May 2024).</w:t>
      </w:r>
    </w:p>
    <w:p w14:paraId="0BAC6C74"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Bendak, S., Shikhli, A.M., Razek, R.H.A. - and Ardito, L. (2020) ‘</w:t>
      </w:r>
      <w:r w:rsidRPr="002F2503">
        <w:rPr>
          <w:rFonts w:ascii="Arial" w:hAnsi="Arial" w:cs="Arial"/>
          <w:i/>
          <w:iCs/>
        </w:rPr>
        <w:t>How Changing Organizational Culture Can Enhance innovation: Development of the Innovative Culture Enhancement Framework’.</w:t>
      </w:r>
      <w:r w:rsidRPr="002F2503">
        <w:rPr>
          <w:rFonts w:ascii="Arial" w:hAnsi="Arial" w:cs="Arial"/>
        </w:rPr>
        <w:t xml:space="preserve"> </w:t>
      </w:r>
      <w:r w:rsidRPr="002F2503">
        <w:rPr>
          <w:rFonts w:ascii="Arial" w:hAnsi="Arial" w:cs="Arial"/>
          <w:i/>
          <w:iCs/>
        </w:rPr>
        <w:t>Cogent Business &amp; Management</w:t>
      </w:r>
      <w:r w:rsidRPr="002F2503">
        <w:rPr>
          <w:rFonts w:ascii="Arial" w:hAnsi="Arial" w:cs="Arial"/>
        </w:rPr>
        <w:t xml:space="preserve">, [online] 7(1), p.1712125. Available at: </w:t>
      </w:r>
      <w:hyperlink r:id="rId6" w:history="1">
        <w:r w:rsidRPr="002F2503">
          <w:rPr>
            <w:rStyle w:val="Hyperlink"/>
            <w:rFonts w:ascii="Arial" w:hAnsi="Arial" w:cs="Arial"/>
          </w:rPr>
          <w:t>https://www.tandfonline.com/doi/full/10.1080/23311975.2020.1712125</w:t>
        </w:r>
      </w:hyperlink>
      <w:r w:rsidRPr="002F2503">
        <w:rPr>
          <w:rFonts w:ascii="Arial" w:hAnsi="Arial" w:cs="Arial"/>
        </w:rPr>
        <w:t xml:space="preserve"> (Accessed on 24</w:t>
      </w:r>
      <w:r w:rsidRPr="002F2503">
        <w:rPr>
          <w:rFonts w:ascii="Arial" w:hAnsi="Arial" w:cs="Arial"/>
          <w:vertAlign w:val="superscript"/>
        </w:rPr>
        <w:t>th</w:t>
      </w:r>
      <w:r w:rsidRPr="002F2503">
        <w:rPr>
          <w:rFonts w:ascii="Arial" w:hAnsi="Arial" w:cs="Arial"/>
        </w:rPr>
        <w:t xml:space="preserve"> May 2024).</w:t>
      </w:r>
    </w:p>
    <w:p w14:paraId="70C95AE8"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Bunders, A.E., Broerse, J.E.W. and Regeer, B.J. (2021) ‘</w:t>
      </w:r>
      <w:r w:rsidRPr="002F2503">
        <w:rPr>
          <w:rFonts w:ascii="Arial" w:hAnsi="Arial" w:cs="Arial"/>
          <w:i/>
          <w:iCs/>
        </w:rPr>
        <w:t>Leadership for Empowerment</w:t>
      </w:r>
      <w:r w:rsidRPr="002F2503">
        <w:rPr>
          <w:rFonts w:ascii="Arial" w:hAnsi="Arial" w:cs="Arial"/>
        </w:rPr>
        <w:t xml:space="preserve">’: Analyzing Leadership Practices in a Youth Care Organization Using Peer Video Reflection. </w:t>
      </w:r>
      <w:r w:rsidRPr="002F2503">
        <w:rPr>
          <w:rFonts w:ascii="Arial" w:hAnsi="Arial" w:cs="Arial"/>
          <w:i/>
          <w:iCs/>
        </w:rPr>
        <w:t>Human Service Organizations: Management, Leadership &amp; Governance</w:t>
      </w:r>
      <w:r w:rsidRPr="002F2503">
        <w:rPr>
          <w:rFonts w:ascii="Arial" w:hAnsi="Arial" w:cs="Arial"/>
        </w:rPr>
        <w:t>, 45(5), pp.1–23. doi:https://doi.org/10.1080/23303131.2021.1961333 (Accessed on 25</w:t>
      </w:r>
      <w:r w:rsidRPr="002F2503">
        <w:rPr>
          <w:rFonts w:ascii="Arial" w:hAnsi="Arial" w:cs="Arial"/>
          <w:vertAlign w:val="superscript"/>
        </w:rPr>
        <w:t>th</w:t>
      </w:r>
      <w:r w:rsidRPr="002F2503">
        <w:rPr>
          <w:rFonts w:ascii="Arial" w:hAnsi="Arial" w:cs="Arial"/>
        </w:rPr>
        <w:t xml:space="preserve"> May 2024).</w:t>
      </w:r>
    </w:p>
    <w:p w14:paraId="77B15C08"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Duric, Z. and Potočnik Topler, J. (2021) ‘</w:t>
      </w:r>
      <w:r w:rsidRPr="002F2503">
        <w:rPr>
          <w:rFonts w:ascii="Arial" w:hAnsi="Arial" w:cs="Arial"/>
          <w:i/>
          <w:iCs/>
        </w:rPr>
        <w:t>The Role of Performance and Environmental Sustainability Indicators in Hotel Competitiveness</w:t>
      </w:r>
      <w:r w:rsidRPr="002F2503">
        <w:rPr>
          <w:rFonts w:ascii="Arial" w:hAnsi="Arial" w:cs="Arial"/>
        </w:rPr>
        <w:t xml:space="preserve">’. </w:t>
      </w:r>
      <w:r w:rsidRPr="002F2503">
        <w:rPr>
          <w:rFonts w:ascii="Arial" w:hAnsi="Arial" w:cs="Arial"/>
          <w:i/>
          <w:iCs/>
        </w:rPr>
        <w:t>Sustainability</w:t>
      </w:r>
      <w:r w:rsidRPr="002F2503">
        <w:rPr>
          <w:rFonts w:ascii="Arial" w:hAnsi="Arial" w:cs="Arial"/>
        </w:rPr>
        <w:t>, [online] 13(12), p.6574. doi:https://doi.org/10.3390/su13126574 (Accessed on 27</w:t>
      </w:r>
      <w:r w:rsidRPr="002F2503">
        <w:rPr>
          <w:rFonts w:ascii="Arial" w:hAnsi="Arial" w:cs="Arial"/>
          <w:vertAlign w:val="superscript"/>
        </w:rPr>
        <w:t>th</w:t>
      </w:r>
      <w:r w:rsidRPr="002F2503">
        <w:rPr>
          <w:rFonts w:ascii="Arial" w:hAnsi="Arial" w:cs="Arial"/>
        </w:rPr>
        <w:t xml:space="preserve"> May 2024).</w:t>
      </w:r>
    </w:p>
    <w:p w14:paraId="6A249285"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Ferreira, E., Sérgio, M. and Guerreiro, M. (2021) </w:t>
      </w:r>
      <w:r w:rsidRPr="002F2503">
        <w:rPr>
          <w:rFonts w:ascii="Arial" w:hAnsi="Arial" w:cs="Arial"/>
          <w:i/>
          <w:iCs/>
        </w:rPr>
        <w:t xml:space="preserve">TECHNOLOGY IN HOSPITALITY HOW GENERATION Y PERCEIVES THIS TREND </w:t>
      </w:r>
      <w:r w:rsidRPr="002F2503">
        <w:rPr>
          <w:rFonts w:ascii="Arial" w:hAnsi="Arial" w:cs="Arial"/>
        </w:rPr>
        <w:t xml:space="preserve">. [online] Available at: </w:t>
      </w:r>
      <w:hyperlink r:id="rId7" w:history="1">
        <w:r w:rsidRPr="002F2503">
          <w:rPr>
            <w:rStyle w:val="Hyperlink"/>
            <w:rFonts w:ascii="Arial" w:hAnsi="Arial" w:cs="Arial"/>
          </w:rPr>
          <w:t>https://run.unl.pt/bitstream/10362/139162/1/2021_22_fall_44535_luisa-flores.pdf</w:t>
        </w:r>
      </w:hyperlink>
      <w:r w:rsidRPr="002F2503">
        <w:rPr>
          <w:rFonts w:ascii="Arial" w:hAnsi="Arial" w:cs="Arial"/>
        </w:rPr>
        <w:t xml:space="preserve"> (Accessed on 27</w:t>
      </w:r>
      <w:r w:rsidRPr="002F2503">
        <w:rPr>
          <w:rFonts w:ascii="Arial" w:hAnsi="Arial" w:cs="Arial"/>
          <w:vertAlign w:val="superscript"/>
        </w:rPr>
        <w:t>th</w:t>
      </w:r>
      <w:r w:rsidRPr="002F2503">
        <w:rPr>
          <w:rFonts w:ascii="Arial" w:hAnsi="Arial" w:cs="Arial"/>
        </w:rPr>
        <w:t xml:space="preserve"> May 2024).</w:t>
      </w:r>
    </w:p>
    <w:p w14:paraId="1815DCA6"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Ford, J., Ford, L. and Polin, B. (2021) </w:t>
      </w:r>
      <w:r w:rsidRPr="002F2503">
        <w:rPr>
          <w:rFonts w:ascii="Arial" w:hAnsi="Arial" w:cs="Arial"/>
          <w:i/>
          <w:iCs/>
        </w:rPr>
        <w:t>Leadership in the Implementation of Change:</w:t>
      </w:r>
      <w:r w:rsidRPr="002F2503">
        <w:rPr>
          <w:rFonts w:ascii="Arial" w:hAnsi="Arial" w:cs="Arial"/>
        </w:rPr>
        <w:t xml:space="preserve"> Functions, Sources, and Requisite Variety. </w:t>
      </w:r>
      <w:r w:rsidRPr="002F2503">
        <w:rPr>
          <w:rFonts w:ascii="Arial" w:hAnsi="Arial" w:cs="Arial"/>
          <w:i/>
          <w:iCs/>
        </w:rPr>
        <w:t>Journal of Change Management</w:t>
      </w:r>
      <w:r w:rsidRPr="002F2503">
        <w:rPr>
          <w:rFonts w:ascii="Arial" w:hAnsi="Arial" w:cs="Arial"/>
        </w:rPr>
        <w:t xml:space="preserve">, [online] 21(1), pp.87–119. Available at: </w:t>
      </w:r>
      <w:hyperlink r:id="rId8" w:history="1">
        <w:r w:rsidRPr="002F2503">
          <w:rPr>
            <w:rStyle w:val="Hyperlink"/>
            <w:rFonts w:ascii="Arial" w:hAnsi="Arial" w:cs="Arial"/>
          </w:rPr>
          <w:t>https://www.tandfonline.com/doi/full/10.1080/14697017.2021.1861697</w:t>
        </w:r>
      </w:hyperlink>
      <w:r w:rsidRPr="002F2503">
        <w:rPr>
          <w:rFonts w:ascii="Arial" w:hAnsi="Arial" w:cs="Arial"/>
        </w:rPr>
        <w:t xml:space="preserve"> (Accessed on 27</w:t>
      </w:r>
      <w:r w:rsidRPr="002F2503">
        <w:rPr>
          <w:rFonts w:ascii="Arial" w:hAnsi="Arial" w:cs="Arial"/>
          <w:vertAlign w:val="superscript"/>
        </w:rPr>
        <w:t>th</w:t>
      </w:r>
      <w:r w:rsidRPr="002F2503">
        <w:rPr>
          <w:rFonts w:ascii="Arial" w:hAnsi="Arial" w:cs="Arial"/>
        </w:rPr>
        <w:t xml:space="preserve"> May 2024).</w:t>
      </w:r>
    </w:p>
    <w:p w14:paraId="19BE881A"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Hassanien, A. (2006) </w:t>
      </w:r>
      <w:r w:rsidRPr="002F2503">
        <w:rPr>
          <w:rFonts w:ascii="Arial" w:hAnsi="Arial" w:cs="Arial"/>
          <w:i/>
          <w:iCs/>
        </w:rPr>
        <w:t>Exploring hotel renovation in large hotels: a multiple case study.</w:t>
      </w:r>
      <w:r w:rsidRPr="002F2503">
        <w:rPr>
          <w:rFonts w:ascii="Arial" w:hAnsi="Arial" w:cs="Arial"/>
        </w:rPr>
        <w:t xml:space="preserve"> </w:t>
      </w:r>
      <w:r w:rsidRPr="002F2503">
        <w:rPr>
          <w:rFonts w:ascii="Arial" w:hAnsi="Arial" w:cs="Arial"/>
          <w:i/>
          <w:iCs/>
        </w:rPr>
        <w:t>Structural Survey</w:t>
      </w:r>
      <w:r w:rsidRPr="002F2503">
        <w:rPr>
          <w:rFonts w:ascii="Arial" w:hAnsi="Arial" w:cs="Arial"/>
        </w:rPr>
        <w:t>, [online] 24(1), pp.41–64. doi:https://doi.org/10.1108/02630800610654414 (Accessed on 26</w:t>
      </w:r>
      <w:r w:rsidRPr="002F2503">
        <w:rPr>
          <w:rFonts w:ascii="Arial" w:hAnsi="Arial" w:cs="Arial"/>
          <w:vertAlign w:val="superscript"/>
        </w:rPr>
        <w:t>th</w:t>
      </w:r>
      <w:r w:rsidRPr="002F2503">
        <w:rPr>
          <w:rFonts w:ascii="Arial" w:hAnsi="Arial" w:cs="Arial"/>
        </w:rPr>
        <w:t xml:space="preserve"> May 2024).</w:t>
      </w:r>
    </w:p>
    <w:p w14:paraId="3D77FEF9"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Hegab, H., Shaban, I., Jamil, M. and Khana, N. (2023) </w:t>
      </w:r>
      <w:r w:rsidRPr="002F2503">
        <w:rPr>
          <w:rFonts w:ascii="Arial" w:hAnsi="Arial" w:cs="Arial"/>
          <w:i/>
          <w:iCs/>
        </w:rPr>
        <w:t xml:space="preserve">Toward sustainable future: </w:t>
      </w:r>
      <w:r w:rsidRPr="002F2503">
        <w:rPr>
          <w:rFonts w:ascii="Arial" w:hAnsi="Arial" w:cs="Arial"/>
        </w:rPr>
        <w:t xml:space="preserve">Strategies, indicators, and challenges for implementing sustainable production systems. </w:t>
      </w:r>
      <w:r w:rsidRPr="002F2503">
        <w:rPr>
          <w:rFonts w:ascii="Arial" w:hAnsi="Arial" w:cs="Arial"/>
          <w:i/>
          <w:iCs/>
        </w:rPr>
        <w:t>Sustainable Materials and Technologies</w:t>
      </w:r>
      <w:r w:rsidRPr="002F2503">
        <w:rPr>
          <w:rFonts w:ascii="Arial" w:hAnsi="Arial" w:cs="Arial"/>
        </w:rPr>
        <w:t>, 36, p.e00617. doi:https://doi.org/10.1016/j.susmat.2023.e00617 (Accessed on 26</w:t>
      </w:r>
      <w:r w:rsidRPr="002F2503">
        <w:rPr>
          <w:rFonts w:ascii="Arial" w:hAnsi="Arial" w:cs="Arial"/>
          <w:vertAlign w:val="superscript"/>
        </w:rPr>
        <w:t>th</w:t>
      </w:r>
      <w:r w:rsidRPr="002F2503">
        <w:rPr>
          <w:rFonts w:ascii="Arial" w:hAnsi="Arial" w:cs="Arial"/>
        </w:rPr>
        <w:t xml:space="preserve"> May 2024).</w:t>
      </w:r>
    </w:p>
    <w:p w14:paraId="3F7D72C5"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IHG (2024) </w:t>
      </w:r>
      <w:r w:rsidRPr="002F2503">
        <w:rPr>
          <w:rFonts w:ascii="Arial" w:hAnsi="Arial" w:cs="Arial"/>
          <w:i/>
          <w:iCs/>
        </w:rPr>
        <w:t>Hotel Development</w:t>
      </w:r>
      <w:r w:rsidRPr="002F2503">
        <w:rPr>
          <w:rFonts w:ascii="Arial" w:hAnsi="Arial" w:cs="Arial"/>
        </w:rPr>
        <w:t xml:space="preserve">. [online] @ihgdevelopment. Available at: </w:t>
      </w:r>
      <w:hyperlink r:id="rId9" w:history="1">
        <w:r w:rsidRPr="002F2503">
          <w:rPr>
            <w:rStyle w:val="Hyperlink"/>
            <w:rFonts w:ascii="Arial" w:hAnsi="Arial" w:cs="Arial"/>
          </w:rPr>
          <w:t>https://development.ihg.com/</w:t>
        </w:r>
      </w:hyperlink>
      <w:r w:rsidRPr="002F2503">
        <w:rPr>
          <w:rFonts w:ascii="Arial" w:hAnsi="Arial" w:cs="Arial"/>
        </w:rPr>
        <w:t xml:space="preserve"> (Accessed on 27</w:t>
      </w:r>
      <w:r w:rsidRPr="002F2503">
        <w:rPr>
          <w:rFonts w:ascii="Arial" w:hAnsi="Arial" w:cs="Arial"/>
          <w:vertAlign w:val="superscript"/>
        </w:rPr>
        <w:t>th</w:t>
      </w:r>
      <w:r w:rsidRPr="002F2503">
        <w:rPr>
          <w:rFonts w:ascii="Arial" w:hAnsi="Arial" w:cs="Arial"/>
        </w:rPr>
        <w:t xml:space="preserve"> May 2024).</w:t>
      </w:r>
    </w:p>
    <w:p w14:paraId="4AA8C103"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Laerdal, K.M., Palmer, C. and Lester, J.-A. (2021) </w:t>
      </w:r>
      <w:r w:rsidRPr="002F2503">
        <w:rPr>
          <w:rFonts w:ascii="Arial" w:hAnsi="Arial" w:cs="Arial"/>
          <w:i/>
          <w:iCs/>
        </w:rPr>
        <w:t>Constructing and performing hotel hospitality culture. Hospitality &amp; Society</w:t>
      </w:r>
      <w:r w:rsidRPr="002F2503">
        <w:rPr>
          <w:rFonts w:ascii="Arial" w:hAnsi="Arial" w:cs="Arial"/>
        </w:rPr>
        <w:t>, 00(00), pp.1–24. doi:https://doi.org/10.1386/hosp_00043_1 (Accessed on 27</w:t>
      </w:r>
      <w:r w:rsidRPr="002F2503">
        <w:rPr>
          <w:rFonts w:ascii="Arial" w:hAnsi="Arial" w:cs="Arial"/>
          <w:vertAlign w:val="superscript"/>
        </w:rPr>
        <w:t>th</w:t>
      </w:r>
      <w:r w:rsidRPr="002F2503">
        <w:rPr>
          <w:rFonts w:ascii="Arial" w:hAnsi="Arial" w:cs="Arial"/>
        </w:rPr>
        <w:t xml:space="preserve"> May 2024).</w:t>
      </w:r>
    </w:p>
    <w:p w14:paraId="47017AF0"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Lancefield, D. (2023) </w:t>
      </w:r>
      <w:r w:rsidRPr="002F2503">
        <w:rPr>
          <w:rFonts w:ascii="Arial" w:hAnsi="Arial" w:cs="Arial"/>
          <w:i/>
          <w:iCs/>
        </w:rPr>
        <w:t>5 Strategies to Empower Employees to Make Decisions</w:t>
      </w:r>
      <w:r w:rsidRPr="002F2503">
        <w:rPr>
          <w:rFonts w:ascii="Arial" w:hAnsi="Arial" w:cs="Arial"/>
        </w:rPr>
        <w:t xml:space="preserve">. [online] Harvard Business Review. Available at: </w:t>
      </w:r>
      <w:hyperlink r:id="rId10" w:history="1">
        <w:r w:rsidRPr="002F2503">
          <w:rPr>
            <w:rStyle w:val="Hyperlink"/>
            <w:rFonts w:ascii="Arial" w:hAnsi="Arial" w:cs="Arial"/>
          </w:rPr>
          <w:t>https://hbr.org/2023/03/5-strategies-to-empower-employees-to-make-decisions</w:t>
        </w:r>
      </w:hyperlink>
      <w:r w:rsidRPr="002F2503">
        <w:rPr>
          <w:rFonts w:ascii="Arial" w:hAnsi="Arial" w:cs="Arial"/>
        </w:rPr>
        <w:t xml:space="preserve"> (Accessed on 25</w:t>
      </w:r>
      <w:r w:rsidRPr="002F2503">
        <w:rPr>
          <w:rFonts w:ascii="Arial" w:hAnsi="Arial" w:cs="Arial"/>
          <w:vertAlign w:val="superscript"/>
        </w:rPr>
        <w:t>th</w:t>
      </w:r>
      <w:r w:rsidRPr="002F2503">
        <w:rPr>
          <w:rFonts w:ascii="Arial" w:hAnsi="Arial" w:cs="Arial"/>
        </w:rPr>
        <w:t xml:space="preserve"> May 2024).</w:t>
      </w:r>
    </w:p>
    <w:p w14:paraId="1ED623C7"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Marr, B. (2021) </w:t>
      </w:r>
      <w:r w:rsidRPr="002F2503">
        <w:rPr>
          <w:rFonts w:ascii="Arial" w:hAnsi="Arial" w:cs="Arial"/>
          <w:i/>
          <w:iCs/>
        </w:rPr>
        <w:t>The 7 Biggest Artificial Intelligence (AI) Trends In 2022</w:t>
      </w:r>
      <w:r w:rsidRPr="002F2503">
        <w:rPr>
          <w:rFonts w:ascii="Arial" w:hAnsi="Arial" w:cs="Arial"/>
        </w:rPr>
        <w:t>. [online] Forbes. Available at: https://www.forbes.com/sites/bernardmarr/2021/09/24/the-7-biggest-artificial-intelligence-ai-trends-in-2022/ (Accessed on 13th May 2024).</w:t>
      </w:r>
    </w:p>
    <w:p w14:paraId="182753ED"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Moneva, J.M., Bonilla-Priego, M.J. and Ortas, E. (2019)</w:t>
      </w:r>
      <w:r w:rsidRPr="002F2503">
        <w:rPr>
          <w:rFonts w:ascii="Arial" w:hAnsi="Arial" w:cs="Arial"/>
          <w:i/>
          <w:iCs/>
        </w:rPr>
        <w:t xml:space="preserve"> ‘Corporate social responsibility and organisational performance in the tourism sector’. Journal of Sustainable Tourism</w:t>
      </w:r>
      <w:r w:rsidRPr="002F2503">
        <w:rPr>
          <w:rFonts w:ascii="Arial" w:hAnsi="Arial" w:cs="Arial"/>
        </w:rPr>
        <w:t>, 28(6), pp.853–872. doi:https://doi.org/10.1080/09669582.2019.1707838 (Accessed on 18</w:t>
      </w:r>
      <w:r w:rsidRPr="002F2503">
        <w:rPr>
          <w:rFonts w:ascii="Arial" w:hAnsi="Arial" w:cs="Arial"/>
          <w:vertAlign w:val="superscript"/>
        </w:rPr>
        <w:t>th</w:t>
      </w:r>
      <w:r w:rsidRPr="002F2503">
        <w:rPr>
          <w:rFonts w:ascii="Arial" w:hAnsi="Arial" w:cs="Arial"/>
        </w:rPr>
        <w:t xml:space="preserve"> May 2024).</w:t>
      </w:r>
    </w:p>
    <w:p w14:paraId="37CB5B47"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Nair, J., Manohar, S. and Mittal, A. (2024) ‘</w:t>
      </w:r>
      <w:r w:rsidRPr="002F2503">
        <w:rPr>
          <w:rFonts w:ascii="Arial" w:hAnsi="Arial" w:cs="Arial"/>
          <w:i/>
          <w:iCs/>
        </w:rPr>
        <w:t>Reconfiguration and transformation for resilience: building service organizations towards sustainability</w:t>
      </w:r>
      <w:r w:rsidRPr="002F2503">
        <w:rPr>
          <w:rFonts w:ascii="Arial" w:hAnsi="Arial" w:cs="Arial"/>
        </w:rPr>
        <w:t xml:space="preserve">’. </w:t>
      </w:r>
      <w:r w:rsidRPr="002F2503">
        <w:rPr>
          <w:rFonts w:ascii="Arial" w:hAnsi="Arial" w:cs="Arial"/>
          <w:i/>
          <w:iCs/>
        </w:rPr>
        <w:t>Journal of Services Marketing</w:t>
      </w:r>
      <w:r w:rsidRPr="002F2503">
        <w:rPr>
          <w:rFonts w:ascii="Arial" w:hAnsi="Arial" w:cs="Arial"/>
        </w:rPr>
        <w:t>, [online] 38(4), pp.404–425. doi:https://doi.org/10.1108/JSM0420230144 (Accessed on 24</w:t>
      </w:r>
      <w:r w:rsidRPr="002F2503">
        <w:rPr>
          <w:rFonts w:ascii="Arial" w:hAnsi="Arial" w:cs="Arial"/>
          <w:vertAlign w:val="superscript"/>
        </w:rPr>
        <w:t>th</w:t>
      </w:r>
      <w:r w:rsidRPr="002F2503">
        <w:rPr>
          <w:rFonts w:ascii="Arial" w:hAnsi="Arial" w:cs="Arial"/>
        </w:rPr>
        <w:t xml:space="preserve"> May 2024).</w:t>
      </w:r>
    </w:p>
    <w:p w14:paraId="0F7984C5"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Nyambok, A. (2023) </w:t>
      </w:r>
      <w:r w:rsidRPr="002F2503">
        <w:rPr>
          <w:rFonts w:ascii="Arial" w:hAnsi="Arial" w:cs="Arial"/>
          <w:i/>
          <w:iCs/>
        </w:rPr>
        <w:t>RELATIONSHIP BETWEEN COMPETITIVE STRATEGIES AND ORGANISATION PERFORMANCE AMONG FOUR AND FIVE STAR HOTELS IN NAIROBI COUNTY.</w:t>
      </w:r>
      <w:r w:rsidRPr="002F2503">
        <w:rPr>
          <w:rFonts w:ascii="Arial" w:hAnsi="Arial" w:cs="Arial"/>
        </w:rPr>
        <w:t xml:space="preserve"> </w:t>
      </w:r>
      <w:r w:rsidRPr="002F2503">
        <w:rPr>
          <w:rFonts w:ascii="Arial" w:hAnsi="Arial" w:cs="Arial"/>
          <w:i/>
          <w:iCs/>
        </w:rPr>
        <w:t>89.31.5</w:t>
      </w:r>
      <w:r w:rsidRPr="002F2503">
        <w:rPr>
          <w:rFonts w:ascii="Arial" w:hAnsi="Arial" w:cs="Arial"/>
        </w:rPr>
        <w:t>. [online] doi:http://repository.kemu.ac.ke/handle/123456789/1578 (Accessed on 18</w:t>
      </w:r>
      <w:r w:rsidRPr="002F2503">
        <w:rPr>
          <w:rFonts w:ascii="Arial" w:hAnsi="Arial" w:cs="Arial"/>
          <w:vertAlign w:val="superscript"/>
        </w:rPr>
        <w:t>th</w:t>
      </w:r>
      <w:r w:rsidRPr="002F2503">
        <w:rPr>
          <w:rFonts w:ascii="Arial" w:hAnsi="Arial" w:cs="Arial"/>
        </w:rPr>
        <w:t xml:space="preserve"> May 2024).</w:t>
      </w:r>
    </w:p>
    <w:p w14:paraId="43E7221A"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Rafi, T. (2022) </w:t>
      </w:r>
      <w:r w:rsidRPr="002F2503">
        <w:rPr>
          <w:rFonts w:ascii="Arial" w:hAnsi="Arial" w:cs="Arial"/>
          <w:i/>
          <w:iCs/>
        </w:rPr>
        <w:t>Why sustainability is crucial for corporate strategy</w:t>
      </w:r>
      <w:r w:rsidRPr="002F2503">
        <w:rPr>
          <w:rFonts w:ascii="Arial" w:hAnsi="Arial" w:cs="Arial"/>
        </w:rPr>
        <w:t>. [online] World Economic Forum. Available at: https://www.weforum.org/agenda/2022/06/why-sustainability-is-crucial-for-corporate-strategy/ (Accessed 13th May 2024).</w:t>
      </w:r>
    </w:p>
    <w:p w14:paraId="1514238D"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Raithel, K., Knippenberg, D. van and Stam, D. (2021) ‘</w:t>
      </w:r>
      <w:r w:rsidRPr="002F2503">
        <w:rPr>
          <w:rFonts w:ascii="Arial" w:hAnsi="Arial" w:cs="Arial"/>
          <w:i/>
          <w:iCs/>
        </w:rPr>
        <w:t>Team Leadership and Team Cultural Diversity: The Moderating Effects of Leader Cultural Background and Leader Team Tenure</w:t>
      </w:r>
      <w:r w:rsidRPr="002F2503">
        <w:rPr>
          <w:rFonts w:ascii="Arial" w:hAnsi="Arial" w:cs="Arial"/>
        </w:rPr>
        <w:t xml:space="preserve">’. </w:t>
      </w:r>
      <w:r w:rsidRPr="002F2503">
        <w:rPr>
          <w:rFonts w:ascii="Arial" w:hAnsi="Arial" w:cs="Arial"/>
          <w:i/>
          <w:iCs/>
        </w:rPr>
        <w:t>Journal of Leadership &amp; Organizational Studies</w:t>
      </w:r>
      <w:r w:rsidRPr="002F2503">
        <w:rPr>
          <w:rFonts w:ascii="Arial" w:hAnsi="Arial" w:cs="Arial"/>
        </w:rPr>
        <w:t>, [online] 28(3), p.154805182110107. doi:https://doi.org/10.1177/15480518211010763 (Accessed on 24</w:t>
      </w:r>
      <w:r w:rsidRPr="002F2503">
        <w:rPr>
          <w:rFonts w:ascii="Arial" w:hAnsi="Arial" w:cs="Arial"/>
          <w:vertAlign w:val="superscript"/>
        </w:rPr>
        <w:t>th</w:t>
      </w:r>
      <w:r w:rsidRPr="002F2503">
        <w:rPr>
          <w:rFonts w:ascii="Arial" w:hAnsi="Arial" w:cs="Arial"/>
        </w:rPr>
        <w:t xml:space="preserve"> May 2024).</w:t>
      </w:r>
    </w:p>
    <w:p w14:paraId="40A4A579"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Singh, A.P. and Rahman, Z. (2021) ‘</w:t>
      </w:r>
      <w:r w:rsidRPr="002F2503">
        <w:rPr>
          <w:rFonts w:ascii="Arial" w:hAnsi="Arial" w:cs="Arial"/>
          <w:i/>
          <w:iCs/>
        </w:rPr>
        <w:t>Integrating corporate sustainability and sustainable development goals: towards a multi-stakeholder framework’</w:t>
      </w:r>
      <w:r w:rsidRPr="002F2503">
        <w:rPr>
          <w:rFonts w:ascii="Arial" w:hAnsi="Arial" w:cs="Arial"/>
        </w:rPr>
        <w:t xml:space="preserve">. </w:t>
      </w:r>
      <w:r w:rsidRPr="002F2503">
        <w:rPr>
          <w:rFonts w:ascii="Arial" w:hAnsi="Arial" w:cs="Arial"/>
          <w:i/>
          <w:iCs/>
        </w:rPr>
        <w:t>Cogent Business &amp; Management</w:t>
      </w:r>
      <w:r w:rsidRPr="002F2503">
        <w:rPr>
          <w:rFonts w:ascii="Arial" w:hAnsi="Arial" w:cs="Arial"/>
        </w:rPr>
        <w:t>, [online] 8(1). doi:https://doi.org/10.1080/23311975.2021.1985686 (Accessed on 27</w:t>
      </w:r>
      <w:r w:rsidRPr="002F2503">
        <w:rPr>
          <w:rFonts w:ascii="Arial" w:hAnsi="Arial" w:cs="Arial"/>
          <w:vertAlign w:val="superscript"/>
        </w:rPr>
        <w:t>th</w:t>
      </w:r>
      <w:r w:rsidRPr="002F2503">
        <w:rPr>
          <w:rFonts w:ascii="Arial" w:hAnsi="Arial" w:cs="Arial"/>
        </w:rPr>
        <w:t xml:space="preserve"> May 2024).</w:t>
      </w:r>
    </w:p>
    <w:p w14:paraId="076CF737"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Sobaih, A.E.E., Hasanein, A.M., Aliedan, M.M. and Abdallah, H.S. (2020) ‘</w:t>
      </w:r>
      <w:r w:rsidRPr="002F2503">
        <w:rPr>
          <w:rFonts w:ascii="Arial" w:hAnsi="Arial" w:cs="Arial"/>
          <w:i/>
          <w:iCs/>
        </w:rPr>
        <w:t>The impact of transactional and transformational leadership on employee intention to stay in deluxe hotels: Mediating role of organisational commitment</w:t>
      </w:r>
      <w:r w:rsidRPr="002F2503">
        <w:rPr>
          <w:rFonts w:ascii="Arial" w:hAnsi="Arial" w:cs="Arial"/>
        </w:rPr>
        <w:t xml:space="preserve">’. </w:t>
      </w:r>
      <w:r w:rsidRPr="002F2503">
        <w:rPr>
          <w:rFonts w:ascii="Arial" w:hAnsi="Arial" w:cs="Arial"/>
          <w:i/>
          <w:iCs/>
        </w:rPr>
        <w:t>Tourism and Hospitality Research</w:t>
      </w:r>
      <w:r w:rsidRPr="002F2503">
        <w:rPr>
          <w:rFonts w:ascii="Arial" w:hAnsi="Arial" w:cs="Arial"/>
        </w:rPr>
        <w:t>, 22(3), p.146735842097215. doi:https://doi.org/10.1177/1467358420972156 (Accessed on 24</w:t>
      </w:r>
      <w:r w:rsidRPr="002F2503">
        <w:rPr>
          <w:rFonts w:ascii="Arial" w:hAnsi="Arial" w:cs="Arial"/>
          <w:vertAlign w:val="superscript"/>
        </w:rPr>
        <w:t>th</w:t>
      </w:r>
      <w:r w:rsidRPr="002F2503">
        <w:rPr>
          <w:rFonts w:ascii="Arial" w:hAnsi="Arial" w:cs="Arial"/>
        </w:rPr>
        <w:t xml:space="preserve"> May 2024).</w:t>
      </w:r>
    </w:p>
    <w:p w14:paraId="7A54ADCD" w14:textId="77777777" w:rsidR="00F01EA6" w:rsidRPr="002F2503" w:rsidRDefault="00F01EA6" w:rsidP="00F01EA6">
      <w:pPr>
        <w:spacing w:line="360" w:lineRule="auto"/>
        <w:jc w:val="both"/>
        <w:rPr>
          <w:rFonts w:ascii="Arial" w:hAnsi="Arial" w:cs="Arial"/>
          <w:sz w:val="24"/>
          <w:szCs w:val="24"/>
        </w:rPr>
      </w:pPr>
      <w:r w:rsidRPr="002F2503">
        <w:rPr>
          <w:rFonts w:ascii="Arial" w:hAnsi="Arial" w:cs="Arial"/>
          <w:sz w:val="24"/>
          <w:szCs w:val="24"/>
        </w:rPr>
        <w:t xml:space="preserve">Tariq, M. U., Poulin, M., &amp; Abonamah, A. A. (2021) </w:t>
      </w:r>
      <w:r w:rsidRPr="002F2503">
        <w:rPr>
          <w:rFonts w:ascii="Arial" w:hAnsi="Arial" w:cs="Arial"/>
          <w:i/>
          <w:iCs/>
          <w:sz w:val="24"/>
          <w:szCs w:val="24"/>
        </w:rPr>
        <w:t>Achieving operational excellence through artificial intelligence: Driving forces and barriers</w:t>
      </w:r>
      <w:r w:rsidRPr="002F2503">
        <w:rPr>
          <w:rFonts w:ascii="Arial" w:hAnsi="Arial" w:cs="Arial"/>
          <w:sz w:val="24"/>
          <w:szCs w:val="24"/>
        </w:rPr>
        <w:t xml:space="preserve">. Frontiers in Psychology, 12. </w:t>
      </w:r>
      <w:hyperlink r:id="rId11" w:history="1">
        <w:r w:rsidRPr="002F2503">
          <w:rPr>
            <w:rStyle w:val="Hyperlink"/>
            <w:rFonts w:ascii="Arial" w:hAnsi="Arial" w:cs="Arial"/>
            <w:sz w:val="24"/>
            <w:szCs w:val="24"/>
          </w:rPr>
          <w:t>https://doi.org/10.3389/fpsyg.2021.686624</w:t>
        </w:r>
      </w:hyperlink>
      <w:r w:rsidRPr="002F2503">
        <w:rPr>
          <w:rFonts w:ascii="Arial" w:hAnsi="Arial" w:cs="Arial"/>
          <w:sz w:val="24"/>
          <w:szCs w:val="24"/>
        </w:rPr>
        <w:t xml:space="preserve"> (Accessed on 25</w:t>
      </w:r>
      <w:r w:rsidRPr="002F2503">
        <w:rPr>
          <w:rFonts w:ascii="Arial" w:hAnsi="Arial" w:cs="Arial"/>
          <w:sz w:val="24"/>
          <w:szCs w:val="24"/>
          <w:vertAlign w:val="superscript"/>
        </w:rPr>
        <w:t>th</w:t>
      </w:r>
      <w:r w:rsidRPr="002F2503">
        <w:rPr>
          <w:rFonts w:ascii="Arial" w:hAnsi="Arial" w:cs="Arial"/>
          <w:sz w:val="24"/>
          <w:szCs w:val="24"/>
        </w:rPr>
        <w:t xml:space="preserve"> May 2024).</w:t>
      </w:r>
    </w:p>
    <w:p w14:paraId="1D9C93DA"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Voegeli, C. (2021) </w:t>
      </w:r>
      <w:r w:rsidRPr="002F2503">
        <w:rPr>
          <w:rFonts w:ascii="Arial" w:hAnsi="Arial" w:cs="Arial"/>
          <w:i/>
          <w:iCs/>
        </w:rPr>
        <w:t>A Case Study of Knowledge Management Practices at the Intercontinental Hotels’ Group</w:t>
      </w:r>
      <w:r w:rsidRPr="002F2503">
        <w:rPr>
          <w:rFonts w:ascii="Arial" w:hAnsi="Arial" w:cs="Arial"/>
        </w:rPr>
        <w:t xml:space="preserve">. [online] papers.ssrn.com. Available at: </w:t>
      </w:r>
      <w:hyperlink r:id="rId12" w:history="1">
        <w:r w:rsidRPr="002F2503">
          <w:rPr>
            <w:rStyle w:val="Hyperlink"/>
            <w:rFonts w:ascii="Arial" w:hAnsi="Arial" w:cs="Arial"/>
          </w:rPr>
          <w:t>https://papers.ssrn.com/sol3/papers.cfm?abstract_id=3819409</w:t>
        </w:r>
      </w:hyperlink>
      <w:r w:rsidRPr="002F2503">
        <w:rPr>
          <w:rFonts w:ascii="Arial" w:hAnsi="Arial" w:cs="Arial"/>
        </w:rPr>
        <w:t xml:space="preserve"> (Accessed on 18</w:t>
      </w:r>
      <w:r w:rsidRPr="002F2503">
        <w:rPr>
          <w:rFonts w:ascii="Arial" w:hAnsi="Arial" w:cs="Arial"/>
          <w:vertAlign w:val="superscript"/>
        </w:rPr>
        <w:t>th</w:t>
      </w:r>
      <w:r w:rsidRPr="002F2503">
        <w:rPr>
          <w:rFonts w:ascii="Arial" w:hAnsi="Arial" w:cs="Arial"/>
        </w:rPr>
        <w:t xml:space="preserve"> May 2024).</w:t>
      </w:r>
    </w:p>
    <w:p w14:paraId="1AE0C7C6" w14:textId="77777777" w:rsidR="00F01EA6" w:rsidRPr="002F2503" w:rsidRDefault="00F01EA6" w:rsidP="00F01EA6">
      <w:pPr>
        <w:pStyle w:val="NormalWeb"/>
        <w:spacing w:before="0" w:beforeAutospacing="0" w:after="240" w:afterAutospacing="0" w:line="360" w:lineRule="auto"/>
        <w:jc w:val="both"/>
        <w:rPr>
          <w:rFonts w:ascii="Arial" w:hAnsi="Arial" w:cs="Arial"/>
        </w:rPr>
      </w:pPr>
      <w:r w:rsidRPr="002F2503">
        <w:rPr>
          <w:rFonts w:ascii="Arial" w:hAnsi="Arial" w:cs="Arial"/>
        </w:rPr>
        <w:t xml:space="preserve">Walker, B. and Soule, S.A. (2017) </w:t>
      </w:r>
      <w:r w:rsidRPr="002F2503">
        <w:rPr>
          <w:rFonts w:ascii="Arial" w:hAnsi="Arial" w:cs="Arial"/>
          <w:i/>
          <w:iCs/>
        </w:rPr>
        <w:t>Changing Company Culture Requires a Movement, Not a Mandate</w:t>
      </w:r>
      <w:r w:rsidRPr="002F2503">
        <w:rPr>
          <w:rFonts w:ascii="Arial" w:hAnsi="Arial" w:cs="Arial"/>
        </w:rPr>
        <w:t xml:space="preserve">. [online] Harvard Business Review. Available at: https://hbr.org/2017/06/changing-company-culture-requires-a-movement-not-a-mandate (Accessed 13th May 2024). </w:t>
      </w:r>
    </w:p>
    <w:p w14:paraId="3C5CA589" w14:textId="77777777" w:rsidR="00F01EA6" w:rsidRDefault="00F01EA6" w:rsidP="00F01EA6"/>
    <w:p w14:paraId="494751DC" w14:textId="77777777" w:rsidR="00F01EA6" w:rsidRDefault="00F01EA6" w:rsidP="00F01EA6"/>
    <w:p w14:paraId="1AA7C302" w14:textId="77777777" w:rsidR="004457D3" w:rsidRDefault="004457D3"/>
    <w:sectPr w:rsidR="004457D3" w:rsidSect="00F01E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EA6"/>
    <w:rsid w:val="001225DA"/>
    <w:rsid w:val="00195D29"/>
    <w:rsid w:val="001D0CC9"/>
    <w:rsid w:val="00207BDC"/>
    <w:rsid w:val="00366E92"/>
    <w:rsid w:val="004457D3"/>
    <w:rsid w:val="00661AD9"/>
    <w:rsid w:val="00AD5614"/>
    <w:rsid w:val="00BE6DDC"/>
    <w:rsid w:val="00E17AAF"/>
    <w:rsid w:val="00F01EA6"/>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F8B88"/>
  <w15:chartTrackingRefBased/>
  <w15:docId w15:val="{6EC9BDAA-318B-4877-88CF-6CAD5EBDF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EA6"/>
    <w:rPr>
      <w:kern w:val="0"/>
      <w14:ligatures w14:val="none"/>
    </w:rPr>
  </w:style>
  <w:style w:type="paragraph" w:styleId="Heading1">
    <w:name w:val="heading 1"/>
    <w:basedOn w:val="Normal"/>
    <w:next w:val="Normal"/>
    <w:link w:val="Heading1Char"/>
    <w:uiPriority w:val="9"/>
    <w:qFormat/>
    <w:rsid w:val="00F01EA6"/>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01EA6"/>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01EA6"/>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01EA6"/>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01EA6"/>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01EA6"/>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01EA6"/>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01EA6"/>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01EA6"/>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E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1E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1E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1E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E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E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E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E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EA6"/>
    <w:rPr>
      <w:rFonts w:eastAsiaTheme="majorEastAsia" w:cstheme="majorBidi"/>
      <w:color w:val="272727" w:themeColor="text1" w:themeTint="D8"/>
    </w:rPr>
  </w:style>
  <w:style w:type="paragraph" w:styleId="Title">
    <w:name w:val="Title"/>
    <w:basedOn w:val="Normal"/>
    <w:next w:val="Normal"/>
    <w:link w:val="TitleChar"/>
    <w:uiPriority w:val="10"/>
    <w:qFormat/>
    <w:rsid w:val="00F01EA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01E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1EA6"/>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01E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EA6"/>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F01EA6"/>
    <w:rPr>
      <w:i/>
      <w:iCs/>
      <w:color w:val="404040" w:themeColor="text1" w:themeTint="BF"/>
    </w:rPr>
  </w:style>
  <w:style w:type="paragraph" w:styleId="ListParagraph">
    <w:name w:val="List Paragraph"/>
    <w:basedOn w:val="Normal"/>
    <w:uiPriority w:val="34"/>
    <w:qFormat/>
    <w:rsid w:val="00F01EA6"/>
    <w:pPr>
      <w:ind w:left="720"/>
      <w:contextualSpacing/>
    </w:pPr>
    <w:rPr>
      <w:kern w:val="2"/>
      <w14:ligatures w14:val="standardContextual"/>
    </w:rPr>
  </w:style>
  <w:style w:type="character" w:styleId="IntenseEmphasis">
    <w:name w:val="Intense Emphasis"/>
    <w:basedOn w:val="DefaultParagraphFont"/>
    <w:uiPriority w:val="21"/>
    <w:qFormat/>
    <w:rsid w:val="00F01EA6"/>
    <w:rPr>
      <w:i/>
      <w:iCs/>
      <w:color w:val="0F4761" w:themeColor="accent1" w:themeShade="BF"/>
    </w:rPr>
  </w:style>
  <w:style w:type="paragraph" w:styleId="IntenseQuote">
    <w:name w:val="Intense Quote"/>
    <w:basedOn w:val="Normal"/>
    <w:next w:val="Normal"/>
    <w:link w:val="IntenseQuoteChar"/>
    <w:uiPriority w:val="30"/>
    <w:qFormat/>
    <w:rsid w:val="00F01E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01EA6"/>
    <w:rPr>
      <w:i/>
      <w:iCs/>
      <w:color w:val="0F4761" w:themeColor="accent1" w:themeShade="BF"/>
    </w:rPr>
  </w:style>
  <w:style w:type="character" w:styleId="IntenseReference">
    <w:name w:val="Intense Reference"/>
    <w:basedOn w:val="DefaultParagraphFont"/>
    <w:uiPriority w:val="32"/>
    <w:qFormat/>
    <w:rsid w:val="00F01EA6"/>
    <w:rPr>
      <w:b/>
      <w:bCs/>
      <w:smallCaps/>
      <w:color w:val="0F4761" w:themeColor="accent1" w:themeShade="BF"/>
      <w:spacing w:val="5"/>
    </w:rPr>
  </w:style>
  <w:style w:type="character" w:styleId="Hyperlink">
    <w:name w:val="Hyperlink"/>
    <w:basedOn w:val="DefaultParagraphFont"/>
    <w:uiPriority w:val="99"/>
    <w:unhideWhenUsed/>
    <w:rsid w:val="00F01EA6"/>
    <w:rPr>
      <w:color w:val="467886" w:themeColor="hyperlink"/>
      <w:u w:val="single"/>
    </w:rPr>
  </w:style>
  <w:style w:type="paragraph" w:styleId="NormalWeb">
    <w:name w:val="Normal (Web)"/>
    <w:basedOn w:val="Normal"/>
    <w:uiPriority w:val="99"/>
    <w:semiHidden/>
    <w:unhideWhenUsed/>
    <w:rsid w:val="00F01E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F01EA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01EA6"/>
    <w:rPr>
      <w:rFonts w:eastAsiaTheme="minorEastAsia"/>
      <w:kern w:val="0"/>
      <w:lang w:eastAsia="en-GB"/>
      <w14:ligatures w14:val="none"/>
    </w:rPr>
  </w:style>
  <w:style w:type="paragraph" w:styleId="TOCHeading">
    <w:name w:val="TOC Heading"/>
    <w:basedOn w:val="Heading1"/>
    <w:next w:val="Normal"/>
    <w:uiPriority w:val="39"/>
    <w:unhideWhenUsed/>
    <w:qFormat/>
    <w:rsid w:val="00F01EA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01EA6"/>
    <w:pPr>
      <w:spacing w:after="100"/>
    </w:pPr>
  </w:style>
  <w:style w:type="paragraph" w:styleId="TOC2">
    <w:name w:val="toc 2"/>
    <w:basedOn w:val="Normal"/>
    <w:next w:val="Normal"/>
    <w:autoRedefine/>
    <w:uiPriority w:val="39"/>
    <w:unhideWhenUsed/>
    <w:rsid w:val="00F01EA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4697017.2021.186169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run.unl.pt/bitstream/10362/139162/1/2021_22_fall_44535_luisa-flores.pdf" TargetMode="External"/><Relationship Id="rId12" Type="http://schemas.openxmlformats.org/officeDocument/2006/relationships/hyperlink" Target="https://papers.ssrn.com/sol3/papers.cfm?abstract_id=381940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full/10.1080/23311975.2020.1712125" TargetMode="External"/><Relationship Id="rId11" Type="http://schemas.openxmlformats.org/officeDocument/2006/relationships/hyperlink" Target="https://doi.org/10.3389/fpsyg.2021.686624" TargetMode="External"/><Relationship Id="rId5" Type="http://schemas.openxmlformats.org/officeDocument/2006/relationships/hyperlink" Target="https://www.mckinsey.com/capabilities/operations/our-insights/jump-starting-resilient-and-reimagined-operations" TargetMode="External"/><Relationship Id="rId10" Type="http://schemas.openxmlformats.org/officeDocument/2006/relationships/hyperlink" Target="https://hbr.org/2023/03/5-strategies-to-empower-employees-to-make-decisions" TargetMode="External"/><Relationship Id="rId4" Type="http://schemas.openxmlformats.org/officeDocument/2006/relationships/hyperlink" Target="https://changemanagementinsight.com/change-management-for-organizational-restructuring/" TargetMode="External"/><Relationship Id="rId9" Type="http://schemas.openxmlformats.org/officeDocument/2006/relationships/hyperlink" Target="https://development.ihg.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3319</Words>
  <Characters>24443</Characters>
  <Application>Microsoft Office Word</Application>
  <DocSecurity>0</DocSecurity>
  <Lines>407</Lines>
  <Paragraphs>82</Paragraphs>
  <ScaleCrop>false</ScaleCrop>
  <Company/>
  <LinksUpToDate>false</LinksUpToDate>
  <CharactersWithSpaces>27680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OF INTERCONTINENTAL HOTEL GROUP</dc:title>
  <dc:subject/>
  <dc:creator>Sebastian Piotr Garbaty (2211131)</dc:creator>
  <cp:keywords/>
  <dc:description/>
  <cp:lastModifiedBy>Sebastian Piotr Garbaty (2211131)</cp:lastModifiedBy>
  <cp:revision>5</cp:revision>
  <dcterms:created xsi:type="dcterms:W3CDTF">2024-05-31T07:18:00Z</dcterms:created>
  <dcterms:modified xsi:type="dcterms:W3CDTF">2024-05-31T08:38:00Z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ecd8b649-603a-464c-bc6c-bef62dda59f3</vt:lpwstr>
  </property>
</Properties>
</file>