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80925" w14:textId="08F01A83" w:rsidR="004E5850" w:rsidRPr="00D63623" w:rsidRDefault="002A35D1">
      <w:pPr>
        <w:rPr>
          <w:b/>
          <w:bCs/>
          <w:i/>
          <w:iCs/>
          <w:sz w:val="28"/>
          <w:szCs w:val="28"/>
          <w:u w:val="single"/>
        </w:rPr>
      </w:pPr>
      <w:r w:rsidRPr="00D63623">
        <w:rPr>
          <w:b/>
          <w:bCs/>
          <w:i/>
          <w:iCs/>
          <w:sz w:val="28"/>
          <w:szCs w:val="28"/>
          <w:u w:val="single"/>
        </w:rPr>
        <w:t>A</w:t>
      </w:r>
    </w:p>
    <w:p w14:paraId="12BCF4DF" w14:textId="56C309C4" w:rsidR="00AE1DFA" w:rsidRDefault="004845DA">
      <w:r>
        <w:t xml:space="preserve">The privity of contract rule within law dictates that </w:t>
      </w:r>
      <w:r w:rsidR="00954B3B">
        <w:t>only the parties to a contract can enforce those rights under that contract</w:t>
      </w:r>
      <w:r w:rsidR="004762F4">
        <w:t xml:space="preserve"> people who were not originally involved with creating the contract, can sue someone who was part of that contract for not following the contract</w:t>
      </w:r>
      <w:r w:rsidR="00954B3B">
        <w:t xml:space="preserve">. A case law which illustrates that point is the </w:t>
      </w:r>
      <w:r w:rsidR="00A63961">
        <w:t xml:space="preserve">case of </w:t>
      </w:r>
      <w:r w:rsidR="00954B3B" w:rsidRPr="00A63961">
        <w:rPr>
          <w:i/>
          <w:iCs/>
        </w:rPr>
        <w:t xml:space="preserve">Tweddle </w:t>
      </w:r>
      <w:r w:rsidR="00A63961" w:rsidRPr="00A63961">
        <w:rPr>
          <w:i/>
          <w:iCs/>
        </w:rPr>
        <w:t xml:space="preserve">V </w:t>
      </w:r>
      <w:r w:rsidR="00954B3B" w:rsidRPr="00A63961">
        <w:rPr>
          <w:i/>
          <w:iCs/>
        </w:rPr>
        <w:t xml:space="preserve">Atkinson </w:t>
      </w:r>
      <w:r w:rsidR="00A63961" w:rsidRPr="00A63961">
        <w:rPr>
          <w:i/>
          <w:iCs/>
        </w:rPr>
        <w:t>(</w:t>
      </w:r>
      <w:r w:rsidR="00954B3B" w:rsidRPr="00A63961">
        <w:rPr>
          <w:i/>
          <w:iCs/>
        </w:rPr>
        <w:t>1861</w:t>
      </w:r>
      <w:r w:rsidR="00A63961" w:rsidRPr="00A63961">
        <w:rPr>
          <w:i/>
          <w:iCs/>
        </w:rPr>
        <w:t>)</w:t>
      </w:r>
      <w:r w:rsidR="004762F4">
        <w:t xml:space="preserve">. This was a case where the two people were being married, and the father of the groom and bride both agreed to pay money towards Tweddle’s son, when the couple got married, the </w:t>
      </w:r>
      <w:r w:rsidR="00A01A51">
        <w:t>father</w:t>
      </w:r>
      <w:r w:rsidR="004762F4">
        <w:t xml:space="preserve"> </w:t>
      </w:r>
      <w:r w:rsidR="00A01A51">
        <w:t>o</w:t>
      </w:r>
      <w:r w:rsidR="004762F4">
        <w:t xml:space="preserve">f the groom paid. </w:t>
      </w:r>
      <w:r w:rsidR="00A01A51">
        <w:t>However,</w:t>
      </w:r>
      <w:r w:rsidR="004762F4">
        <w:t xml:space="preserve"> the farther of the bride died before paying. </w:t>
      </w:r>
      <w:r w:rsidR="00A01A51">
        <w:t>Tweddle’s</w:t>
      </w:r>
      <w:r w:rsidR="004762F4">
        <w:t xml:space="preserve"> son sued as an agreement </w:t>
      </w:r>
      <w:r w:rsidR="00A01A51">
        <w:t>had</w:t>
      </w:r>
      <w:r w:rsidR="004762F4">
        <w:t xml:space="preserve"> been made allowing him to do so</w:t>
      </w:r>
      <w:r w:rsidR="00A01A51">
        <w:t xml:space="preserve"> to enforce the promise, although his attempt failed due to not being one of the parties involved in the agreement.</w:t>
      </w:r>
    </w:p>
    <w:p w14:paraId="299BEA70" w14:textId="77777777" w:rsidR="004845DA" w:rsidRDefault="004845DA"/>
    <w:p w14:paraId="18F77085" w14:textId="698E08AF" w:rsidR="0090045B" w:rsidRPr="00D63623" w:rsidRDefault="0090045B">
      <w:pPr>
        <w:rPr>
          <w:b/>
          <w:bCs/>
          <w:i/>
          <w:iCs/>
          <w:sz w:val="28"/>
          <w:szCs w:val="28"/>
          <w:u w:val="single"/>
        </w:rPr>
      </w:pPr>
      <w:r w:rsidRPr="00D63623">
        <w:rPr>
          <w:b/>
          <w:bCs/>
          <w:i/>
          <w:iCs/>
          <w:sz w:val="28"/>
          <w:szCs w:val="28"/>
          <w:u w:val="single"/>
        </w:rPr>
        <w:t>B</w:t>
      </w:r>
    </w:p>
    <w:p w14:paraId="2C1E5668" w14:textId="261C6411" w:rsidR="00411DB6" w:rsidRDefault="00411DB6">
      <w:r>
        <w:t xml:space="preserve">There are two main types of consideration, executed and executory consideration. Executed consideration is when performs their part within the contract when entering said contract, whilst executory consideration is </w:t>
      </w:r>
      <w:r w:rsidR="00204DC7">
        <w:t>parties within the contract exchange promises to be carried out in the future. Past consideration is a promise made after the promise has done the performance, in British Law, past consideration is considered to be not good consideration.</w:t>
      </w:r>
    </w:p>
    <w:p w14:paraId="56D71016" w14:textId="36E40905" w:rsidR="00032A8A" w:rsidRDefault="00411DB6">
      <w:r>
        <w:t>Promises in a valid contract have to be made before the event in the contract has taken place, not after, if the promise is made after it is considered past consideration and is not a promise that one can force another to carry out.</w:t>
      </w:r>
      <w:r w:rsidR="00204DC7">
        <w:t xml:space="preserve"> For </w:t>
      </w:r>
      <w:r w:rsidR="00032A8A">
        <w:t>example,</w:t>
      </w:r>
      <w:r w:rsidR="00204DC7">
        <w:t xml:space="preserve"> in the case of </w:t>
      </w:r>
      <w:r w:rsidR="00032A8A" w:rsidRPr="00A63961">
        <w:rPr>
          <w:i/>
          <w:iCs/>
        </w:rPr>
        <w:t xml:space="preserve">Eastwood V Kenyon </w:t>
      </w:r>
      <w:r w:rsidR="00A63961" w:rsidRPr="00A63961">
        <w:rPr>
          <w:i/>
          <w:iCs/>
        </w:rPr>
        <w:t>(</w:t>
      </w:r>
      <w:r w:rsidR="00032A8A" w:rsidRPr="00A63961">
        <w:rPr>
          <w:i/>
          <w:iCs/>
        </w:rPr>
        <w:t>1840</w:t>
      </w:r>
      <w:r w:rsidR="00A63961" w:rsidRPr="00A63961">
        <w:rPr>
          <w:i/>
          <w:iCs/>
        </w:rPr>
        <w:t>)</w:t>
      </w:r>
      <w:r w:rsidR="00032A8A">
        <w:t xml:space="preserve">, where a child’s guardian raised a loan for the child, when the girl married her husband promised to pay off a boat, but it was ruled that the forced couldn’t be forced as taking the loan out was past consideration. </w:t>
      </w:r>
    </w:p>
    <w:p w14:paraId="585A3FA8" w14:textId="372EF82D" w:rsidR="00567EB5" w:rsidRDefault="00032A8A">
      <w:r>
        <w:t>Additionally,</w:t>
      </w:r>
      <w:r w:rsidR="00D63623">
        <w:t xml:space="preserve"> where there is a contract between two parties, if one decided after the contract has been made to promise an extra benefit to the other party, that promise is not valid or binding because the consideration of the promise had been completed already in the original contract.</w:t>
      </w:r>
    </w:p>
    <w:p w14:paraId="344C4CB0" w14:textId="77777777" w:rsidR="004845DA" w:rsidRDefault="004845DA"/>
    <w:p w14:paraId="615FFA1B" w14:textId="21037B15" w:rsidR="0090045B" w:rsidRDefault="0090045B">
      <w:pPr>
        <w:rPr>
          <w:b/>
          <w:bCs/>
          <w:i/>
          <w:iCs/>
          <w:sz w:val="28"/>
          <w:szCs w:val="28"/>
          <w:u w:val="single"/>
        </w:rPr>
      </w:pPr>
      <w:r w:rsidRPr="00D63623">
        <w:rPr>
          <w:b/>
          <w:bCs/>
          <w:i/>
          <w:iCs/>
          <w:sz w:val="28"/>
          <w:szCs w:val="28"/>
          <w:u w:val="single"/>
        </w:rPr>
        <w:t>C</w:t>
      </w:r>
    </w:p>
    <w:p w14:paraId="6AE6B76B" w14:textId="30D9DD13" w:rsidR="00DA041A" w:rsidRDefault="00DA041A" w:rsidP="00DA041A">
      <w:r>
        <w:t xml:space="preserve">In law, the performance rule is the act of doing what I required to be done in the contract, successful performance is to discharge the person who is bound to do the act from any future contractual obligations. In the case of </w:t>
      </w:r>
      <w:r w:rsidRPr="00A63961">
        <w:rPr>
          <w:i/>
          <w:iCs/>
        </w:rPr>
        <w:t xml:space="preserve">Cutter V Powell </w:t>
      </w:r>
      <w:r w:rsidR="00CB2C78" w:rsidRPr="00A63961">
        <w:rPr>
          <w:i/>
          <w:iCs/>
        </w:rPr>
        <w:t>(</w:t>
      </w:r>
      <w:r w:rsidRPr="00A63961">
        <w:rPr>
          <w:i/>
          <w:iCs/>
        </w:rPr>
        <w:t>1795</w:t>
      </w:r>
      <w:r w:rsidR="00CB2C78" w:rsidRPr="00A63961">
        <w:rPr>
          <w:i/>
          <w:iCs/>
        </w:rPr>
        <w:t>)</w:t>
      </w:r>
      <w:r>
        <w:t>, A seaman had agreed to serve on a ship, he would have his wages paid at the end of his voyage, th</w:t>
      </w:r>
      <w:r w:rsidR="00CB2C78">
        <w:t>e man died during the trip</w:t>
      </w:r>
      <w:r>
        <w:t>, and his widow attempted to claim his wages for the trip. The decision that was made was that the court decided in favour of the defence party, as the contract promised payment if the sailor worked the entire voyage, he did not complete the entire voyage, so the obligation to pay the wages never became active.</w:t>
      </w:r>
    </w:p>
    <w:p w14:paraId="4F1881A6" w14:textId="4EBBD479" w:rsidR="00C02401" w:rsidRPr="00A63961" w:rsidRDefault="000B655E" w:rsidP="00DA041A">
      <w:pPr>
        <w:rPr>
          <w:i/>
          <w:iCs/>
        </w:rPr>
      </w:pPr>
      <w:r>
        <w:t>There can be exceptions to the performance rule however,</w:t>
      </w:r>
      <w:r w:rsidR="00C02401">
        <w:t xml:space="preserve"> those include but aren’t limited to, partial performance, substantial performance, and prevention. Partial performance applies if a contract is severable, then as long as the entire contract has not been breached, payment can be expected for part performance, a key case to refer to would be </w:t>
      </w:r>
      <w:r w:rsidR="00C02401" w:rsidRPr="00A63961">
        <w:rPr>
          <w:i/>
          <w:iCs/>
        </w:rPr>
        <w:t xml:space="preserve">Roberts V Havelock </w:t>
      </w:r>
      <w:r w:rsidR="00CB2C78" w:rsidRPr="00A63961">
        <w:rPr>
          <w:i/>
          <w:iCs/>
        </w:rPr>
        <w:t>(</w:t>
      </w:r>
      <w:r w:rsidR="00C02401" w:rsidRPr="00A63961">
        <w:rPr>
          <w:i/>
          <w:iCs/>
        </w:rPr>
        <w:t>1832</w:t>
      </w:r>
      <w:r w:rsidR="00CB2C78" w:rsidRPr="00A63961">
        <w:rPr>
          <w:i/>
          <w:iCs/>
        </w:rPr>
        <w:t>)</w:t>
      </w:r>
      <w:r w:rsidR="00C02401">
        <w:t>. Where a shipwright agreed to repair a ship</w:t>
      </w:r>
      <w:r w:rsidR="00670D4D">
        <w:t xml:space="preserve">, and requested payment before finishing the work, and was paid to that date. Substantial performance is where the performance is deemed ‘substantial’ then in </w:t>
      </w:r>
      <w:r w:rsidR="00670D4D">
        <w:lastRenderedPageBreak/>
        <w:t xml:space="preserve">which case the contract may be enforced, the amount payable is based on the price of the contract minus cost of the incomplete work, a case to link to would be </w:t>
      </w:r>
      <w:r w:rsidR="00670D4D" w:rsidRPr="00A63961">
        <w:rPr>
          <w:i/>
          <w:iCs/>
        </w:rPr>
        <w:t xml:space="preserve">H. Dakin &amp; Co Ltd vs Lee </w:t>
      </w:r>
      <w:r w:rsidR="00CB2C78" w:rsidRPr="00A63961">
        <w:rPr>
          <w:i/>
          <w:iCs/>
        </w:rPr>
        <w:t>(</w:t>
      </w:r>
      <w:r w:rsidR="00670D4D" w:rsidRPr="00A63961">
        <w:rPr>
          <w:i/>
          <w:iCs/>
        </w:rPr>
        <w:t>1916</w:t>
      </w:r>
      <w:r w:rsidR="00CB2C78" w:rsidRPr="00A63961">
        <w:rPr>
          <w:i/>
          <w:iCs/>
        </w:rPr>
        <w:t>)</w:t>
      </w:r>
      <w:r w:rsidR="00CB2C78">
        <w:t xml:space="preserve"> </w:t>
      </w:r>
      <w:r w:rsidR="00670D4D">
        <w:t xml:space="preserve">where repairs to a house were carried out with some minor defects, in the end payment was made with the deductions of the cost for the minor defects. Prevention of performance occurs when a </w:t>
      </w:r>
      <w:r w:rsidR="00A63961">
        <w:t>p</w:t>
      </w:r>
      <w:r w:rsidR="00670D4D">
        <w:t>arty is wrongfully stopped from carrying out the contractual agreements by the other party, the strict performance rule does then not apply</w:t>
      </w:r>
      <w:r w:rsidR="00CB2C78">
        <w:t xml:space="preserve"> and the claimant can claim either for breach of contract or on a quantum meruit basis for work done, such as in the case of </w:t>
      </w:r>
      <w:r w:rsidR="00CB2C78" w:rsidRPr="00A63961">
        <w:rPr>
          <w:i/>
          <w:iCs/>
        </w:rPr>
        <w:t>Planche V Colburn (1831)</w:t>
      </w:r>
      <w:r w:rsidR="00A63961">
        <w:rPr>
          <w:i/>
          <w:iCs/>
        </w:rPr>
        <w:t>.</w:t>
      </w:r>
    </w:p>
    <w:p w14:paraId="6015654B" w14:textId="77777777" w:rsidR="004845DA" w:rsidRPr="00D63623" w:rsidRDefault="004845DA">
      <w:pPr>
        <w:rPr>
          <w:b/>
          <w:bCs/>
          <w:i/>
          <w:iCs/>
          <w:sz w:val="28"/>
          <w:szCs w:val="28"/>
          <w:u w:val="single"/>
        </w:rPr>
      </w:pPr>
    </w:p>
    <w:p w14:paraId="27650C15" w14:textId="7119DDB9" w:rsidR="004E5850" w:rsidRPr="00D63623" w:rsidRDefault="0090045B">
      <w:pPr>
        <w:rPr>
          <w:b/>
          <w:bCs/>
          <w:i/>
          <w:iCs/>
          <w:sz w:val="28"/>
          <w:szCs w:val="28"/>
          <w:u w:val="single"/>
        </w:rPr>
      </w:pPr>
      <w:r w:rsidRPr="00D63623">
        <w:rPr>
          <w:b/>
          <w:bCs/>
          <w:i/>
          <w:iCs/>
          <w:sz w:val="28"/>
          <w:szCs w:val="28"/>
          <w:u w:val="single"/>
        </w:rPr>
        <w:t>D</w:t>
      </w:r>
    </w:p>
    <w:p w14:paraId="0DF88A9A" w14:textId="1D74D7D8" w:rsidR="0090045B" w:rsidRDefault="0090045B">
      <w:r>
        <w:t xml:space="preserve">It is clear to see early on that Arthur has the intention of coming to a meeting in his mind with whoever the buying party is from the writing as he suggests early that he is open to any serious offers near the </w:t>
      </w:r>
      <w:r w:rsidR="008401C0">
        <w:t>£15,000</w:t>
      </w:r>
      <w:r>
        <w:t xml:space="preserve"> price mark, which means he would be open to a binding contract, as there is an intention to meet.</w:t>
      </w:r>
      <w:r w:rsidR="00664875">
        <w:t xml:space="preserve"> A contract being made is important in this context for security for both parties, as with a transfer of assets and money, the contract is there for both parties to know what has been agreed upon so everything can be acted upon in reliance to the contract that has been agreed upon between the buyer and the seller in this instance. </w:t>
      </w:r>
    </w:p>
    <w:p w14:paraId="12B785AF" w14:textId="05E5F159" w:rsidR="004F3D13" w:rsidRDefault="004F3D13">
      <w:r>
        <w:t xml:space="preserve">To first identify whether or not Arthur has entered into any valid contracts he needs to look at his own actions. As well as the interactions he has made between the other three people involved, Ben, Christine and Dennis. Arthur listed his watch as an advert in an antique magazine, he stated that he wanted </w:t>
      </w:r>
      <w:r w:rsidR="008401C0">
        <w:t>£15,000</w:t>
      </w:r>
      <w:r>
        <w:t>, and in return he’d supply his ‘Antique Rolex’. This means that any contract that Arthur would then go on to enter into would be a bilateral contract</w:t>
      </w:r>
      <w:r w:rsidR="00812D3F">
        <w:t xml:space="preserve">, he is entering a bilateral contract because in this instance, both parties will have </w:t>
      </w:r>
      <w:r w:rsidR="008369B7">
        <w:t>obligations</w:t>
      </w:r>
      <w:r w:rsidR="00812D3F">
        <w:t xml:space="preserve"> when coming to an agreement. </w:t>
      </w:r>
      <w:r w:rsidR="008369B7">
        <w:t>As one party will be exchanging fifteen thousand pounds, whilst the other will be exchange the Rolex watch.</w:t>
      </w:r>
    </w:p>
    <w:p w14:paraId="6E2884BF" w14:textId="63D932F6" w:rsidR="008369B7" w:rsidRDefault="008369B7">
      <w:r>
        <w:t>In this case, Arthur has listed has watch as an invitation to treat</w:t>
      </w:r>
      <w:r w:rsidR="00982A47">
        <w:t>,</w:t>
      </w:r>
      <w:r>
        <w:t xml:space="preserve"> not as an offer to buy, this is a similar case to </w:t>
      </w:r>
      <w:r w:rsidRPr="00A63961">
        <w:rPr>
          <w:i/>
          <w:iCs/>
        </w:rPr>
        <w:t xml:space="preserve">Partridge V </w:t>
      </w:r>
      <w:r w:rsidR="00641DCD" w:rsidRPr="00A63961">
        <w:rPr>
          <w:i/>
          <w:iCs/>
        </w:rPr>
        <w:t>Crittenden</w:t>
      </w:r>
      <w:r w:rsidRPr="00A63961">
        <w:rPr>
          <w:i/>
          <w:iCs/>
        </w:rPr>
        <w:t xml:space="preserve"> </w:t>
      </w:r>
      <w:r w:rsidR="00CB2C78" w:rsidRPr="00A63961">
        <w:rPr>
          <w:i/>
          <w:iCs/>
        </w:rPr>
        <w:t>(</w:t>
      </w:r>
      <w:r w:rsidRPr="00A63961">
        <w:rPr>
          <w:i/>
          <w:iCs/>
        </w:rPr>
        <w:t>1968</w:t>
      </w:r>
      <w:r w:rsidR="00CB2C78" w:rsidRPr="00A63961">
        <w:rPr>
          <w:i/>
          <w:iCs/>
        </w:rPr>
        <w:t>)</w:t>
      </w:r>
      <w:r>
        <w:t xml:space="preserve">. In this case Partridge was accused of breaking </w:t>
      </w:r>
      <w:r w:rsidR="009502B8" w:rsidRPr="00A63961">
        <w:rPr>
          <w:i/>
          <w:iCs/>
        </w:rPr>
        <w:t xml:space="preserve">section 6.1 of </w:t>
      </w:r>
      <w:r w:rsidRPr="00A63961">
        <w:rPr>
          <w:i/>
          <w:iCs/>
        </w:rPr>
        <w:t xml:space="preserve">the Protection of Birds Act </w:t>
      </w:r>
      <w:r w:rsidR="00CB2C78" w:rsidRPr="00A63961">
        <w:rPr>
          <w:i/>
          <w:iCs/>
        </w:rPr>
        <w:t>(</w:t>
      </w:r>
      <w:r w:rsidRPr="00A63961">
        <w:rPr>
          <w:i/>
          <w:iCs/>
        </w:rPr>
        <w:t>1954</w:t>
      </w:r>
      <w:r w:rsidR="00CB2C78" w:rsidRPr="00A63961">
        <w:rPr>
          <w:i/>
          <w:iCs/>
        </w:rPr>
        <w:t>)</w:t>
      </w:r>
      <w:r>
        <w:t>, by offering Bird</w:t>
      </w:r>
      <w:r w:rsidR="009502B8">
        <w:t xml:space="preserve">s for sale, he was found not guilty under the guise that the person wanting to buy the birds, would be making the offer, not them by placing the advertisement, which is why the general rule is that advertisements of a bilateral contract is seen as an invitation to treat, compared to if it was an advertisement for a unilateral contract which would then see Arthurs advertisement be listed as an offer, which would link to </w:t>
      </w:r>
      <w:r w:rsidR="00641DCD">
        <w:t xml:space="preserve">a case between </w:t>
      </w:r>
      <w:r w:rsidR="00641DCD" w:rsidRPr="00A63961">
        <w:rPr>
          <w:i/>
          <w:iCs/>
        </w:rPr>
        <w:t xml:space="preserve">Carlill V Carbolic Smoke Ball Co </w:t>
      </w:r>
      <w:r w:rsidR="00CB2C78" w:rsidRPr="00A63961">
        <w:rPr>
          <w:i/>
          <w:iCs/>
        </w:rPr>
        <w:t>(</w:t>
      </w:r>
      <w:r w:rsidR="00641DCD" w:rsidRPr="00A63961">
        <w:rPr>
          <w:i/>
          <w:iCs/>
        </w:rPr>
        <w:t>1893</w:t>
      </w:r>
      <w:r w:rsidR="00CB2C78" w:rsidRPr="00A63961">
        <w:rPr>
          <w:i/>
          <w:iCs/>
        </w:rPr>
        <w:t>)</w:t>
      </w:r>
      <w:r w:rsidR="00641DCD">
        <w:t>.</w:t>
      </w:r>
      <w:r w:rsidR="00982A47">
        <w:t xml:space="preserve"> An invitation to treat is where you give someone the opportunity to make an offer.</w:t>
      </w:r>
    </w:p>
    <w:p w14:paraId="009E204C" w14:textId="46697686" w:rsidR="00CE0E72" w:rsidRDefault="00CE0E72">
      <w:r>
        <w:t xml:space="preserve">It is important to note that throughout the negations between Arthur and the three people </w:t>
      </w:r>
      <w:r w:rsidR="00CE4584">
        <w:t>wanting</w:t>
      </w:r>
      <w:r>
        <w:t xml:space="preserve"> to buy the watch, Ben, Dennis and Christine, Arthur is the offeree in this case, as he is the one who is receiving the offers for the watch, whilst the other three people are all offerors, as they </w:t>
      </w:r>
      <w:r w:rsidR="00CE4584">
        <w:t>a</w:t>
      </w:r>
      <w:r>
        <w:t>re submitting offers to Arthur for his watch</w:t>
      </w:r>
      <w:r w:rsidR="00F527D2">
        <w:t>.</w:t>
      </w:r>
    </w:p>
    <w:p w14:paraId="56F4D163" w14:textId="7C2402A9" w:rsidR="00F527D2" w:rsidRDefault="00F527D2">
      <w:r>
        <w:t xml:space="preserve">When negotiating with Christine, Christine originally offered </w:t>
      </w:r>
      <w:r w:rsidR="008401C0">
        <w:t>Arthur £11,000</w:t>
      </w:r>
      <w:r w:rsidR="00240E68">
        <w:t xml:space="preserve"> with an extra </w:t>
      </w:r>
      <w:r w:rsidR="008401C0">
        <w:t xml:space="preserve">£2,000 </w:t>
      </w:r>
      <w:r w:rsidR="00240E68">
        <w:t xml:space="preserve">when she got paid at the end of the month before following up the next day when she changed her offer by stating that she had the ability to provide the full amount at once. If she had not changed the original offer then she could be </w:t>
      </w:r>
      <w:r w:rsidR="00066A27">
        <w:t>seen as meaningless and ignored in a court of law based on the case of</w:t>
      </w:r>
      <w:r w:rsidR="0075067C">
        <w:t xml:space="preserve"> </w:t>
      </w:r>
      <w:r w:rsidR="0075067C" w:rsidRPr="005403F9">
        <w:rPr>
          <w:i/>
          <w:iCs/>
        </w:rPr>
        <w:t xml:space="preserve">Scammell &amp; Nephew Ltd v Ouston </w:t>
      </w:r>
      <w:r w:rsidR="00CB2C78" w:rsidRPr="005403F9">
        <w:rPr>
          <w:i/>
          <w:iCs/>
        </w:rPr>
        <w:t>(</w:t>
      </w:r>
      <w:r w:rsidR="0075067C" w:rsidRPr="005403F9">
        <w:rPr>
          <w:i/>
          <w:iCs/>
        </w:rPr>
        <w:t>1941</w:t>
      </w:r>
      <w:r w:rsidR="00CB2C78" w:rsidRPr="005403F9">
        <w:rPr>
          <w:i/>
          <w:iCs/>
        </w:rPr>
        <w:t>)</w:t>
      </w:r>
      <w:r w:rsidR="00066A27">
        <w:t xml:space="preserve"> without exact or clear details of dates when payments took place, dependant on if a court decided as ‘at the end of the month’ as a clear enough </w:t>
      </w:r>
      <w:r w:rsidR="00066A27">
        <w:lastRenderedPageBreak/>
        <w:t>explanation of pay</w:t>
      </w:r>
      <w:r w:rsidR="0075067C">
        <w:t xml:space="preserve"> where they could end up throwing the contract out completely if they don’t see it as sufficiently certain, or a court could see the rest of the contract as valid enough to enforce the contract to be carried out such as in the instance of the case of </w:t>
      </w:r>
      <w:r w:rsidR="0075067C" w:rsidRPr="005403F9">
        <w:rPr>
          <w:i/>
          <w:iCs/>
        </w:rPr>
        <w:t xml:space="preserve">Nicolene Ltd V Simmonds </w:t>
      </w:r>
      <w:r w:rsidR="00CB2C78" w:rsidRPr="005403F9">
        <w:rPr>
          <w:i/>
          <w:iCs/>
        </w:rPr>
        <w:t>(</w:t>
      </w:r>
      <w:r w:rsidR="0075067C" w:rsidRPr="005403F9">
        <w:rPr>
          <w:i/>
          <w:iCs/>
        </w:rPr>
        <w:t>1953</w:t>
      </w:r>
      <w:r w:rsidR="00CB2C78" w:rsidRPr="005403F9">
        <w:rPr>
          <w:i/>
          <w:iCs/>
        </w:rPr>
        <w:t>)</w:t>
      </w:r>
      <w:r w:rsidR="004004C7">
        <w:t>, where they may find that one term is useless, however the rest of the contract made sense so it can be enforced.</w:t>
      </w:r>
      <w:r w:rsidR="00EB32AB">
        <w:t xml:space="preserve"> Arthur responded to Cristine’s original offer with a </w:t>
      </w:r>
      <w:r w:rsidR="001D7FBE">
        <w:t>counteroffer</w:t>
      </w:r>
      <w:r w:rsidR="00EB32AB">
        <w:t xml:space="preserve"> stating he wanted </w:t>
      </w:r>
      <w:r w:rsidR="008401C0">
        <w:t>£13,000</w:t>
      </w:r>
      <w:r w:rsidR="00EB32AB">
        <w:t xml:space="preserve"> for the watch,</w:t>
      </w:r>
      <w:r w:rsidR="00256F09">
        <w:t xml:space="preserve"> Arthur did the same when Dennis enquired about the price of the watch, meaning at this point in both cases when Arthur returns with a </w:t>
      </w:r>
      <w:r w:rsidR="008401C0">
        <w:t xml:space="preserve">£13,000 </w:t>
      </w:r>
      <w:r w:rsidR="00256F09">
        <w:t>price tag, he becomes the offeror and Christine and Dennis become the offeree.</w:t>
      </w:r>
      <w:r w:rsidR="006671A8">
        <w:t xml:space="preserve"> When Dennis emails enquiring after Christine’s offer, Arthur replying to Dennis saying the watch is still available is an acknowledgement that he had not accepted Christine’s original offer of eleven thousand plus more at a later date.</w:t>
      </w:r>
    </w:p>
    <w:p w14:paraId="4C2AD133" w14:textId="193DC989" w:rsidR="001D7FBE" w:rsidRDefault="001D7FBE">
      <w:r>
        <w:t>Dennis i</w:t>
      </w:r>
      <w:r w:rsidR="004D4974">
        <w:t>s in a similar case to Christine</w:t>
      </w:r>
      <w:r w:rsidR="006671A8">
        <w:t xml:space="preserve">. When Dennis emails enquiring after Christine’s offer, Arthur replying to Dennis saying the watch is still available is an acknowledgement that he had not accepted Christine’s original offer of </w:t>
      </w:r>
      <w:r w:rsidR="008401C0">
        <w:t>£11,000</w:t>
      </w:r>
      <w:r w:rsidR="006671A8">
        <w:t xml:space="preserve"> plus more at a later date.</w:t>
      </w:r>
      <w:r w:rsidR="004D4974">
        <w:t xml:space="preserve"> </w:t>
      </w:r>
      <w:r w:rsidR="00EE21E5">
        <w:t>The cases are almost</w:t>
      </w:r>
      <w:r w:rsidR="004D4974">
        <w:t xml:space="preserve"> identical, but the difference with Dennis’ offer towards Arthur compared to christens offer, is the timing of the offer and the amendments that Christine made. Christine’s </w:t>
      </w:r>
      <w:r w:rsidR="008401C0">
        <w:t>follow up offer</w:t>
      </w:r>
      <w:r w:rsidR="004D4974">
        <w:t xml:space="preserve"> to pay Arthur </w:t>
      </w:r>
      <w:r w:rsidR="008401C0">
        <w:t>the £13,000</w:t>
      </w:r>
      <w:r w:rsidR="004D4974">
        <w:t xml:space="preserve"> was made on the 5</w:t>
      </w:r>
      <w:r w:rsidR="004D4974" w:rsidRPr="004D4974">
        <w:rPr>
          <w:vertAlign w:val="superscript"/>
        </w:rPr>
        <w:t>th</w:t>
      </w:r>
      <w:r w:rsidR="004D4974">
        <w:t xml:space="preserve"> of May</w:t>
      </w:r>
      <w:r w:rsidR="008401C0">
        <w:t xml:space="preserve"> at 2pm</w:t>
      </w:r>
      <w:r w:rsidR="004D4974">
        <w:t>, before Dennis made his offer on the 6</w:t>
      </w:r>
      <w:r w:rsidR="004D4974" w:rsidRPr="004D4974">
        <w:rPr>
          <w:vertAlign w:val="superscript"/>
        </w:rPr>
        <w:t>th</w:t>
      </w:r>
      <w:r w:rsidR="004D4974">
        <w:t xml:space="preserve"> of May at 5pm. </w:t>
      </w:r>
      <w:r w:rsidR="00256F09">
        <w:t>In between</w:t>
      </w:r>
      <w:r w:rsidR="004D4974">
        <w:t xml:space="preserve"> these times. Christine sent a follow up email to Arthur saying she now had the ability to pay the full amount Arthur had </w:t>
      </w:r>
      <w:r w:rsidR="00256F09">
        <w:t>offered</w:t>
      </w:r>
      <w:r w:rsidR="00EE21E5">
        <w:t xml:space="preserve">, accepting his original counteroffer of </w:t>
      </w:r>
      <w:r w:rsidR="008401C0">
        <w:t>£13,000</w:t>
      </w:r>
      <w:r w:rsidR="00EE21E5">
        <w:t xml:space="preserve">. Three hours after Christine </w:t>
      </w:r>
      <w:r w:rsidR="008401C0">
        <w:t>offered</w:t>
      </w:r>
      <w:r w:rsidR="00EE21E5">
        <w:t xml:space="preserve"> to pay the full </w:t>
      </w:r>
      <w:r w:rsidR="008401C0">
        <w:t>£13,000</w:t>
      </w:r>
      <w:r w:rsidR="00EE21E5">
        <w:t>, Dennis replied to Arthur’s email of a counteroffer agreeing to</w:t>
      </w:r>
      <w:r w:rsidR="008401C0">
        <w:t xml:space="preserve"> pay</w:t>
      </w:r>
      <w:r w:rsidR="00EE21E5">
        <w:t xml:space="preserve"> the price</w:t>
      </w:r>
      <w:r w:rsidR="008401C0">
        <w:t xml:space="preserve"> Arthur offered</w:t>
      </w:r>
      <w:r w:rsidR="00EE21E5">
        <w:t xml:space="preserve">. </w:t>
      </w:r>
      <w:r w:rsidR="00C02853">
        <w:t xml:space="preserve">The difference here is, because Christine changed her offer, she made her own </w:t>
      </w:r>
      <w:r w:rsidR="009720E9">
        <w:t>counteroffer</w:t>
      </w:r>
      <w:r w:rsidR="00C02853">
        <w:t xml:space="preserve"> to Arthur for him to accept, whilst Dennis simply accepted Arthurs original offer</w:t>
      </w:r>
      <w:r w:rsidR="009720E9">
        <w:t>.</w:t>
      </w:r>
    </w:p>
    <w:p w14:paraId="1501E7C1" w14:textId="305FB457" w:rsidR="00CB1D21" w:rsidRDefault="000A5E99" w:rsidP="0009005C">
      <w:pPr>
        <w:rPr>
          <w:i/>
          <w:iCs/>
        </w:rPr>
      </w:pPr>
      <w:r>
        <w:t>Looking at the interac</w:t>
      </w:r>
      <w:r w:rsidR="00616A4A">
        <w:t xml:space="preserve">tion with Ben, it is clear to see that Ben is the only person to offer the full amount of money initially asked for from the ad of </w:t>
      </w:r>
      <w:r w:rsidR="008401C0">
        <w:t>£15,000</w:t>
      </w:r>
      <w:r w:rsidR="00EE21E5">
        <w:t xml:space="preserve"> but is also the only person who has not received any sort of </w:t>
      </w:r>
      <w:r w:rsidR="008401C0">
        <w:t>response</w:t>
      </w:r>
      <w:r w:rsidR="00EE21E5">
        <w:t xml:space="preserve"> from Arthur. </w:t>
      </w:r>
      <w:r w:rsidR="00616A4A">
        <w:t xml:space="preserve">Ben sent the offer through a letter, which took time to arrive to Arthur, </w:t>
      </w:r>
      <w:r w:rsidR="0009005C">
        <w:t>what both Arthur and Ben must recognise, is that the offer from Ben was only valid once Arthur had received the letter from Ben on the 7</w:t>
      </w:r>
      <w:r w:rsidR="0009005C" w:rsidRPr="00D50597">
        <w:rPr>
          <w:vertAlign w:val="superscript"/>
        </w:rPr>
        <w:t>th</w:t>
      </w:r>
      <w:r w:rsidR="0009005C">
        <w:t xml:space="preserve"> of November, not when Ben had originally sent him the letter on the 4</w:t>
      </w:r>
      <w:r w:rsidR="0009005C" w:rsidRPr="00F527D2">
        <w:rPr>
          <w:vertAlign w:val="superscript"/>
        </w:rPr>
        <w:t>th</w:t>
      </w:r>
      <w:r w:rsidR="0009005C">
        <w:t xml:space="preserve"> of May. Which relates back to the case of </w:t>
      </w:r>
      <w:r w:rsidR="0009005C" w:rsidRPr="00CB1D21">
        <w:rPr>
          <w:i/>
          <w:iCs/>
        </w:rPr>
        <w:t xml:space="preserve">Taylor V Larid </w:t>
      </w:r>
      <w:r w:rsidR="00CB1D21" w:rsidRPr="00CB1D21">
        <w:rPr>
          <w:i/>
          <w:iCs/>
        </w:rPr>
        <w:t>(</w:t>
      </w:r>
      <w:r w:rsidR="0009005C" w:rsidRPr="00CB1D21">
        <w:rPr>
          <w:i/>
          <w:iCs/>
        </w:rPr>
        <w:t>1856</w:t>
      </w:r>
      <w:r w:rsidR="00CB1D21" w:rsidRPr="00CB1D21">
        <w:rPr>
          <w:i/>
          <w:iCs/>
        </w:rPr>
        <w:t>)</w:t>
      </w:r>
      <w:r w:rsidR="008401C0">
        <w:rPr>
          <w:i/>
          <w:iCs/>
        </w:rPr>
        <w:t>.</w:t>
      </w:r>
    </w:p>
    <w:p w14:paraId="446F766B" w14:textId="6E077D52" w:rsidR="0009005C" w:rsidRDefault="0009005C" w:rsidP="0009005C">
      <w:r>
        <w:t xml:space="preserve">The problem that Ben seems like he could be facing is that due to his offer arriving later than the rest of the offers, despite him sending the letter before they were received, due to the law regarding the offer is officially made once the offeree has received </w:t>
      </w:r>
      <w:r w:rsidR="001D7FBE">
        <w:t>and seen the offer from the offeror not from once the offer is sent, unlike with acceptance, as with acceptance, once the letter of acceptance has been sent, the acceptance is valid straight away</w:t>
      </w:r>
      <w:r w:rsidR="005D39A5">
        <w:t>, which was established in the</w:t>
      </w:r>
      <w:r w:rsidR="00CB2C78">
        <w:t xml:space="preserve"> case of</w:t>
      </w:r>
      <w:r w:rsidR="005D39A5">
        <w:t xml:space="preserve"> </w:t>
      </w:r>
      <w:r w:rsidR="00CC6C36" w:rsidRPr="005403F9">
        <w:rPr>
          <w:i/>
          <w:iCs/>
        </w:rPr>
        <w:t xml:space="preserve">Adams V Lindsell </w:t>
      </w:r>
      <w:r w:rsidR="00CB2C78" w:rsidRPr="005403F9">
        <w:rPr>
          <w:i/>
          <w:iCs/>
        </w:rPr>
        <w:t>(</w:t>
      </w:r>
      <w:r w:rsidR="00CC6C36" w:rsidRPr="005403F9">
        <w:rPr>
          <w:i/>
          <w:iCs/>
        </w:rPr>
        <w:t>1818</w:t>
      </w:r>
      <w:r w:rsidR="00CB2C78" w:rsidRPr="005403F9">
        <w:rPr>
          <w:i/>
          <w:iCs/>
        </w:rPr>
        <w:t>)</w:t>
      </w:r>
      <w:r w:rsidR="00CC6C36">
        <w:t>.</w:t>
      </w:r>
    </w:p>
    <w:p w14:paraId="1A012869" w14:textId="6DD4D0C0" w:rsidR="009720E9" w:rsidRDefault="00592D3E" w:rsidP="0009005C">
      <w:r>
        <w:t xml:space="preserve">Overall, looking through all the individual cases, at the end, Arthur has a </w:t>
      </w:r>
      <w:r w:rsidR="00923550">
        <w:t>£13,000</w:t>
      </w:r>
      <w:r>
        <w:t xml:space="preserve"> </w:t>
      </w:r>
      <w:r w:rsidR="00923550">
        <w:t>counteroffer</w:t>
      </w:r>
      <w:r>
        <w:t xml:space="preserve"> from Christine which he has not accepted meaning there is no valid contract in place,</w:t>
      </w:r>
      <w:r w:rsidR="00923550">
        <w:t xml:space="preserve"> he</w:t>
      </w:r>
      <w:r>
        <w:t xml:space="preserve"> has </w:t>
      </w:r>
      <w:r w:rsidR="00923550">
        <w:t>£15,000</w:t>
      </w:r>
      <w:r>
        <w:t xml:space="preserve"> offer from Ben which he also has not accepted meaning there is also no valid contract there</w:t>
      </w:r>
      <w:r w:rsidR="00923550">
        <w:t>. What Arthur does have is an</w:t>
      </w:r>
      <w:r>
        <w:t xml:space="preserve"> acceptance of an offer he made to Dennis, meaning that there is a valid contract in this case, as there has been an invitation to treat, met by Dennis, and offer </w:t>
      </w:r>
      <w:r w:rsidR="00923550">
        <w:t>£13,000</w:t>
      </w:r>
      <w:r>
        <w:t xml:space="preserve"> from Arthur, and an acceptance of that offer from Dennis, making this the only case with all three necessary parts met between the parties involved. My advice towards Arthur in his situation, would be for him to reject the </w:t>
      </w:r>
      <w:r w:rsidR="008577E4">
        <w:t>offers</w:t>
      </w:r>
      <w:r>
        <w:t xml:space="preserve"> made by both Ben and by Christine, as he has no valid contract with them and does have one in place with Dennis which he </w:t>
      </w:r>
      <w:r w:rsidR="00923550">
        <w:t xml:space="preserve">should adhere </w:t>
      </w:r>
      <w:r>
        <w:t>to</w:t>
      </w:r>
      <w:r w:rsidR="008577E4">
        <w:t>.</w:t>
      </w:r>
      <w:r w:rsidR="00241310">
        <w:t xml:space="preserve"> Although Arthur himself has not replied stating his agreement, a court would find the agreement had been reached, similar to the </w:t>
      </w:r>
      <w:r w:rsidR="00241310" w:rsidRPr="005403F9">
        <w:rPr>
          <w:i/>
          <w:iCs/>
        </w:rPr>
        <w:t xml:space="preserve">Brogden V Metropolitan Railway </w:t>
      </w:r>
      <w:r w:rsidR="00CB2C78" w:rsidRPr="005403F9">
        <w:rPr>
          <w:i/>
          <w:iCs/>
        </w:rPr>
        <w:t>(</w:t>
      </w:r>
      <w:r w:rsidR="00241310" w:rsidRPr="005403F9">
        <w:rPr>
          <w:i/>
          <w:iCs/>
        </w:rPr>
        <w:t>1877</w:t>
      </w:r>
      <w:r w:rsidR="00CB2C78" w:rsidRPr="005403F9">
        <w:rPr>
          <w:i/>
          <w:iCs/>
        </w:rPr>
        <w:t>)</w:t>
      </w:r>
      <w:r w:rsidR="00241310">
        <w:t xml:space="preserve"> case, and even though Christine seemed to have agreed to Arthurs offer before Dennis with her follow up email, a court would view her attempt to accept as a </w:t>
      </w:r>
      <w:r w:rsidR="00666C26">
        <w:lastRenderedPageBreak/>
        <w:t>counteroffer</w:t>
      </w:r>
      <w:r w:rsidR="00241310">
        <w:t xml:space="preserve">, similar to the case of </w:t>
      </w:r>
      <w:r w:rsidR="00241310" w:rsidRPr="005403F9">
        <w:rPr>
          <w:i/>
          <w:iCs/>
        </w:rPr>
        <w:t>Pickford Ltd V Celestica Ltd</w:t>
      </w:r>
      <w:r w:rsidR="007D53EE" w:rsidRPr="005403F9">
        <w:rPr>
          <w:i/>
          <w:iCs/>
        </w:rPr>
        <w:t xml:space="preserve"> </w:t>
      </w:r>
      <w:r w:rsidR="00CB2C78" w:rsidRPr="005403F9">
        <w:rPr>
          <w:i/>
          <w:iCs/>
        </w:rPr>
        <w:t>(</w:t>
      </w:r>
      <w:r w:rsidR="007D53EE" w:rsidRPr="005403F9">
        <w:rPr>
          <w:i/>
          <w:iCs/>
        </w:rPr>
        <w:t>2003</w:t>
      </w:r>
      <w:r w:rsidR="00CB2C78" w:rsidRPr="005403F9">
        <w:rPr>
          <w:i/>
          <w:iCs/>
        </w:rPr>
        <w:t>)</w:t>
      </w:r>
      <w:r w:rsidR="00241310">
        <w:t xml:space="preserve"> where a court judged </w:t>
      </w:r>
      <w:r w:rsidR="00241310" w:rsidRPr="00241310">
        <w:t xml:space="preserve">Celestica’s attempt to accept </w:t>
      </w:r>
      <w:r w:rsidR="00666C26" w:rsidRPr="00241310">
        <w:t>Pickford’s</w:t>
      </w:r>
      <w:r w:rsidR="00241310" w:rsidRPr="00241310">
        <w:t>’ first offer as a counter offer</w:t>
      </w:r>
      <w:r w:rsidR="00666C26">
        <w:t>, as she had changed her way of payment, therefore changing her offer</w:t>
      </w:r>
      <w:r w:rsidR="00567EB5">
        <w:t xml:space="preserve"> to a counteroffer.</w:t>
      </w:r>
    </w:p>
    <w:p w14:paraId="5BA20273" w14:textId="7144CC8B" w:rsidR="006062A6" w:rsidRDefault="006062A6">
      <w:r>
        <w:br w:type="page"/>
      </w:r>
    </w:p>
    <w:p w14:paraId="7767D75F" w14:textId="564DFE8A" w:rsidR="006062A6" w:rsidRDefault="006062A6" w:rsidP="0009005C">
      <w:pPr>
        <w:rPr>
          <w:i/>
          <w:iCs/>
          <w:sz w:val="28"/>
          <w:szCs w:val="28"/>
          <w:u w:val="single"/>
        </w:rPr>
      </w:pPr>
      <w:r w:rsidRPr="006062A6">
        <w:rPr>
          <w:i/>
          <w:iCs/>
          <w:sz w:val="28"/>
          <w:szCs w:val="28"/>
          <w:u w:val="single"/>
        </w:rPr>
        <w:lastRenderedPageBreak/>
        <w:t>References</w:t>
      </w:r>
    </w:p>
    <w:p w14:paraId="092AE654" w14:textId="4051DF10" w:rsidR="006062A6" w:rsidRDefault="00071F9E" w:rsidP="00D87453">
      <w:pPr>
        <w:pStyle w:val="ListParagraph"/>
        <w:numPr>
          <w:ilvl w:val="0"/>
          <w:numId w:val="1"/>
        </w:numPr>
      </w:pPr>
      <w:r>
        <w:t xml:space="preserve">Adams V Lindsell </w:t>
      </w:r>
      <w:r w:rsidR="00E0344C">
        <w:t>(</w:t>
      </w:r>
      <w:r>
        <w:t>1818</w:t>
      </w:r>
      <w:r w:rsidR="00E0344C">
        <w:t>)</w:t>
      </w:r>
    </w:p>
    <w:p w14:paraId="1ECA66C5" w14:textId="33BE4F81" w:rsidR="00071F9E" w:rsidRDefault="00071F9E" w:rsidP="00D87453">
      <w:pPr>
        <w:pStyle w:val="ListParagraph"/>
        <w:numPr>
          <w:ilvl w:val="0"/>
          <w:numId w:val="1"/>
        </w:numPr>
      </w:pPr>
      <w:r>
        <w:t>Bilateral contract</w:t>
      </w:r>
      <w:r w:rsidR="00075E61">
        <w:t xml:space="preserve"> </w:t>
      </w:r>
      <w:r>
        <w:t xml:space="preserve">– </w:t>
      </w:r>
      <w:proofErr w:type="spellStart"/>
      <w:r>
        <w:t>TheFreeDictionary</w:t>
      </w:r>
      <w:proofErr w:type="spellEnd"/>
      <w:r w:rsidR="00D87453">
        <w:t xml:space="preserve"> ‘Bilateral Contract’ (2022) Available: </w:t>
      </w:r>
      <w:hyperlink r:id="rId7" w:history="1">
        <w:r w:rsidR="00D87453" w:rsidRPr="00D87453">
          <w:rPr>
            <w:rStyle w:val="Hyperlink"/>
          </w:rPr>
          <w:t>https://legal-dictionary.thefreedictionary.com/bilateral+contract</w:t>
        </w:r>
      </w:hyperlink>
      <w:r w:rsidR="00D87453">
        <w:t>, Accessed March 3</w:t>
      </w:r>
      <w:r w:rsidR="00D87453" w:rsidRPr="00D87453">
        <w:rPr>
          <w:vertAlign w:val="superscript"/>
        </w:rPr>
        <w:t>rd</w:t>
      </w:r>
      <w:r w:rsidR="00D87453">
        <w:t>, 2022</w:t>
      </w:r>
      <w:r w:rsidR="00E0344C">
        <w:t>.</w:t>
      </w:r>
    </w:p>
    <w:p w14:paraId="01CCC6D0" w14:textId="0BFC03E7" w:rsidR="00D87453" w:rsidRDefault="001E75E4" w:rsidP="00D87453">
      <w:pPr>
        <w:pStyle w:val="ListParagraph"/>
        <w:numPr>
          <w:ilvl w:val="0"/>
          <w:numId w:val="1"/>
        </w:numPr>
      </w:pPr>
      <w:r>
        <w:t>Binding contract</w:t>
      </w:r>
      <w:r w:rsidR="00075E61">
        <w:t xml:space="preserve"> </w:t>
      </w:r>
      <w:r>
        <w:t xml:space="preserve">– </w:t>
      </w:r>
      <w:proofErr w:type="spellStart"/>
      <w:r>
        <w:t>LegalMatch</w:t>
      </w:r>
      <w:proofErr w:type="spellEnd"/>
      <w:r>
        <w:t xml:space="preserve"> ‘Binding Contract’ (2021) Available: </w:t>
      </w:r>
      <w:hyperlink r:id="rId8" w:anchor=":~:text=A%20legally%20binding%20contract%20is%20a%20contract%20agreement,contract%20and%20perform%20their%20contract%20duties%20as%20stated." w:history="1">
        <w:r w:rsidRPr="001E75E4">
          <w:rPr>
            <w:rStyle w:val="Hyperlink"/>
          </w:rPr>
          <w:t>https://www.legalmatch.com/law-library/article/legally-binding-contracts.html#:~:text=A%20legally%20binding%20contract%20is%20a%20contract%20agreement,contract%20and%20perform%20their%20contract%20duties%20as%20stated.</w:t>
        </w:r>
      </w:hyperlink>
      <w:r>
        <w:t xml:space="preserve"> Accessed March 3</w:t>
      </w:r>
      <w:r w:rsidRPr="001E75E4">
        <w:rPr>
          <w:vertAlign w:val="superscript"/>
        </w:rPr>
        <w:t>rd</w:t>
      </w:r>
      <w:r>
        <w:t>, 2022.</w:t>
      </w:r>
    </w:p>
    <w:p w14:paraId="44FACF79" w14:textId="5DE70304" w:rsidR="001E75E4" w:rsidRDefault="001E75E4" w:rsidP="00D87453">
      <w:pPr>
        <w:pStyle w:val="ListParagraph"/>
        <w:numPr>
          <w:ilvl w:val="0"/>
          <w:numId w:val="1"/>
        </w:numPr>
      </w:pPr>
      <w:r>
        <w:t xml:space="preserve">Brogden V Metropolitan Railway </w:t>
      </w:r>
      <w:r w:rsidR="00E0344C">
        <w:t>(</w:t>
      </w:r>
      <w:r>
        <w:t>1877</w:t>
      </w:r>
      <w:r w:rsidR="00E0344C">
        <w:t>)</w:t>
      </w:r>
    </w:p>
    <w:p w14:paraId="5BD541D0" w14:textId="73EA024D" w:rsidR="001E75E4" w:rsidRDefault="001E75E4" w:rsidP="00D87453">
      <w:pPr>
        <w:pStyle w:val="ListParagraph"/>
        <w:numPr>
          <w:ilvl w:val="0"/>
          <w:numId w:val="1"/>
        </w:numPr>
      </w:pPr>
      <w:r>
        <w:t xml:space="preserve">Carlill V Carbolic Smoke Ball Co </w:t>
      </w:r>
      <w:r w:rsidR="00E0344C">
        <w:t>(</w:t>
      </w:r>
      <w:r>
        <w:t>1893</w:t>
      </w:r>
      <w:r w:rsidR="00E0344C">
        <w:t>)</w:t>
      </w:r>
    </w:p>
    <w:p w14:paraId="3E49150C" w14:textId="31A3B038" w:rsidR="001E75E4" w:rsidRDefault="002B3338" w:rsidP="00D87453">
      <w:pPr>
        <w:pStyle w:val="ListParagraph"/>
        <w:numPr>
          <w:ilvl w:val="0"/>
          <w:numId w:val="1"/>
        </w:numPr>
      </w:pPr>
      <w:r>
        <w:t xml:space="preserve">Cutter V Powell </w:t>
      </w:r>
      <w:r w:rsidR="00E0344C">
        <w:t>(</w:t>
      </w:r>
      <w:r>
        <w:t>1795</w:t>
      </w:r>
      <w:r w:rsidR="00E0344C">
        <w:t>)</w:t>
      </w:r>
    </w:p>
    <w:p w14:paraId="65A055FC" w14:textId="7D5B9B3C" w:rsidR="002B3338" w:rsidRDefault="002B3338" w:rsidP="00D87453">
      <w:pPr>
        <w:pStyle w:val="ListParagraph"/>
        <w:numPr>
          <w:ilvl w:val="0"/>
          <w:numId w:val="1"/>
        </w:numPr>
      </w:pPr>
      <w:r>
        <w:t xml:space="preserve">Eastwood V Kenyon </w:t>
      </w:r>
      <w:r w:rsidR="00E0344C">
        <w:t>(</w:t>
      </w:r>
      <w:r>
        <w:t>1840</w:t>
      </w:r>
      <w:r w:rsidR="00E0344C">
        <w:t>)</w:t>
      </w:r>
    </w:p>
    <w:p w14:paraId="15933EF1" w14:textId="3C19CB4D" w:rsidR="002B3338" w:rsidRDefault="002B3338" w:rsidP="00D87453">
      <w:pPr>
        <w:pStyle w:val="ListParagraph"/>
        <w:numPr>
          <w:ilvl w:val="0"/>
          <w:numId w:val="1"/>
        </w:numPr>
      </w:pPr>
      <w:r>
        <w:t xml:space="preserve">H. Dakin &amp; Co ltd V Lee </w:t>
      </w:r>
      <w:r w:rsidR="00E0344C">
        <w:t>(</w:t>
      </w:r>
      <w:r>
        <w:t>1916</w:t>
      </w:r>
      <w:r w:rsidR="00E0344C">
        <w:t>)</w:t>
      </w:r>
    </w:p>
    <w:p w14:paraId="4499177F" w14:textId="65B5A811" w:rsidR="00E0344C" w:rsidRDefault="00E0344C" w:rsidP="00D87453">
      <w:pPr>
        <w:pStyle w:val="ListParagraph"/>
        <w:numPr>
          <w:ilvl w:val="0"/>
          <w:numId w:val="1"/>
        </w:numPr>
      </w:pPr>
      <w:r>
        <w:t xml:space="preserve">Invitation to treat – </w:t>
      </w:r>
      <w:proofErr w:type="spellStart"/>
      <w:r>
        <w:t>LawBite</w:t>
      </w:r>
      <w:proofErr w:type="spellEnd"/>
      <w:r>
        <w:t xml:space="preserve"> ‘What is an Invitation to Treat?’ (2021)</w:t>
      </w:r>
      <w:r w:rsidR="00FD2BF2">
        <w:t xml:space="preserve"> Available: </w:t>
      </w:r>
      <w:hyperlink r:id="rId9" w:history="1">
        <w:r w:rsidR="00FD2BF2" w:rsidRPr="00FD2BF2">
          <w:rPr>
            <w:rStyle w:val="Hyperlink"/>
          </w:rPr>
          <w:t>https://www.lawbite.co.uk/resources/blog/what-is-an-invitation-to-treat</w:t>
        </w:r>
      </w:hyperlink>
      <w:r w:rsidR="00FD2BF2">
        <w:t>. Accessed March 3</w:t>
      </w:r>
      <w:r w:rsidR="00FD2BF2" w:rsidRPr="00FD2BF2">
        <w:rPr>
          <w:vertAlign w:val="superscript"/>
        </w:rPr>
        <w:t>rd</w:t>
      </w:r>
      <w:r w:rsidR="00FD2BF2">
        <w:t>, 2022.</w:t>
      </w:r>
    </w:p>
    <w:p w14:paraId="5952136F" w14:textId="759B0050" w:rsidR="002B3338" w:rsidRDefault="002B3338" w:rsidP="00D87453">
      <w:pPr>
        <w:pStyle w:val="ListParagraph"/>
        <w:numPr>
          <w:ilvl w:val="0"/>
          <w:numId w:val="1"/>
        </w:numPr>
      </w:pPr>
      <w:r>
        <w:t xml:space="preserve">Nicolene Ltd </w:t>
      </w:r>
      <w:r w:rsidR="00E0344C">
        <w:t>V Simmonds (1953)</w:t>
      </w:r>
    </w:p>
    <w:p w14:paraId="6B28C278" w14:textId="2C9A8F21" w:rsidR="00FD2BF2" w:rsidRDefault="00FD2BF2" w:rsidP="00FD2BF2">
      <w:pPr>
        <w:pStyle w:val="ListParagraph"/>
        <w:numPr>
          <w:ilvl w:val="0"/>
          <w:numId w:val="1"/>
        </w:numPr>
      </w:pPr>
      <w:r>
        <w:t xml:space="preserve">Offeree – </w:t>
      </w:r>
      <w:proofErr w:type="spellStart"/>
      <w:r>
        <w:t>TheFreeDictionary</w:t>
      </w:r>
      <w:proofErr w:type="spellEnd"/>
      <w:r>
        <w:t xml:space="preserve"> ‘Offeree’ (2022) Available: </w:t>
      </w:r>
      <w:hyperlink r:id="rId10" w:history="1">
        <w:r w:rsidRPr="00FD2BF2">
          <w:rPr>
            <w:rStyle w:val="Hyperlink"/>
          </w:rPr>
          <w:t>https://legal-dictionary.thefreedictionary.com/offeree</w:t>
        </w:r>
      </w:hyperlink>
      <w:r>
        <w:t>. Accessed March 3</w:t>
      </w:r>
      <w:r w:rsidRPr="00FD2BF2">
        <w:rPr>
          <w:vertAlign w:val="superscript"/>
        </w:rPr>
        <w:t>rd</w:t>
      </w:r>
      <w:r>
        <w:t>, 2022.</w:t>
      </w:r>
    </w:p>
    <w:p w14:paraId="2D0560B8" w14:textId="589A256C" w:rsidR="00FD2BF2" w:rsidRDefault="00FD2BF2" w:rsidP="00FD2BF2">
      <w:pPr>
        <w:pStyle w:val="ListParagraph"/>
        <w:numPr>
          <w:ilvl w:val="0"/>
          <w:numId w:val="1"/>
        </w:numPr>
      </w:pPr>
      <w:r>
        <w:t xml:space="preserve">Offeror – </w:t>
      </w:r>
      <w:proofErr w:type="spellStart"/>
      <w:r>
        <w:t>TheFreeDictionary</w:t>
      </w:r>
      <w:proofErr w:type="spellEnd"/>
      <w:r>
        <w:t xml:space="preserve"> ‘Offeror’ </w:t>
      </w:r>
      <w:hyperlink r:id="rId11" w:history="1">
        <w:r w:rsidRPr="00FD2BF2">
          <w:rPr>
            <w:rStyle w:val="Hyperlink"/>
          </w:rPr>
          <w:t>https://legal-dictionary.thefreedictionary.com/offeror</w:t>
        </w:r>
      </w:hyperlink>
      <w:r>
        <w:t>. Accessed March 3</w:t>
      </w:r>
      <w:r w:rsidRPr="00FD2BF2">
        <w:rPr>
          <w:vertAlign w:val="superscript"/>
        </w:rPr>
        <w:t>rd</w:t>
      </w:r>
      <w:r>
        <w:t>, 2022.</w:t>
      </w:r>
    </w:p>
    <w:p w14:paraId="5BD9751D" w14:textId="025D0AD3" w:rsidR="00FD2BF2" w:rsidRDefault="00FD2BF2" w:rsidP="00FD2BF2">
      <w:pPr>
        <w:pStyle w:val="ListParagraph"/>
        <w:numPr>
          <w:ilvl w:val="0"/>
          <w:numId w:val="1"/>
        </w:numPr>
      </w:pPr>
      <w:r>
        <w:t xml:space="preserve">Partridge V </w:t>
      </w:r>
      <w:proofErr w:type="spellStart"/>
      <w:r>
        <w:t>critteden</w:t>
      </w:r>
      <w:proofErr w:type="spellEnd"/>
      <w:r>
        <w:t xml:space="preserve"> (1968)</w:t>
      </w:r>
    </w:p>
    <w:p w14:paraId="4674E0F2" w14:textId="53CB178B" w:rsidR="00FD2BF2" w:rsidRDefault="00FD2BF2" w:rsidP="00FD2BF2">
      <w:pPr>
        <w:pStyle w:val="ListParagraph"/>
        <w:numPr>
          <w:ilvl w:val="0"/>
          <w:numId w:val="1"/>
        </w:numPr>
      </w:pPr>
      <w:r>
        <w:t>Performance rule</w:t>
      </w:r>
      <w:r w:rsidR="00075E61">
        <w:t xml:space="preserve"> </w:t>
      </w:r>
      <w:r w:rsidR="00A90539">
        <w:t>–</w:t>
      </w:r>
      <w:r>
        <w:t xml:space="preserve"> </w:t>
      </w:r>
      <w:r w:rsidR="00A90539">
        <w:t xml:space="preserve">Britannica ‘Performance’ (2022) Available: </w:t>
      </w:r>
      <w:hyperlink r:id="rId12" w:history="1">
        <w:r w:rsidR="00A90539" w:rsidRPr="00A90539">
          <w:rPr>
            <w:rStyle w:val="Hyperlink"/>
          </w:rPr>
          <w:t>https://www.britannica.com/topic/law</w:t>
        </w:r>
      </w:hyperlink>
      <w:r w:rsidR="00A90539">
        <w:t>. Accessed March 3</w:t>
      </w:r>
      <w:r w:rsidR="00A90539" w:rsidRPr="00A90539">
        <w:rPr>
          <w:vertAlign w:val="superscript"/>
        </w:rPr>
        <w:t>rd</w:t>
      </w:r>
      <w:r w:rsidR="00A90539">
        <w:t>, 2022.</w:t>
      </w:r>
    </w:p>
    <w:p w14:paraId="7A96299B" w14:textId="194C2F2F" w:rsidR="00A90539" w:rsidRDefault="00A90539" w:rsidP="00FD2BF2">
      <w:pPr>
        <w:pStyle w:val="ListParagraph"/>
        <w:numPr>
          <w:ilvl w:val="0"/>
          <w:numId w:val="1"/>
        </w:numPr>
      </w:pPr>
      <w:r>
        <w:t>Pickford Ltd V Celestica Ltd (2003)</w:t>
      </w:r>
    </w:p>
    <w:p w14:paraId="1ABAF059" w14:textId="2D5DF756" w:rsidR="00A90539" w:rsidRDefault="00A90539" w:rsidP="00FD2BF2">
      <w:pPr>
        <w:pStyle w:val="ListParagraph"/>
        <w:numPr>
          <w:ilvl w:val="0"/>
          <w:numId w:val="1"/>
        </w:numPr>
      </w:pPr>
      <w:r>
        <w:t xml:space="preserve">Privity of Contract – UK Practical Law ‘Privity of Contract’ (2022) Available: </w:t>
      </w:r>
      <w:hyperlink r:id="rId13" w:history="1">
        <w:r w:rsidRPr="00A90539">
          <w:rPr>
            <w:rStyle w:val="Hyperlink"/>
          </w:rPr>
          <w:t>https://uk.practicallaw.thomsonreuters.com/8-107-7056?contextData=%28sc.Default%29&amp;transitionType=Default</w:t>
        </w:r>
      </w:hyperlink>
      <w:r>
        <w:t>. Accessed March 3</w:t>
      </w:r>
      <w:r w:rsidRPr="00A90539">
        <w:rPr>
          <w:vertAlign w:val="superscript"/>
        </w:rPr>
        <w:t>rd</w:t>
      </w:r>
      <w:r>
        <w:t>, 2022.</w:t>
      </w:r>
    </w:p>
    <w:p w14:paraId="08E66AF9" w14:textId="5A902E1A" w:rsidR="00A90539" w:rsidRDefault="00075E61" w:rsidP="00FD2BF2">
      <w:pPr>
        <w:pStyle w:val="ListParagraph"/>
        <w:numPr>
          <w:ilvl w:val="0"/>
          <w:numId w:val="1"/>
        </w:numPr>
      </w:pPr>
      <w:r>
        <w:t>Planche V Colburn (1831)</w:t>
      </w:r>
    </w:p>
    <w:p w14:paraId="6845762E" w14:textId="7250DCC1" w:rsidR="00075E61" w:rsidRDefault="00075E61" w:rsidP="00FD2BF2">
      <w:pPr>
        <w:pStyle w:val="ListParagraph"/>
        <w:numPr>
          <w:ilvl w:val="0"/>
          <w:numId w:val="1"/>
        </w:numPr>
      </w:pPr>
      <w:r>
        <w:t>Protection of Birds Act 1954.</w:t>
      </w:r>
    </w:p>
    <w:p w14:paraId="2331C5CF" w14:textId="7B8AB3A0" w:rsidR="00075E61" w:rsidRDefault="00075E61" w:rsidP="00FD2BF2">
      <w:pPr>
        <w:pStyle w:val="ListParagraph"/>
        <w:numPr>
          <w:ilvl w:val="0"/>
          <w:numId w:val="1"/>
        </w:numPr>
      </w:pPr>
      <w:r>
        <w:t>Roberts V Havelock (1832)</w:t>
      </w:r>
    </w:p>
    <w:p w14:paraId="1319EE26" w14:textId="7AE30922" w:rsidR="00075E61" w:rsidRDefault="00075E61" w:rsidP="00FD2BF2">
      <w:pPr>
        <w:pStyle w:val="ListParagraph"/>
        <w:numPr>
          <w:ilvl w:val="0"/>
          <w:numId w:val="1"/>
        </w:numPr>
      </w:pPr>
      <w:r>
        <w:t>S</w:t>
      </w:r>
      <w:r w:rsidRPr="00075E61">
        <w:t>cammell &amp; Nephew Ltd v Ouston (1941)</w:t>
      </w:r>
    </w:p>
    <w:p w14:paraId="72E2668B" w14:textId="0251C0E2" w:rsidR="00075E61" w:rsidRDefault="00075E61" w:rsidP="00FD2BF2">
      <w:pPr>
        <w:pStyle w:val="ListParagraph"/>
        <w:numPr>
          <w:ilvl w:val="0"/>
          <w:numId w:val="1"/>
        </w:numPr>
      </w:pPr>
      <w:r>
        <w:t>Taylor V Laird (1856)</w:t>
      </w:r>
    </w:p>
    <w:p w14:paraId="15613E06" w14:textId="12BD6F10" w:rsidR="00075E61" w:rsidRDefault="00075E61" w:rsidP="00FD2BF2">
      <w:pPr>
        <w:pStyle w:val="ListParagraph"/>
        <w:numPr>
          <w:ilvl w:val="0"/>
          <w:numId w:val="1"/>
        </w:numPr>
      </w:pPr>
      <w:r>
        <w:t>Tweddle V Atkinson (1861)</w:t>
      </w:r>
    </w:p>
    <w:p w14:paraId="3FCDDD4F" w14:textId="1D65A74F" w:rsidR="00075E61" w:rsidRPr="00075E61" w:rsidRDefault="00075E61" w:rsidP="00FD2BF2">
      <w:pPr>
        <w:pStyle w:val="ListParagraph"/>
        <w:numPr>
          <w:ilvl w:val="0"/>
          <w:numId w:val="1"/>
        </w:numPr>
      </w:pPr>
      <w:r>
        <w:t xml:space="preserve">Unilateral contract – </w:t>
      </w:r>
      <w:proofErr w:type="spellStart"/>
      <w:r>
        <w:t>TheFreeDictionary</w:t>
      </w:r>
      <w:proofErr w:type="spellEnd"/>
      <w:r>
        <w:t xml:space="preserve"> ‘Unilateral Contract’ (2022) Available: </w:t>
      </w:r>
      <w:hyperlink r:id="rId14" w:history="1">
        <w:r w:rsidRPr="00075E61">
          <w:rPr>
            <w:rStyle w:val="Hyperlink"/>
          </w:rPr>
          <w:t>https://legal-dictionary.thefreedictionary.com/Unilateral+Contract</w:t>
        </w:r>
      </w:hyperlink>
      <w:r>
        <w:t>. Accessed March 4</w:t>
      </w:r>
      <w:r w:rsidRPr="00075E61">
        <w:rPr>
          <w:vertAlign w:val="superscript"/>
        </w:rPr>
        <w:t>th</w:t>
      </w:r>
      <w:r>
        <w:t>, 2022.</w:t>
      </w:r>
    </w:p>
    <w:p w14:paraId="03AA6CBA" w14:textId="77777777" w:rsidR="00E0344C" w:rsidRPr="006062A6" w:rsidRDefault="00E0344C" w:rsidP="00E0344C">
      <w:pPr>
        <w:pStyle w:val="ListParagraph"/>
      </w:pPr>
    </w:p>
    <w:p w14:paraId="031EBDDE" w14:textId="77777777" w:rsidR="0009005C" w:rsidRDefault="0009005C" w:rsidP="0009005C"/>
    <w:p w14:paraId="0914855D" w14:textId="4D669CB4" w:rsidR="0009005C" w:rsidRDefault="0009005C" w:rsidP="0009005C"/>
    <w:p w14:paraId="734CE57F" w14:textId="77777777" w:rsidR="0009005C" w:rsidRDefault="0009005C" w:rsidP="0009005C"/>
    <w:p w14:paraId="609E3D13" w14:textId="680D397D" w:rsidR="000A5E99" w:rsidRDefault="000A5E99"/>
    <w:sectPr w:rsidR="000A5E9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7F6CD" w14:textId="77777777" w:rsidR="00351839" w:rsidRDefault="00351839" w:rsidP="00F74A7E">
      <w:pPr>
        <w:spacing w:after="0" w:line="240" w:lineRule="auto"/>
      </w:pPr>
      <w:r>
        <w:separator/>
      </w:r>
    </w:p>
  </w:endnote>
  <w:endnote w:type="continuationSeparator" w:id="0">
    <w:p w14:paraId="77EC2723" w14:textId="77777777" w:rsidR="00351839" w:rsidRDefault="00351839" w:rsidP="00F74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CE2E01" w14:textId="77777777" w:rsidR="00351839" w:rsidRDefault="00351839" w:rsidP="00F74A7E">
      <w:pPr>
        <w:spacing w:after="0" w:line="240" w:lineRule="auto"/>
      </w:pPr>
      <w:r>
        <w:separator/>
      </w:r>
    </w:p>
  </w:footnote>
  <w:footnote w:type="continuationSeparator" w:id="0">
    <w:p w14:paraId="57354896" w14:textId="77777777" w:rsidR="00351839" w:rsidRDefault="00351839" w:rsidP="00F74A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1AE03" w14:textId="24148D0F" w:rsidR="00F74A7E" w:rsidRDefault="00F74A7E">
    <w:pPr>
      <w:pStyle w:val="Header"/>
    </w:pPr>
    <w:r>
      <w:t>Kyle Williams – 2005148</w:t>
    </w:r>
  </w:p>
  <w:p w14:paraId="0F4006B7" w14:textId="77777777" w:rsidR="00F74A7E" w:rsidRDefault="00F74A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B22C36"/>
    <w:multiLevelType w:val="hybridMultilevel"/>
    <w:tmpl w:val="A6F24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D1"/>
    <w:rsid w:val="00032A8A"/>
    <w:rsid w:val="00064BD8"/>
    <w:rsid w:val="00066A27"/>
    <w:rsid w:val="00071F9E"/>
    <w:rsid w:val="00075E61"/>
    <w:rsid w:val="0009005C"/>
    <w:rsid w:val="0009739E"/>
    <w:rsid w:val="000A5E99"/>
    <w:rsid w:val="000B655E"/>
    <w:rsid w:val="001528F9"/>
    <w:rsid w:val="001D7FBE"/>
    <w:rsid w:val="001E75E4"/>
    <w:rsid w:val="00204DC7"/>
    <w:rsid w:val="00240E68"/>
    <w:rsid w:val="00241310"/>
    <w:rsid w:val="00256F09"/>
    <w:rsid w:val="002A35D1"/>
    <w:rsid w:val="002B3338"/>
    <w:rsid w:val="00351839"/>
    <w:rsid w:val="00353F60"/>
    <w:rsid w:val="00364158"/>
    <w:rsid w:val="003D2102"/>
    <w:rsid w:val="004004C7"/>
    <w:rsid w:val="00411DB6"/>
    <w:rsid w:val="004762F4"/>
    <w:rsid w:val="004845DA"/>
    <w:rsid w:val="004D4974"/>
    <w:rsid w:val="004E5850"/>
    <w:rsid w:val="004F3D13"/>
    <w:rsid w:val="005403F9"/>
    <w:rsid w:val="00567EB5"/>
    <w:rsid w:val="00592D3E"/>
    <w:rsid w:val="005D39A5"/>
    <w:rsid w:val="006062A6"/>
    <w:rsid w:val="00616A4A"/>
    <w:rsid w:val="00641DCD"/>
    <w:rsid w:val="00664875"/>
    <w:rsid w:val="00666C26"/>
    <w:rsid w:val="006671A8"/>
    <w:rsid w:val="00670D4D"/>
    <w:rsid w:val="006962F5"/>
    <w:rsid w:val="0072166E"/>
    <w:rsid w:val="0075067C"/>
    <w:rsid w:val="007D53EE"/>
    <w:rsid w:val="007E5F1E"/>
    <w:rsid w:val="00812D3F"/>
    <w:rsid w:val="008369B7"/>
    <w:rsid w:val="008401C0"/>
    <w:rsid w:val="00850E67"/>
    <w:rsid w:val="008577E4"/>
    <w:rsid w:val="0090045B"/>
    <w:rsid w:val="00923550"/>
    <w:rsid w:val="009502B8"/>
    <w:rsid w:val="00954B3B"/>
    <w:rsid w:val="009720E9"/>
    <w:rsid w:val="00982A47"/>
    <w:rsid w:val="00A01A51"/>
    <w:rsid w:val="00A07C01"/>
    <w:rsid w:val="00A12BE8"/>
    <w:rsid w:val="00A63961"/>
    <w:rsid w:val="00A90539"/>
    <w:rsid w:val="00A92794"/>
    <w:rsid w:val="00AE1DFA"/>
    <w:rsid w:val="00C02401"/>
    <w:rsid w:val="00C02853"/>
    <w:rsid w:val="00CB1D21"/>
    <w:rsid w:val="00CB2C78"/>
    <w:rsid w:val="00CC6C36"/>
    <w:rsid w:val="00CE0E72"/>
    <w:rsid w:val="00CE4584"/>
    <w:rsid w:val="00D50597"/>
    <w:rsid w:val="00D63623"/>
    <w:rsid w:val="00D87453"/>
    <w:rsid w:val="00DA041A"/>
    <w:rsid w:val="00E0344C"/>
    <w:rsid w:val="00E132DC"/>
    <w:rsid w:val="00EB0A7D"/>
    <w:rsid w:val="00EB32AB"/>
    <w:rsid w:val="00EE21E5"/>
    <w:rsid w:val="00F527D2"/>
    <w:rsid w:val="00F74A7E"/>
    <w:rsid w:val="00FD2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701E9"/>
  <w15:chartTrackingRefBased/>
  <w15:docId w15:val="{16FC831E-954C-4E16-8EFB-5FA4D5D12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A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4A7E"/>
  </w:style>
  <w:style w:type="paragraph" w:styleId="Footer">
    <w:name w:val="footer"/>
    <w:basedOn w:val="Normal"/>
    <w:link w:val="FooterChar"/>
    <w:uiPriority w:val="99"/>
    <w:unhideWhenUsed/>
    <w:rsid w:val="00F74A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4A7E"/>
  </w:style>
  <w:style w:type="character" w:styleId="Hyperlink">
    <w:name w:val="Hyperlink"/>
    <w:basedOn w:val="DefaultParagraphFont"/>
    <w:uiPriority w:val="99"/>
    <w:unhideWhenUsed/>
    <w:rsid w:val="00D87453"/>
    <w:rPr>
      <w:color w:val="0563C1" w:themeColor="hyperlink"/>
      <w:u w:val="single"/>
    </w:rPr>
  </w:style>
  <w:style w:type="character" w:styleId="UnresolvedMention">
    <w:name w:val="Unresolved Mention"/>
    <w:basedOn w:val="DefaultParagraphFont"/>
    <w:uiPriority w:val="99"/>
    <w:semiHidden/>
    <w:unhideWhenUsed/>
    <w:rsid w:val="00D87453"/>
    <w:rPr>
      <w:color w:val="605E5C"/>
      <w:shd w:val="clear" w:color="auto" w:fill="E1DFDD"/>
    </w:rPr>
  </w:style>
  <w:style w:type="paragraph" w:styleId="ListParagraph">
    <w:name w:val="List Paragraph"/>
    <w:basedOn w:val="Normal"/>
    <w:uiPriority w:val="34"/>
    <w:qFormat/>
    <w:rsid w:val="00D874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almatch.com/law-library/article/legally-binding-contracts.html" TargetMode="External"/><Relationship Id="rId13" Type="http://schemas.openxmlformats.org/officeDocument/2006/relationships/hyperlink" Target="https://uk.practicallaw.thomsonreuters.com/8-107-7056?contextData=%28sc.Default%29&amp;transitionType=Default" TargetMode="External"/><Relationship Id="rId3" Type="http://schemas.openxmlformats.org/officeDocument/2006/relationships/settings" Target="settings.xml"/><Relationship Id="rId7" Type="http://schemas.openxmlformats.org/officeDocument/2006/relationships/hyperlink" Target="https://legal-dictionary.thefreedictionary.com/bilateral+contract" TargetMode="External"/><Relationship Id="rId12" Type="http://schemas.openxmlformats.org/officeDocument/2006/relationships/hyperlink" Target="https://www.britannica.com/topic/law"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gal-dictionary.thefreedictionary.com/offero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egal-dictionary.thefreedictionary.com/offeree" TargetMode="External"/><Relationship Id="rId4" Type="http://schemas.openxmlformats.org/officeDocument/2006/relationships/webSettings" Target="webSettings.xml"/><Relationship Id="rId9" Type="http://schemas.openxmlformats.org/officeDocument/2006/relationships/hyperlink" Target="https://www.lawbite.co.uk/resources/blog/what-is-an-invitation-to-treat" TargetMode="External"/><Relationship Id="rId14" Type="http://schemas.openxmlformats.org/officeDocument/2006/relationships/hyperlink" Target="https://legal-dictionary.thefreedictionary.com/Unilateral+Contr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Williams (2005148)</dc:creator>
  <cp:keywords/>
  <dc:description/>
  <cp:lastModifiedBy>Kyle Williams (2005148)</cp:lastModifiedBy>
  <cp:revision>2</cp:revision>
  <dcterms:created xsi:type="dcterms:W3CDTF">2022-03-04T18:28:00Z</dcterms:created>
  <dcterms:modified xsi:type="dcterms:W3CDTF">2022-03-04T18:28:00Z</dcterms:modified>
</cp:coreProperties>
</file>