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5424635"/>
        <w:docPartObj>
          <w:docPartGallery w:val="Cover Pages"/>
          <w:docPartUnique/>
        </w:docPartObj>
      </w:sdtPr>
      <w:sdtEndPr/>
      <w:sdtContent>
        <w:p w14:paraId="6B73933B" w14:textId="40227AEC" w:rsidR="00BE5DAD" w:rsidRDefault="00BE5DAD">
          <w:r>
            <w:rPr>
              <w:noProof/>
            </w:rPr>
            <mc:AlternateContent>
              <mc:Choice Requires="wps">
                <w:drawing>
                  <wp:anchor distT="0" distB="0" distL="114300" distR="114300" simplePos="0" relativeHeight="251659264" behindDoc="1" locked="0" layoutInCell="1" allowOverlap="0" wp14:anchorId="4BE4321F" wp14:editId="0C63BA7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E5DAD" w14:paraId="79851C0D" w14:textId="77777777">
                                  <w:trPr>
                                    <w:trHeight w:hRule="exact" w:val="9360"/>
                                  </w:trPr>
                                  <w:tc>
                                    <w:tcPr>
                                      <w:tcW w:w="5000" w:type="pct"/>
                                    </w:tcPr>
                                    <w:p w14:paraId="678F24D6" w14:textId="77777777" w:rsidR="00BE5DAD" w:rsidRDefault="00BE5DAD">
                                      <w:r>
                                        <w:rPr>
                                          <w:noProof/>
                                        </w:rPr>
                                        <w:drawing>
                                          <wp:inline distT="0" distB="0" distL="0" distR="0" wp14:anchorId="56B42FF1" wp14:editId="59A0088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E5DAD" w14:paraId="268E6E4F" w14:textId="77777777">
                                  <w:trPr>
                                    <w:trHeight w:hRule="exact" w:val="4320"/>
                                  </w:trPr>
                                  <w:tc>
                                    <w:tcPr>
                                      <w:tcW w:w="5000" w:type="pct"/>
                                      <w:shd w:val="clear" w:color="auto" w:fill="4472C4" w:themeFill="accent1"/>
                                      <w:vAlign w:val="center"/>
                                    </w:tcPr>
                                    <w:p w14:paraId="029217A9" w14:textId="3FE0ED09" w:rsidR="00BE5DAD" w:rsidRDefault="00D93DB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E5DAD">
                                            <w:rPr>
                                              <w:rFonts w:asciiTheme="majorHAnsi" w:hAnsiTheme="majorHAnsi"/>
                                              <w:color w:val="FFFFFF" w:themeColor="background1"/>
                                              <w:sz w:val="96"/>
                                              <w:szCs w:val="96"/>
                                            </w:rPr>
                                            <w:t>Criminal Law.</w:t>
                                          </w:r>
                                        </w:sdtContent>
                                      </w:sdt>
                                    </w:p>
                                    <w:p w14:paraId="39A26877" w14:textId="5CDD8F7D" w:rsidR="00BE5DAD" w:rsidRDefault="00D93DB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BE5DAD">
                                            <w:rPr>
                                              <w:color w:val="FFFFFF" w:themeColor="background1"/>
                                              <w:sz w:val="32"/>
                                              <w:szCs w:val="32"/>
                                            </w:rPr>
                                            <w:t xml:space="preserve">Non – Fatal Offences Against </w:t>
                                          </w:r>
                                          <w:proofErr w:type="gramStart"/>
                                          <w:r w:rsidR="00BE5DAD">
                                            <w:rPr>
                                              <w:color w:val="FFFFFF" w:themeColor="background1"/>
                                              <w:sz w:val="32"/>
                                              <w:szCs w:val="32"/>
                                            </w:rPr>
                                            <w:t>The</w:t>
                                          </w:r>
                                          <w:proofErr w:type="gramEnd"/>
                                          <w:r w:rsidR="00BE5DAD">
                                            <w:rPr>
                                              <w:color w:val="FFFFFF" w:themeColor="background1"/>
                                              <w:sz w:val="32"/>
                                              <w:szCs w:val="32"/>
                                            </w:rPr>
                                            <w:t xml:space="preserve"> Person.</w:t>
                                          </w:r>
                                        </w:sdtContent>
                                      </w:sdt>
                                      <w:r w:rsidR="00BE5DAD">
                                        <w:rPr>
                                          <w:color w:val="FFFFFF" w:themeColor="background1"/>
                                          <w:sz w:val="32"/>
                                          <w:szCs w:val="32"/>
                                        </w:rPr>
                                        <w:t xml:space="preserve"> </w:t>
                                      </w:r>
                                    </w:p>
                                  </w:tc>
                                </w:tr>
                                <w:tr w:rsidR="00BE5DAD" w14:paraId="76FBB33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E5DAD" w14:paraId="74CD82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12A8558" w14:textId="7843CFC4" w:rsidR="00BE5DAD" w:rsidRDefault="00BE5DAD">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3-01T00:00:00Z">
                                                <w:dateFormat w:val="M/d/yy"/>
                                                <w:lid w:val="en-US"/>
                                                <w:storeMappedDataAs w:val="dateTime"/>
                                                <w:calendar w:val="gregorian"/>
                                              </w:date>
                                            </w:sdtPr>
                                            <w:sdtEndPr/>
                                            <w:sdtContent>
                                              <w:p w14:paraId="174A6719" w14:textId="555CC18B" w:rsidR="00BE5DAD" w:rsidRDefault="00BE5DAD">
                                                <w:pPr>
                                                  <w:pStyle w:val="NoSpacing"/>
                                                  <w:ind w:left="144" w:right="144"/>
                                                  <w:jc w:val="center"/>
                                                  <w:rPr>
                                                    <w:color w:val="FFFFFF" w:themeColor="background1"/>
                                                  </w:rPr>
                                                </w:pPr>
                                                <w:r>
                                                  <w:rPr>
                                                    <w:color w:val="FFFFFF" w:themeColor="background1"/>
                                                  </w:rPr>
                                                  <w:t>3/1/21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C61F3AA" w14:textId="45E0105A" w:rsidR="00BE5DAD" w:rsidRDefault="00BE5DAD">
                                                <w:pPr>
                                                  <w:pStyle w:val="NoSpacing"/>
                                                  <w:ind w:left="144" w:right="720"/>
                                                  <w:jc w:val="right"/>
                                                  <w:rPr>
                                                    <w:color w:val="FFFFFF" w:themeColor="background1"/>
                                                  </w:rPr>
                                                </w:pPr>
                                                <w:r>
                                                  <w:rPr>
                                                    <w:color w:val="FFFFFF" w:themeColor="background1"/>
                                                  </w:rPr>
                                                  <w:t>Criminal Law (BMLW4002).</w:t>
                                                </w:r>
                                              </w:p>
                                            </w:tc>
                                          </w:sdtContent>
                                        </w:sdt>
                                      </w:tr>
                                    </w:tbl>
                                    <w:p w14:paraId="0B131AE6" w14:textId="77777777" w:rsidR="00BE5DAD" w:rsidRDefault="00BE5DAD"/>
                                  </w:tc>
                                </w:tr>
                              </w:tbl>
                              <w:p w14:paraId="3116E74D" w14:textId="77777777" w:rsidR="00BE5DAD" w:rsidRDefault="00BE5DA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BE4321F"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BE5DAD" w14:paraId="79851C0D" w14:textId="77777777">
                            <w:trPr>
                              <w:trHeight w:hRule="exact" w:val="9360"/>
                            </w:trPr>
                            <w:tc>
                              <w:tcPr>
                                <w:tcW w:w="5000" w:type="pct"/>
                              </w:tcPr>
                              <w:p w14:paraId="678F24D6" w14:textId="77777777" w:rsidR="00BE5DAD" w:rsidRDefault="00BE5DAD">
                                <w:r>
                                  <w:rPr>
                                    <w:noProof/>
                                  </w:rPr>
                                  <w:drawing>
                                    <wp:inline distT="0" distB="0" distL="0" distR="0" wp14:anchorId="56B42FF1" wp14:editId="59A00884">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E5DAD" w14:paraId="268E6E4F" w14:textId="77777777">
                            <w:trPr>
                              <w:trHeight w:hRule="exact" w:val="4320"/>
                            </w:trPr>
                            <w:tc>
                              <w:tcPr>
                                <w:tcW w:w="5000" w:type="pct"/>
                                <w:shd w:val="clear" w:color="auto" w:fill="4472C4" w:themeFill="accent1"/>
                                <w:vAlign w:val="center"/>
                              </w:tcPr>
                              <w:p w14:paraId="029217A9" w14:textId="3FE0ED09" w:rsidR="00BE5DAD" w:rsidRDefault="00D93DB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BE5DAD">
                                      <w:rPr>
                                        <w:rFonts w:asciiTheme="majorHAnsi" w:hAnsiTheme="majorHAnsi"/>
                                        <w:color w:val="FFFFFF" w:themeColor="background1"/>
                                        <w:sz w:val="96"/>
                                        <w:szCs w:val="96"/>
                                      </w:rPr>
                                      <w:t>Criminal Law.</w:t>
                                    </w:r>
                                  </w:sdtContent>
                                </w:sdt>
                              </w:p>
                              <w:p w14:paraId="39A26877" w14:textId="5CDD8F7D" w:rsidR="00BE5DAD" w:rsidRDefault="00D93DB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BE5DAD">
                                      <w:rPr>
                                        <w:color w:val="FFFFFF" w:themeColor="background1"/>
                                        <w:sz w:val="32"/>
                                        <w:szCs w:val="32"/>
                                      </w:rPr>
                                      <w:t xml:space="preserve">Non – Fatal Offences Against </w:t>
                                    </w:r>
                                    <w:proofErr w:type="gramStart"/>
                                    <w:r w:rsidR="00BE5DAD">
                                      <w:rPr>
                                        <w:color w:val="FFFFFF" w:themeColor="background1"/>
                                        <w:sz w:val="32"/>
                                        <w:szCs w:val="32"/>
                                      </w:rPr>
                                      <w:t>The</w:t>
                                    </w:r>
                                    <w:proofErr w:type="gramEnd"/>
                                    <w:r w:rsidR="00BE5DAD">
                                      <w:rPr>
                                        <w:color w:val="FFFFFF" w:themeColor="background1"/>
                                        <w:sz w:val="32"/>
                                        <w:szCs w:val="32"/>
                                      </w:rPr>
                                      <w:t xml:space="preserve"> Person.</w:t>
                                    </w:r>
                                  </w:sdtContent>
                                </w:sdt>
                                <w:r w:rsidR="00BE5DAD">
                                  <w:rPr>
                                    <w:color w:val="FFFFFF" w:themeColor="background1"/>
                                    <w:sz w:val="32"/>
                                    <w:szCs w:val="32"/>
                                  </w:rPr>
                                  <w:t xml:space="preserve"> </w:t>
                                </w:r>
                              </w:p>
                            </w:tc>
                          </w:tr>
                          <w:tr w:rsidR="00BE5DAD" w14:paraId="76FBB33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BE5DAD" w14:paraId="74CD8278"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12A8558" w14:textId="7843CFC4" w:rsidR="00BE5DAD" w:rsidRDefault="00BE5DAD">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3-01T00:00:00Z">
                                          <w:dateFormat w:val="M/d/yy"/>
                                          <w:lid w:val="en-US"/>
                                          <w:storeMappedDataAs w:val="dateTime"/>
                                          <w:calendar w:val="gregorian"/>
                                        </w:date>
                                      </w:sdtPr>
                                      <w:sdtEndPr/>
                                      <w:sdtContent>
                                        <w:p w14:paraId="174A6719" w14:textId="555CC18B" w:rsidR="00BE5DAD" w:rsidRDefault="00BE5DAD">
                                          <w:pPr>
                                            <w:pStyle w:val="NoSpacing"/>
                                            <w:ind w:left="144" w:right="144"/>
                                            <w:jc w:val="center"/>
                                            <w:rPr>
                                              <w:color w:val="FFFFFF" w:themeColor="background1"/>
                                            </w:rPr>
                                          </w:pPr>
                                          <w:r>
                                            <w:rPr>
                                              <w:color w:val="FFFFFF" w:themeColor="background1"/>
                                            </w:rPr>
                                            <w:t>3/1/21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1C61F3AA" w14:textId="45E0105A" w:rsidR="00BE5DAD" w:rsidRDefault="00BE5DAD">
                                          <w:pPr>
                                            <w:pStyle w:val="NoSpacing"/>
                                            <w:ind w:left="144" w:right="720"/>
                                            <w:jc w:val="right"/>
                                            <w:rPr>
                                              <w:color w:val="FFFFFF" w:themeColor="background1"/>
                                            </w:rPr>
                                          </w:pPr>
                                          <w:r>
                                            <w:rPr>
                                              <w:color w:val="FFFFFF" w:themeColor="background1"/>
                                            </w:rPr>
                                            <w:t>Criminal Law (BMLW4002).</w:t>
                                          </w:r>
                                        </w:p>
                                      </w:tc>
                                    </w:sdtContent>
                                  </w:sdt>
                                </w:tr>
                              </w:tbl>
                              <w:p w14:paraId="0B131AE6" w14:textId="77777777" w:rsidR="00BE5DAD" w:rsidRDefault="00BE5DAD"/>
                            </w:tc>
                          </w:tr>
                        </w:tbl>
                        <w:p w14:paraId="3116E74D" w14:textId="77777777" w:rsidR="00BE5DAD" w:rsidRDefault="00BE5DAD"/>
                      </w:txbxContent>
                    </v:textbox>
                    <w10:wrap anchorx="page" anchory="page"/>
                  </v:shape>
                </w:pict>
              </mc:Fallback>
            </mc:AlternateContent>
          </w:r>
        </w:p>
        <w:p w14:paraId="4C51D631" w14:textId="68F5FE1D" w:rsidR="00BE5DAD" w:rsidRDefault="00BE5DAD">
          <w:r>
            <w:br w:type="page"/>
          </w:r>
        </w:p>
      </w:sdtContent>
    </w:sdt>
    <w:p w14:paraId="75AC2187" w14:textId="3FE7F376" w:rsidR="00BE5DAD" w:rsidRDefault="00BE5DAD" w:rsidP="00BE5DAD">
      <w:pPr>
        <w:spacing w:line="480" w:lineRule="auto"/>
        <w:rPr>
          <w:rFonts w:ascii="Arial" w:hAnsi="Arial" w:cs="Arial"/>
          <w:sz w:val="24"/>
          <w:szCs w:val="24"/>
        </w:rPr>
      </w:pPr>
      <w:r>
        <w:rPr>
          <w:rFonts w:ascii="Arial" w:hAnsi="Arial" w:cs="Arial"/>
          <w:sz w:val="24"/>
          <w:szCs w:val="24"/>
        </w:rPr>
        <w:lastRenderedPageBreak/>
        <w:t xml:space="preserve">There has to be much more efficiency and clarity on the law in relation to non – fatal offences against the person as the legislation on what would govern these offences is over one hundred and fifty years old, and things have moved on from the Victorian era. Reform for this is in need to bring it up to date. </w:t>
      </w:r>
    </w:p>
    <w:p w14:paraId="4073D69A" w14:textId="483E0215" w:rsidR="00BE5DAD" w:rsidRDefault="00BE5DAD" w:rsidP="00BE5DAD">
      <w:pPr>
        <w:spacing w:line="480" w:lineRule="auto"/>
        <w:rPr>
          <w:rFonts w:ascii="Arial" w:hAnsi="Arial" w:cs="Arial"/>
          <w:sz w:val="24"/>
          <w:szCs w:val="24"/>
        </w:rPr>
      </w:pPr>
      <w:r>
        <w:rPr>
          <w:rFonts w:ascii="Arial" w:hAnsi="Arial" w:cs="Arial"/>
          <w:sz w:val="24"/>
          <w:szCs w:val="24"/>
        </w:rPr>
        <w:t xml:space="preserve">Contained in the 1861 Act, offences against the person has the use of outdated language which </w:t>
      </w:r>
      <w:proofErr w:type="gramStart"/>
      <w:r>
        <w:rPr>
          <w:rFonts w:ascii="Arial" w:hAnsi="Arial" w:cs="Arial"/>
          <w:sz w:val="24"/>
          <w:szCs w:val="24"/>
        </w:rPr>
        <w:t>in today’s society</w:t>
      </w:r>
      <w:proofErr w:type="gramEnd"/>
      <w:r>
        <w:rPr>
          <w:rFonts w:ascii="Arial" w:hAnsi="Arial" w:cs="Arial"/>
          <w:sz w:val="24"/>
          <w:szCs w:val="24"/>
        </w:rPr>
        <w:t xml:space="preserve"> would not be acceptable. Also, any offences need to be made a lot clearer, this in turn would be made cheaper as cases would drop from the Crown Court to a Magistrate</w:t>
      </w:r>
      <w:r w:rsidR="003A17F8">
        <w:rPr>
          <w:rFonts w:ascii="Arial" w:hAnsi="Arial" w:cs="Arial"/>
          <w:sz w:val="24"/>
          <w:szCs w:val="24"/>
        </w:rPr>
        <w:t>s court. The reform of this would also help to save a lot of time.</w:t>
      </w:r>
    </w:p>
    <w:p w14:paraId="0DE2B44D" w14:textId="3C4BB0A6" w:rsidR="003A17F8" w:rsidRDefault="003A17F8" w:rsidP="00BE5DAD">
      <w:pPr>
        <w:spacing w:line="480" w:lineRule="auto"/>
        <w:rPr>
          <w:rFonts w:ascii="Arial" w:hAnsi="Arial" w:cs="Arial"/>
          <w:sz w:val="24"/>
          <w:szCs w:val="24"/>
        </w:rPr>
      </w:pPr>
      <w:r>
        <w:rPr>
          <w:rFonts w:ascii="Arial" w:hAnsi="Arial" w:cs="Arial"/>
          <w:sz w:val="24"/>
          <w:szCs w:val="24"/>
        </w:rPr>
        <w:t xml:space="preserve">Attempts have been made to discuss the Offences Against the person Act but so far have not been very forthcoming. To have a reform for this Act would be in the publics interest as this would show that the government do not wish to alienate anyone whom this would apply to. </w:t>
      </w:r>
      <w:proofErr w:type="gramStart"/>
      <w:r>
        <w:rPr>
          <w:rFonts w:ascii="Arial" w:hAnsi="Arial" w:cs="Arial"/>
          <w:sz w:val="24"/>
          <w:szCs w:val="24"/>
        </w:rPr>
        <w:t xml:space="preserve">( </w:t>
      </w:r>
      <w:proofErr w:type="spellStart"/>
      <w:r>
        <w:rPr>
          <w:rFonts w:ascii="Arial" w:hAnsi="Arial" w:cs="Arial"/>
          <w:sz w:val="24"/>
          <w:szCs w:val="24"/>
        </w:rPr>
        <w:t>Eugenicos</w:t>
      </w:r>
      <w:proofErr w:type="spellEnd"/>
      <w:proofErr w:type="gramEnd"/>
      <w:r>
        <w:rPr>
          <w:rFonts w:ascii="Arial" w:hAnsi="Arial" w:cs="Arial"/>
          <w:sz w:val="24"/>
          <w:szCs w:val="24"/>
        </w:rPr>
        <w:t xml:space="preserve"> – 2017).</w:t>
      </w:r>
    </w:p>
    <w:p w14:paraId="56FE0455" w14:textId="5F8251C2" w:rsidR="00190677" w:rsidRDefault="00190677" w:rsidP="00BE5DAD">
      <w:pPr>
        <w:spacing w:line="480" w:lineRule="auto"/>
        <w:rPr>
          <w:rFonts w:ascii="Arial" w:hAnsi="Arial" w:cs="Arial"/>
          <w:sz w:val="24"/>
          <w:szCs w:val="24"/>
        </w:rPr>
      </w:pPr>
      <w:proofErr w:type="gramStart"/>
      <w:r>
        <w:rPr>
          <w:rFonts w:ascii="Arial" w:hAnsi="Arial" w:cs="Arial"/>
          <w:sz w:val="24"/>
          <w:szCs w:val="24"/>
        </w:rPr>
        <w:t>In regard to</w:t>
      </w:r>
      <w:proofErr w:type="gramEnd"/>
      <w:r>
        <w:rPr>
          <w:rFonts w:ascii="Arial" w:hAnsi="Arial" w:cs="Arial"/>
          <w:sz w:val="24"/>
          <w:szCs w:val="24"/>
        </w:rPr>
        <w:t xml:space="preserve"> the 1861 Act, Offences Against the Person there needs to be a new offence of aggravated assault. This should help to put in place what was known as a common assault and more serious cases of actual bodily harm (ABH). </w:t>
      </w:r>
      <w:r w:rsidR="002B47F2">
        <w:rPr>
          <w:rFonts w:ascii="Arial" w:hAnsi="Arial" w:cs="Arial"/>
          <w:sz w:val="24"/>
          <w:szCs w:val="24"/>
        </w:rPr>
        <w:t>Also,</w:t>
      </w:r>
      <w:r>
        <w:rPr>
          <w:rFonts w:ascii="Arial" w:hAnsi="Arial" w:cs="Arial"/>
          <w:sz w:val="24"/>
          <w:szCs w:val="24"/>
        </w:rPr>
        <w:t xml:space="preserve"> any extension of offences for threats to take someone’s life should also include rape and serious injury too.</w:t>
      </w:r>
    </w:p>
    <w:p w14:paraId="6A3B4790" w14:textId="3D32FAAF" w:rsidR="00190677" w:rsidRDefault="00190677" w:rsidP="00BE5DAD">
      <w:pPr>
        <w:spacing w:line="480" w:lineRule="auto"/>
        <w:rPr>
          <w:rFonts w:ascii="Arial" w:hAnsi="Arial" w:cs="Arial"/>
          <w:sz w:val="24"/>
          <w:szCs w:val="24"/>
        </w:rPr>
      </w:pPr>
      <w:r>
        <w:rPr>
          <w:rFonts w:ascii="Arial" w:hAnsi="Arial" w:cs="Arial"/>
          <w:sz w:val="24"/>
          <w:szCs w:val="24"/>
        </w:rPr>
        <w:t xml:space="preserve">There are more than a million cases or more each year which are heard under the Offences Against the Person Act of 1861 and quite a lot more heard for assault too. The 1861 Act is hard to follow and understand, this is due to the contents which are well out of date for a modern society like ours. Words like felony would no longer be permissible and are not even recognised in law anymore. Offences of impending or trying to leave from a shipwreck are too well outdated and no longer recognised. </w:t>
      </w:r>
      <w:r w:rsidR="00ED3A69">
        <w:rPr>
          <w:rFonts w:ascii="Arial" w:hAnsi="Arial" w:cs="Arial"/>
          <w:sz w:val="24"/>
          <w:szCs w:val="24"/>
        </w:rPr>
        <w:t>So,</w:t>
      </w:r>
      <w:r>
        <w:rPr>
          <w:rFonts w:ascii="Arial" w:hAnsi="Arial" w:cs="Arial"/>
          <w:sz w:val="24"/>
          <w:szCs w:val="24"/>
        </w:rPr>
        <w:t xml:space="preserve"> </w:t>
      </w:r>
      <w:r>
        <w:rPr>
          <w:rFonts w:ascii="Arial" w:hAnsi="Arial" w:cs="Arial"/>
          <w:sz w:val="24"/>
          <w:szCs w:val="24"/>
        </w:rPr>
        <w:lastRenderedPageBreak/>
        <w:t xml:space="preserve">as you can see there is </w:t>
      </w:r>
      <w:proofErr w:type="gramStart"/>
      <w:r>
        <w:rPr>
          <w:rFonts w:ascii="Arial" w:hAnsi="Arial" w:cs="Arial"/>
          <w:sz w:val="24"/>
          <w:szCs w:val="24"/>
        </w:rPr>
        <w:t>definitely a</w:t>
      </w:r>
      <w:proofErr w:type="gramEnd"/>
      <w:r>
        <w:rPr>
          <w:rFonts w:ascii="Arial" w:hAnsi="Arial" w:cs="Arial"/>
          <w:sz w:val="24"/>
          <w:szCs w:val="24"/>
        </w:rPr>
        <w:t xml:space="preserve"> need for reform to the 1861 Act. The 1861 Act covers things like actual bodily harm (ABH) and grievous bodily harm (GBH</w:t>
      </w:r>
      <w:r w:rsidR="00885985">
        <w:rPr>
          <w:rFonts w:ascii="Arial" w:hAnsi="Arial" w:cs="Arial"/>
          <w:sz w:val="24"/>
          <w:szCs w:val="24"/>
        </w:rPr>
        <w:t>) but</w:t>
      </w:r>
      <w:r>
        <w:rPr>
          <w:rFonts w:ascii="Arial" w:hAnsi="Arial" w:cs="Arial"/>
          <w:sz w:val="24"/>
          <w:szCs w:val="24"/>
        </w:rPr>
        <w:t xml:space="preserve"> are not clearly defined as to order of their seriousness</w:t>
      </w:r>
      <w:r w:rsidR="00885985">
        <w:rPr>
          <w:rFonts w:ascii="Arial" w:hAnsi="Arial" w:cs="Arial"/>
          <w:sz w:val="24"/>
          <w:szCs w:val="24"/>
        </w:rPr>
        <w:t xml:space="preserve">. Hopefully a new Bill would be clearer, more concise, and easier to understand. Also, to be introduced to a new Bill would have to be that a defendant had to have foreseen any level of harm that they are likely to cause to the victim(s). </w:t>
      </w:r>
      <w:r w:rsidR="00676144">
        <w:rPr>
          <w:rFonts w:ascii="Arial" w:hAnsi="Arial" w:cs="Arial"/>
          <w:sz w:val="24"/>
          <w:szCs w:val="24"/>
        </w:rPr>
        <w:t>(Law Commission 2015 report).</w:t>
      </w:r>
    </w:p>
    <w:p w14:paraId="549428EF" w14:textId="3EC49610" w:rsidR="002B47F2" w:rsidRDefault="00B646E6" w:rsidP="00BE5DAD">
      <w:pPr>
        <w:spacing w:line="480" w:lineRule="auto"/>
        <w:rPr>
          <w:rFonts w:ascii="Arial" w:hAnsi="Arial" w:cs="Arial"/>
          <w:sz w:val="24"/>
          <w:szCs w:val="24"/>
        </w:rPr>
      </w:pPr>
      <w:r>
        <w:rPr>
          <w:rFonts w:ascii="Arial" w:hAnsi="Arial" w:cs="Arial"/>
          <w:sz w:val="24"/>
          <w:szCs w:val="24"/>
        </w:rPr>
        <w:t>The hierarchy of offences which are contained within the Act are unclear and rather difficult to follow. These offences would be a section 18, this is wounding or grievous bodily harm (GBH) with intent, a section 20</w:t>
      </w:r>
      <w:r w:rsidR="00E16013">
        <w:rPr>
          <w:rFonts w:ascii="Arial" w:hAnsi="Arial" w:cs="Arial"/>
          <w:sz w:val="24"/>
          <w:szCs w:val="24"/>
        </w:rPr>
        <w:t xml:space="preserve"> is wounding </w:t>
      </w:r>
      <w:proofErr w:type="gramStart"/>
      <w:r w:rsidR="00E16013">
        <w:rPr>
          <w:rFonts w:ascii="Arial" w:hAnsi="Arial" w:cs="Arial"/>
          <w:sz w:val="24"/>
          <w:szCs w:val="24"/>
        </w:rPr>
        <w:t>and also</w:t>
      </w:r>
      <w:proofErr w:type="gramEnd"/>
      <w:r w:rsidR="00E16013">
        <w:rPr>
          <w:rFonts w:ascii="Arial" w:hAnsi="Arial" w:cs="Arial"/>
          <w:sz w:val="24"/>
          <w:szCs w:val="24"/>
        </w:rPr>
        <w:t xml:space="preserve"> inflicting grievous bodily harm (GBH). Section 47 would be an assault with occasioning actual bodily harm (ABH) a section 39 is for battery </w:t>
      </w:r>
      <w:proofErr w:type="gramStart"/>
      <w:r w:rsidR="00E16013">
        <w:rPr>
          <w:rFonts w:ascii="Arial" w:hAnsi="Arial" w:cs="Arial"/>
          <w:sz w:val="24"/>
          <w:szCs w:val="24"/>
        </w:rPr>
        <w:t>and also</w:t>
      </w:r>
      <w:proofErr w:type="gramEnd"/>
      <w:r w:rsidR="00E16013">
        <w:rPr>
          <w:rFonts w:ascii="Arial" w:hAnsi="Arial" w:cs="Arial"/>
          <w:sz w:val="24"/>
          <w:szCs w:val="24"/>
        </w:rPr>
        <w:t xml:space="preserve"> for common assault. With a common assault the Actus Reus would cause the victim to apprehend any immediate application of unlawful physical force. (There </w:t>
      </w:r>
      <w:proofErr w:type="gramStart"/>
      <w:r w:rsidR="00E16013">
        <w:rPr>
          <w:rFonts w:ascii="Arial" w:hAnsi="Arial" w:cs="Arial"/>
          <w:sz w:val="24"/>
          <w:szCs w:val="24"/>
        </w:rPr>
        <w:t>has to</w:t>
      </w:r>
      <w:proofErr w:type="gramEnd"/>
      <w:r w:rsidR="00E16013">
        <w:rPr>
          <w:rFonts w:ascii="Arial" w:hAnsi="Arial" w:cs="Arial"/>
          <w:sz w:val="24"/>
          <w:szCs w:val="24"/>
        </w:rPr>
        <w:t xml:space="preserve"> be no need of any physical contact). With </w:t>
      </w:r>
      <w:proofErr w:type="spellStart"/>
      <w:r w:rsidR="00E16013">
        <w:rPr>
          <w:rFonts w:ascii="Arial" w:hAnsi="Arial" w:cs="Arial"/>
          <w:sz w:val="24"/>
          <w:szCs w:val="24"/>
        </w:rPr>
        <w:t>Mens</w:t>
      </w:r>
      <w:proofErr w:type="spellEnd"/>
      <w:r w:rsidR="00E16013">
        <w:rPr>
          <w:rFonts w:ascii="Arial" w:hAnsi="Arial" w:cs="Arial"/>
          <w:sz w:val="24"/>
          <w:szCs w:val="24"/>
        </w:rPr>
        <w:t xml:space="preserve"> Rea there is an intention or subjective recklessness which could cause the victim to apprehend immediate application of any unlawful physical force.</w:t>
      </w:r>
      <w:r w:rsidR="002B47F2">
        <w:rPr>
          <w:rFonts w:ascii="Arial" w:hAnsi="Arial" w:cs="Arial"/>
          <w:sz w:val="24"/>
          <w:szCs w:val="24"/>
        </w:rPr>
        <w:t xml:space="preserve"> (Child and Ormerod 2017).</w:t>
      </w:r>
    </w:p>
    <w:p w14:paraId="622CC7BB" w14:textId="2C7E4E84" w:rsidR="007C2B80" w:rsidRDefault="002B47F2" w:rsidP="00BE5DAD">
      <w:pPr>
        <w:spacing w:line="480" w:lineRule="auto"/>
        <w:rPr>
          <w:rFonts w:ascii="Arial" w:hAnsi="Arial" w:cs="Arial"/>
          <w:sz w:val="24"/>
          <w:szCs w:val="24"/>
        </w:rPr>
      </w:pPr>
      <w:r>
        <w:rPr>
          <w:rFonts w:ascii="Arial" w:hAnsi="Arial" w:cs="Arial"/>
          <w:sz w:val="24"/>
          <w:szCs w:val="24"/>
        </w:rPr>
        <w:t xml:space="preserve">The case of R V Brown of 1993 is where five defendants decided to engage in a sadomasochistic act which in turn resulted in actual bodily harm (ABH) </w:t>
      </w:r>
      <w:proofErr w:type="gramStart"/>
      <w:r>
        <w:rPr>
          <w:rFonts w:ascii="Arial" w:hAnsi="Arial" w:cs="Arial"/>
          <w:sz w:val="24"/>
          <w:szCs w:val="24"/>
        </w:rPr>
        <w:t>and also</w:t>
      </w:r>
      <w:proofErr w:type="gramEnd"/>
      <w:r>
        <w:rPr>
          <w:rFonts w:ascii="Arial" w:hAnsi="Arial" w:cs="Arial"/>
          <w:sz w:val="24"/>
          <w:szCs w:val="24"/>
        </w:rPr>
        <w:t xml:space="preserve"> grievous bodily harm (GBH). Not any of the participants reported this to the authorities, but the Crown Prosecution service (CPS) sort upon the use of evidence from a video that they had obtained.</w:t>
      </w:r>
      <w:r w:rsidR="007C2B80">
        <w:rPr>
          <w:rFonts w:ascii="Arial" w:hAnsi="Arial" w:cs="Arial"/>
          <w:sz w:val="24"/>
          <w:szCs w:val="24"/>
        </w:rPr>
        <w:t xml:space="preserve"> All participants encountered pleasure as well as pain from these acts which they chose to participate in, so actual bodily harm and grievous bodily harm could not be consented to. These acts were deemed to be unlawful, but only based upon the moral opinions of the judges. </w:t>
      </w:r>
      <w:proofErr w:type="gramStart"/>
      <w:r w:rsidR="007C2B80">
        <w:rPr>
          <w:rFonts w:ascii="Arial" w:hAnsi="Arial" w:cs="Arial"/>
          <w:sz w:val="24"/>
          <w:szCs w:val="24"/>
        </w:rPr>
        <w:t>The majority of</w:t>
      </w:r>
      <w:proofErr w:type="gramEnd"/>
      <w:r w:rsidR="007C2B80">
        <w:rPr>
          <w:rFonts w:ascii="Arial" w:hAnsi="Arial" w:cs="Arial"/>
          <w:sz w:val="24"/>
          <w:szCs w:val="24"/>
        </w:rPr>
        <w:t xml:space="preserve"> the prosecutors had not correctly applied two of the offences which are stated in the </w:t>
      </w:r>
      <w:r w:rsidR="007C2B80">
        <w:rPr>
          <w:rFonts w:ascii="Arial" w:hAnsi="Arial" w:cs="Arial"/>
          <w:sz w:val="24"/>
          <w:szCs w:val="24"/>
        </w:rPr>
        <w:lastRenderedPageBreak/>
        <w:t xml:space="preserve">1861 Act, Offences Against the Person. These two rather vital offences are a section 20 and section 47. Within this case, battery can be consented to sadomasochistic acts which would cause actual bodily harm (ABH), but this does not fall into a category of acts which can be permitted by a public policy. Grievous bodily harm (GBH) cannot be consented to in this </w:t>
      </w:r>
      <w:proofErr w:type="gramStart"/>
      <w:r w:rsidR="007C2B80">
        <w:rPr>
          <w:rFonts w:ascii="Arial" w:hAnsi="Arial" w:cs="Arial"/>
          <w:sz w:val="24"/>
          <w:szCs w:val="24"/>
        </w:rPr>
        <w:t>particular case</w:t>
      </w:r>
      <w:proofErr w:type="gramEnd"/>
      <w:r w:rsidR="007C2B80">
        <w:rPr>
          <w:rFonts w:ascii="Arial" w:hAnsi="Arial" w:cs="Arial"/>
          <w:sz w:val="24"/>
          <w:szCs w:val="24"/>
        </w:rPr>
        <w:t>. (</w:t>
      </w:r>
      <w:proofErr w:type="spellStart"/>
      <w:r w:rsidR="007C2B80">
        <w:rPr>
          <w:rFonts w:ascii="Arial" w:hAnsi="Arial" w:cs="Arial"/>
          <w:sz w:val="24"/>
          <w:szCs w:val="24"/>
        </w:rPr>
        <w:t>We</w:t>
      </w:r>
      <w:r w:rsidR="00470E8F">
        <w:rPr>
          <w:rFonts w:ascii="Arial" w:hAnsi="Arial" w:cs="Arial"/>
          <w:sz w:val="24"/>
          <w:szCs w:val="24"/>
        </w:rPr>
        <w:t>bstroke</w:t>
      </w:r>
      <w:proofErr w:type="spellEnd"/>
      <w:r w:rsidR="00470E8F">
        <w:rPr>
          <w:rFonts w:ascii="Arial" w:hAnsi="Arial" w:cs="Arial"/>
          <w:sz w:val="24"/>
          <w:szCs w:val="24"/>
        </w:rPr>
        <w:t>).</w:t>
      </w:r>
    </w:p>
    <w:p w14:paraId="0496D76D" w14:textId="5C3A5FE6" w:rsidR="00470E8F" w:rsidRDefault="00470E8F" w:rsidP="00BE5DAD">
      <w:pPr>
        <w:spacing w:line="480" w:lineRule="auto"/>
        <w:rPr>
          <w:rFonts w:ascii="Arial" w:hAnsi="Arial" w:cs="Arial"/>
          <w:sz w:val="24"/>
          <w:szCs w:val="24"/>
        </w:rPr>
      </w:pPr>
      <w:r>
        <w:rPr>
          <w:rFonts w:ascii="Arial" w:hAnsi="Arial" w:cs="Arial"/>
          <w:sz w:val="24"/>
          <w:szCs w:val="24"/>
        </w:rPr>
        <w:t>This is also deemed possible for the defendant to commit a non – fatal offence even when the victim has consented to, and even gained pleasure from the defendant’s actions. (Child and Ormerod 2017).</w:t>
      </w:r>
    </w:p>
    <w:p w14:paraId="467DDCB6" w14:textId="6A518EB5" w:rsidR="00B61586" w:rsidRDefault="00B61586" w:rsidP="00BE5DAD">
      <w:pPr>
        <w:spacing w:line="480" w:lineRule="auto"/>
        <w:rPr>
          <w:rFonts w:ascii="Arial" w:hAnsi="Arial" w:cs="Arial"/>
          <w:sz w:val="24"/>
          <w:szCs w:val="24"/>
        </w:rPr>
      </w:pPr>
      <w:r>
        <w:rPr>
          <w:rFonts w:ascii="Arial" w:hAnsi="Arial" w:cs="Arial"/>
          <w:sz w:val="24"/>
          <w:szCs w:val="24"/>
        </w:rPr>
        <w:t>As well as dramatically cutting court costs, these new offences would allow for a greater change, for example violent assaults could be charged at a better level. Most cases of actual bodily harm (ABH), are taking up too much time and expenses of the Crown Court and would only receive a twelve-month sentence or even less. For many cases to be deferred from the Crown Court, any assault which cases injuries are charged with a common assault. This fails to even see the violent nature of the offences which are carried out.</w:t>
      </w:r>
    </w:p>
    <w:p w14:paraId="55DCB07C" w14:textId="4E27AE89" w:rsidR="00B61586" w:rsidRDefault="00B61586" w:rsidP="00BE5DAD">
      <w:pPr>
        <w:spacing w:line="480" w:lineRule="auto"/>
        <w:rPr>
          <w:rFonts w:ascii="Arial" w:hAnsi="Arial" w:cs="Arial"/>
          <w:sz w:val="24"/>
          <w:szCs w:val="24"/>
        </w:rPr>
      </w:pPr>
      <w:r>
        <w:rPr>
          <w:rFonts w:ascii="Arial" w:hAnsi="Arial" w:cs="Arial"/>
          <w:sz w:val="24"/>
          <w:szCs w:val="24"/>
        </w:rPr>
        <w:t>In the case of R V Spratt of 1991, the defendant fired an air pistol from the window of his flat, in doing this he hit a seven-year-old child whom he had not seen. The court went on to say that the test for recklessness in assault occasioning actual bodily harm was subjective (how the defendant portrayed it) and this was later approved in two other cases. R V Savage and R V Parmenter.</w:t>
      </w:r>
    </w:p>
    <w:p w14:paraId="635F979B" w14:textId="3DC9F96B" w:rsidR="00C33198" w:rsidRDefault="00C33198" w:rsidP="00BE5DAD">
      <w:pPr>
        <w:spacing w:line="480" w:lineRule="auto"/>
        <w:rPr>
          <w:rFonts w:ascii="Arial" w:hAnsi="Arial" w:cs="Arial"/>
          <w:sz w:val="24"/>
          <w:szCs w:val="24"/>
        </w:rPr>
      </w:pPr>
      <w:r>
        <w:rPr>
          <w:rFonts w:ascii="Arial" w:hAnsi="Arial" w:cs="Arial"/>
          <w:sz w:val="24"/>
          <w:szCs w:val="24"/>
        </w:rPr>
        <w:t xml:space="preserve">The 1861 Act uses out of date language. In England and Wales, the death penalty is no longer viable, also words like penal servitude or to slay the deceased are not used. For a letter threatening murder was up to ten years, but no less than three years. Or you maybe imprisoned for any term not exceeding two years with or </w:t>
      </w:r>
      <w:r>
        <w:rPr>
          <w:rFonts w:ascii="Arial" w:hAnsi="Arial" w:cs="Arial"/>
          <w:sz w:val="24"/>
          <w:szCs w:val="24"/>
        </w:rPr>
        <w:lastRenderedPageBreak/>
        <w:t xml:space="preserve">without hard labour. In today’s modern society that would never work. The punishment does not fit the crime. The above, for threatening murder is too harsh as no one has committed a murder just written it in a letter. </w:t>
      </w:r>
    </w:p>
    <w:p w14:paraId="643EB272" w14:textId="7EED63E9" w:rsidR="006B3AAE" w:rsidRDefault="006B3AAE" w:rsidP="00BE5DAD">
      <w:pPr>
        <w:spacing w:line="480" w:lineRule="auto"/>
        <w:rPr>
          <w:rFonts w:ascii="Arial" w:hAnsi="Arial" w:cs="Arial"/>
          <w:sz w:val="24"/>
          <w:szCs w:val="24"/>
        </w:rPr>
      </w:pPr>
      <w:r>
        <w:rPr>
          <w:rFonts w:ascii="Arial" w:hAnsi="Arial" w:cs="Arial"/>
          <w:sz w:val="24"/>
          <w:szCs w:val="24"/>
        </w:rPr>
        <w:t xml:space="preserve">The 1861 Act needs reform as the punishments do not seem to fit the crimes of today’s society. The wording which has been used in the Offences Against the Person Act 1861 seems so Dickensian, out of touch </w:t>
      </w:r>
      <w:proofErr w:type="gramStart"/>
      <w:r>
        <w:rPr>
          <w:rFonts w:ascii="Arial" w:hAnsi="Arial" w:cs="Arial"/>
          <w:sz w:val="24"/>
          <w:szCs w:val="24"/>
        </w:rPr>
        <w:t>and also</w:t>
      </w:r>
      <w:proofErr w:type="gramEnd"/>
      <w:r>
        <w:rPr>
          <w:rFonts w:ascii="Arial" w:hAnsi="Arial" w:cs="Arial"/>
          <w:sz w:val="24"/>
          <w:szCs w:val="24"/>
        </w:rPr>
        <w:t xml:space="preserve"> well out of date. This Act was written in the reign of Queen Victoria (1838 – 1901) and now in great demand for a reform while in the reign of Queen Elizabeth 2</w:t>
      </w:r>
      <w:r w:rsidRPr="006B3AAE">
        <w:rPr>
          <w:rFonts w:ascii="Arial" w:hAnsi="Arial" w:cs="Arial"/>
          <w:sz w:val="24"/>
          <w:szCs w:val="24"/>
          <w:vertAlign w:val="superscript"/>
        </w:rPr>
        <w:t>nd</w:t>
      </w:r>
      <w:r>
        <w:rPr>
          <w:rFonts w:ascii="Arial" w:hAnsi="Arial" w:cs="Arial"/>
          <w:sz w:val="24"/>
          <w:szCs w:val="24"/>
        </w:rPr>
        <w:t xml:space="preserve"> (1953 – present date). (The Offences Against the Person Act 1861 – The Parliament of Great Britain and Ireland).</w:t>
      </w:r>
    </w:p>
    <w:p w14:paraId="741EEB49" w14:textId="3651879A" w:rsidR="006B3AAE" w:rsidRDefault="006B3AAE" w:rsidP="00BE5DAD">
      <w:pPr>
        <w:spacing w:line="480" w:lineRule="auto"/>
        <w:rPr>
          <w:rFonts w:ascii="Arial" w:hAnsi="Arial" w:cs="Arial"/>
          <w:sz w:val="24"/>
          <w:szCs w:val="24"/>
        </w:rPr>
      </w:pPr>
      <w:r>
        <w:rPr>
          <w:rFonts w:ascii="Arial" w:hAnsi="Arial" w:cs="Arial"/>
          <w:sz w:val="24"/>
          <w:szCs w:val="24"/>
        </w:rPr>
        <w:t xml:space="preserve">If a reform was to take place today, then this would produce a clear and modern statutory code so that prosecutors are able to better deal with any violent offences. This would also allow for prosecutors to make more efficient use of their time in court. If these offences are properly labelled this can help to make sure that the violent </w:t>
      </w:r>
      <w:r w:rsidR="00C93186">
        <w:rPr>
          <w:rFonts w:ascii="Arial" w:hAnsi="Arial" w:cs="Arial"/>
          <w:sz w:val="24"/>
          <w:szCs w:val="24"/>
        </w:rPr>
        <w:t>behaviour is recognised for what it is. (Law commission – Reforming the law 2015).</w:t>
      </w:r>
    </w:p>
    <w:p w14:paraId="70CBFA48" w14:textId="1A096E03" w:rsidR="00C93186" w:rsidRDefault="00C93186" w:rsidP="00BE5DAD">
      <w:pPr>
        <w:spacing w:line="480" w:lineRule="auto"/>
        <w:rPr>
          <w:rFonts w:ascii="Arial" w:hAnsi="Arial" w:cs="Arial"/>
          <w:sz w:val="24"/>
          <w:szCs w:val="24"/>
        </w:rPr>
      </w:pPr>
      <w:r>
        <w:rPr>
          <w:rFonts w:ascii="Arial" w:hAnsi="Arial" w:cs="Arial"/>
          <w:sz w:val="24"/>
          <w:szCs w:val="24"/>
        </w:rPr>
        <w:t xml:space="preserve">The R V Burstow case was were the defendant was harassing and writing menacing letters to the victim, (ex-girlfriend). The victim then suffered with severe clinical depression </w:t>
      </w:r>
      <w:proofErr w:type="gramStart"/>
      <w:r>
        <w:rPr>
          <w:rFonts w:ascii="Arial" w:hAnsi="Arial" w:cs="Arial"/>
          <w:sz w:val="24"/>
          <w:szCs w:val="24"/>
        </w:rPr>
        <w:t>as a result of</w:t>
      </w:r>
      <w:proofErr w:type="gramEnd"/>
      <w:r>
        <w:rPr>
          <w:rFonts w:ascii="Arial" w:hAnsi="Arial" w:cs="Arial"/>
          <w:sz w:val="24"/>
          <w:szCs w:val="24"/>
        </w:rPr>
        <w:t xml:space="preserve"> what the defendant had put her through. Lord Steyn went on to state that grievous bodily harm (GBH) can be inflicted in a form of psychiatric damage and that no physical harm needs to occur. This is taken from section four paragraph one of the protection from the Harassment Act 1997, this can only be applied as a result of a cause of conduct when the victim has a reason to fear, on two or more occasions and that violence maybe used against them. Steyn also went </w:t>
      </w:r>
      <w:r>
        <w:rPr>
          <w:rFonts w:ascii="Arial" w:hAnsi="Arial" w:cs="Arial"/>
          <w:sz w:val="24"/>
          <w:szCs w:val="24"/>
        </w:rPr>
        <w:lastRenderedPageBreak/>
        <w:t>on to say that the provision of these two statutes are not suited to deal with this problem</w:t>
      </w:r>
      <w:r w:rsidR="00FE511B">
        <w:rPr>
          <w:rFonts w:ascii="Arial" w:hAnsi="Arial" w:cs="Arial"/>
          <w:sz w:val="24"/>
          <w:szCs w:val="24"/>
        </w:rPr>
        <w:t>, so you would therefore need to look elsewhere. (</w:t>
      </w:r>
      <w:hyperlink r:id="rId7" w:history="1">
        <w:r w:rsidR="00FE511B" w:rsidRPr="00A74A6F">
          <w:rPr>
            <w:rStyle w:val="Hyperlink"/>
            <w:rFonts w:ascii="Arial" w:hAnsi="Arial" w:cs="Arial"/>
            <w:sz w:val="24"/>
            <w:szCs w:val="24"/>
          </w:rPr>
          <w:t>www.parliament.uk</w:t>
        </w:r>
      </w:hyperlink>
      <w:r w:rsidR="00FE511B">
        <w:rPr>
          <w:rFonts w:ascii="Arial" w:hAnsi="Arial" w:cs="Arial"/>
          <w:sz w:val="24"/>
          <w:szCs w:val="24"/>
        </w:rPr>
        <w:t xml:space="preserve"> – 1997/1998).</w:t>
      </w:r>
    </w:p>
    <w:p w14:paraId="76CE2182" w14:textId="73EC7516" w:rsidR="00F26BA0" w:rsidRDefault="00F26BA0" w:rsidP="00BE5DAD">
      <w:pPr>
        <w:spacing w:line="480" w:lineRule="auto"/>
        <w:rPr>
          <w:rFonts w:ascii="Arial" w:hAnsi="Arial" w:cs="Arial"/>
          <w:sz w:val="24"/>
          <w:szCs w:val="24"/>
        </w:rPr>
      </w:pPr>
      <w:r>
        <w:rPr>
          <w:rFonts w:ascii="Arial" w:hAnsi="Arial" w:cs="Arial"/>
          <w:sz w:val="24"/>
          <w:szCs w:val="24"/>
        </w:rPr>
        <w:t xml:space="preserve">In the case of R V Chan – </w:t>
      </w:r>
      <w:proofErr w:type="spellStart"/>
      <w:r>
        <w:rPr>
          <w:rFonts w:ascii="Arial" w:hAnsi="Arial" w:cs="Arial"/>
          <w:sz w:val="24"/>
          <w:szCs w:val="24"/>
        </w:rPr>
        <w:t>Fook</w:t>
      </w:r>
      <w:proofErr w:type="spellEnd"/>
      <w:r>
        <w:rPr>
          <w:rFonts w:ascii="Arial" w:hAnsi="Arial" w:cs="Arial"/>
          <w:sz w:val="24"/>
          <w:szCs w:val="24"/>
        </w:rPr>
        <w:t xml:space="preserve"> of 1994 the defendant punched a man who he believed to have been stealing from his shop. The defendant then went on to lock the man in a spare room and due to this the man became hysterical. At the trial the defendant was convicted under a section 47, but this was appealed and the Court of Appeal (COA) had this quashed. The Court of Appeal (COA) did agree that psychiatric harm constitutes towards actual bodily harm (ABH), emotions like fear and panic do not constitute towards this</w:t>
      </w:r>
      <w:r w:rsidR="0006383A">
        <w:rPr>
          <w:rFonts w:ascii="Arial" w:hAnsi="Arial" w:cs="Arial"/>
          <w:sz w:val="24"/>
          <w:szCs w:val="24"/>
        </w:rPr>
        <w:t xml:space="preserve">. With the above case of R V Chan – </w:t>
      </w:r>
      <w:proofErr w:type="spellStart"/>
      <w:r w:rsidR="0006383A">
        <w:rPr>
          <w:rFonts w:ascii="Arial" w:hAnsi="Arial" w:cs="Arial"/>
          <w:sz w:val="24"/>
          <w:szCs w:val="24"/>
        </w:rPr>
        <w:t>Fook</w:t>
      </w:r>
      <w:proofErr w:type="spellEnd"/>
      <w:r w:rsidR="0006383A">
        <w:rPr>
          <w:rFonts w:ascii="Arial" w:hAnsi="Arial" w:cs="Arial"/>
          <w:sz w:val="24"/>
          <w:szCs w:val="24"/>
        </w:rPr>
        <w:t xml:space="preserve"> (1994), psychiatric illness was responsible for amounting to some sort of bodily harm within a section 18,20 and 47 of the Offences Against the Person Act 1861 (OAPA).</w:t>
      </w:r>
    </w:p>
    <w:p w14:paraId="5154BA3D" w14:textId="0364CEC9" w:rsidR="0006383A" w:rsidRDefault="0006383A" w:rsidP="00BE5DAD">
      <w:pPr>
        <w:spacing w:line="480" w:lineRule="auto"/>
        <w:rPr>
          <w:rFonts w:ascii="Arial" w:hAnsi="Arial" w:cs="Arial"/>
          <w:sz w:val="24"/>
          <w:szCs w:val="24"/>
        </w:rPr>
      </w:pPr>
      <w:r>
        <w:rPr>
          <w:rFonts w:ascii="Arial" w:hAnsi="Arial" w:cs="Arial"/>
          <w:sz w:val="24"/>
          <w:szCs w:val="24"/>
        </w:rPr>
        <w:t>An offence under a section 47 would be something like silent telephone calls whereas a section 20 would be in the absence of direct or an indirect force to a person. (O’ Hanlon 1997).</w:t>
      </w:r>
    </w:p>
    <w:p w14:paraId="4D5D971D" w14:textId="24F299E7" w:rsidR="008F504B" w:rsidRDefault="008F504B" w:rsidP="00BE5DAD">
      <w:pPr>
        <w:spacing w:line="480" w:lineRule="auto"/>
        <w:rPr>
          <w:rFonts w:ascii="Arial" w:hAnsi="Arial" w:cs="Arial"/>
          <w:sz w:val="24"/>
          <w:szCs w:val="24"/>
        </w:rPr>
      </w:pPr>
      <w:r>
        <w:rPr>
          <w:rFonts w:ascii="Arial" w:hAnsi="Arial" w:cs="Arial"/>
          <w:sz w:val="24"/>
          <w:szCs w:val="24"/>
        </w:rPr>
        <w:t xml:space="preserve">In a recommendation to extend any threatening offences, would now need to include rape and also any threats made to cause any serious injury and these would need to be tried at the correct level otherwise the outcome would be pretty poor. This may lead to a lesser sentence. </w:t>
      </w:r>
      <w:proofErr w:type="gramStart"/>
      <w:r>
        <w:rPr>
          <w:rFonts w:ascii="Arial" w:hAnsi="Arial" w:cs="Arial"/>
          <w:sz w:val="24"/>
          <w:szCs w:val="24"/>
        </w:rPr>
        <w:t>At the moment</w:t>
      </w:r>
      <w:proofErr w:type="gramEnd"/>
      <w:r>
        <w:rPr>
          <w:rFonts w:ascii="Arial" w:hAnsi="Arial" w:cs="Arial"/>
          <w:sz w:val="24"/>
          <w:szCs w:val="24"/>
        </w:rPr>
        <w:t xml:space="preserve"> there seems to be no offences that would fall between a threat to kill someone which has a ten-year sentence, or a threat to assault someone which would only carry a maximum of six months.</w:t>
      </w:r>
    </w:p>
    <w:p w14:paraId="55947D56" w14:textId="29FBC595" w:rsidR="008F504B" w:rsidRDefault="008F504B" w:rsidP="00BE5DAD">
      <w:pPr>
        <w:spacing w:line="480" w:lineRule="auto"/>
        <w:rPr>
          <w:rFonts w:ascii="Arial" w:hAnsi="Arial" w:cs="Arial"/>
          <w:sz w:val="24"/>
          <w:szCs w:val="24"/>
        </w:rPr>
      </w:pPr>
      <w:proofErr w:type="gramStart"/>
      <w:r>
        <w:rPr>
          <w:rFonts w:ascii="Arial" w:hAnsi="Arial" w:cs="Arial"/>
          <w:sz w:val="24"/>
          <w:szCs w:val="24"/>
        </w:rPr>
        <w:t>Each and every</w:t>
      </w:r>
      <w:proofErr w:type="gramEnd"/>
      <w:r>
        <w:rPr>
          <w:rFonts w:ascii="Arial" w:hAnsi="Arial" w:cs="Arial"/>
          <w:sz w:val="24"/>
          <w:szCs w:val="24"/>
        </w:rPr>
        <w:t xml:space="preserve"> year there could be up to the likes of 2000,000 prosecutions for violent behaviour. But the law that would prosecute these for violent offences is well out of date. This in turn can confuse the courts, the defendants </w:t>
      </w:r>
      <w:proofErr w:type="gramStart"/>
      <w:r>
        <w:rPr>
          <w:rFonts w:ascii="Arial" w:hAnsi="Arial" w:cs="Arial"/>
          <w:sz w:val="24"/>
          <w:szCs w:val="24"/>
        </w:rPr>
        <w:t>and also</w:t>
      </w:r>
      <w:proofErr w:type="gramEnd"/>
      <w:r>
        <w:rPr>
          <w:rFonts w:ascii="Arial" w:hAnsi="Arial" w:cs="Arial"/>
          <w:sz w:val="24"/>
          <w:szCs w:val="24"/>
        </w:rPr>
        <w:t xml:space="preserve"> too the </w:t>
      </w:r>
      <w:r>
        <w:rPr>
          <w:rFonts w:ascii="Arial" w:hAnsi="Arial" w:cs="Arial"/>
          <w:sz w:val="24"/>
          <w:szCs w:val="24"/>
        </w:rPr>
        <w:lastRenderedPageBreak/>
        <w:t>victims themselves. If the recommended reform were to go ahead (as it should) this could produce a clearer and more modern way of being able to deal with these violent offences.</w:t>
      </w:r>
    </w:p>
    <w:p w14:paraId="7723F7B4" w14:textId="76ADD3DE" w:rsidR="007669DB" w:rsidRDefault="008F504B" w:rsidP="00BE5DAD">
      <w:pPr>
        <w:spacing w:line="480" w:lineRule="auto"/>
        <w:rPr>
          <w:rFonts w:ascii="Arial" w:hAnsi="Arial" w:cs="Arial"/>
          <w:sz w:val="24"/>
          <w:szCs w:val="24"/>
        </w:rPr>
      </w:pPr>
      <w:r>
        <w:rPr>
          <w:rFonts w:ascii="Arial" w:hAnsi="Arial" w:cs="Arial"/>
          <w:sz w:val="24"/>
          <w:szCs w:val="24"/>
        </w:rPr>
        <w:t xml:space="preserve">In the summing up of the assignment the Offences Against the Person Act of 1861 (OAPA) is </w:t>
      </w:r>
      <w:r w:rsidR="00EA5B44">
        <w:rPr>
          <w:rFonts w:ascii="Arial" w:hAnsi="Arial" w:cs="Arial"/>
          <w:sz w:val="24"/>
          <w:szCs w:val="24"/>
        </w:rPr>
        <w:t>well outdated</w:t>
      </w:r>
      <w:r>
        <w:rPr>
          <w:rFonts w:ascii="Arial" w:hAnsi="Arial" w:cs="Arial"/>
          <w:sz w:val="24"/>
          <w:szCs w:val="24"/>
        </w:rPr>
        <w:t xml:space="preserve"> and in much need of reform. After trying to read a copy of it, the language is so </w:t>
      </w:r>
      <w:r w:rsidR="00EA5B44">
        <w:rPr>
          <w:rFonts w:ascii="Arial" w:hAnsi="Arial" w:cs="Arial"/>
          <w:sz w:val="24"/>
          <w:szCs w:val="24"/>
        </w:rPr>
        <w:t>pre-Victorian</w:t>
      </w:r>
      <w:r>
        <w:rPr>
          <w:rFonts w:ascii="Arial" w:hAnsi="Arial" w:cs="Arial"/>
          <w:sz w:val="24"/>
          <w:szCs w:val="24"/>
        </w:rPr>
        <w:t xml:space="preserve"> then it is slightly difficult to read and digest</w:t>
      </w:r>
      <w:r w:rsidR="00EA5B44">
        <w:rPr>
          <w:rFonts w:ascii="Arial" w:hAnsi="Arial" w:cs="Arial"/>
          <w:sz w:val="24"/>
          <w:szCs w:val="24"/>
        </w:rPr>
        <w:t>. When reading up some of the cases and trying to add the case to the Offences against the person Act 1861 (OAPA) they did not seem to make sense especially the more modern cases, the older ones from the 1800s or before may have fit this really well. Once the reform takes place and has been passed then there is hope for more clarity on certain cases/offences.</w:t>
      </w:r>
      <w:r w:rsidR="007669DB">
        <w:rPr>
          <w:rFonts w:ascii="Arial" w:hAnsi="Arial" w:cs="Arial"/>
          <w:sz w:val="24"/>
          <w:szCs w:val="24"/>
        </w:rPr>
        <w:t xml:space="preserve"> (Law Commission Reform 2015).</w:t>
      </w:r>
    </w:p>
    <w:p w14:paraId="05A5E5C9" w14:textId="486D067E" w:rsidR="00D15A85" w:rsidRDefault="00D15A85" w:rsidP="00BE5DAD">
      <w:pPr>
        <w:spacing w:line="480" w:lineRule="auto"/>
        <w:rPr>
          <w:rFonts w:ascii="Arial" w:hAnsi="Arial" w:cs="Arial"/>
          <w:sz w:val="24"/>
          <w:szCs w:val="24"/>
        </w:rPr>
      </w:pPr>
    </w:p>
    <w:p w14:paraId="199EEBA3" w14:textId="5D626A49" w:rsidR="00D15A85" w:rsidRDefault="00D15A85" w:rsidP="00BE5DAD">
      <w:pPr>
        <w:spacing w:line="480" w:lineRule="auto"/>
        <w:rPr>
          <w:rFonts w:ascii="Arial" w:hAnsi="Arial" w:cs="Arial"/>
          <w:sz w:val="24"/>
          <w:szCs w:val="24"/>
        </w:rPr>
      </w:pPr>
      <w:r>
        <w:rPr>
          <w:rFonts w:ascii="Arial" w:hAnsi="Arial" w:cs="Arial"/>
          <w:sz w:val="24"/>
          <w:szCs w:val="24"/>
        </w:rPr>
        <w:t xml:space="preserve">Alexandra – Maria </w:t>
      </w:r>
      <w:proofErr w:type="spellStart"/>
      <w:r>
        <w:rPr>
          <w:rFonts w:ascii="Arial" w:hAnsi="Arial" w:cs="Arial"/>
          <w:sz w:val="24"/>
          <w:szCs w:val="24"/>
        </w:rPr>
        <w:t>Eugenicos</w:t>
      </w:r>
      <w:proofErr w:type="spellEnd"/>
      <w:r>
        <w:rPr>
          <w:rFonts w:ascii="Arial" w:hAnsi="Arial" w:cs="Arial"/>
          <w:sz w:val="24"/>
          <w:szCs w:val="24"/>
        </w:rPr>
        <w:t xml:space="preserve"> 2017.</w:t>
      </w:r>
    </w:p>
    <w:p w14:paraId="23944CCF" w14:textId="55EE3071" w:rsidR="00D15A85" w:rsidRDefault="00D15A85" w:rsidP="00BE5DAD">
      <w:pPr>
        <w:spacing w:line="480" w:lineRule="auto"/>
        <w:rPr>
          <w:rFonts w:ascii="Arial" w:hAnsi="Arial" w:cs="Arial"/>
          <w:sz w:val="24"/>
          <w:szCs w:val="24"/>
        </w:rPr>
      </w:pPr>
      <w:r>
        <w:rPr>
          <w:rFonts w:ascii="Arial" w:hAnsi="Arial" w:cs="Arial"/>
          <w:sz w:val="24"/>
          <w:szCs w:val="24"/>
        </w:rPr>
        <w:t>Essentials of Criminal Law – John Child and David Ormerod 2</w:t>
      </w:r>
      <w:r w:rsidRPr="00D15A85">
        <w:rPr>
          <w:rFonts w:ascii="Arial" w:hAnsi="Arial" w:cs="Arial"/>
          <w:sz w:val="24"/>
          <w:szCs w:val="24"/>
          <w:vertAlign w:val="superscript"/>
        </w:rPr>
        <w:t>nd</w:t>
      </w:r>
      <w:r>
        <w:rPr>
          <w:rFonts w:ascii="Arial" w:hAnsi="Arial" w:cs="Arial"/>
          <w:sz w:val="24"/>
          <w:szCs w:val="24"/>
        </w:rPr>
        <w:t xml:space="preserve"> Edition (2017).</w:t>
      </w:r>
    </w:p>
    <w:p w14:paraId="2661FEC0" w14:textId="6E610913" w:rsidR="00D15A85" w:rsidRDefault="00D15A85" w:rsidP="00BE5DAD">
      <w:pPr>
        <w:spacing w:line="480" w:lineRule="auto"/>
        <w:rPr>
          <w:rFonts w:ascii="Arial" w:hAnsi="Arial" w:cs="Arial"/>
          <w:sz w:val="24"/>
          <w:szCs w:val="24"/>
        </w:rPr>
      </w:pPr>
      <w:r>
        <w:rPr>
          <w:rFonts w:ascii="Arial" w:hAnsi="Arial" w:cs="Arial"/>
          <w:sz w:val="24"/>
          <w:szCs w:val="24"/>
        </w:rPr>
        <w:t>The Offences Against the Person Act 1861. The Parliament of Great Britain and Ireland.</w:t>
      </w:r>
    </w:p>
    <w:p w14:paraId="07B3D096" w14:textId="641E7678" w:rsidR="00D93DBE" w:rsidRDefault="00D93DBE" w:rsidP="00BE5DAD">
      <w:pPr>
        <w:spacing w:line="480" w:lineRule="auto"/>
        <w:rPr>
          <w:rFonts w:ascii="Arial" w:hAnsi="Arial" w:cs="Arial"/>
          <w:sz w:val="24"/>
          <w:szCs w:val="24"/>
        </w:rPr>
      </w:pPr>
      <w:r>
        <w:rPr>
          <w:rFonts w:ascii="Arial" w:hAnsi="Arial" w:cs="Arial"/>
          <w:sz w:val="24"/>
          <w:szCs w:val="24"/>
        </w:rPr>
        <w:t xml:space="preserve">https:// </w:t>
      </w:r>
      <w:hyperlink r:id="rId8" w:history="1">
        <w:r w:rsidRPr="00D07691">
          <w:rPr>
            <w:rStyle w:val="Hyperlink"/>
            <w:rFonts w:ascii="Arial" w:hAnsi="Arial" w:cs="Arial"/>
            <w:sz w:val="24"/>
            <w:szCs w:val="24"/>
          </w:rPr>
          <w:t>www.lawcom-gov.uk/offences-against-the-person-modernising-the-law-on-violence-2/</w:t>
        </w:r>
      </w:hyperlink>
    </w:p>
    <w:p w14:paraId="7FB3D1ED" w14:textId="7F170938" w:rsidR="00D93DBE" w:rsidRDefault="00D93DBE" w:rsidP="00BE5DAD">
      <w:pPr>
        <w:spacing w:line="480" w:lineRule="auto"/>
        <w:rPr>
          <w:rFonts w:ascii="Arial" w:hAnsi="Arial" w:cs="Arial"/>
          <w:sz w:val="24"/>
          <w:szCs w:val="24"/>
        </w:rPr>
      </w:pPr>
      <w:hyperlink r:id="rId9" w:history="1">
        <w:r w:rsidRPr="00D07691">
          <w:rPr>
            <w:rStyle w:val="Hyperlink"/>
            <w:rFonts w:ascii="Arial" w:hAnsi="Arial" w:cs="Arial"/>
            <w:sz w:val="24"/>
            <w:szCs w:val="24"/>
          </w:rPr>
          <w:t>https://publications.parliament.uk/pa/id199798/idjudgmt/jd970724/irland/01.htm</w:t>
        </w:r>
      </w:hyperlink>
    </w:p>
    <w:p w14:paraId="1465F469" w14:textId="10A3C50E" w:rsidR="00D93DBE" w:rsidRDefault="00D93DBE" w:rsidP="00BE5DAD">
      <w:pPr>
        <w:spacing w:line="480" w:lineRule="auto"/>
        <w:rPr>
          <w:rFonts w:ascii="Arial" w:hAnsi="Arial" w:cs="Arial"/>
          <w:sz w:val="24"/>
          <w:szCs w:val="24"/>
        </w:rPr>
      </w:pPr>
      <w:hyperlink r:id="rId10" w:history="1">
        <w:r w:rsidRPr="00D07691">
          <w:rPr>
            <w:rStyle w:val="Hyperlink"/>
            <w:rFonts w:ascii="Arial" w:hAnsi="Arial" w:cs="Arial"/>
            <w:sz w:val="24"/>
            <w:szCs w:val="24"/>
          </w:rPr>
          <w:t>https://webstroke.co.uk/law/r-v-brown-1993</w:t>
        </w:r>
      </w:hyperlink>
    </w:p>
    <w:p w14:paraId="432B20B4" w14:textId="77777777" w:rsidR="00D93DBE" w:rsidRDefault="00D93DBE" w:rsidP="00BE5DAD">
      <w:pPr>
        <w:spacing w:line="480" w:lineRule="auto"/>
        <w:rPr>
          <w:rFonts w:ascii="Arial" w:hAnsi="Arial" w:cs="Arial"/>
          <w:sz w:val="24"/>
          <w:szCs w:val="24"/>
        </w:rPr>
      </w:pPr>
    </w:p>
    <w:p w14:paraId="23B56F45" w14:textId="027A7DEA" w:rsidR="007669DB" w:rsidRDefault="007669DB" w:rsidP="00BE5DAD">
      <w:pPr>
        <w:spacing w:line="480" w:lineRule="auto"/>
        <w:rPr>
          <w:rFonts w:ascii="Arial" w:hAnsi="Arial" w:cs="Arial"/>
          <w:sz w:val="24"/>
          <w:szCs w:val="24"/>
        </w:rPr>
      </w:pPr>
    </w:p>
    <w:p w14:paraId="303D374D" w14:textId="77777777" w:rsidR="007669DB" w:rsidRDefault="007669DB" w:rsidP="00BE5DAD">
      <w:pPr>
        <w:spacing w:line="480" w:lineRule="auto"/>
        <w:rPr>
          <w:rFonts w:ascii="Arial" w:hAnsi="Arial" w:cs="Arial"/>
          <w:sz w:val="24"/>
          <w:szCs w:val="24"/>
        </w:rPr>
      </w:pPr>
    </w:p>
    <w:p w14:paraId="0AB0549D" w14:textId="77777777" w:rsidR="00C33198" w:rsidRPr="00BE5DAD" w:rsidRDefault="00C33198" w:rsidP="00BE5DAD">
      <w:pPr>
        <w:spacing w:line="480" w:lineRule="auto"/>
        <w:rPr>
          <w:rFonts w:ascii="Arial" w:hAnsi="Arial" w:cs="Arial"/>
          <w:sz w:val="24"/>
          <w:szCs w:val="24"/>
        </w:rPr>
      </w:pPr>
    </w:p>
    <w:sectPr w:rsidR="00C33198" w:rsidRPr="00BE5DAD" w:rsidSect="00BE5D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DAD"/>
    <w:rsid w:val="0006383A"/>
    <w:rsid w:val="00190677"/>
    <w:rsid w:val="002B47F2"/>
    <w:rsid w:val="003A17F8"/>
    <w:rsid w:val="00470E8F"/>
    <w:rsid w:val="00676144"/>
    <w:rsid w:val="006B3AAE"/>
    <w:rsid w:val="007669DB"/>
    <w:rsid w:val="007C2B80"/>
    <w:rsid w:val="00885985"/>
    <w:rsid w:val="008F504B"/>
    <w:rsid w:val="00B61586"/>
    <w:rsid w:val="00B646E6"/>
    <w:rsid w:val="00BE5DAD"/>
    <w:rsid w:val="00C33198"/>
    <w:rsid w:val="00C93186"/>
    <w:rsid w:val="00CC5DDA"/>
    <w:rsid w:val="00D15A85"/>
    <w:rsid w:val="00D93DBE"/>
    <w:rsid w:val="00E16013"/>
    <w:rsid w:val="00EA5B44"/>
    <w:rsid w:val="00ED3A69"/>
    <w:rsid w:val="00F26BA0"/>
    <w:rsid w:val="00FE5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AD297"/>
  <w15:chartTrackingRefBased/>
  <w15:docId w15:val="{6CF54FCB-4A3E-4EE6-A734-45F4BA5F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5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E5DAD"/>
    <w:rPr>
      <w:rFonts w:eastAsiaTheme="minorEastAsia"/>
      <w:lang w:val="en-US"/>
    </w:rPr>
  </w:style>
  <w:style w:type="character" w:styleId="Hyperlink">
    <w:name w:val="Hyperlink"/>
    <w:basedOn w:val="DefaultParagraphFont"/>
    <w:uiPriority w:val="99"/>
    <w:unhideWhenUsed/>
    <w:rsid w:val="00FE511B"/>
    <w:rPr>
      <w:color w:val="0563C1" w:themeColor="hyperlink"/>
      <w:u w:val="single"/>
    </w:rPr>
  </w:style>
  <w:style w:type="character" w:styleId="UnresolvedMention">
    <w:name w:val="Unresolved Mention"/>
    <w:basedOn w:val="DefaultParagraphFont"/>
    <w:uiPriority w:val="99"/>
    <w:semiHidden/>
    <w:unhideWhenUsed/>
    <w:rsid w:val="00FE51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27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om-gov.uk/offences-against-the-person-modernising-the-law-on-violence-2/" TargetMode="External"/><Relationship Id="rId3" Type="http://schemas.openxmlformats.org/officeDocument/2006/relationships/styles" Target="styles.xml"/><Relationship Id="rId7" Type="http://schemas.openxmlformats.org/officeDocument/2006/relationships/hyperlink" Target="http://www.parliament.uk"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ebstroke.co.uk/law/r-v-brown-1993" TargetMode="External"/><Relationship Id="rId4" Type="http://schemas.openxmlformats.org/officeDocument/2006/relationships/settings" Target="settings.xml"/><Relationship Id="rId9" Type="http://schemas.openxmlformats.org/officeDocument/2006/relationships/hyperlink" Target="https://publications.parliament.uk/pa/id199798/idjudgmt/jd970724/irland/0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Chi17</b:Tag>
    <b:SourceType>Book</b:SourceType>
    <b:Guid>{B3B802F2-1070-4B4F-BF84-553C7709F4BE}</b:Guid>
    <b:Author>
      <b:Author>
        <b:NameList>
          <b:Person>
            <b:Last>Ormerod</b:Last>
            <b:First>Child</b:First>
            <b:Middle>and</b:Middle>
          </b:Person>
        </b:NameList>
      </b:Author>
    </b:Author>
    <b:Title>Essentials of Criminal Law</b:Title>
    <b:Year>2017</b:Year>
    <b:City>Oxford</b:City>
    <b:Publisher>Oxford University Press</b:Publisher>
    <b:Edition>2</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54E27E-4FAB-4337-9C63-DC1D8BF5D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1604</Words>
  <Characters>9145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Criminal Law.</vt:lpstr>
    </vt:vector>
  </TitlesOfParts>
  <Company/>
  <LinksUpToDate>false</LinksUpToDate>
  <CharactersWithSpaces>10728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Non – Fatal Offences Against The Person.</dc:subject>
  <dc:creator>Mel Jane Box (2003707)</dc:creator>
  <cp:keywords/>
  <dc:description/>
  <cp:lastModifiedBy>Mel Jane Box (2003707)</cp:lastModifiedBy>
  <cp:revision>2</cp:revision>
  <dcterms:created xsi:type="dcterms:W3CDTF">2021-03-03T12:14:00Z</dcterms:created>
  <dcterms:modified xsi:type="dcterms:W3CDTF">2021-03-03T12:14:00Z</dcterms:modified>
  <cp:category>Criminal Law (BMLW4002).</cp:category>
</cp:coreProperties>
</file>