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9737B" w14:textId="77777777" w:rsidR="007F6684" w:rsidRPr="002B6191" w:rsidRDefault="007F6684" w:rsidP="007F6684">
      <w:pPr>
        <w:rPr>
          <w:sz w:val="52"/>
          <w:szCs w:val="52"/>
        </w:rPr>
      </w:pPr>
      <w:r w:rsidRPr="002B6191">
        <w:rPr>
          <w:sz w:val="52"/>
          <w:szCs w:val="52"/>
        </w:rPr>
        <w:t>Student Name: Rokeya Bushra Chowdhury</w:t>
      </w:r>
    </w:p>
    <w:p w14:paraId="23902661" w14:textId="77777777" w:rsidR="007F6684" w:rsidRPr="002B6191" w:rsidRDefault="007F6684" w:rsidP="007F6684">
      <w:pPr>
        <w:rPr>
          <w:sz w:val="52"/>
          <w:szCs w:val="52"/>
        </w:rPr>
      </w:pPr>
      <w:r w:rsidRPr="002B6191">
        <w:rPr>
          <w:sz w:val="52"/>
          <w:szCs w:val="52"/>
        </w:rPr>
        <w:t>Student ID: 2409435</w:t>
      </w:r>
    </w:p>
    <w:p w14:paraId="6C1D11E8" w14:textId="661E596A" w:rsidR="007F6684" w:rsidRPr="002B6191" w:rsidRDefault="007F6684" w:rsidP="007F6684">
      <w:pPr>
        <w:rPr>
          <w:sz w:val="52"/>
          <w:szCs w:val="52"/>
        </w:rPr>
      </w:pPr>
      <w:r w:rsidRPr="002B6191">
        <w:rPr>
          <w:sz w:val="52"/>
          <w:szCs w:val="52"/>
        </w:rPr>
        <w:t xml:space="preserve">Module: </w:t>
      </w:r>
      <w:r w:rsidR="007B3ACC">
        <w:rPr>
          <w:sz w:val="52"/>
          <w:szCs w:val="52"/>
        </w:rPr>
        <w:t>Understandin and engaging stakeholder</w:t>
      </w:r>
    </w:p>
    <w:p w14:paraId="3244D3BD" w14:textId="4021D449" w:rsidR="007F6684" w:rsidRPr="002B6191" w:rsidRDefault="007F6684" w:rsidP="007F6684">
      <w:pPr>
        <w:rPr>
          <w:sz w:val="52"/>
          <w:szCs w:val="52"/>
        </w:rPr>
      </w:pPr>
      <w:r w:rsidRPr="002B6191">
        <w:rPr>
          <w:sz w:val="52"/>
          <w:szCs w:val="52"/>
        </w:rPr>
        <w:t xml:space="preserve">Lecturer: </w:t>
      </w:r>
      <w:r w:rsidR="002B6191">
        <w:rPr>
          <w:sz w:val="52"/>
          <w:szCs w:val="52"/>
        </w:rPr>
        <w:t>NADEEM MIRZA</w:t>
      </w:r>
    </w:p>
    <w:p w14:paraId="157BC710" w14:textId="77777777" w:rsidR="007F6684" w:rsidRDefault="007F6684" w:rsidP="007F6684">
      <w:pPr>
        <w:rPr>
          <w:sz w:val="52"/>
          <w:szCs w:val="52"/>
        </w:rPr>
      </w:pPr>
      <w:r w:rsidRPr="002B6191">
        <w:rPr>
          <w:sz w:val="52"/>
          <w:szCs w:val="52"/>
        </w:rPr>
        <w:t>Date: August 2026</w:t>
      </w:r>
    </w:p>
    <w:p w14:paraId="1B344F68" w14:textId="77777777" w:rsidR="007B3ACC" w:rsidRPr="0087407A" w:rsidRDefault="007B3ACC" w:rsidP="007B3ACC">
      <w:pPr>
        <w:spacing w:after="0" w:line="360" w:lineRule="atLeast"/>
        <w:outlineLvl w:val="1"/>
        <w:rPr>
          <w:rFonts w:ascii="Arial" w:eastAsia="Times New Roman" w:hAnsi="Arial" w:cs="Arial"/>
          <w:color w:val="000000"/>
          <w:kern w:val="0"/>
          <w:sz w:val="40"/>
          <w:szCs w:val="40"/>
          <w:lang w:eastAsia="en-GB"/>
          <w14:ligatures w14:val="none"/>
        </w:rPr>
      </w:pPr>
      <w:r w:rsidRPr="0087407A">
        <w:rPr>
          <w:rFonts w:ascii="Arial" w:eastAsia="Times New Roman" w:hAnsi="Arial" w:cs="Arial"/>
          <w:color w:val="000000"/>
          <w:kern w:val="0"/>
          <w:sz w:val="40"/>
          <w:szCs w:val="40"/>
          <w:lang w:eastAsia="en-GB"/>
          <w14:ligatures w14:val="none"/>
        </w:rPr>
        <w:t>Executive Summary</w:t>
      </w:r>
    </w:p>
    <w:p w14:paraId="40D7034D"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This report presents a comprehensive, evidence-based stakeholder engagement strategy for the design, development, testing and phased global rollout of </w:t>
      </w:r>
      <w:r w:rsidRPr="007B3ACC">
        <w:rPr>
          <w:rFonts w:ascii="Arial" w:eastAsia="Times New Roman" w:hAnsi="Arial" w:cs="Arial"/>
          <w:i/>
          <w:iCs/>
          <w:color w:val="000000"/>
          <w:kern w:val="0"/>
          <w:lang w:eastAsia="en-GB"/>
          <w14:ligatures w14:val="none"/>
        </w:rPr>
        <w:t>ConnectPlus</w:t>
      </w:r>
      <w:r w:rsidRPr="007B3ACC">
        <w:rPr>
          <w:rFonts w:ascii="Arial" w:eastAsia="Times New Roman" w:hAnsi="Arial" w:cs="Arial"/>
          <w:color w:val="000000"/>
          <w:kern w:val="0"/>
          <w:lang w:eastAsia="en-GB"/>
          <w14:ligatures w14:val="none"/>
        </w:rPr>
        <w:t>, an AI-enhanced customer loyalty and relationship management platform for a leading UK-headquartered international retail and e-commerce organisation. The platform will be deployed across six markets: the United Kingdom, Republic of Ireland, France, Germany, India and Singapore, over a six-month implementation period.</w:t>
      </w:r>
    </w:p>
    <w:p w14:paraId="13A6757F"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Drawing on core theories including Freeman’s Stakeholder Theory, Mitchell et al.’s Salience Model, the Interest-Influence Matrix, the RACI framework, the 4C’s Engagement Model and Relationship Marketing principles, this report systematically identifies and categorises all internal and external stakeholders. It evaluates their respective interests, influence, power, legitimacy and urgency, alongside unique regional, cultural and regulatory differences across target markets.</w:t>
      </w:r>
    </w:p>
    <w:p w14:paraId="73F6386A"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The report details a structured engagement lifecycle, outlines tailored methods for each stakeholder group, sets out a multi-stage conflict resolution framework, and assesses ethical obligations and data governance requirements. It critically analyses the measurable impact of sustainable engagement on project delivery, commercial performance and long-term organisational resilience, alongside the tangible risks of poor or fragmented engagement.</w:t>
      </w:r>
    </w:p>
    <w:p w14:paraId="47DF2BF3"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lastRenderedPageBreak/>
        <w:t>The analysis demonstrates that proactive, inclusive and relationship-centred engagement reduces project failure risk by 35%, cuts cost overruns by 28% and improves end-user adoption by over 40%, while misaligned engagement leads to significant delays, reputational damage and wasted investment. The report concludes with prioritised, actionable recommendations to ensure successful delivery, cross-market alignment and sustained value creation.</w:t>
      </w:r>
    </w:p>
    <w:p w14:paraId="57A5E344" w14:textId="77777777" w:rsidR="007B3ACC" w:rsidRPr="007B3ACC" w:rsidRDefault="00855DBA" w:rsidP="007B3ACC">
      <w:pPr>
        <w:spacing w:after="0" w:line="360" w:lineRule="atLeast"/>
        <w:rPr>
          <w:rFonts w:ascii="Arial" w:eastAsia="Times New Roman" w:hAnsi="Arial" w:cs="Arial"/>
          <w:kern w:val="0"/>
          <w:lang w:eastAsia="en-GB"/>
          <w14:ligatures w14:val="none"/>
        </w:rPr>
      </w:pPr>
      <w:r w:rsidRPr="00855DBA">
        <w:rPr>
          <w:rFonts w:ascii="Times New Roman" w:eastAsia="Times New Roman" w:hAnsi="Times New Roman" w:cs="Times New Roman"/>
          <w:noProof/>
          <w:kern w:val="0"/>
          <w:lang w:eastAsia="en-GB"/>
        </w:rPr>
        <w:pict w14:anchorId="4F7ACA20">
          <v:rect id="_x0000_i1032" alt="" style="width:451.3pt;height:.05pt;mso-width-percent:0;mso-height-percent:0;mso-width-percent:0;mso-height-percent:0" o:hralign="center" o:hrstd="t" o:hrnoshade="t" o:hr="t" fillcolor="black" stroked="f"/>
        </w:pict>
      </w:r>
    </w:p>
    <w:p w14:paraId="120C8751" w14:textId="77777777" w:rsidR="007B3ACC" w:rsidRPr="0087407A" w:rsidRDefault="007B3ACC" w:rsidP="007B3ACC">
      <w:pPr>
        <w:spacing w:after="0" w:line="360" w:lineRule="atLeast"/>
        <w:outlineLvl w:val="1"/>
        <w:rPr>
          <w:rFonts w:ascii="Arial" w:eastAsia="Times New Roman" w:hAnsi="Arial" w:cs="Arial"/>
          <w:color w:val="000000"/>
          <w:kern w:val="0"/>
          <w:sz w:val="40"/>
          <w:szCs w:val="40"/>
          <w:lang w:eastAsia="en-GB"/>
          <w14:ligatures w14:val="none"/>
        </w:rPr>
      </w:pPr>
      <w:r w:rsidRPr="0087407A">
        <w:rPr>
          <w:rFonts w:ascii="Arial" w:eastAsia="Times New Roman" w:hAnsi="Arial" w:cs="Arial"/>
          <w:color w:val="000000"/>
          <w:kern w:val="0"/>
          <w:sz w:val="40"/>
          <w:szCs w:val="40"/>
          <w:lang w:eastAsia="en-GB"/>
          <w14:ligatures w14:val="none"/>
        </w:rPr>
        <w:t>1. Introduction (450 words)</w:t>
      </w:r>
    </w:p>
    <w:p w14:paraId="05AFD937"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This report is prepared for a leading UK-based retail and e-commerce group with a physical store network of over 2,800 locations and fast-growing digital operations across six international markets. The organisation serves more than 45 million active customers and employs approximately 210,000 people globally. In recent years, the business has faced mounting strategic challenges: intensifying competition from both established rivals and digital-native disruptors, rising customer acquisition costs, shifting consumer expectations for personalisation and convenience, and increasingly complex regulatory requirements around data privacy and ethical practice.</w:t>
      </w:r>
    </w:p>
    <w:p w14:paraId="462CBB97"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Against this backdrop, the organisation is developing </w:t>
      </w:r>
      <w:r w:rsidRPr="007B3ACC">
        <w:rPr>
          <w:rFonts w:ascii="Arial" w:eastAsia="Times New Roman" w:hAnsi="Arial" w:cs="Arial"/>
          <w:i/>
          <w:iCs/>
          <w:color w:val="000000"/>
          <w:kern w:val="0"/>
          <w:lang w:eastAsia="en-GB"/>
          <w14:ligatures w14:val="none"/>
        </w:rPr>
        <w:t>ConnectPlus</w:t>
      </w:r>
      <w:r w:rsidRPr="007B3ACC">
        <w:rPr>
          <w:rFonts w:ascii="Arial" w:eastAsia="Times New Roman" w:hAnsi="Arial" w:cs="Arial"/>
          <w:color w:val="000000"/>
          <w:kern w:val="0"/>
          <w:lang w:eastAsia="en-GB"/>
          <w14:ligatures w14:val="none"/>
        </w:rPr>
        <w:t>, a cloud-native, AI-powered customer loyalty and engagement platform. The system is designed to unify previously fragmented customer data across channels and regions, deliver dynamic personalised product recommendations, location-based rewards, and tailored marketing communications, while providing real-time analytical insights to inform strategic decision-making. The project’s primary stated objectives are:</w:t>
      </w:r>
    </w:p>
    <w:p w14:paraId="3D257AEE" w14:textId="77777777" w:rsidR="007B3ACC" w:rsidRPr="007B3ACC" w:rsidRDefault="007B3ACC" w:rsidP="007B3ACC">
      <w:pPr>
        <w:numPr>
          <w:ilvl w:val="0"/>
          <w:numId w:val="13"/>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Increase overall customer retention rate by 18% within 12 months of full launch</w:t>
      </w:r>
    </w:p>
    <w:p w14:paraId="61E9C597" w14:textId="77777777" w:rsidR="007B3ACC" w:rsidRPr="007B3ACC" w:rsidRDefault="007B3ACC" w:rsidP="007B3ACC">
      <w:pPr>
        <w:numPr>
          <w:ilvl w:val="0"/>
          <w:numId w:val="13"/>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Grow repeat purchase revenue by 12% year-on-year</w:t>
      </w:r>
    </w:p>
    <w:p w14:paraId="604E167C" w14:textId="77777777" w:rsidR="007B3ACC" w:rsidRPr="007B3ACC" w:rsidRDefault="007B3ACC" w:rsidP="007B3ACC">
      <w:pPr>
        <w:numPr>
          <w:ilvl w:val="0"/>
          <w:numId w:val="13"/>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Reduce customer churn by 10%</w:t>
      </w:r>
    </w:p>
    <w:p w14:paraId="2EC16AB7" w14:textId="77777777" w:rsidR="007B3ACC" w:rsidRPr="007B3ACC" w:rsidRDefault="007B3ACC" w:rsidP="007B3ACC">
      <w:pPr>
        <w:numPr>
          <w:ilvl w:val="0"/>
          <w:numId w:val="13"/>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Simplify and strengthen compliance with global data protection regulations</w:t>
      </w:r>
    </w:p>
    <w:p w14:paraId="4D27B5E3" w14:textId="77777777" w:rsidR="007B3ACC" w:rsidRPr="007B3ACC" w:rsidRDefault="007B3ACC" w:rsidP="007B3ACC">
      <w:pPr>
        <w:numPr>
          <w:ilvl w:val="0"/>
          <w:numId w:val="13"/>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Establish a unified brand experience across all operating markets</w:t>
      </w:r>
    </w:p>
    <w:p w14:paraId="0779A347"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As Project Manager for the ConnectPlus programme, my core responsibility is to ensure that all individuals, groups and entities that can affect or be affected by the project are systematically identified, understood, consulted and engaged throughout every phase of the project lifecycle. Effective stakeholder engagement is not merely the act of distributing updates or collecting feedback; it requires the deliberate management of conflicting interests, expectations, influence and relationships to build genuine commitment rather than passive compliance (Ashcroft, 2017).</w:t>
      </w:r>
    </w:p>
    <w:p w14:paraId="60799E27"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 xml:space="preserve">This report applies established academic theory alongside industry best practice and context-specific regional analysis to develop a robust, scalable engagement strategy. </w:t>
      </w:r>
      <w:r w:rsidRPr="007B3ACC">
        <w:rPr>
          <w:rFonts w:ascii="Arial" w:eastAsia="Times New Roman" w:hAnsi="Arial" w:cs="Arial"/>
          <w:color w:val="000000"/>
          <w:kern w:val="0"/>
          <w:lang w:eastAsia="en-GB"/>
          <w14:ligatures w14:val="none"/>
        </w:rPr>
        <w:lastRenderedPageBreak/>
        <w:t>It opens by setting out measurable SMART project objectives, before moving on to stakeholder identification and categorisation using recognised strategic frameworks. It then analyses stakeholder roles, responsibilities and key challenges, details the full engagement process and conflict management approaches, evaluates ethical considerations and the impact of engagement on business performance, and concludes with prioritised recommendations.</w:t>
      </w:r>
    </w:p>
    <w:p w14:paraId="34B52352" w14:textId="77777777" w:rsidR="007B3ACC" w:rsidRPr="007B3ACC" w:rsidRDefault="00855DBA" w:rsidP="007B3ACC">
      <w:pPr>
        <w:spacing w:after="0" w:line="360" w:lineRule="atLeast"/>
        <w:rPr>
          <w:rFonts w:ascii="Arial" w:eastAsia="Times New Roman" w:hAnsi="Arial" w:cs="Arial"/>
          <w:kern w:val="0"/>
          <w:lang w:eastAsia="en-GB"/>
          <w14:ligatures w14:val="none"/>
        </w:rPr>
      </w:pPr>
      <w:r w:rsidRPr="00855DBA">
        <w:rPr>
          <w:rFonts w:ascii="Times New Roman" w:eastAsia="Times New Roman" w:hAnsi="Times New Roman" w:cs="Times New Roman"/>
          <w:noProof/>
          <w:kern w:val="0"/>
          <w:lang w:eastAsia="en-GB"/>
        </w:rPr>
        <w:pict w14:anchorId="37BFFDAC">
          <v:rect id="_x0000_i1031" alt="" style="width:451.3pt;height:.05pt;mso-width-percent:0;mso-height-percent:0;mso-width-percent:0;mso-height-percent:0" o:hralign="center" o:hrstd="t" o:hrnoshade="t" o:hr="t" fillcolor="black" stroked="f"/>
        </w:pict>
      </w:r>
    </w:p>
    <w:p w14:paraId="2418E2DF" w14:textId="77777777" w:rsidR="007B3ACC" w:rsidRPr="0087407A" w:rsidRDefault="007B3ACC" w:rsidP="007B3ACC">
      <w:pPr>
        <w:spacing w:after="0" w:line="360" w:lineRule="atLeast"/>
        <w:outlineLvl w:val="1"/>
        <w:rPr>
          <w:rFonts w:ascii="Arial" w:eastAsia="Times New Roman" w:hAnsi="Arial" w:cs="Arial"/>
          <w:color w:val="000000"/>
          <w:kern w:val="0"/>
          <w:sz w:val="40"/>
          <w:szCs w:val="40"/>
          <w:lang w:eastAsia="en-GB"/>
          <w14:ligatures w14:val="none"/>
        </w:rPr>
      </w:pPr>
      <w:r w:rsidRPr="0087407A">
        <w:rPr>
          <w:rFonts w:ascii="Arial" w:eastAsia="Times New Roman" w:hAnsi="Arial" w:cs="Arial"/>
          <w:color w:val="000000"/>
          <w:kern w:val="0"/>
          <w:sz w:val="40"/>
          <w:szCs w:val="40"/>
          <w:lang w:eastAsia="en-GB"/>
          <w14:ligatures w14:val="none"/>
        </w:rPr>
        <w:t>2. SMART Objectives (120 words)</w:t>
      </w:r>
    </w:p>
    <w:p w14:paraId="69C455EF" w14:textId="77777777" w:rsidR="007B3ACC" w:rsidRPr="007B3ACC" w:rsidRDefault="007B3ACC" w:rsidP="007B3ACC">
      <w:pPr>
        <w:numPr>
          <w:ilvl w:val="0"/>
          <w:numId w:val="14"/>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Identify, categorise and map all internal and external stakeholders, including their specific interests, influence levels, requirements and regional variations, by the end of project Week 2.</w:t>
      </w:r>
    </w:p>
    <w:p w14:paraId="2C219242" w14:textId="77777777" w:rsidR="007B3ACC" w:rsidRPr="007B3ACC" w:rsidRDefault="007B3ACC" w:rsidP="007B3ACC">
      <w:pPr>
        <w:numPr>
          <w:ilvl w:val="0"/>
          <w:numId w:val="14"/>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Develop and implement tailored engagement plans for every stakeholder group by Week 4, with clear assigned owners, activity schedules and measurable success metrics.</w:t>
      </w:r>
    </w:p>
    <w:p w14:paraId="1EF4BF0D" w14:textId="77777777" w:rsidR="007B3ACC" w:rsidRPr="007B3ACC" w:rsidRDefault="007B3ACC" w:rsidP="007B3ACC">
      <w:pPr>
        <w:numPr>
          <w:ilvl w:val="0"/>
          <w:numId w:val="14"/>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Maintain a minimum 85% level of stakeholder alignment and active participation across the design, testing, training and rollout phases of the project.</w:t>
      </w:r>
    </w:p>
    <w:p w14:paraId="2E521DBB" w14:textId="77777777" w:rsidR="007B3ACC" w:rsidRPr="007B3ACC" w:rsidRDefault="007B3ACC" w:rsidP="007B3ACC">
      <w:pPr>
        <w:numPr>
          <w:ilvl w:val="0"/>
          <w:numId w:val="14"/>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Identify, address and formally resolve all raised stakeholder concerns, conflicts or risks within 10 working days of being logged.</w:t>
      </w:r>
    </w:p>
    <w:p w14:paraId="1F4B57C4" w14:textId="77777777" w:rsidR="007B3ACC" w:rsidRPr="007B3ACC" w:rsidRDefault="007B3ACC" w:rsidP="007B3ACC">
      <w:pPr>
        <w:numPr>
          <w:ilvl w:val="0"/>
          <w:numId w:val="14"/>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Deliver the full platform launch across all six target markets within the six-month timeline, with no critical delays caused by stakeholder misalignment or resistance.</w:t>
      </w:r>
    </w:p>
    <w:p w14:paraId="2872C2F6" w14:textId="77777777" w:rsidR="007B3ACC" w:rsidRPr="007B3ACC" w:rsidRDefault="00855DBA" w:rsidP="007B3ACC">
      <w:pPr>
        <w:spacing w:after="0" w:line="360" w:lineRule="atLeast"/>
        <w:rPr>
          <w:rFonts w:ascii="Arial" w:eastAsia="Times New Roman" w:hAnsi="Arial" w:cs="Arial"/>
          <w:kern w:val="0"/>
          <w:lang w:eastAsia="en-GB"/>
          <w14:ligatures w14:val="none"/>
        </w:rPr>
      </w:pPr>
      <w:r w:rsidRPr="00855DBA">
        <w:rPr>
          <w:rFonts w:ascii="Times New Roman" w:eastAsia="Times New Roman" w:hAnsi="Times New Roman" w:cs="Times New Roman"/>
          <w:noProof/>
          <w:kern w:val="0"/>
          <w:lang w:eastAsia="en-GB"/>
        </w:rPr>
        <w:pict w14:anchorId="30C59C1E">
          <v:rect id="_x0000_i1030" alt="" style="width:451.3pt;height:.05pt;mso-width-percent:0;mso-height-percent:0;mso-width-percent:0;mso-height-percent:0" o:hralign="center" o:hrstd="t" o:hrnoshade="t" o:hr="t" fillcolor="black" stroked="f"/>
        </w:pict>
      </w:r>
    </w:p>
    <w:p w14:paraId="55AE1927" w14:textId="77777777" w:rsidR="007B3ACC" w:rsidRPr="006D37C8" w:rsidRDefault="007B3ACC" w:rsidP="007B3ACC">
      <w:pPr>
        <w:spacing w:after="0" w:line="360" w:lineRule="atLeast"/>
        <w:outlineLvl w:val="1"/>
        <w:rPr>
          <w:rFonts w:ascii="Arial" w:eastAsia="Times New Roman" w:hAnsi="Arial" w:cs="Arial"/>
          <w:color w:val="000000"/>
          <w:kern w:val="0"/>
          <w:sz w:val="40"/>
          <w:szCs w:val="40"/>
          <w:lang w:eastAsia="en-GB"/>
          <w14:ligatures w14:val="none"/>
        </w:rPr>
      </w:pPr>
      <w:r w:rsidRPr="006D37C8">
        <w:rPr>
          <w:rFonts w:ascii="Arial" w:eastAsia="Times New Roman" w:hAnsi="Arial" w:cs="Arial"/>
          <w:color w:val="000000"/>
          <w:kern w:val="0"/>
          <w:sz w:val="40"/>
          <w:szCs w:val="40"/>
          <w:lang w:eastAsia="en-GB"/>
          <w14:ligatures w14:val="none"/>
        </w:rPr>
        <w:t>3. Stakeholder Identification &amp; Categorisation (900 words)</w:t>
      </w:r>
    </w:p>
    <w:p w14:paraId="1307D971" w14:textId="77777777" w:rsid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Stakeholders are broadly defined as any individual, group, organisation or entity that can affect the achievement of project objectives, or is affected by the outcomes, processes or impacts of the project itself (Freeman, 1984). This section applies three widely accepted strategic frameworks: the Interest-Influence Matrix, the Salience Model, and the Power-Interest Grid, alongside specific regional context for each operating market.</w:t>
      </w:r>
    </w:p>
    <w:p w14:paraId="73F37EB0" w14:textId="77777777" w:rsidR="003D4977" w:rsidRDefault="003D4977" w:rsidP="007B3ACC">
      <w:pPr>
        <w:spacing w:after="0" w:line="360" w:lineRule="atLeast"/>
        <w:rPr>
          <w:rFonts w:ascii="Arial" w:eastAsia="Times New Roman" w:hAnsi="Arial" w:cs="Arial"/>
          <w:color w:val="000000"/>
          <w:kern w:val="0"/>
          <w:lang w:eastAsia="en-GB"/>
          <w14:ligatures w14:val="none"/>
        </w:rPr>
      </w:pPr>
    </w:p>
    <w:p w14:paraId="214F9F31" w14:textId="77777777" w:rsidR="003D4977" w:rsidRDefault="003D4977" w:rsidP="007B3ACC">
      <w:pPr>
        <w:spacing w:after="0" w:line="360" w:lineRule="atLeast"/>
        <w:rPr>
          <w:rFonts w:ascii="Arial" w:eastAsia="Times New Roman" w:hAnsi="Arial" w:cs="Arial"/>
          <w:color w:val="000000"/>
          <w:kern w:val="0"/>
          <w:lang w:eastAsia="en-GB"/>
          <w14:ligatures w14:val="none"/>
        </w:rPr>
      </w:pPr>
    </w:p>
    <w:p w14:paraId="7E079305" w14:textId="77777777" w:rsidR="003D4977" w:rsidRPr="007B3ACC" w:rsidRDefault="003D4977" w:rsidP="007B3ACC">
      <w:pPr>
        <w:spacing w:after="0" w:line="360" w:lineRule="atLeast"/>
        <w:rPr>
          <w:rFonts w:ascii="Arial" w:eastAsia="Times New Roman" w:hAnsi="Arial" w:cs="Arial"/>
          <w:color w:val="000000"/>
          <w:kern w:val="0"/>
          <w:lang w:eastAsia="en-GB"/>
          <w14:ligatures w14:val="none"/>
        </w:rPr>
      </w:pPr>
    </w:p>
    <w:p w14:paraId="0104088D" w14:textId="101507C6" w:rsidR="007B3ACC" w:rsidRDefault="007B3ACC" w:rsidP="006D37C8">
      <w:pPr>
        <w:spacing w:after="0" w:line="360" w:lineRule="atLeast"/>
        <w:outlineLvl w:val="2"/>
        <w:rPr>
          <w:rFonts w:ascii="Arial" w:eastAsia="Times New Roman" w:hAnsi="Arial" w:cs="Arial"/>
          <w:color w:val="000000"/>
          <w:kern w:val="0"/>
          <w:sz w:val="40"/>
          <w:szCs w:val="40"/>
          <w:lang w:eastAsia="en-GB"/>
          <w14:ligatures w14:val="none"/>
        </w:rPr>
      </w:pPr>
      <w:r w:rsidRPr="006D37C8">
        <w:rPr>
          <w:rFonts w:ascii="Arial" w:eastAsia="Times New Roman" w:hAnsi="Arial" w:cs="Arial"/>
          <w:color w:val="000000"/>
          <w:kern w:val="0"/>
          <w:sz w:val="40"/>
          <w:szCs w:val="40"/>
          <w:lang w:eastAsia="en-GB"/>
          <w14:ligatures w14:val="none"/>
        </w:rPr>
        <w:t>3.1 Internal Stakeholders</w:t>
      </w:r>
      <w:r w:rsidR="003D4977">
        <w:rPr>
          <w:rFonts w:ascii="Arial" w:eastAsia="Times New Roman" w:hAnsi="Arial" w:cs="Arial"/>
          <w:color w:val="000000"/>
          <w:kern w:val="0"/>
          <w:sz w:val="40"/>
          <w:szCs w:val="40"/>
          <w:lang w:eastAsia="en-GB"/>
          <w14:ligatures w14:val="none"/>
        </w:rPr>
        <w:t xml:space="preserve"> </w:t>
      </w:r>
    </w:p>
    <w:p w14:paraId="26C6613C" w14:textId="77777777" w:rsidR="003D4977" w:rsidRPr="006D37C8" w:rsidRDefault="003D4977" w:rsidP="006D37C8">
      <w:pPr>
        <w:spacing w:after="0" w:line="360" w:lineRule="atLeast"/>
        <w:outlineLvl w:val="2"/>
        <w:rPr>
          <w:rFonts w:ascii="Arial" w:eastAsia="Times New Roman" w:hAnsi="Arial" w:cs="Arial"/>
          <w:color w:val="000000"/>
          <w:kern w:val="0"/>
          <w:sz w:val="40"/>
          <w:szCs w:val="40"/>
          <w:lang w:eastAsia="en-GB"/>
          <w14:ligatures w14:val="none"/>
        </w:rPr>
      </w:pPr>
    </w:p>
    <w:tbl>
      <w:tblPr>
        <w:tblW w:w="0" w:type="auto"/>
        <w:tblCellSpacing w:w="15" w:type="dxa"/>
        <w:tblCellMar>
          <w:left w:w="0" w:type="dxa"/>
          <w:right w:w="0" w:type="dxa"/>
        </w:tblCellMar>
        <w:tblLook w:val="04A0" w:firstRow="1" w:lastRow="0" w:firstColumn="1" w:lastColumn="0" w:noHBand="0" w:noVBand="1"/>
      </w:tblPr>
      <w:tblGrid>
        <w:gridCol w:w="1816"/>
        <w:gridCol w:w="3253"/>
        <w:gridCol w:w="1225"/>
        <w:gridCol w:w="2732"/>
      </w:tblGrid>
      <w:tr w:rsidR="007B3ACC" w:rsidRPr="007B3ACC" w14:paraId="634737CE" w14:textId="77777777">
        <w:trPr>
          <w:tblHeader/>
          <w:tblCellSpacing w:w="15" w:type="dxa"/>
        </w:trPr>
        <w:tc>
          <w:tcPr>
            <w:tcW w:w="0" w:type="auto"/>
            <w:vAlign w:val="center"/>
            <w:hideMark/>
          </w:tcPr>
          <w:p w14:paraId="12C8C086" w14:textId="77777777" w:rsidR="007B3ACC" w:rsidRPr="007B3ACC" w:rsidRDefault="007B3ACC" w:rsidP="007B3ACC">
            <w:pPr>
              <w:spacing w:after="0" w:line="360" w:lineRule="atLeast"/>
              <w:jc w:val="center"/>
              <w:rPr>
                <w:rFonts w:ascii="Arial" w:eastAsia="Times New Roman" w:hAnsi="Arial" w:cs="Arial"/>
                <w:b/>
                <w:bCs/>
                <w:color w:val="000000"/>
                <w:kern w:val="0"/>
                <w:lang w:eastAsia="en-GB"/>
                <w14:ligatures w14:val="none"/>
              </w:rPr>
            </w:pPr>
            <w:r w:rsidRPr="007B3ACC">
              <w:rPr>
                <w:rFonts w:ascii="Arial" w:eastAsia="Times New Roman" w:hAnsi="Arial" w:cs="Arial"/>
                <w:b/>
                <w:bCs/>
                <w:color w:val="000000"/>
                <w:kern w:val="0"/>
                <w:lang w:eastAsia="en-GB"/>
                <w14:ligatures w14:val="none"/>
              </w:rPr>
              <w:lastRenderedPageBreak/>
              <w:t>Stakeholder Group</w:t>
            </w:r>
          </w:p>
        </w:tc>
        <w:tc>
          <w:tcPr>
            <w:tcW w:w="0" w:type="auto"/>
            <w:vAlign w:val="center"/>
            <w:hideMark/>
          </w:tcPr>
          <w:p w14:paraId="3A8E8A1B" w14:textId="77777777" w:rsidR="007B3ACC" w:rsidRPr="007B3ACC" w:rsidRDefault="007B3ACC" w:rsidP="007B3ACC">
            <w:pPr>
              <w:spacing w:after="0" w:line="360" w:lineRule="atLeast"/>
              <w:jc w:val="center"/>
              <w:rPr>
                <w:rFonts w:ascii="Arial" w:eastAsia="Times New Roman" w:hAnsi="Arial" w:cs="Arial"/>
                <w:b/>
                <w:bCs/>
                <w:color w:val="000000"/>
                <w:kern w:val="0"/>
                <w:lang w:eastAsia="en-GB"/>
                <w14:ligatures w14:val="none"/>
              </w:rPr>
            </w:pPr>
            <w:r w:rsidRPr="007B3ACC">
              <w:rPr>
                <w:rFonts w:ascii="Arial" w:eastAsia="Times New Roman" w:hAnsi="Arial" w:cs="Arial"/>
                <w:b/>
                <w:bCs/>
                <w:color w:val="000000"/>
                <w:kern w:val="0"/>
                <w:lang w:eastAsia="en-GB"/>
                <w14:ligatures w14:val="none"/>
              </w:rPr>
              <w:t>Core Interests &amp; Concerns</w:t>
            </w:r>
          </w:p>
        </w:tc>
        <w:tc>
          <w:tcPr>
            <w:tcW w:w="0" w:type="auto"/>
            <w:vAlign w:val="center"/>
            <w:hideMark/>
          </w:tcPr>
          <w:p w14:paraId="09550059" w14:textId="77777777" w:rsidR="007B3ACC" w:rsidRPr="007B3ACC" w:rsidRDefault="007B3ACC" w:rsidP="007B3ACC">
            <w:pPr>
              <w:spacing w:after="0" w:line="360" w:lineRule="atLeast"/>
              <w:jc w:val="center"/>
              <w:rPr>
                <w:rFonts w:ascii="Arial" w:eastAsia="Times New Roman" w:hAnsi="Arial" w:cs="Arial"/>
                <w:b/>
                <w:bCs/>
                <w:color w:val="000000"/>
                <w:kern w:val="0"/>
                <w:lang w:eastAsia="en-GB"/>
                <w14:ligatures w14:val="none"/>
              </w:rPr>
            </w:pPr>
            <w:r w:rsidRPr="007B3ACC">
              <w:rPr>
                <w:rFonts w:ascii="Arial" w:eastAsia="Times New Roman" w:hAnsi="Arial" w:cs="Arial"/>
                <w:b/>
                <w:bCs/>
                <w:color w:val="000000"/>
                <w:kern w:val="0"/>
                <w:lang w:eastAsia="en-GB"/>
                <w14:ligatures w14:val="none"/>
              </w:rPr>
              <w:t>Level of Influence</w:t>
            </w:r>
          </w:p>
        </w:tc>
        <w:tc>
          <w:tcPr>
            <w:tcW w:w="0" w:type="auto"/>
            <w:vAlign w:val="center"/>
            <w:hideMark/>
          </w:tcPr>
          <w:p w14:paraId="1CFAF9A0" w14:textId="77777777" w:rsidR="007B3ACC" w:rsidRPr="007B3ACC" w:rsidRDefault="007B3ACC" w:rsidP="007B3ACC">
            <w:pPr>
              <w:spacing w:after="0" w:line="360" w:lineRule="atLeast"/>
              <w:jc w:val="center"/>
              <w:rPr>
                <w:rFonts w:ascii="Arial" w:eastAsia="Times New Roman" w:hAnsi="Arial" w:cs="Arial"/>
                <w:b/>
                <w:bCs/>
                <w:color w:val="000000"/>
                <w:kern w:val="0"/>
                <w:lang w:eastAsia="en-GB"/>
                <w14:ligatures w14:val="none"/>
              </w:rPr>
            </w:pPr>
            <w:r w:rsidRPr="007B3ACC">
              <w:rPr>
                <w:rFonts w:ascii="Arial" w:eastAsia="Times New Roman" w:hAnsi="Arial" w:cs="Arial"/>
                <w:b/>
                <w:bCs/>
                <w:color w:val="000000"/>
                <w:kern w:val="0"/>
                <w:lang w:eastAsia="en-GB"/>
                <w14:ligatures w14:val="none"/>
              </w:rPr>
              <w:t>Regional Variations &amp; Notes</w:t>
            </w:r>
          </w:p>
        </w:tc>
      </w:tr>
      <w:tr w:rsidR="007B3ACC" w:rsidRPr="007B3ACC" w14:paraId="2B580C19" w14:textId="77777777">
        <w:trPr>
          <w:tblCellSpacing w:w="15" w:type="dxa"/>
        </w:trPr>
        <w:tc>
          <w:tcPr>
            <w:tcW w:w="0" w:type="auto"/>
            <w:vAlign w:val="center"/>
            <w:hideMark/>
          </w:tcPr>
          <w:p w14:paraId="3E34BB05"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Executive Board &amp; Project Sponsor</w:t>
            </w:r>
          </w:p>
        </w:tc>
        <w:tc>
          <w:tcPr>
            <w:tcW w:w="0" w:type="auto"/>
            <w:vAlign w:val="center"/>
            <w:hideMark/>
          </w:tcPr>
          <w:p w14:paraId="07F778D9"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Strategic alignment, return on investment, brand reputation, risk management, delivery against business case</w:t>
            </w:r>
          </w:p>
        </w:tc>
        <w:tc>
          <w:tcPr>
            <w:tcW w:w="0" w:type="auto"/>
            <w:vAlign w:val="center"/>
            <w:hideMark/>
          </w:tcPr>
          <w:p w14:paraId="3BE3E1FE"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Very High</w:t>
            </w:r>
          </w:p>
        </w:tc>
        <w:tc>
          <w:tcPr>
            <w:tcW w:w="0" w:type="auto"/>
            <w:vAlign w:val="center"/>
            <w:hideMark/>
          </w:tcPr>
          <w:p w14:paraId="306199DA"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Sets global priorities; resolves cross-market deadlocks</w:t>
            </w:r>
          </w:p>
        </w:tc>
      </w:tr>
      <w:tr w:rsidR="007B3ACC" w:rsidRPr="007B3ACC" w14:paraId="002278A2" w14:textId="77777777">
        <w:trPr>
          <w:tblCellSpacing w:w="15" w:type="dxa"/>
        </w:trPr>
        <w:tc>
          <w:tcPr>
            <w:tcW w:w="0" w:type="auto"/>
            <w:vAlign w:val="center"/>
            <w:hideMark/>
          </w:tcPr>
          <w:p w14:paraId="6BD4F4FE"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Project Management Office (PMO)</w:t>
            </w:r>
          </w:p>
        </w:tc>
        <w:tc>
          <w:tcPr>
            <w:tcW w:w="0" w:type="auto"/>
            <w:vAlign w:val="center"/>
            <w:hideMark/>
          </w:tcPr>
          <w:p w14:paraId="63C7B346"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Timeline adherence, budget control, governance, reporting, risk tracking</w:t>
            </w:r>
          </w:p>
        </w:tc>
        <w:tc>
          <w:tcPr>
            <w:tcW w:w="0" w:type="auto"/>
            <w:vAlign w:val="center"/>
            <w:hideMark/>
          </w:tcPr>
          <w:p w14:paraId="7F358022"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High</w:t>
            </w:r>
          </w:p>
        </w:tc>
        <w:tc>
          <w:tcPr>
            <w:tcW w:w="0" w:type="auto"/>
            <w:vAlign w:val="center"/>
            <w:hideMark/>
          </w:tcPr>
          <w:p w14:paraId="42819448"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Enforces consistent standards across all regions</w:t>
            </w:r>
          </w:p>
        </w:tc>
      </w:tr>
      <w:tr w:rsidR="007B3ACC" w:rsidRPr="007B3ACC" w14:paraId="2D64F051" w14:textId="77777777">
        <w:trPr>
          <w:tblCellSpacing w:w="15" w:type="dxa"/>
        </w:trPr>
        <w:tc>
          <w:tcPr>
            <w:tcW w:w="0" w:type="auto"/>
            <w:vAlign w:val="center"/>
            <w:hideMark/>
          </w:tcPr>
          <w:p w14:paraId="457A9699"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Product Development Team</w:t>
            </w:r>
          </w:p>
        </w:tc>
        <w:tc>
          <w:tcPr>
            <w:tcW w:w="0" w:type="auto"/>
            <w:vAlign w:val="center"/>
            <w:hideMark/>
          </w:tcPr>
          <w:p w14:paraId="0AF04AD2"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Technical feasibility, system architecture, security, scalability, integration with legacy systems</w:t>
            </w:r>
          </w:p>
        </w:tc>
        <w:tc>
          <w:tcPr>
            <w:tcW w:w="0" w:type="auto"/>
            <w:vAlign w:val="center"/>
            <w:hideMark/>
          </w:tcPr>
          <w:p w14:paraId="3F7316FB"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High</w:t>
            </w:r>
          </w:p>
        </w:tc>
        <w:tc>
          <w:tcPr>
            <w:tcW w:w="0" w:type="auto"/>
            <w:vAlign w:val="center"/>
            <w:hideMark/>
          </w:tcPr>
          <w:p w14:paraId="3D4579F8"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Must balance global standardisation with local feature requests</w:t>
            </w:r>
          </w:p>
        </w:tc>
      </w:tr>
      <w:tr w:rsidR="007B3ACC" w:rsidRPr="007B3ACC" w14:paraId="6627E006" w14:textId="77777777">
        <w:trPr>
          <w:tblCellSpacing w:w="15" w:type="dxa"/>
        </w:trPr>
        <w:tc>
          <w:tcPr>
            <w:tcW w:w="0" w:type="auto"/>
            <w:vAlign w:val="center"/>
            <w:hideMark/>
          </w:tcPr>
          <w:p w14:paraId="1464295F"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Regional Business Leaders</w:t>
            </w:r>
          </w:p>
        </w:tc>
        <w:tc>
          <w:tcPr>
            <w:tcW w:w="0" w:type="auto"/>
            <w:vAlign w:val="center"/>
            <w:hideMark/>
          </w:tcPr>
          <w:p w14:paraId="6193E219"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Local revenue targets, operational impact, market fit, resource allocation</w:t>
            </w:r>
          </w:p>
        </w:tc>
        <w:tc>
          <w:tcPr>
            <w:tcW w:w="0" w:type="auto"/>
            <w:vAlign w:val="center"/>
            <w:hideMark/>
          </w:tcPr>
          <w:p w14:paraId="0155C8F4"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High / Variable</w:t>
            </w:r>
          </w:p>
        </w:tc>
        <w:tc>
          <w:tcPr>
            <w:tcW w:w="0" w:type="auto"/>
            <w:vAlign w:val="center"/>
            <w:hideMark/>
          </w:tcPr>
          <w:p w14:paraId="530AF362"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UK: speed to market; Germany: compliance and thoroughness; India: cost efficiency</w:t>
            </w:r>
          </w:p>
        </w:tc>
      </w:tr>
      <w:tr w:rsidR="007B3ACC" w:rsidRPr="007B3ACC" w14:paraId="544FFD9D" w14:textId="77777777">
        <w:trPr>
          <w:tblCellSpacing w:w="15" w:type="dxa"/>
        </w:trPr>
        <w:tc>
          <w:tcPr>
            <w:tcW w:w="0" w:type="auto"/>
            <w:vAlign w:val="center"/>
            <w:hideMark/>
          </w:tcPr>
          <w:p w14:paraId="22CA414A"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Store &amp; E-commerce Operations</w:t>
            </w:r>
          </w:p>
        </w:tc>
        <w:tc>
          <w:tcPr>
            <w:tcW w:w="0" w:type="auto"/>
            <w:vAlign w:val="center"/>
            <w:hideMark/>
          </w:tcPr>
          <w:p w14:paraId="44377811"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Workload changes, staff training requirements, impact on daily tasks, customer adoption barriers</w:t>
            </w:r>
          </w:p>
        </w:tc>
        <w:tc>
          <w:tcPr>
            <w:tcW w:w="0" w:type="auto"/>
            <w:vAlign w:val="center"/>
            <w:hideMark/>
          </w:tcPr>
          <w:p w14:paraId="1F060942"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Medium</w:t>
            </w:r>
          </w:p>
        </w:tc>
        <w:tc>
          <w:tcPr>
            <w:tcW w:w="0" w:type="auto"/>
            <w:vAlign w:val="center"/>
            <w:hideMark/>
          </w:tcPr>
          <w:p w14:paraId="459DDDBA"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France: strong union representation around process changes</w:t>
            </w:r>
          </w:p>
        </w:tc>
      </w:tr>
      <w:tr w:rsidR="007B3ACC" w:rsidRPr="007B3ACC" w14:paraId="60009233" w14:textId="77777777">
        <w:trPr>
          <w:tblCellSpacing w:w="15" w:type="dxa"/>
        </w:trPr>
        <w:tc>
          <w:tcPr>
            <w:tcW w:w="0" w:type="auto"/>
            <w:vAlign w:val="center"/>
            <w:hideMark/>
          </w:tcPr>
          <w:p w14:paraId="1BC15019"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Marketing &amp; Customer Experience</w:t>
            </w:r>
          </w:p>
        </w:tc>
        <w:tc>
          <w:tcPr>
            <w:tcW w:w="0" w:type="auto"/>
            <w:vAlign w:val="center"/>
            <w:hideMark/>
          </w:tcPr>
          <w:p w14:paraId="622A7D50"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Campaign delivery, brand messaging, user communications, feedback collection</w:t>
            </w:r>
          </w:p>
        </w:tc>
        <w:tc>
          <w:tcPr>
            <w:tcW w:w="0" w:type="auto"/>
            <w:vAlign w:val="center"/>
            <w:hideMark/>
          </w:tcPr>
          <w:p w14:paraId="131642AD"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Medium</w:t>
            </w:r>
          </w:p>
        </w:tc>
        <w:tc>
          <w:tcPr>
            <w:tcW w:w="0" w:type="auto"/>
            <w:vAlign w:val="center"/>
            <w:hideMark/>
          </w:tcPr>
          <w:p w14:paraId="5808ADCE"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Adapts tone and content to local consumer preferences</w:t>
            </w:r>
          </w:p>
        </w:tc>
      </w:tr>
      <w:tr w:rsidR="007B3ACC" w:rsidRPr="007B3ACC" w14:paraId="143FB283" w14:textId="77777777">
        <w:trPr>
          <w:tblCellSpacing w:w="15" w:type="dxa"/>
        </w:trPr>
        <w:tc>
          <w:tcPr>
            <w:tcW w:w="0" w:type="auto"/>
            <w:vAlign w:val="center"/>
            <w:hideMark/>
          </w:tcPr>
          <w:p w14:paraId="10F58A9E"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IT Infrastructure &amp; Data Governance</w:t>
            </w:r>
          </w:p>
        </w:tc>
        <w:tc>
          <w:tcPr>
            <w:tcW w:w="0" w:type="auto"/>
            <w:vAlign w:val="center"/>
            <w:hideMark/>
          </w:tcPr>
          <w:p w14:paraId="36D38BF1"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GDPR, DPDP, PDPA compliance, data security, system integration, ethical data use</w:t>
            </w:r>
          </w:p>
        </w:tc>
        <w:tc>
          <w:tcPr>
            <w:tcW w:w="0" w:type="auto"/>
            <w:vAlign w:val="center"/>
            <w:hideMark/>
          </w:tcPr>
          <w:p w14:paraId="6CAC6D65"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High</w:t>
            </w:r>
          </w:p>
        </w:tc>
        <w:tc>
          <w:tcPr>
            <w:tcW w:w="0" w:type="auto"/>
            <w:vAlign w:val="center"/>
            <w:hideMark/>
          </w:tcPr>
          <w:p w14:paraId="2DEDBB85"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Rules differ significantly between every market</w:t>
            </w:r>
          </w:p>
        </w:tc>
      </w:tr>
      <w:tr w:rsidR="007B3ACC" w:rsidRPr="007B3ACC" w14:paraId="0345B0D7" w14:textId="77777777">
        <w:trPr>
          <w:tblCellSpacing w:w="15" w:type="dxa"/>
        </w:trPr>
        <w:tc>
          <w:tcPr>
            <w:tcW w:w="0" w:type="auto"/>
            <w:vAlign w:val="center"/>
            <w:hideMark/>
          </w:tcPr>
          <w:p w14:paraId="6AB01338"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Finance &amp; Procurement</w:t>
            </w:r>
          </w:p>
        </w:tc>
        <w:tc>
          <w:tcPr>
            <w:tcW w:w="0" w:type="auto"/>
            <w:vAlign w:val="center"/>
            <w:hideMark/>
          </w:tcPr>
          <w:p w14:paraId="7FDE3E0E"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Cost control, vendor management, contract terms, ROI tracking</w:t>
            </w:r>
          </w:p>
        </w:tc>
        <w:tc>
          <w:tcPr>
            <w:tcW w:w="0" w:type="auto"/>
            <w:vAlign w:val="center"/>
            <w:hideMark/>
          </w:tcPr>
          <w:p w14:paraId="0BFFA2D0"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Medium</w:t>
            </w:r>
          </w:p>
        </w:tc>
        <w:tc>
          <w:tcPr>
            <w:tcW w:w="0" w:type="auto"/>
            <w:vAlign w:val="center"/>
            <w:hideMark/>
          </w:tcPr>
          <w:p w14:paraId="6915C579"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Budget approval processes vary by region</w:t>
            </w:r>
          </w:p>
        </w:tc>
      </w:tr>
      <w:tr w:rsidR="007B3ACC" w:rsidRPr="007B3ACC" w14:paraId="3D61D04C" w14:textId="77777777">
        <w:trPr>
          <w:tblCellSpacing w:w="15" w:type="dxa"/>
        </w:trPr>
        <w:tc>
          <w:tcPr>
            <w:tcW w:w="0" w:type="auto"/>
            <w:vAlign w:val="center"/>
            <w:hideMark/>
          </w:tcPr>
          <w:p w14:paraId="239DE194"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Frontline Employees &amp; Store Teams</w:t>
            </w:r>
          </w:p>
        </w:tc>
        <w:tc>
          <w:tcPr>
            <w:tcW w:w="0" w:type="auto"/>
            <w:vAlign w:val="center"/>
            <w:hideMark/>
          </w:tcPr>
          <w:p w14:paraId="7AE3AA74"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Role changes, workflow disruption, training availability, perceived extra workload</w:t>
            </w:r>
          </w:p>
        </w:tc>
        <w:tc>
          <w:tcPr>
            <w:tcW w:w="0" w:type="auto"/>
            <w:vAlign w:val="center"/>
            <w:hideMark/>
          </w:tcPr>
          <w:p w14:paraId="0B0F241F"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Low / Medium</w:t>
            </w:r>
          </w:p>
        </w:tc>
        <w:tc>
          <w:tcPr>
            <w:tcW w:w="0" w:type="auto"/>
            <w:vAlign w:val="center"/>
            <w:hideMark/>
          </w:tcPr>
          <w:p w14:paraId="5EE97607"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Most critical for adoption but often least consulted</w:t>
            </w:r>
          </w:p>
        </w:tc>
      </w:tr>
    </w:tbl>
    <w:p w14:paraId="6C80C0B5" w14:textId="77777777" w:rsidR="007B3ACC" w:rsidRPr="007B3ACC" w:rsidRDefault="007B3ACC" w:rsidP="007B3ACC">
      <w:pPr>
        <w:spacing w:after="0" w:line="360" w:lineRule="atLeast"/>
        <w:outlineLvl w:val="2"/>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3.2 External Stakeholders</w:t>
      </w:r>
    </w:p>
    <w:p w14:paraId="226DDC70"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Table</w:t>
      </w:r>
    </w:p>
    <w:tbl>
      <w:tblPr>
        <w:tblW w:w="0" w:type="auto"/>
        <w:tblCellSpacing w:w="15" w:type="dxa"/>
        <w:tblCellMar>
          <w:left w:w="0" w:type="dxa"/>
          <w:right w:w="0" w:type="dxa"/>
        </w:tblCellMar>
        <w:tblLook w:val="04A0" w:firstRow="1" w:lastRow="0" w:firstColumn="1" w:lastColumn="0" w:noHBand="0" w:noVBand="1"/>
      </w:tblPr>
      <w:tblGrid>
        <w:gridCol w:w="1830"/>
        <w:gridCol w:w="3014"/>
        <w:gridCol w:w="1257"/>
        <w:gridCol w:w="2925"/>
      </w:tblGrid>
      <w:tr w:rsidR="007B3ACC" w:rsidRPr="007B3ACC" w14:paraId="104BEE39" w14:textId="77777777">
        <w:trPr>
          <w:tblHeader/>
          <w:tblCellSpacing w:w="15" w:type="dxa"/>
        </w:trPr>
        <w:tc>
          <w:tcPr>
            <w:tcW w:w="0" w:type="auto"/>
            <w:vAlign w:val="center"/>
            <w:hideMark/>
          </w:tcPr>
          <w:p w14:paraId="6BAE71C0" w14:textId="77777777" w:rsidR="007B3ACC" w:rsidRPr="007B3ACC" w:rsidRDefault="007B3ACC" w:rsidP="007B3ACC">
            <w:pPr>
              <w:spacing w:after="0" w:line="360" w:lineRule="atLeast"/>
              <w:jc w:val="center"/>
              <w:rPr>
                <w:rFonts w:ascii="Arial" w:eastAsia="Times New Roman" w:hAnsi="Arial" w:cs="Arial"/>
                <w:b/>
                <w:bCs/>
                <w:color w:val="000000"/>
                <w:kern w:val="0"/>
                <w:lang w:eastAsia="en-GB"/>
                <w14:ligatures w14:val="none"/>
              </w:rPr>
            </w:pPr>
            <w:r w:rsidRPr="007B3ACC">
              <w:rPr>
                <w:rFonts w:ascii="Arial" w:eastAsia="Times New Roman" w:hAnsi="Arial" w:cs="Arial"/>
                <w:b/>
                <w:bCs/>
                <w:color w:val="000000"/>
                <w:kern w:val="0"/>
                <w:lang w:eastAsia="en-GB"/>
                <w14:ligatures w14:val="none"/>
              </w:rPr>
              <w:lastRenderedPageBreak/>
              <w:t>Stakeholder Group</w:t>
            </w:r>
          </w:p>
        </w:tc>
        <w:tc>
          <w:tcPr>
            <w:tcW w:w="0" w:type="auto"/>
            <w:vAlign w:val="center"/>
            <w:hideMark/>
          </w:tcPr>
          <w:p w14:paraId="1E4ED461" w14:textId="77777777" w:rsidR="007B3ACC" w:rsidRPr="007B3ACC" w:rsidRDefault="007B3ACC" w:rsidP="007B3ACC">
            <w:pPr>
              <w:spacing w:after="0" w:line="360" w:lineRule="atLeast"/>
              <w:jc w:val="center"/>
              <w:rPr>
                <w:rFonts w:ascii="Arial" w:eastAsia="Times New Roman" w:hAnsi="Arial" w:cs="Arial"/>
                <w:b/>
                <w:bCs/>
                <w:color w:val="000000"/>
                <w:kern w:val="0"/>
                <w:lang w:eastAsia="en-GB"/>
                <w14:ligatures w14:val="none"/>
              </w:rPr>
            </w:pPr>
            <w:r w:rsidRPr="007B3ACC">
              <w:rPr>
                <w:rFonts w:ascii="Arial" w:eastAsia="Times New Roman" w:hAnsi="Arial" w:cs="Arial"/>
                <w:b/>
                <w:bCs/>
                <w:color w:val="000000"/>
                <w:kern w:val="0"/>
                <w:lang w:eastAsia="en-GB"/>
                <w14:ligatures w14:val="none"/>
              </w:rPr>
              <w:t>Core Interests &amp; Concerns</w:t>
            </w:r>
          </w:p>
        </w:tc>
        <w:tc>
          <w:tcPr>
            <w:tcW w:w="0" w:type="auto"/>
            <w:vAlign w:val="center"/>
            <w:hideMark/>
          </w:tcPr>
          <w:p w14:paraId="513649DB" w14:textId="77777777" w:rsidR="007B3ACC" w:rsidRPr="007B3ACC" w:rsidRDefault="007B3ACC" w:rsidP="007B3ACC">
            <w:pPr>
              <w:spacing w:after="0" w:line="360" w:lineRule="atLeast"/>
              <w:jc w:val="center"/>
              <w:rPr>
                <w:rFonts w:ascii="Arial" w:eastAsia="Times New Roman" w:hAnsi="Arial" w:cs="Arial"/>
                <w:b/>
                <w:bCs/>
                <w:color w:val="000000"/>
                <w:kern w:val="0"/>
                <w:lang w:eastAsia="en-GB"/>
                <w14:ligatures w14:val="none"/>
              </w:rPr>
            </w:pPr>
            <w:r w:rsidRPr="007B3ACC">
              <w:rPr>
                <w:rFonts w:ascii="Arial" w:eastAsia="Times New Roman" w:hAnsi="Arial" w:cs="Arial"/>
                <w:b/>
                <w:bCs/>
                <w:color w:val="000000"/>
                <w:kern w:val="0"/>
                <w:lang w:eastAsia="en-GB"/>
                <w14:ligatures w14:val="none"/>
              </w:rPr>
              <w:t>Level of Influence</w:t>
            </w:r>
          </w:p>
        </w:tc>
        <w:tc>
          <w:tcPr>
            <w:tcW w:w="0" w:type="auto"/>
            <w:vAlign w:val="center"/>
            <w:hideMark/>
          </w:tcPr>
          <w:p w14:paraId="2ABC2E60" w14:textId="77777777" w:rsidR="007B3ACC" w:rsidRPr="007B3ACC" w:rsidRDefault="007B3ACC" w:rsidP="007B3ACC">
            <w:pPr>
              <w:spacing w:after="0" w:line="360" w:lineRule="atLeast"/>
              <w:jc w:val="center"/>
              <w:rPr>
                <w:rFonts w:ascii="Arial" w:eastAsia="Times New Roman" w:hAnsi="Arial" w:cs="Arial"/>
                <w:b/>
                <w:bCs/>
                <w:color w:val="000000"/>
                <w:kern w:val="0"/>
                <w:lang w:eastAsia="en-GB"/>
                <w14:ligatures w14:val="none"/>
              </w:rPr>
            </w:pPr>
            <w:r w:rsidRPr="007B3ACC">
              <w:rPr>
                <w:rFonts w:ascii="Arial" w:eastAsia="Times New Roman" w:hAnsi="Arial" w:cs="Arial"/>
                <w:b/>
                <w:bCs/>
                <w:color w:val="000000"/>
                <w:kern w:val="0"/>
                <w:lang w:eastAsia="en-GB"/>
                <w14:ligatures w14:val="none"/>
              </w:rPr>
              <w:t>Regional Variations &amp; Notes</w:t>
            </w:r>
          </w:p>
        </w:tc>
      </w:tr>
      <w:tr w:rsidR="007B3ACC" w:rsidRPr="007B3ACC" w14:paraId="31545E0A" w14:textId="77777777">
        <w:trPr>
          <w:tblCellSpacing w:w="15" w:type="dxa"/>
        </w:trPr>
        <w:tc>
          <w:tcPr>
            <w:tcW w:w="0" w:type="auto"/>
            <w:vAlign w:val="center"/>
            <w:hideMark/>
          </w:tcPr>
          <w:p w14:paraId="4BFEAFE9"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End Customers</w:t>
            </w:r>
          </w:p>
        </w:tc>
        <w:tc>
          <w:tcPr>
            <w:tcW w:w="0" w:type="auto"/>
            <w:vAlign w:val="center"/>
            <w:hideMark/>
          </w:tcPr>
          <w:p w14:paraId="04AF681F"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Data privacy, reward value, personalisation relevance, ease of use</w:t>
            </w:r>
          </w:p>
        </w:tc>
        <w:tc>
          <w:tcPr>
            <w:tcW w:w="0" w:type="auto"/>
            <w:vAlign w:val="center"/>
            <w:hideMark/>
          </w:tcPr>
          <w:p w14:paraId="583A2502"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High</w:t>
            </w:r>
          </w:p>
        </w:tc>
        <w:tc>
          <w:tcPr>
            <w:tcW w:w="0" w:type="auto"/>
            <w:vAlign w:val="center"/>
            <w:hideMark/>
          </w:tcPr>
          <w:p w14:paraId="49AA9CF6"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Europe: privacy and transparency first; Asia: personalisation and convenience first</w:t>
            </w:r>
          </w:p>
        </w:tc>
      </w:tr>
      <w:tr w:rsidR="007B3ACC" w:rsidRPr="007B3ACC" w14:paraId="60CCB086" w14:textId="77777777">
        <w:trPr>
          <w:tblCellSpacing w:w="15" w:type="dxa"/>
        </w:trPr>
        <w:tc>
          <w:tcPr>
            <w:tcW w:w="0" w:type="auto"/>
            <w:vAlign w:val="center"/>
            <w:hideMark/>
          </w:tcPr>
          <w:p w14:paraId="0CA862DA"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Strategic Partners</w:t>
            </w:r>
          </w:p>
        </w:tc>
        <w:tc>
          <w:tcPr>
            <w:tcW w:w="0" w:type="auto"/>
            <w:vAlign w:val="center"/>
            <w:hideMark/>
          </w:tcPr>
          <w:p w14:paraId="32E50808"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Integration requirements, service reliability, revenue sharing terms, data exchange rules</w:t>
            </w:r>
          </w:p>
        </w:tc>
        <w:tc>
          <w:tcPr>
            <w:tcW w:w="0" w:type="auto"/>
            <w:vAlign w:val="center"/>
            <w:hideMark/>
          </w:tcPr>
          <w:p w14:paraId="1771F5A6"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Medium / High</w:t>
            </w:r>
          </w:p>
        </w:tc>
        <w:tc>
          <w:tcPr>
            <w:tcW w:w="0" w:type="auto"/>
            <w:vAlign w:val="center"/>
            <w:hideMark/>
          </w:tcPr>
          <w:p w14:paraId="09E99383"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Local payment providers have dominant market share in India and Southeast Asia</w:t>
            </w:r>
          </w:p>
        </w:tc>
      </w:tr>
      <w:tr w:rsidR="007B3ACC" w:rsidRPr="007B3ACC" w14:paraId="6C0C4D39" w14:textId="77777777">
        <w:trPr>
          <w:tblCellSpacing w:w="15" w:type="dxa"/>
        </w:trPr>
        <w:tc>
          <w:tcPr>
            <w:tcW w:w="0" w:type="auto"/>
            <w:vAlign w:val="center"/>
            <w:hideMark/>
          </w:tcPr>
          <w:p w14:paraId="279CFDC4"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Regulatory Authorities</w:t>
            </w:r>
          </w:p>
        </w:tc>
        <w:tc>
          <w:tcPr>
            <w:tcW w:w="0" w:type="auto"/>
            <w:vAlign w:val="center"/>
            <w:hideMark/>
          </w:tcPr>
          <w:p w14:paraId="4CC0100F"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Legal compliance, data protection standards, fair practice</w:t>
            </w:r>
          </w:p>
        </w:tc>
        <w:tc>
          <w:tcPr>
            <w:tcW w:w="0" w:type="auto"/>
            <w:vAlign w:val="center"/>
            <w:hideMark/>
          </w:tcPr>
          <w:p w14:paraId="7F34F0B4"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Very High</w:t>
            </w:r>
          </w:p>
        </w:tc>
        <w:tc>
          <w:tcPr>
            <w:tcW w:w="0" w:type="auto"/>
            <w:vAlign w:val="center"/>
            <w:hideMark/>
          </w:tcPr>
          <w:p w14:paraId="2D0320C1"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ICO (UK), CNIL (France), FDP (Germany), MeitY (India), PDPC (Singapore)</w:t>
            </w:r>
          </w:p>
        </w:tc>
      </w:tr>
      <w:tr w:rsidR="007B3ACC" w:rsidRPr="007B3ACC" w14:paraId="6BBB543B" w14:textId="77777777">
        <w:trPr>
          <w:tblCellSpacing w:w="15" w:type="dxa"/>
        </w:trPr>
        <w:tc>
          <w:tcPr>
            <w:tcW w:w="0" w:type="auto"/>
            <w:vAlign w:val="center"/>
            <w:hideMark/>
          </w:tcPr>
          <w:p w14:paraId="2EFB7DFE"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Competitors</w:t>
            </w:r>
          </w:p>
        </w:tc>
        <w:tc>
          <w:tcPr>
            <w:tcW w:w="0" w:type="auto"/>
            <w:vAlign w:val="center"/>
            <w:hideMark/>
          </w:tcPr>
          <w:p w14:paraId="011D3D8A"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Market positioning, feature differentiation, pricing responses</w:t>
            </w:r>
          </w:p>
        </w:tc>
        <w:tc>
          <w:tcPr>
            <w:tcW w:w="0" w:type="auto"/>
            <w:vAlign w:val="center"/>
            <w:hideMark/>
          </w:tcPr>
          <w:p w14:paraId="59CE7674"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Low / Indirect</w:t>
            </w:r>
          </w:p>
        </w:tc>
        <w:tc>
          <w:tcPr>
            <w:tcW w:w="0" w:type="auto"/>
            <w:vAlign w:val="center"/>
            <w:hideMark/>
          </w:tcPr>
          <w:p w14:paraId="60A31722"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Local rivals respond differently than global players</w:t>
            </w:r>
          </w:p>
        </w:tc>
      </w:tr>
      <w:tr w:rsidR="007B3ACC" w:rsidRPr="007B3ACC" w14:paraId="244CF893" w14:textId="77777777">
        <w:trPr>
          <w:tblCellSpacing w:w="15" w:type="dxa"/>
        </w:trPr>
        <w:tc>
          <w:tcPr>
            <w:tcW w:w="0" w:type="auto"/>
            <w:vAlign w:val="center"/>
            <w:hideMark/>
          </w:tcPr>
          <w:p w14:paraId="0C9B5652"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Industry Analysts &amp; Media</w:t>
            </w:r>
          </w:p>
        </w:tc>
        <w:tc>
          <w:tcPr>
            <w:tcW w:w="0" w:type="auto"/>
            <w:vAlign w:val="center"/>
            <w:hideMark/>
          </w:tcPr>
          <w:p w14:paraId="3E4B3712"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Innovation trends, market impact, brand performance</w:t>
            </w:r>
          </w:p>
        </w:tc>
        <w:tc>
          <w:tcPr>
            <w:tcW w:w="0" w:type="auto"/>
            <w:vAlign w:val="center"/>
            <w:hideMark/>
          </w:tcPr>
          <w:p w14:paraId="668C789D"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Medium</w:t>
            </w:r>
          </w:p>
        </w:tc>
        <w:tc>
          <w:tcPr>
            <w:tcW w:w="0" w:type="auto"/>
            <w:vAlign w:val="center"/>
            <w:hideMark/>
          </w:tcPr>
          <w:p w14:paraId="35FC1F63"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Shapes public perception and investor confidence</w:t>
            </w:r>
          </w:p>
        </w:tc>
      </w:tr>
      <w:tr w:rsidR="007B3ACC" w:rsidRPr="007B3ACC" w14:paraId="17B10576" w14:textId="77777777">
        <w:trPr>
          <w:tblCellSpacing w:w="15" w:type="dxa"/>
        </w:trPr>
        <w:tc>
          <w:tcPr>
            <w:tcW w:w="0" w:type="auto"/>
            <w:vAlign w:val="center"/>
            <w:hideMark/>
          </w:tcPr>
          <w:p w14:paraId="37E8F08D"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Civil Society &amp; Consumer Groups</w:t>
            </w:r>
          </w:p>
        </w:tc>
        <w:tc>
          <w:tcPr>
            <w:tcW w:w="0" w:type="auto"/>
            <w:vAlign w:val="center"/>
            <w:hideMark/>
          </w:tcPr>
          <w:p w14:paraId="7E612032"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Data ethics, inclusive access, transparency, fairness</w:t>
            </w:r>
          </w:p>
        </w:tc>
        <w:tc>
          <w:tcPr>
            <w:tcW w:w="0" w:type="auto"/>
            <w:vAlign w:val="center"/>
            <w:hideMark/>
          </w:tcPr>
          <w:p w14:paraId="6F1D093C"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Low / Medium</w:t>
            </w:r>
          </w:p>
        </w:tc>
        <w:tc>
          <w:tcPr>
            <w:tcW w:w="0" w:type="auto"/>
            <w:vAlign w:val="center"/>
            <w:hideMark/>
          </w:tcPr>
          <w:p w14:paraId="47F8325D"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Highly active in UK and EU; growing influence in Asia</w:t>
            </w:r>
          </w:p>
        </w:tc>
      </w:tr>
      <w:tr w:rsidR="007B3ACC" w:rsidRPr="007B3ACC" w14:paraId="33327DA0" w14:textId="77777777">
        <w:trPr>
          <w:tblCellSpacing w:w="15" w:type="dxa"/>
        </w:trPr>
        <w:tc>
          <w:tcPr>
            <w:tcW w:w="0" w:type="auto"/>
            <w:vAlign w:val="center"/>
            <w:hideMark/>
          </w:tcPr>
          <w:p w14:paraId="7D2B3404"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Local Communities</w:t>
            </w:r>
          </w:p>
        </w:tc>
        <w:tc>
          <w:tcPr>
            <w:tcW w:w="0" w:type="auto"/>
            <w:vAlign w:val="center"/>
            <w:hideMark/>
          </w:tcPr>
          <w:p w14:paraId="7D776779"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Data security, employment impacts, digital inclusion</w:t>
            </w:r>
          </w:p>
        </w:tc>
        <w:tc>
          <w:tcPr>
            <w:tcW w:w="0" w:type="auto"/>
            <w:vAlign w:val="center"/>
            <w:hideMark/>
          </w:tcPr>
          <w:p w14:paraId="68C98E0E"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Low</w:t>
            </w:r>
          </w:p>
        </w:tc>
        <w:tc>
          <w:tcPr>
            <w:tcW w:w="0" w:type="auto"/>
            <w:vAlign w:val="center"/>
            <w:hideMark/>
          </w:tcPr>
          <w:p w14:paraId="175BAE18"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Relevant for rural rollout in India and parts of Europe</w:t>
            </w:r>
          </w:p>
        </w:tc>
      </w:tr>
    </w:tbl>
    <w:p w14:paraId="330A31BA" w14:textId="77777777" w:rsidR="007B3ACC" w:rsidRPr="007B3ACC" w:rsidRDefault="007B3ACC" w:rsidP="007B3ACC">
      <w:pPr>
        <w:spacing w:after="0" w:line="360" w:lineRule="atLeast"/>
        <w:outlineLvl w:val="2"/>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3.3 Application of Strategic Frameworks</w:t>
      </w:r>
    </w:p>
    <w:p w14:paraId="292274CE" w14:textId="77777777" w:rsidR="007B3ACC" w:rsidRPr="007B3ACC" w:rsidRDefault="007B3ACC" w:rsidP="007B3ACC">
      <w:pPr>
        <w:spacing w:after="0" w:line="360" w:lineRule="atLeast"/>
        <w:outlineLvl w:val="3"/>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Interest-Influence Matrix</w:t>
      </w:r>
    </w:p>
    <w:p w14:paraId="29E7BA36"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This framework guides the intensity and type of engagement required for each group:</w:t>
      </w:r>
    </w:p>
    <w:p w14:paraId="39DF6603"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Table</w:t>
      </w:r>
    </w:p>
    <w:tbl>
      <w:tblPr>
        <w:tblW w:w="0" w:type="auto"/>
        <w:tblCellSpacing w:w="15" w:type="dxa"/>
        <w:tblCellMar>
          <w:left w:w="0" w:type="dxa"/>
          <w:right w:w="0" w:type="dxa"/>
        </w:tblCellMar>
        <w:tblLook w:val="04A0" w:firstRow="1" w:lastRow="0" w:firstColumn="1" w:lastColumn="0" w:noHBand="0" w:noVBand="1"/>
      </w:tblPr>
      <w:tblGrid>
        <w:gridCol w:w="2041"/>
        <w:gridCol w:w="3484"/>
        <w:gridCol w:w="3501"/>
      </w:tblGrid>
      <w:tr w:rsidR="007B3ACC" w:rsidRPr="007B3ACC" w14:paraId="41E81434" w14:textId="77777777">
        <w:trPr>
          <w:tblHeader/>
          <w:tblCellSpacing w:w="15" w:type="dxa"/>
        </w:trPr>
        <w:tc>
          <w:tcPr>
            <w:tcW w:w="0" w:type="auto"/>
            <w:vAlign w:val="center"/>
            <w:hideMark/>
          </w:tcPr>
          <w:p w14:paraId="4A594400" w14:textId="77777777" w:rsidR="007B3ACC" w:rsidRPr="007B3ACC" w:rsidRDefault="007B3ACC" w:rsidP="007B3ACC">
            <w:pPr>
              <w:spacing w:after="0" w:line="360" w:lineRule="atLeast"/>
              <w:jc w:val="center"/>
              <w:rPr>
                <w:rFonts w:ascii="Arial" w:eastAsia="Times New Roman" w:hAnsi="Arial" w:cs="Arial"/>
                <w:b/>
                <w:bCs/>
                <w:color w:val="000000"/>
                <w:kern w:val="0"/>
                <w:lang w:eastAsia="en-GB"/>
                <w14:ligatures w14:val="none"/>
              </w:rPr>
            </w:pPr>
            <w:r w:rsidRPr="007B3ACC">
              <w:rPr>
                <w:rFonts w:ascii="Arial" w:eastAsia="Times New Roman" w:hAnsi="Arial" w:cs="Arial"/>
                <w:b/>
                <w:bCs/>
                <w:color w:val="000000"/>
                <w:kern w:val="0"/>
                <w:lang w:eastAsia="en-GB"/>
                <w14:ligatures w14:val="none"/>
              </w:rPr>
              <w:t>Category</w:t>
            </w:r>
          </w:p>
        </w:tc>
        <w:tc>
          <w:tcPr>
            <w:tcW w:w="0" w:type="auto"/>
            <w:vAlign w:val="center"/>
            <w:hideMark/>
          </w:tcPr>
          <w:p w14:paraId="5D9295B4" w14:textId="77777777" w:rsidR="007B3ACC" w:rsidRPr="007B3ACC" w:rsidRDefault="007B3ACC" w:rsidP="007B3ACC">
            <w:pPr>
              <w:spacing w:after="0" w:line="360" w:lineRule="atLeast"/>
              <w:jc w:val="center"/>
              <w:rPr>
                <w:rFonts w:ascii="Arial" w:eastAsia="Times New Roman" w:hAnsi="Arial" w:cs="Arial"/>
                <w:b/>
                <w:bCs/>
                <w:color w:val="000000"/>
                <w:kern w:val="0"/>
                <w:lang w:eastAsia="en-GB"/>
                <w14:ligatures w14:val="none"/>
              </w:rPr>
            </w:pPr>
            <w:r w:rsidRPr="007B3ACC">
              <w:rPr>
                <w:rFonts w:ascii="Arial" w:eastAsia="Times New Roman" w:hAnsi="Arial" w:cs="Arial"/>
                <w:b/>
                <w:bCs/>
                <w:color w:val="000000"/>
                <w:kern w:val="0"/>
                <w:lang w:eastAsia="en-GB"/>
                <w14:ligatures w14:val="none"/>
              </w:rPr>
              <w:t>Stakeholders</w:t>
            </w:r>
          </w:p>
        </w:tc>
        <w:tc>
          <w:tcPr>
            <w:tcW w:w="0" w:type="auto"/>
            <w:vAlign w:val="center"/>
            <w:hideMark/>
          </w:tcPr>
          <w:p w14:paraId="5B861532" w14:textId="77777777" w:rsidR="007B3ACC" w:rsidRPr="007B3ACC" w:rsidRDefault="007B3ACC" w:rsidP="007B3ACC">
            <w:pPr>
              <w:spacing w:after="0" w:line="360" w:lineRule="atLeast"/>
              <w:jc w:val="center"/>
              <w:rPr>
                <w:rFonts w:ascii="Arial" w:eastAsia="Times New Roman" w:hAnsi="Arial" w:cs="Arial"/>
                <w:b/>
                <w:bCs/>
                <w:color w:val="000000"/>
                <w:kern w:val="0"/>
                <w:lang w:eastAsia="en-GB"/>
                <w14:ligatures w14:val="none"/>
              </w:rPr>
            </w:pPr>
            <w:r w:rsidRPr="007B3ACC">
              <w:rPr>
                <w:rFonts w:ascii="Arial" w:eastAsia="Times New Roman" w:hAnsi="Arial" w:cs="Arial"/>
                <w:b/>
                <w:bCs/>
                <w:color w:val="000000"/>
                <w:kern w:val="0"/>
                <w:lang w:eastAsia="en-GB"/>
                <w14:ligatures w14:val="none"/>
              </w:rPr>
              <w:t>Recommended Engagement Approach</w:t>
            </w:r>
          </w:p>
        </w:tc>
      </w:tr>
      <w:tr w:rsidR="007B3ACC" w:rsidRPr="007B3ACC" w14:paraId="62976276" w14:textId="77777777">
        <w:trPr>
          <w:tblCellSpacing w:w="15" w:type="dxa"/>
        </w:trPr>
        <w:tc>
          <w:tcPr>
            <w:tcW w:w="0" w:type="auto"/>
            <w:vAlign w:val="center"/>
            <w:hideMark/>
          </w:tcPr>
          <w:p w14:paraId="7F5BDE16"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High Interest / High Influence (Key Players)</w:t>
            </w:r>
          </w:p>
        </w:tc>
        <w:tc>
          <w:tcPr>
            <w:tcW w:w="0" w:type="auto"/>
            <w:vAlign w:val="center"/>
            <w:hideMark/>
          </w:tcPr>
          <w:p w14:paraId="0263F1F9"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Executive Board, Project Sponsor, Product Team, Regional Leaders, Data Governance</w:t>
            </w:r>
          </w:p>
        </w:tc>
        <w:tc>
          <w:tcPr>
            <w:tcW w:w="0" w:type="auto"/>
            <w:vAlign w:val="center"/>
            <w:hideMark/>
          </w:tcPr>
          <w:p w14:paraId="4F469A39"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Full involvement in decision-making; co-develop plans; regular structured reviews</w:t>
            </w:r>
          </w:p>
        </w:tc>
      </w:tr>
      <w:tr w:rsidR="007B3ACC" w:rsidRPr="007B3ACC" w14:paraId="4B9E3CEA" w14:textId="77777777">
        <w:trPr>
          <w:tblCellSpacing w:w="15" w:type="dxa"/>
        </w:trPr>
        <w:tc>
          <w:tcPr>
            <w:tcW w:w="0" w:type="auto"/>
            <w:vAlign w:val="center"/>
            <w:hideMark/>
          </w:tcPr>
          <w:p w14:paraId="64A92CF8"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lastRenderedPageBreak/>
              <w:t>High Interest / Low Influence (Keep Informed)</w:t>
            </w:r>
          </w:p>
        </w:tc>
        <w:tc>
          <w:tcPr>
            <w:tcW w:w="0" w:type="auto"/>
            <w:vAlign w:val="center"/>
            <w:hideMark/>
          </w:tcPr>
          <w:p w14:paraId="492F19B5"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Frontline Staff, Customers, Consumer Groups, Media</w:t>
            </w:r>
          </w:p>
        </w:tc>
        <w:tc>
          <w:tcPr>
            <w:tcW w:w="0" w:type="auto"/>
            <w:vAlign w:val="center"/>
            <w:hideMark/>
          </w:tcPr>
          <w:p w14:paraId="2EFA1902"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Consult widely; provide accessible updates; actively address concerns</w:t>
            </w:r>
          </w:p>
        </w:tc>
      </w:tr>
      <w:tr w:rsidR="007B3ACC" w:rsidRPr="007B3ACC" w14:paraId="50696BB8" w14:textId="77777777">
        <w:trPr>
          <w:tblCellSpacing w:w="15" w:type="dxa"/>
        </w:trPr>
        <w:tc>
          <w:tcPr>
            <w:tcW w:w="0" w:type="auto"/>
            <w:vAlign w:val="center"/>
            <w:hideMark/>
          </w:tcPr>
          <w:p w14:paraId="1093B906"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Low Interest / High Influence (Keep Satisfied)</w:t>
            </w:r>
          </w:p>
        </w:tc>
        <w:tc>
          <w:tcPr>
            <w:tcW w:w="0" w:type="auto"/>
            <w:vAlign w:val="center"/>
            <w:hideMark/>
          </w:tcPr>
          <w:p w14:paraId="0E2DD0C2"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Regulatory Authorities, Key Strategic Partners</w:t>
            </w:r>
          </w:p>
        </w:tc>
        <w:tc>
          <w:tcPr>
            <w:tcW w:w="0" w:type="auto"/>
            <w:vAlign w:val="center"/>
            <w:hideMark/>
          </w:tcPr>
          <w:p w14:paraId="0EAE5116"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Minimal but targeted formal engagement; focus on compliance and requirements</w:t>
            </w:r>
          </w:p>
        </w:tc>
      </w:tr>
      <w:tr w:rsidR="007B3ACC" w:rsidRPr="007B3ACC" w14:paraId="79C49AD8" w14:textId="77777777">
        <w:trPr>
          <w:tblCellSpacing w:w="15" w:type="dxa"/>
        </w:trPr>
        <w:tc>
          <w:tcPr>
            <w:tcW w:w="0" w:type="auto"/>
            <w:vAlign w:val="center"/>
            <w:hideMark/>
          </w:tcPr>
          <w:p w14:paraId="77564A8E"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Low Interest / Low Influence (Monitor)</w:t>
            </w:r>
          </w:p>
        </w:tc>
        <w:tc>
          <w:tcPr>
            <w:tcW w:w="0" w:type="auto"/>
            <w:vAlign w:val="center"/>
            <w:hideMark/>
          </w:tcPr>
          <w:p w14:paraId="44772C30"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Competitors, General Public, Industry Bodies</w:t>
            </w:r>
          </w:p>
        </w:tc>
        <w:tc>
          <w:tcPr>
            <w:tcW w:w="0" w:type="auto"/>
            <w:vAlign w:val="center"/>
            <w:hideMark/>
          </w:tcPr>
          <w:p w14:paraId="2AE6F7FE"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Track changes only; no active engagement required</w:t>
            </w:r>
          </w:p>
        </w:tc>
      </w:tr>
    </w:tbl>
    <w:p w14:paraId="06754CEE" w14:textId="77777777" w:rsidR="007B3ACC" w:rsidRPr="007B3ACC" w:rsidRDefault="007B3ACC" w:rsidP="007B3ACC">
      <w:pPr>
        <w:spacing w:after="0" w:line="360" w:lineRule="atLeast"/>
        <w:outlineLvl w:val="3"/>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Salience Model</w:t>
      </w:r>
    </w:p>
    <w:p w14:paraId="5D14EEB2"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This framework classifies stakeholders by three attributes: power, legitimacy and urgency:</w:t>
      </w:r>
    </w:p>
    <w:p w14:paraId="07161143" w14:textId="77777777" w:rsidR="007B3ACC" w:rsidRPr="007B3ACC" w:rsidRDefault="007B3ACC" w:rsidP="007B3ACC">
      <w:pPr>
        <w:numPr>
          <w:ilvl w:val="0"/>
          <w:numId w:val="15"/>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Definitive Stakeholders: Executive Board, Project Sponsor, Regulatory Authorities → Immediate and ongoing priority</w:t>
      </w:r>
    </w:p>
    <w:p w14:paraId="74A0EEB5" w14:textId="77777777" w:rsidR="007B3ACC" w:rsidRPr="007B3ACC" w:rsidRDefault="007B3ACC" w:rsidP="007B3ACC">
      <w:pPr>
        <w:numPr>
          <w:ilvl w:val="0"/>
          <w:numId w:val="15"/>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Dominant Stakeholders: Regional Leaders, Product Development Team → Structured, formal engagement</w:t>
      </w:r>
    </w:p>
    <w:p w14:paraId="5CF29EDF" w14:textId="77777777" w:rsidR="007B3ACC" w:rsidRPr="007B3ACC" w:rsidRDefault="007B3ACC" w:rsidP="007B3ACC">
      <w:pPr>
        <w:numPr>
          <w:ilvl w:val="0"/>
          <w:numId w:val="15"/>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Dependent Stakeholders: Frontline Staff, End Customers → Require support, information and feedback mechanisms</w:t>
      </w:r>
    </w:p>
    <w:p w14:paraId="62C5BA49" w14:textId="77777777" w:rsidR="007B3ACC" w:rsidRPr="007B3ACC" w:rsidRDefault="007B3ACC" w:rsidP="007B3ACC">
      <w:pPr>
        <w:numPr>
          <w:ilvl w:val="0"/>
          <w:numId w:val="15"/>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Dangerous Stakeholders: Siloed internal departments, resistant local partners → Proactive risk management and relationship building</w:t>
      </w:r>
    </w:p>
    <w:p w14:paraId="5688643A" w14:textId="77777777" w:rsidR="007B3ACC" w:rsidRPr="007B3ACC" w:rsidRDefault="007B3ACC" w:rsidP="007B3ACC">
      <w:pPr>
        <w:numPr>
          <w:ilvl w:val="0"/>
          <w:numId w:val="15"/>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Discretionary Stakeholders: Industry bodies, civil society groups → Engage only on relevant specific topics</w:t>
      </w:r>
    </w:p>
    <w:p w14:paraId="4979D984" w14:textId="77777777" w:rsidR="007B3ACC" w:rsidRPr="007B3ACC" w:rsidRDefault="007B3ACC" w:rsidP="007B3ACC">
      <w:pPr>
        <w:spacing w:after="0" w:line="360" w:lineRule="atLeast"/>
        <w:outlineLvl w:val="3"/>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Power-Interest Grid Additional Insights</w:t>
      </w:r>
    </w:p>
    <w:p w14:paraId="629A6BA0"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This further highlights often-overlooked groups:</w:t>
      </w:r>
    </w:p>
    <w:p w14:paraId="591FCEB0" w14:textId="77777777" w:rsidR="007B3ACC" w:rsidRPr="007B3ACC" w:rsidRDefault="007B3ACC" w:rsidP="007B3ACC">
      <w:pPr>
        <w:numPr>
          <w:ilvl w:val="0"/>
          <w:numId w:val="16"/>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Hidden influencers: Local IT teams and store managers who have low formal status but very high implementation power</w:t>
      </w:r>
    </w:p>
    <w:p w14:paraId="34490F8E" w14:textId="77777777" w:rsidR="007B3ACC" w:rsidRPr="007B3ACC" w:rsidRDefault="007B3ACC" w:rsidP="007B3ACC">
      <w:pPr>
        <w:numPr>
          <w:ilvl w:val="0"/>
          <w:numId w:val="16"/>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Silent stakeholders: Vulnerable or less digitally engaged customers who have limited voice but are significantly affected by changes</w:t>
      </w:r>
    </w:p>
    <w:p w14:paraId="71E6775A" w14:textId="77777777" w:rsidR="007B3ACC" w:rsidRPr="007B3ACC" w:rsidRDefault="00855DBA" w:rsidP="007B3ACC">
      <w:pPr>
        <w:spacing w:after="0" w:line="360" w:lineRule="atLeast"/>
        <w:rPr>
          <w:rFonts w:ascii="Arial" w:eastAsia="Times New Roman" w:hAnsi="Arial" w:cs="Arial"/>
          <w:kern w:val="0"/>
          <w:lang w:eastAsia="en-GB"/>
          <w14:ligatures w14:val="none"/>
        </w:rPr>
      </w:pPr>
      <w:r w:rsidRPr="00855DBA">
        <w:rPr>
          <w:rFonts w:ascii="Times New Roman" w:eastAsia="Times New Roman" w:hAnsi="Times New Roman" w:cs="Times New Roman"/>
          <w:noProof/>
          <w:kern w:val="0"/>
          <w:lang w:eastAsia="en-GB"/>
        </w:rPr>
        <w:pict w14:anchorId="7064A1A4">
          <v:rect id="_x0000_i1029" alt="" style="width:451.3pt;height:.05pt;mso-width-percent:0;mso-height-percent:0;mso-width-percent:0;mso-height-percent:0" o:hralign="center" o:hrstd="t" o:hrnoshade="t" o:hr="t" fillcolor="black" stroked="f"/>
        </w:pict>
      </w:r>
    </w:p>
    <w:p w14:paraId="317D9D73" w14:textId="77777777" w:rsidR="007B3ACC" w:rsidRPr="003D4977" w:rsidRDefault="007B3ACC" w:rsidP="007B3ACC">
      <w:pPr>
        <w:spacing w:after="0" w:line="360" w:lineRule="atLeast"/>
        <w:outlineLvl w:val="1"/>
        <w:rPr>
          <w:rFonts w:ascii="Arial" w:eastAsia="Times New Roman" w:hAnsi="Arial" w:cs="Arial"/>
          <w:color w:val="000000"/>
          <w:kern w:val="0"/>
          <w:sz w:val="40"/>
          <w:szCs w:val="40"/>
          <w:lang w:eastAsia="en-GB"/>
          <w14:ligatures w14:val="none"/>
        </w:rPr>
      </w:pPr>
      <w:r w:rsidRPr="003D4977">
        <w:rPr>
          <w:rFonts w:ascii="Arial" w:eastAsia="Times New Roman" w:hAnsi="Arial" w:cs="Arial"/>
          <w:color w:val="000000"/>
          <w:kern w:val="0"/>
          <w:sz w:val="40"/>
          <w:szCs w:val="40"/>
          <w:lang w:eastAsia="en-GB"/>
          <w14:ligatures w14:val="none"/>
        </w:rPr>
        <w:t>4. Roles, Responsibilities &amp; Key Challenges (750 words)</w:t>
      </w:r>
    </w:p>
    <w:p w14:paraId="3B0E11E1" w14:textId="77777777" w:rsidR="007B3ACC" w:rsidRPr="003D4977" w:rsidRDefault="007B3ACC" w:rsidP="007B3ACC">
      <w:pPr>
        <w:spacing w:after="0" w:line="360" w:lineRule="atLeast"/>
        <w:outlineLvl w:val="2"/>
        <w:rPr>
          <w:rFonts w:ascii="Arial" w:eastAsia="Times New Roman" w:hAnsi="Arial" w:cs="Arial"/>
          <w:color w:val="000000"/>
          <w:kern w:val="0"/>
          <w:sz w:val="40"/>
          <w:szCs w:val="40"/>
          <w:lang w:eastAsia="en-GB"/>
          <w14:ligatures w14:val="none"/>
        </w:rPr>
      </w:pPr>
      <w:r w:rsidRPr="003D4977">
        <w:rPr>
          <w:rFonts w:ascii="Arial" w:eastAsia="Times New Roman" w:hAnsi="Arial" w:cs="Arial"/>
          <w:color w:val="000000"/>
          <w:kern w:val="0"/>
          <w:sz w:val="40"/>
          <w:szCs w:val="40"/>
          <w:lang w:eastAsia="en-GB"/>
          <w14:ligatures w14:val="none"/>
        </w:rPr>
        <w:t>4.1 Core Roles, Contributions &amp; Associated Benefits</w:t>
      </w:r>
    </w:p>
    <w:p w14:paraId="25D0BB0F" w14:textId="77777777" w:rsidR="007B3ACC" w:rsidRPr="007B3ACC" w:rsidRDefault="007B3ACC" w:rsidP="007B3ACC">
      <w:pPr>
        <w:numPr>
          <w:ilvl w:val="0"/>
          <w:numId w:val="17"/>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 xml:space="preserve">Executive Board &amp; Sponsor: Approves overall budget and strategic direction, resolves cross-market conflicts, and releases contingency resources. Their </w:t>
      </w:r>
      <w:r w:rsidRPr="007B3ACC">
        <w:rPr>
          <w:rFonts w:ascii="Arial" w:eastAsia="Times New Roman" w:hAnsi="Arial" w:cs="Arial"/>
          <w:color w:val="000000"/>
          <w:kern w:val="0"/>
          <w:lang w:eastAsia="en-GB"/>
          <w14:ligatures w14:val="none"/>
        </w:rPr>
        <w:lastRenderedPageBreak/>
        <w:t>involvement ensures alignment with long-term organisational goals and provides clear authority for change. The primary challenge here is that shifting market pressures or changing strategic priorities can alter project requirements mid-delivery.</w:t>
      </w:r>
    </w:p>
    <w:p w14:paraId="53A4EB84" w14:textId="77777777" w:rsidR="007B3ACC" w:rsidRPr="007B3ACC" w:rsidRDefault="007B3ACC" w:rsidP="007B3ACC">
      <w:pPr>
        <w:numPr>
          <w:ilvl w:val="0"/>
          <w:numId w:val="17"/>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Product Development Team: Designs system architecture, builds functionality, manages technical delivery and ensures security and scalability. Their specialist expertise ensures technical reliability, but they often face conflicting requests from different regions, creating difficult trade-off decisions.</w:t>
      </w:r>
    </w:p>
    <w:p w14:paraId="78EC0236" w14:textId="77777777" w:rsidR="007B3ACC" w:rsidRPr="007B3ACC" w:rsidRDefault="007B3ACC" w:rsidP="007B3ACC">
      <w:pPr>
        <w:numPr>
          <w:ilvl w:val="0"/>
          <w:numId w:val="17"/>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Regional Business Leaders: Provide critical local market insight, approve regional rollout plans, and allocate local resources. Their input ensures the platform fits customer needs in each market, but they may prioritise local targets over global standardisation or long-term benefits.</w:t>
      </w:r>
    </w:p>
    <w:p w14:paraId="111DDAF7" w14:textId="77777777" w:rsidR="007B3ACC" w:rsidRPr="007B3ACC" w:rsidRDefault="007B3ACC" w:rsidP="007B3ACC">
      <w:pPr>
        <w:numPr>
          <w:ilvl w:val="0"/>
          <w:numId w:val="17"/>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Data Governance &amp; Legal Teams: Ensure full compliance with all applicable laws and ethical standards. Their involvement drastically reduces legal and reputational risk, but strict requirements can sometimes delay feature rollout or limit functionality.</w:t>
      </w:r>
    </w:p>
    <w:p w14:paraId="4165E742" w14:textId="77777777" w:rsidR="007B3ACC" w:rsidRPr="007B3ACC" w:rsidRDefault="007B3ACC" w:rsidP="007B3ACC">
      <w:pPr>
        <w:numPr>
          <w:ilvl w:val="0"/>
          <w:numId w:val="17"/>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Frontline Staff: Act as the primary interface between the platform and end customers. Their buy-in and understanding directly determine adoption rates, but they often feel excluded from planning and fear increased workload or role changes.</w:t>
      </w:r>
    </w:p>
    <w:p w14:paraId="7D65AB49" w14:textId="77777777" w:rsidR="007B3ACC" w:rsidRPr="007B3ACC" w:rsidRDefault="007B3ACC" w:rsidP="007B3ACC">
      <w:pPr>
        <w:numPr>
          <w:ilvl w:val="0"/>
          <w:numId w:val="17"/>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Customers: Provide real-world feedback on usability, relevance and value. Their input ensures the platform delivers actual customer benefit, but preferences vary widely between regions and demographic groups.</w:t>
      </w:r>
    </w:p>
    <w:p w14:paraId="40690755" w14:textId="77777777" w:rsidR="007B3ACC" w:rsidRPr="003D4977" w:rsidRDefault="007B3ACC" w:rsidP="007B3ACC">
      <w:pPr>
        <w:spacing w:after="0" w:line="360" w:lineRule="atLeast"/>
        <w:outlineLvl w:val="2"/>
        <w:rPr>
          <w:rFonts w:ascii="Arial" w:eastAsia="Times New Roman" w:hAnsi="Arial" w:cs="Arial"/>
          <w:color w:val="000000"/>
          <w:kern w:val="0"/>
          <w:sz w:val="40"/>
          <w:szCs w:val="40"/>
          <w:lang w:eastAsia="en-GB"/>
          <w14:ligatures w14:val="none"/>
        </w:rPr>
      </w:pPr>
      <w:r w:rsidRPr="003D4977">
        <w:rPr>
          <w:rFonts w:ascii="Arial" w:eastAsia="Times New Roman" w:hAnsi="Arial" w:cs="Arial"/>
          <w:color w:val="000000"/>
          <w:kern w:val="0"/>
          <w:sz w:val="40"/>
          <w:szCs w:val="40"/>
          <w:lang w:eastAsia="en-GB"/>
          <w14:ligatures w14:val="none"/>
        </w:rPr>
        <w:t>4.2 Key Project-Specific Challenges</w:t>
      </w:r>
    </w:p>
    <w:p w14:paraId="184B0C71" w14:textId="77777777" w:rsidR="007B3ACC" w:rsidRPr="003D4977" w:rsidRDefault="007B3ACC" w:rsidP="007B3ACC">
      <w:pPr>
        <w:spacing w:after="0" w:line="360" w:lineRule="atLeast"/>
        <w:outlineLvl w:val="3"/>
        <w:rPr>
          <w:rFonts w:ascii="Arial" w:eastAsia="Times New Roman" w:hAnsi="Arial" w:cs="Arial"/>
          <w:color w:val="000000"/>
          <w:kern w:val="0"/>
          <w:sz w:val="40"/>
          <w:szCs w:val="40"/>
          <w:lang w:eastAsia="en-GB"/>
          <w14:ligatures w14:val="none"/>
        </w:rPr>
      </w:pPr>
      <w:r w:rsidRPr="003D4977">
        <w:rPr>
          <w:rFonts w:ascii="Arial" w:eastAsia="Times New Roman" w:hAnsi="Arial" w:cs="Arial"/>
          <w:color w:val="000000"/>
          <w:kern w:val="0"/>
          <w:sz w:val="40"/>
          <w:szCs w:val="40"/>
          <w:lang w:eastAsia="en-GB"/>
          <w14:ligatures w14:val="none"/>
        </w:rPr>
        <w:t>Regulatory &amp; Legal Fragmentation</w:t>
      </w:r>
    </w:p>
    <w:p w14:paraId="1229063F" w14:textId="77777777" w:rsidR="007B3ACC" w:rsidRPr="007B3ACC" w:rsidRDefault="007B3ACC" w:rsidP="007B3ACC">
      <w:pPr>
        <w:numPr>
          <w:ilvl w:val="0"/>
          <w:numId w:val="18"/>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UK &amp; EU: GDPR and UK GDPR require explicit consent for data processing, strict data minimisation and clear opt-out mechanisms</w:t>
      </w:r>
    </w:p>
    <w:p w14:paraId="4AE16565" w14:textId="77777777" w:rsidR="007B3ACC" w:rsidRPr="007B3ACC" w:rsidRDefault="007B3ACC" w:rsidP="007B3ACC">
      <w:pPr>
        <w:numPr>
          <w:ilvl w:val="0"/>
          <w:numId w:val="18"/>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India: Digital Personal Data Protection Act (DPDP) imposes data localisation requirements and different consent rules</w:t>
      </w:r>
    </w:p>
    <w:p w14:paraId="43FBAA9C" w14:textId="77777777" w:rsidR="007B3ACC" w:rsidRPr="007B3ACC" w:rsidRDefault="007B3ACC" w:rsidP="007B3ACC">
      <w:pPr>
        <w:numPr>
          <w:ilvl w:val="0"/>
          <w:numId w:val="18"/>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Singapore: Personal Data Protection Act (PDPA) requires opt-in rather than opt-out for marketing communications</w:t>
      </w:r>
    </w:p>
    <w:p w14:paraId="28CCF120" w14:textId="77777777" w:rsidR="007B3ACC" w:rsidRPr="007B3ACC" w:rsidRDefault="007B3ACC" w:rsidP="007B3ACC">
      <w:pPr>
        <w:spacing w:after="0" w:line="360" w:lineRule="atLeast"/>
        <w:ind w:left="720"/>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These differences create conflicting requirements that cannot be resolved with a single global approach.</w:t>
      </w:r>
    </w:p>
    <w:p w14:paraId="594B12EB" w14:textId="77777777" w:rsidR="007B3ACC" w:rsidRPr="007B3ACC" w:rsidRDefault="007B3ACC" w:rsidP="007B3ACC">
      <w:pPr>
        <w:spacing w:after="0" w:line="360" w:lineRule="atLeast"/>
        <w:outlineLvl w:val="3"/>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Cultural &amp; Behavioural Differences</w:t>
      </w:r>
    </w:p>
    <w:p w14:paraId="3021A75A" w14:textId="77777777" w:rsidR="007B3ACC" w:rsidRPr="007B3ACC" w:rsidRDefault="007B3ACC" w:rsidP="007B3ACC">
      <w:pPr>
        <w:numPr>
          <w:ilvl w:val="0"/>
          <w:numId w:val="19"/>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Attitudes towards data privacy vary significantly: European consumers are far more cautious, while Asian consumers are generally more willing to share data in exchange for clear personal benefits</w:t>
      </w:r>
    </w:p>
    <w:p w14:paraId="161DE357" w14:textId="77777777" w:rsidR="007B3ACC" w:rsidRPr="007B3ACC" w:rsidRDefault="007B3ACC" w:rsidP="007B3ACC">
      <w:pPr>
        <w:numPr>
          <w:ilvl w:val="0"/>
          <w:numId w:val="19"/>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lastRenderedPageBreak/>
        <w:t>Communication styles differ: direct feedback is common in the UK and Germany, while indirect and relationship-focused communication is preferred in parts of Asia</w:t>
      </w:r>
    </w:p>
    <w:p w14:paraId="13A74A90" w14:textId="77777777" w:rsidR="007B3ACC" w:rsidRPr="007B3ACC" w:rsidRDefault="007B3ACC" w:rsidP="007B3ACC">
      <w:pPr>
        <w:numPr>
          <w:ilvl w:val="0"/>
          <w:numId w:val="19"/>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Working practices and availability vary, making cross-region collaboration difficult</w:t>
      </w:r>
    </w:p>
    <w:p w14:paraId="13E43482" w14:textId="77777777" w:rsidR="007B3ACC" w:rsidRPr="007B3ACC" w:rsidRDefault="007B3ACC" w:rsidP="007B3ACC">
      <w:pPr>
        <w:spacing w:after="0" w:line="360" w:lineRule="atLeast"/>
        <w:outlineLvl w:val="3"/>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Technical &amp; Operational Barriers</w:t>
      </w:r>
    </w:p>
    <w:p w14:paraId="34BF0990" w14:textId="77777777" w:rsidR="007B3ACC" w:rsidRPr="007B3ACC" w:rsidRDefault="007B3ACC" w:rsidP="007B3ACC">
      <w:pPr>
        <w:numPr>
          <w:ilvl w:val="0"/>
          <w:numId w:val="20"/>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Legacy infrastructure in older UK and European stores limits integration capability</w:t>
      </w:r>
    </w:p>
    <w:p w14:paraId="1FDEA4D8" w14:textId="77777777" w:rsidR="007B3ACC" w:rsidRPr="007B3ACC" w:rsidRDefault="007B3ACC" w:rsidP="007B3ACC">
      <w:pPr>
        <w:numPr>
          <w:ilvl w:val="0"/>
          <w:numId w:val="20"/>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Variable digital literacy and internet access across markets creates adoption barriers</w:t>
      </w:r>
    </w:p>
    <w:p w14:paraId="3B66A98B" w14:textId="77777777" w:rsidR="007B3ACC" w:rsidRPr="007B3ACC" w:rsidRDefault="007B3ACC" w:rsidP="007B3ACC">
      <w:pPr>
        <w:numPr>
          <w:ilvl w:val="0"/>
          <w:numId w:val="20"/>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Internal departmental silos lead to data hoarding and resistance to shared systems</w:t>
      </w:r>
    </w:p>
    <w:p w14:paraId="6C830060" w14:textId="77777777" w:rsidR="007B3ACC" w:rsidRPr="007B3ACC" w:rsidRDefault="007B3ACC" w:rsidP="007B3ACC">
      <w:pPr>
        <w:numPr>
          <w:ilvl w:val="0"/>
          <w:numId w:val="20"/>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Short-term operational pressures often cause teams to deprioritise long-term change initiatives</w:t>
      </w:r>
    </w:p>
    <w:p w14:paraId="78B25CA1" w14:textId="77777777" w:rsidR="007B3ACC" w:rsidRPr="007B3ACC" w:rsidRDefault="007B3ACC" w:rsidP="007B3ACC">
      <w:pPr>
        <w:spacing w:after="0" w:line="360" w:lineRule="atLeast"/>
        <w:outlineLvl w:val="3"/>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Perceptual Challenges</w:t>
      </w:r>
    </w:p>
    <w:p w14:paraId="6D989322" w14:textId="77777777" w:rsidR="007B3ACC" w:rsidRPr="007B3ACC" w:rsidRDefault="007B3ACC" w:rsidP="007B3ACC">
      <w:pPr>
        <w:numPr>
          <w:ilvl w:val="0"/>
          <w:numId w:val="21"/>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Many staff view the platform purely as an IT or marketing project rather than a business-wide transformation</w:t>
      </w:r>
    </w:p>
    <w:p w14:paraId="115168EE" w14:textId="77777777" w:rsidR="007B3ACC" w:rsidRPr="007B3ACC" w:rsidRDefault="007B3ACC" w:rsidP="007B3ACC">
      <w:pPr>
        <w:numPr>
          <w:ilvl w:val="0"/>
          <w:numId w:val="21"/>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Some perceive the system as a tool for monitoring performance or reducing headcount rather than improving work</w:t>
      </w:r>
    </w:p>
    <w:p w14:paraId="7B332363" w14:textId="77777777" w:rsidR="007B3ACC" w:rsidRPr="007B3ACC" w:rsidRDefault="007B3ACC" w:rsidP="007B3ACC">
      <w:pPr>
        <w:numPr>
          <w:ilvl w:val="0"/>
          <w:numId w:val="21"/>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Regional teams often view global changes as irrelevant or imposed without local understanding</w:t>
      </w:r>
    </w:p>
    <w:p w14:paraId="73E17E41" w14:textId="77777777" w:rsidR="007B3ACC" w:rsidRPr="007B3ACC" w:rsidRDefault="00855DBA" w:rsidP="007B3ACC">
      <w:pPr>
        <w:spacing w:after="0" w:line="360" w:lineRule="atLeast"/>
        <w:rPr>
          <w:rFonts w:ascii="Arial" w:eastAsia="Times New Roman" w:hAnsi="Arial" w:cs="Arial"/>
          <w:kern w:val="0"/>
          <w:lang w:eastAsia="en-GB"/>
          <w14:ligatures w14:val="none"/>
        </w:rPr>
      </w:pPr>
      <w:r>
        <w:rPr>
          <w:rFonts w:ascii="Times New Roman" w:eastAsia="Times New Roman" w:hAnsi="Times New Roman" w:cs="Times New Roman"/>
          <w:noProof/>
          <w:kern w:val="0"/>
          <w:lang w:eastAsia="en-GB"/>
        </w:rPr>
        <w:pict w14:anchorId="4F93FB5B">
          <v:rect id="_x0000_i1028" alt="" style="width:451.3pt;height:.05pt;mso-width-percent:0;mso-height-percent:0;mso-width-percent:0;mso-height-percent:0" o:hralign="center" o:hrstd="t" o:hrnoshade="t" o:hr="t" fillcolor="black" stroked="f"/>
        </w:pict>
      </w:r>
    </w:p>
    <w:p w14:paraId="2CB57608" w14:textId="77777777" w:rsidR="007B3ACC" w:rsidRPr="006076D6" w:rsidRDefault="007B3ACC" w:rsidP="007B3ACC">
      <w:pPr>
        <w:spacing w:after="0" w:line="360" w:lineRule="atLeast"/>
        <w:outlineLvl w:val="1"/>
        <w:rPr>
          <w:rFonts w:ascii="Arial" w:eastAsia="Times New Roman" w:hAnsi="Arial" w:cs="Arial"/>
          <w:color w:val="000000"/>
          <w:kern w:val="0"/>
          <w:sz w:val="40"/>
          <w:szCs w:val="40"/>
          <w:lang w:eastAsia="en-GB"/>
          <w14:ligatures w14:val="none"/>
        </w:rPr>
      </w:pPr>
      <w:r w:rsidRPr="006076D6">
        <w:rPr>
          <w:rFonts w:ascii="Arial" w:eastAsia="Times New Roman" w:hAnsi="Arial" w:cs="Arial"/>
          <w:color w:val="000000"/>
          <w:kern w:val="0"/>
          <w:sz w:val="40"/>
          <w:szCs w:val="40"/>
          <w:lang w:eastAsia="en-GB"/>
          <w14:ligatures w14:val="none"/>
        </w:rPr>
        <w:t>5. Engagement Process, Methods &amp; Conflict Management (1,100 words)</w:t>
      </w:r>
    </w:p>
    <w:p w14:paraId="487DD278" w14:textId="77777777" w:rsidR="007B3ACC" w:rsidRPr="006076D6" w:rsidRDefault="007B3ACC" w:rsidP="007B3ACC">
      <w:pPr>
        <w:spacing w:after="0" w:line="360" w:lineRule="atLeast"/>
        <w:outlineLvl w:val="2"/>
        <w:rPr>
          <w:rFonts w:ascii="Arial" w:eastAsia="Times New Roman" w:hAnsi="Arial" w:cs="Arial"/>
          <w:color w:val="000000"/>
          <w:kern w:val="0"/>
          <w:sz w:val="40"/>
          <w:szCs w:val="40"/>
          <w:lang w:eastAsia="en-GB"/>
          <w14:ligatures w14:val="none"/>
        </w:rPr>
      </w:pPr>
      <w:r w:rsidRPr="006076D6">
        <w:rPr>
          <w:rFonts w:ascii="Arial" w:eastAsia="Times New Roman" w:hAnsi="Arial" w:cs="Arial"/>
          <w:color w:val="000000"/>
          <w:kern w:val="0"/>
          <w:sz w:val="40"/>
          <w:szCs w:val="40"/>
          <w:lang w:eastAsia="en-GB"/>
          <w14:ligatures w14:val="none"/>
        </w:rPr>
        <w:t>5.1 Core Engagement Principles &amp; Lifecycle</w:t>
      </w:r>
    </w:p>
    <w:p w14:paraId="1E001CF6"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Effective engagement follows a continuous five-stage cycle: Identify → Plan → Engage → Monitor → Adapt(Ashcroft, 2017). It moves beyond one-way communication to relational exchange, where stakeholders feel their views are heard and valued, rather than treated as passive recipients of information (Christopher et al., 2013).</w:t>
      </w:r>
    </w:p>
    <w:p w14:paraId="0563DB45" w14:textId="77777777" w:rsidR="007B3ACC" w:rsidRPr="007B3ACC" w:rsidRDefault="007B3ACC" w:rsidP="007B3ACC">
      <w:pPr>
        <w:spacing w:after="0" w:line="360" w:lineRule="atLeast"/>
        <w:outlineLvl w:val="2"/>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5.2 Applied Frameworks &amp; Tools</w:t>
      </w:r>
    </w:p>
    <w:p w14:paraId="62DF87A2" w14:textId="77777777" w:rsidR="007B3ACC" w:rsidRPr="007B3ACC" w:rsidRDefault="007B3ACC" w:rsidP="007B3ACC">
      <w:pPr>
        <w:spacing w:after="0" w:line="360" w:lineRule="atLeast"/>
        <w:outlineLvl w:val="3"/>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Extended RACI Matrix</w:t>
      </w:r>
    </w:p>
    <w:p w14:paraId="34633A14"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Table</w:t>
      </w:r>
    </w:p>
    <w:tbl>
      <w:tblPr>
        <w:tblW w:w="0" w:type="auto"/>
        <w:tblCellSpacing w:w="15" w:type="dxa"/>
        <w:tblCellMar>
          <w:left w:w="0" w:type="dxa"/>
          <w:right w:w="0" w:type="dxa"/>
        </w:tblCellMar>
        <w:tblLook w:val="04A0" w:firstRow="1" w:lastRow="0" w:firstColumn="1" w:lastColumn="0" w:noHBand="0" w:noVBand="1"/>
      </w:tblPr>
      <w:tblGrid>
        <w:gridCol w:w="2694"/>
        <w:gridCol w:w="1457"/>
        <w:gridCol w:w="1547"/>
        <w:gridCol w:w="1920"/>
        <w:gridCol w:w="1408"/>
      </w:tblGrid>
      <w:tr w:rsidR="007B3ACC" w:rsidRPr="00772122" w14:paraId="6B873A2F" w14:textId="77777777" w:rsidTr="00772122">
        <w:trPr>
          <w:tblHeader/>
          <w:tblCellSpacing w:w="15" w:type="dxa"/>
        </w:trPr>
        <w:tc>
          <w:tcPr>
            <w:tcW w:w="2649" w:type="dxa"/>
            <w:vAlign w:val="center"/>
            <w:hideMark/>
          </w:tcPr>
          <w:p w14:paraId="5DB7DE24" w14:textId="77777777" w:rsidR="007B3ACC" w:rsidRPr="00772122" w:rsidRDefault="007B3ACC" w:rsidP="007B3ACC">
            <w:pPr>
              <w:spacing w:after="0" w:line="360" w:lineRule="atLeast"/>
              <w:jc w:val="center"/>
              <w:rPr>
                <w:rFonts w:ascii="Arial" w:eastAsia="Times New Roman" w:hAnsi="Arial" w:cs="Arial"/>
                <w:b/>
                <w:bCs/>
                <w:color w:val="000000"/>
                <w:kern w:val="0"/>
                <w:lang w:eastAsia="en-GB"/>
                <w14:ligatures w14:val="none"/>
              </w:rPr>
            </w:pPr>
            <w:r w:rsidRPr="00772122">
              <w:rPr>
                <w:rFonts w:ascii="Arial" w:eastAsia="Times New Roman" w:hAnsi="Arial" w:cs="Arial"/>
                <w:b/>
                <w:bCs/>
                <w:color w:val="000000"/>
                <w:kern w:val="0"/>
                <w:lang w:eastAsia="en-GB"/>
                <w14:ligatures w14:val="none"/>
              </w:rPr>
              <w:t>Project Activity</w:t>
            </w:r>
          </w:p>
        </w:tc>
        <w:tc>
          <w:tcPr>
            <w:tcW w:w="454" w:type="dxa"/>
            <w:vAlign w:val="center"/>
            <w:hideMark/>
          </w:tcPr>
          <w:p w14:paraId="71D1F2DA" w14:textId="77777777" w:rsidR="007B3ACC" w:rsidRPr="00772122" w:rsidRDefault="007B3ACC" w:rsidP="007B3ACC">
            <w:pPr>
              <w:spacing w:after="0" w:line="360" w:lineRule="atLeast"/>
              <w:jc w:val="center"/>
              <w:rPr>
                <w:rFonts w:ascii="Arial" w:eastAsia="Times New Roman" w:hAnsi="Arial" w:cs="Arial"/>
                <w:b/>
                <w:bCs/>
                <w:color w:val="000000"/>
                <w:kern w:val="0"/>
                <w:lang w:eastAsia="en-GB"/>
                <w14:ligatures w14:val="none"/>
              </w:rPr>
            </w:pPr>
            <w:r w:rsidRPr="00772122">
              <w:rPr>
                <w:rFonts w:ascii="Arial" w:eastAsia="Times New Roman" w:hAnsi="Arial" w:cs="Arial"/>
                <w:b/>
                <w:bCs/>
                <w:color w:val="000000"/>
                <w:kern w:val="0"/>
                <w:lang w:eastAsia="en-GB"/>
                <w14:ligatures w14:val="none"/>
              </w:rPr>
              <w:t>Responsible</w:t>
            </w:r>
          </w:p>
        </w:tc>
        <w:tc>
          <w:tcPr>
            <w:tcW w:w="0" w:type="auto"/>
            <w:vAlign w:val="center"/>
            <w:hideMark/>
          </w:tcPr>
          <w:p w14:paraId="1E5E84FE" w14:textId="77777777" w:rsidR="007B3ACC" w:rsidRPr="00772122" w:rsidRDefault="007B3ACC" w:rsidP="007B3ACC">
            <w:pPr>
              <w:spacing w:after="0" w:line="360" w:lineRule="atLeast"/>
              <w:jc w:val="center"/>
              <w:rPr>
                <w:rFonts w:ascii="Arial" w:eastAsia="Times New Roman" w:hAnsi="Arial" w:cs="Arial"/>
                <w:b/>
                <w:bCs/>
                <w:color w:val="000000"/>
                <w:kern w:val="0"/>
                <w:lang w:eastAsia="en-GB"/>
                <w14:ligatures w14:val="none"/>
              </w:rPr>
            </w:pPr>
            <w:r w:rsidRPr="00772122">
              <w:rPr>
                <w:rFonts w:ascii="Arial" w:eastAsia="Times New Roman" w:hAnsi="Arial" w:cs="Arial"/>
                <w:b/>
                <w:bCs/>
                <w:color w:val="000000"/>
                <w:kern w:val="0"/>
                <w:lang w:eastAsia="en-GB"/>
                <w14:ligatures w14:val="none"/>
              </w:rPr>
              <w:t>Accountable</w:t>
            </w:r>
          </w:p>
        </w:tc>
        <w:tc>
          <w:tcPr>
            <w:tcW w:w="0" w:type="auto"/>
            <w:vAlign w:val="center"/>
            <w:hideMark/>
          </w:tcPr>
          <w:p w14:paraId="2B20B80D" w14:textId="77777777" w:rsidR="007B3ACC" w:rsidRPr="00772122" w:rsidRDefault="007B3ACC" w:rsidP="007B3ACC">
            <w:pPr>
              <w:spacing w:after="0" w:line="360" w:lineRule="atLeast"/>
              <w:jc w:val="center"/>
              <w:rPr>
                <w:rFonts w:ascii="Arial" w:eastAsia="Times New Roman" w:hAnsi="Arial" w:cs="Arial"/>
                <w:b/>
                <w:bCs/>
                <w:color w:val="000000"/>
                <w:kern w:val="0"/>
                <w:lang w:eastAsia="en-GB"/>
                <w14:ligatures w14:val="none"/>
              </w:rPr>
            </w:pPr>
            <w:r w:rsidRPr="00772122">
              <w:rPr>
                <w:rFonts w:ascii="Arial" w:eastAsia="Times New Roman" w:hAnsi="Arial" w:cs="Arial"/>
                <w:b/>
                <w:bCs/>
                <w:color w:val="000000"/>
                <w:kern w:val="0"/>
                <w:lang w:eastAsia="en-GB"/>
                <w14:ligatures w14:val="none"/>
              </w:rPr>
              <w:t>Consulted</w:t>
            </w:r>
          </w:p>
        </w:tc>
        <w:tc>
          <w:tcPr>
            <w:tcW w:w="0" w:type="auto"/>
            <w:vAlign w:val="center"/>
            <w:hideMark/>
          </w:tcPr>
          <w:p w14:paraId="214191E8" w14:textId="77777777" w:rsidR="007B3ACC" w:rsidRPr="00772122" w:rsidRDefault="007B3ACC" w:rsidP="007B3ACC">
            <w:pPr>
              <w:spacing w:after="0" w:line="360" w:lineRule="atLeast"/>
              <w:jc w:val="center"/>
              <w:rPr>
                <w:rFonts w:ascii="Arial" w:eastAsia="Times New Roman" w:hAnsi="Arial" w:cs="Arial"/>
                <w:b/>
                <w:bCs/>
                <w:color w:val="000000"/>
                <w:kern w:val="0"/>
                <w:lang w:eastAsia="en-GB"/>
                <w14:ligatures w14:val="none"/>
              </w:rPr>
            </w:pPr>
            <w:r w:rsidRPr="00772122">
              <w:rPr>
                <w:rFonts w:ascii="Arial" w:eastAsia="Times New Roman" w:hAnsi="Arial" w:cs="Arial"/>
                <w:b/>
                <w:bCs/>
                <w:color w:val="000000"/>
                <w:kern w:val="0"/>
                <w:lang w:eastAsia="en-GB"/>
                <w14:ligatures w14:val="none"/>
              </w:rPr>
              <w:t>Informed</w:t>
            </w:r>
          </w:p>
        </w:tc>
      </w:tr>
      <w:tr w:rsidR="007B3ACC" w:rsidRPr="007B3ACC" w14:paraId="2BDBEB5E" w14:textId="77777777" w:rsidTr="00772122">
        <w:trPr>
          <w:tblCellSpacing w:w="15" w:type="dxa"/>
        </w:trPr>
        <w:tc>
          <w:tcPr>
            <w:tcW w:w="2649" w:type="dxa"/>
            <w:vAlign w:val="center"/>
            <w:hideMark/>
          </w:tcPr>
          <w:p w14:paraId="3DD01329"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Requirements Definition</w:t>
            </w:r>
          </w:p>
        </w:tc>
        <w:tc>
          <w:tcPr>
            <w:tcW w:w="454" w:type="dxa"/>
            <w:vAlign w:val="center"/>
            <w:hideMark/>
          </w:tcPr>
          <w:p w14:paraId="727BEFEC"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Product Team</w:t>
            </w:r>
          </w:p>
        </w:tc>
        <w:tc>
          <w:tcPr>
            <w:tcW w:w="0" w:type="auto"/>
            <w:vAlign w:val="center"/>
            <w:hideMark/>
          </w:tcPr>
          <w:p w14:paraId="17B01D62"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Project Manager</w:t>
            </w:r>
          </w:p>
        </w:tc>
        <w:tc>
          <w:tcPr>
            <w:tcW w:w="0" w:type="auto"/>
            <w:vAlign w:val="center"/>
            <w:hideMark/>
          </w:tcPr>
          <w:p w14:paraId="5A63FA9D"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Regional Leaders, Customer Panels</w:t>
            </w:r>
          </w:p>
        </w:tc>
        <w:tc>
          <w:tcPr>
            <w:tcW w:w="0" w:type="auto"/>
            <w:vAlign w:val="center"/>
            <w:hideMark/>
          </w:tcPr>
          <w:p w14:paraId="489233D9"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Operations Teams</w:t>
            </w:r>
          </w:p>
        </w:tc>
      </w:tr>
      <w:tr w:rsidR="007B3ACC" w:rsidRPr="007B3ACC" w14:paraId="0B6D41C9" w14:textId="77777777" w:rsidTr="00772122">
        <w:trPr>
          <w:tblCellSpacing w:w="15" w:type="dxa"/>
        </w:trPr>
        <w:tc>
          <w:tcPr>
            <w:tcW w:w="2649" w:type="dxa"/>
            <w:vAlign w:val="center"/>
            <w:hideMark/>
          </w:tcPr>
          <w:p w14:paraId="2EE13F54"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lastRenderedPageBreak/>
              <w:t>Compliance &amp; Legal Sign-off</w:t>
            </w:r>
          </w:p>
        </w:tc>
        <w:tc>
          <w:tcPr>
            <w:tcW w:w="454" w:type="dxa"/>
            <w:vAlign w:val="center"/>
            <w:hideMark/>
          </w:tcPr>
          <w:p w14:paraId="12474C9D"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Data Governance</w:t>
            </w:r>
          </w:p>
        </w:tc>
        <w:tc>
          <w:tcPr>
            <w:tcW w:w="0" w:type="auto"/>
            <w:vAlign w:val="center"/>
            <w:hideMark/>
          </w:tcPr>
          <w:p w14:paraId="5452E75E"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Project Manager</w:t>
            </w:r>
          </w:p>
        </w:tc>
        <w:tc>
          <w:tcPr>
            <w:tcW w:w="0" w:type="auto"/>
            <w:vAlign w:val="center"/>
            <w:hideMark/>
          </w:tcPr>
          <w:p w14:paraId="0B82F42B"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Local Legal, Regulators</w:t>
            </w:r>
          </w:p>
        </w:tc>
        <w:tc>
          <w:tcPr>
            <w:tcW w:w="0" w:type="auto"/>
            <w:vAlign w:val="center"/>
            <w:hideMark/>
          </w:tcPr>
          <w:p w14:paraId="39DDC221"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Product Team</w:t>
            </w:r>
          </w:p>
        </w:tc>
      </w:tr>
      <w:tr w:rsidR="007B3ACC" w:rsidRPr="007B3ACC" w14:paraId="44914BB4" w14:textId="77777777" w:rsidTr="00772122">
        <w:trPr>
          <w:tblCellSpacing w:w="15" w:type="dxa"/>
        </w:trPr>
        <w:tc>
          <w:tcPr>
            <w:tcW w:w="2649" w:type="dxa"/>
            <w:vAlign w:val="center"/>
            <w:hideMark/>
          </w:tcPr>
          <w:p w14:paraId="79816EAB"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Regional Rollout Planning</w:t>
            </w:r>
          </w:p>
        </w:tc>
        <w:tc>
          <w:tcPr>
            <w:tcW w:w="454" w:type="dxa"/>
            <w:vAlign w:val="center"/>
            <w:hideMark/>
          </w:tcPr>
          <w:p w14:paraId="757F8E3A"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Local Teams</w:t>
            </w:r>
          </w:p>
        </w:tc>
        <w:tc>
          <w:tcPr>
            <w:tcW w:w="0" w:type="auto"/>
            <w:vAlign w:val="center"/>
            <w:hideMark/>
          </w:tcPr>
          <w:p w14:paraId="39804DDE"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Regional Leader</w:t>
            </w:r>
          </w:p>
        </w:tc>
        <w:tc>
          <w:tcPr>
            <w:tcW w:w="0" w:type="auto"/>
            <w:vAlign w:val="center"/>
            <w:hideMark/>
          </w:tcPr>
          <w:p w14:paraId="0A380ECD"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Project Team, Store Managers</w:t>
            </w:r>
          </w:p>
        </w:tc>
        <w:tc>
          <w:tcPr>
            <w:tcW w:w="0" w:type="auto"/>
            <w:vAlign w:val="center"/>
            <w:hideMark/>
          </w:tcPr>
          <w:p w14:paraId="239C7716"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Executive Board</w:t>
            </w:r>
          </w:p>
        </w:tc>
      </w:tr>
      <w:tr w:rsidR="007B3ACC" w:rsidRPr="007B3ACC" w14:paraId="727FE17D" w14:textId="77777777" w:rsidTr="00772122">
        <w:trPr>
          <w:tblCellSpacing w:w="15" w:type="dxa"/>
        </w:trPr>
        <w:tc>
          <w:tcPr>
            <w:tcW w:w="2649" w:type="dxa"/>
            <w:vAlign w:val="center"/>
            <w:hideMark/>
          </w:tcPr>
          <w:p w14:paraId="15120186"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Training &amp; Change Delivery</w:t>
            </w:r>
          </w:p>
        </w:tc>
        <w:tc>
          <w:tcPr>
            <w:tcW w:w="454" w:type="dxa"/>
            <w:vAlign w:val="center"/>
            <w:hideMark/>
          </w:tcPr>
          <w:p w14:paraId="6ED12FF1"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HR &amp; Operations</w:t>
            </w:r>
          </w:p>
        </w:tc>
        <w:tc>
          <w:tcPr>
            <w:tcW w:w="0" w:type="auto"/>
            <w:vAlign w:val="center"/>
            <w:hideMark/>
          </w:tcPr>
          <w:p w14:paraId="6A292E94"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Regional Leader</w:t>
            </w:r>
          </w:p>
        </w:tc>
        <w:tc>
          <w:tcPr>
            <w:tcW w:w="0" w:type="auto"/>
            <w:vAlign w:val="center"/>
            <w:hideMark/>
          </w:tcPr>
          <w:p w14:paraId="48ECD189"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Project Team</w:t>
            </w:r>
          </w:p>
        </w:tc>
        <w:tc>
          <w:tcPr>
            <w:tcW w:w="0" w:type="auto"/>
            <w:vAlign w:val="center"/>
            <w:hideMark/>
          </w:tcPr>
          <w:p w14:paraId="402F5294"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Frontline Staff</w:t>
            </w:r>
          </w:p>
        </w:tc>
      </w:tr>
      <w:tr w:rsidR="007B3ACC" w:rsidRPr="007B3ACC" w14:paraId="0B529121" w14:textId="77777777" w:rsidTr="00772122">
        <w:trPr>
          <w:tblCellSpacing w:w="15" w:type="dxa"/>
        </w:trPr>
        <w:tc>
          <w:tcPr>
            <w:tcW w:w="2649" w:type="dxa"/>
            <w:vAlign w:val="center"/>
            <w:hideMark/>
          </w:tcPr>
          <w:p w14:paraId="2EFA5D91"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Post-Launch Review &amp; Iteration</w:t>
            </w:r>
          </w:p>
        </w:tc>
        <w:tc>
          <w:tcPr>
            <w:tcW w:w="454" w:type="dxa"/>
            <w:vAlign w:val="center"/>
            <w:hideMark/>
          </w:tcPr>
          <w:p w14:paraId="55E43F65"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PMO</w:t>
            </w:r>
          </w:p>
        </w:tc>
        <w:tc>
          <w:tcPr>
            <w:tcW w:w="0" w:type="auto"/>
            <w:vAlign w:val="center"/>
            <w:hideMark/>
          </w:tcPr>
          <w:p w14:paraId="3060D69E"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Project Manager</w:t>
            </w:r>
          </w:p>
        </w:tc>
        <w:tc>
          <w:tcPr>
            <w:tcW w:w="0" w:type="auto"/>
            <w:vAlign w:val="center"/>
            <w:hideMark/>
          </w:tcPr>
          <w:p w14:paraId="0E162579"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All Stakeholder Groups</w:t>
            </w:r>
          </w:p>
        </w:tc>
        <w:tc>
          <w:tcPr>
            <w:tcW w:w="0" w:type="auto"/>
            <w:vAlign w:val="center"/>
            <w:hideMark/>
          </w:tcPr>
          <w:p w14:paraId="02A83DAC"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Executive Board</w:t>
            </w:r>
          </w:p>
        </w:tc>
      </w:tr>
    </w:tbl>
    <w:p w14:paraId="174402AC" w14:textId="77777777" w:rsidR="007B3ACC" w:rsidRPr="007B3ACC" w:rsidRDefault="007B3ACC" w:rsidP="007B3ACC">
      <w:pPr>
        <w:spacing w:after="0" w:line="360" w:lineRule="atLeast"/>
        <w:outlineLvl w:val="3"/>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4C’s Engagement Model</w:t>
      </w:r>
    </w:p>
    <w:p w14:paraId="272732EA" w14:textId="77777777" w:rsidR="007B3ACC" w:rsidRPr="007B3ACC" w:rsidRDefault="007B3ACC" w:rsidP="007B3ACC">
      <w:pPr>
        <w:numPr>
          <w:ilvl w:val="0"/>
          <w:numId w:val="22"/>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Comprehend: Map interests and concerns via interviews, surveys, cultural impact assessments and stakeholder workshops</w:t>
      </w:r>
    </w:p>
    <w:p w14:paraId="25D8F7DA" w14:textId="77777777" w:rsidR="007B3ACC" w:rsidRPr="007B3ACC" w:rsidRDefault="007B3ACC" w:rsidP="007B3ACC">
      <w:pPr>
        <w:numPr>
          <w:ilvl w:val="0"/>
          <w:numId w:val="22"/>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Consult: Involve stakeholders through beta testing, regional focus groups, customer advisory panels and staff feedback sessions</w:t>
      </w:r>
    </w:p>
    <w:p w14:paraId="0FA92C8E" w14:textId="77777777" w:rsidR="007B3ACC" w:rsidRPr="007B3ACC" w:rsidRDefault="007B3ACC" w:rsidP="007B3ACC">
      <w:pPr>
        <w:numPr>
          <w:ilvl w:val="0"/>
          <w:numId w:val="22"/>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Commit: Secure formal agreement to plans, roles, timelines and feedback protocols</w:t>
      </w:r>
    </w:p>
    <w:p w14:paraId="681F0C90" w14:textId="77777777" w:rsidR="007B3ACC" w:rsidRPr="007B3ACC" w:rsidRDefault="007B3ACC" w:rsidP="007B3ACC">
      <w:pPr>
        <w:numPr>
          <w:ilvl w:val="0"/>
          <w:numId w:val="22"/>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Collaborate: Work jointly through cross-functional working groups, shared project dashboards and regular joint review meetings</w:t>
      </w:r>
    </w:p>
    <w:p w14:paraId="0A31ED5F" w14:textId="77777777" w:rsidR="007B3ACC" w:rsidRPr="007B3ACC" w:rsidRDefault="007B3ACC" w:rsidP="007B3ACC">
      <w:pPr>
        <w:spacing w:after="0" w:line="360" w:lineRule="atLeast"/>
        <w:outlineLvl w:val="3"/>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Tailored Engagement Methods by Group</w:t>
      </w:r>
    </w:p>
    <w:p w14:paraId="386C0F0F"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Table</w:t>
      </w:r>
    </w:p>
    <w:tbl>
      <w:tblPr>
        <w:tblW w:w="0" w:type="auto"/>
        <w:tblCellSpacing w:w="15" w:type="dxa"/>
        <w:tblCellMar>
          <w:left w:w="0" w:type="dxa"/>
          <w:right w:w="0" w:type="dxa"/>
        </w:tblCellMar>
        <w:tblLook w:val="04A0" w:firstRow="1" w:lastRow="0" w:firstColumn="1" w:lastColumn="0" w:noHBand="0" w:noVBand="1"/>
      </w:tblPr>
      <w:tblGrid>
        <w:gridCol w:w="2431"/>
        <w:gridCol w:w="2079"/>
        <w:gridCol w:w="2053"/>
        <w:gridCol w:w="2463"/>
      </w:tblGrid>
      <w:tr w:rsidR="007B3ACC" w:rsidRPr="00772122" w14:paraId="314E1E85" w14:textId="77777777">
        <w:trPr>
          <w:tblHeader/>
          <w:tblCellSpacing w:w="15" w:type="dxa"/>
        </w:trPr>
        <w:tc>
          <w:tcPr>
            <w:tcW w:w="0" w:type="auto"/>
            <w:vAlign w:val="center"/>
            <w:hideMark/>
          </w:tcPr>
          <w:p w14:paraId="248A791C" w14:textId="77777777" w:rsidR="007B3ACC" w:rsidRPr="00772122" w:rsidRDefault="007B3ACC" w:rsidP="007B3ACC">
            <w:pPr>
              <w:spacing w:after="0" w:line="360" w:lineRule="atLeast"/>
              <w:jc w:val="center"/>
              <w:rPr>
                <w:rFonts w:ascii="Arial" w:eastAsia="Times New Roman" w:hAnsi="Arial" w:cs="Arial"/>
                <w:b/>
                <w:bCs/>
                <w:color w:val="000000"/>
                <w:kern w:val="0"/>
                <w:sz w:val="40"/>
                <w:szCs w:val="40"/>
                <w:lang w:eastAsia="en-GB"/>
                <w14:ligatures w14:val="none"/>
              </w:rPr>
            </w:pPr>
            <w:r w:rsidRPr="00772122">
              <w:rPr>
                <w:rFonts w:ascii="Arial" w:eastAsia="Times New Roman" w:hAnsi="Arial" w:cs="Arial"/>
                <w:b/>
                <w:bCs/>
                <w:color w:val="000000"/>
                <w:kern w:val="0"/>
                <w:sz w:val="40"/>
                <w:szCs w:val="40"/>
                <w:lang w:eastAsia="en-GB"/>
                <w14:ligatures w14:val="none"/>
              </w:rPr>
              <w:t>Stakeholder Group</w:t>
            </w:r>
          </w:p>
        </w:tc>
        <w:tc>
          <w:tcPr>
            <w:tcW w:w="0" w:type="auto"/>
            <w:vAlign w:val="center"/>
            <w:hideMark/>
          </w:tcPr>
          <w:p w14:paraId="6F54E5A9" w14:textId="77777777" w:rsidR="007B3ACC" w:rsidRPr="00772122" w:rsidRDefault="007B3ACC" w:rsidP="007B3ACC">
            <w:pPr>
              <w:spacing w:after="0" w:line="360" w:lineRule="atLeast"/>
              <w:jc w:val="center"/>
              <w:rPr>
                <w:rFonts w:ascii="Arial" w:eastAsia="Times New Roman" w:hAnsi="Arial" w:cs="Arial"/>
                <w:b/>
                <w:bCs/>
                <w:color w:val="000000"/>
                <w:kern w:val="0"/>
                <w:sz w:val="40"/>
                <w:szCs w:val="40"/>
                <w:lang w:eastAsia="en-GB"/>
                <w14:ligatures w14:val="none"/>
              </w:rPr>
            </w:pPr>
            <w:r w:rsidRPr="00772122">
              <w:rPr>
                <w:rFonts w:ascii="Arial" w:eastAsia="Times New Roman" w:hAnsi="Arial" w:cs="Arial"/>
                <w:b/>
                <w:bCs/>
                <w:color w:val="000000"/>
                <w:kern w:val="0"/>
                <w:sz w:val="40"/>
                <w:szCs w:val="40"/>
                <w:lang w:eastAsia="en-GB"/>
                <w14:ligatures w14:val="none"/>
              </w:rPr>
              <w:t>Methods</w:t>
            </w:r>
          </w:p>
        </w:tc>
        <w:tc>
          <w:tcPr>
            <w:tcW w:w="0" w:type="auto"/>
            <w:vAlign w:val="center"/>
            <w:hideMark/>
          </w:tcPr>
          <w:p w14:paraId="26FB70F8" w14:textId="77777777" w:rsidR="007B3ACC" w:rsidRPr="00772122" w:rsidRDefault="007B3ACC" w:rsidP="007B3ACC">
            <w:pPr>
              <w:spacing w:after="0" w:line="360" w:lineRule="atLeast"/>
              <w:jc w:val="center"/>
              <w:rPr>
                <w:rFonts w:ascii="Arial" w:eastAsia="Times New Roman" w:hAnsi="Arial" w:cs="Arial"/>
                <w:b/>
                <w:bCs/>
                <w:color w:val="000000"/>
                <w:kern w:val="0"/>
                <w:sz w:val="40"/>
                <w:szCs w:val="40"/>
                <w:lang w:eastAsia="en-GB"/>
                <w14:ligatures w14:val="none"/>
              </w:rPr>
            </w:pPr>
            <w:r w:rsidRPr="00772122">
              <w:rPr>
                <w:rFonts w:ascii="Arial" w:eastAsia="Times New Roman" w:hAnsi="Arial" w:cs="Arial"/>
                <w:b/>
                <w:bCs/>
                <w:color w:val="000000"/>
                <w:kern w:val="0"/>
                <w:sz w:val="40"/>
                <w:szCs w:val="40"/>
                <w:lang w:eastAsia="en-GB"/>
                <w14:ligatures w14:val="none"/>
              </w:rPr>
              <w:t>Frequency</w:t>
            </w:r>
          </w:p>
        </w:tc>
        <w:tc>
          <w:tcPr>
            <w:tcW w:w="0" w:type="auto"/>
            <w:vAlign w:val="center"/>
            <w:hideMark/>
          </w:tcPr>
          <w:p w14:paraId="17299537" w14:textId="77777777" w:rsidR="007B3ACC" w:rsidRPr="00772122" w:rsidRDefault="007B3ACC" w:rsidP="007B3ACC">
            <w:pPr>
              <w:spacing w:after="0" w:line="360" w:lineRule="atLeast"/>
              <w:jc w:val="center"/>
              <w:rPr>
                <w:rFonts w:ascii="Arial" w:eastAsia="Times New Roman" w:hAnsi="Arial" w:cs="Arial"/>
                <w:b/>
                <w:bCs/>
                <w:color w:val="000000"/>
                <w:kern w:val="0"/>
                <w:sz w:val="40"/>
                <w:szCs w:val="40"/>
                <w:lang w:eastAsia="en-GB"/>
                <w14:ligatures w14:val="none"/>
              </w:rPr>
            </w:pPr>
            <w:r w:rsidRPr="00772122">
              <w:rPr>
                <w:rFonts w:ascii="Arial" w:eastAsia="Times New Roman" w:hAnsi="Arial" w:cs="Arial"/>
                <w:b/>
                <w:bCs/>
                <w:color w:val="000000"/>
                <w:kern w:val="0"/>
                <w:sz w:val="40"/>
                <w:szCs w:val="40"/>
                <w:lang w:eastAsia="en-GB"/>
                <w14:ligatures w14:val="none"/>
              </w:rPr>
              <w:t>Regional Adaptation</w:t>
            </w:r>
          </w:p>
        </w:tc>
      </w:tr>
      <w:tr w:rsidR="007B3ACC" w:rsidRPr="007B3ACC" w14:paraId="21070B43" w14:textId="77777777">
        <w:trPr>
          <w:tblCellSpacing w:w="15" w:type="dxa"/>
        </w:trPr>
        <w:tc>
          <w:tcPr>
            <w:tcW w:w="0" w:type="auto"/>
            <w:vAlign w:val="center"/>
            <w:hideMark/>
          </w:tcPr>
          <w:p w14:paraId="1CF5AF5B"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Executive Board</w:t>
            </w:r>
          </w:p>
        </w:tc>
        <w:tc>
          <w:tcPr>
            <w:tcW w:w="0" w:type="auto"/>
            <w:vAlign w:val="center"/>
            <w:hideMark/>
          </w:tcPr>
          <w:p w14:paraId="18550423"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Steering Committee, Risk Review, Benefit Realisation Reports</w:t>
            </w:r>
          </w:p>
        </w:tc>
        <w:tc>
          <w:tcPr>
            <w:tcW w:w="0" w:type="auto"/>
            <w:vAlign w:val="center"/>
            <w:hideMark/>
          </w:tcPr>
          <w:p w14:paraId="108C7089"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Monthly</w:t>
            </w:r>
          </w:p>
        </w:tc>
        <w:tc>
          <w:tcPr>
            <w:tcW w:w="0" w:type="auto"/>
            <w:vAlign w:val="center"/>
            <w:hideMark/>
          </w:tcPr>
          <w:p w14:paraId="76C5E59F"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Delivered in English; aligned to global reporting cycles</w:t>
            </w:r>
          </w:p>
        </w:tc>
      </w:tr>
      <w:tr w:rsidR="007B3ACC" w:rsidRPr="007B3ACC" w14:paraId="7791BD2E" w14:textId="77777777">
        <w:trPr>
          <w:tblCellSpacing w:w="15" w:type="dxa"/>
        </w:trPr>
        <w:tc>
          <w:tcPr>
            <w:tcW w:w="0" w:type="auto"/>
            <w:vAlign w:val="center"/>
            <w:hideMark/>
          </w:tcPr>
          <w:p w14:paraId="2647BE9E"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Project Teams</w:t>
            </w:r>
          </w:p>
        </w:tc>
        <w:tc>
          <w:tcPr>
            <w:tcW w:w="0" w:type="auto"/>
            <w:vAlign w:val="center"/>
            <w:hideMark/>
          </w:tcPr>
          <w:p w14:paraId="29686C7F"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Weekly Workshops, Shared Workspace, Issue Tracking</w:t>
            </w:r>
          </w:p>
        </w:tc>
        <w:tc>
          <w:tcPr>
            <w:tcW w:w="0" w:type="auto"/>
            <w:vAlign w:val="center"/>
            <w:hideMark/>
          </w:tcPr>
          <w:p w14:paraId="26170759"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Weekly</w:t>
            </w:r>
          </w:p>
        </w:tc>
        <w:tc>
          <w:tcPr>
            <w:tcW w:w="0" w:type="auto"/>
            <w:vAlign w:val="center"/>
            <w:hideMark/>
          </w:tcPr>
          <w:p w14:paraId="5C81B88C"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Materials translated; meeting times rotated for time zones</w:t>
            </w:r>
          </w:p>
        </w:tc>
      </w:tr>
      <w:tr w:rsidR="007B3ACC" w:rsidRPr="007B3ACC" w14:paraId="1697CA24" w14:textId="77777777">
        <w:trPr>
          <w:tblCellSpacing w:w="15" w:type="dxa"/>
        </w:trPr>
        <w:tc>
          <w:tcPr>
            <w:tcW w:w="0" w:type="auto"/>
            <w:vAlign w:val="center"/>
            <w:hideMark/>
          </w:tcPr>
          <w:p w14:paraId="2D138440"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Regulators &amp; Partners</w:t>
            </w:r>
          </w:p>
        </w:tc>
        <w:tc>
          <w:tcPr>
            <w:tcW w:w="0" w:type="auto"/>
            <w:vAlign w:val="center"/>
            <w:hideMark/>
          </w:tcPr>
          <w:p w14:paraId="60C54C5C"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Formal Compliance Updates, Pre-Submission Consultations</w:t>
            </w:r>
          </w:p>
        </w:tc>
        <w:tc>
          <w:tcPr>
            <w:tcW w:w="0" w:type="auto"/>
            <w:vAlign w:val="center"/>
            <w:hideMark/>
          </w:tcPr>
          <w:p w14:paraId="0C0F5FB5"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Bi-weekly</w:t>
            </w:r>
          </w:p>
        </w:tc>
        <w:tc>
          <w:tcPr>
            <w:tcW w:w="0" w:type="auto"/>
            <w:vAlign w:val="center"/>
            <w:hideMark/>
          </w:tcPr>
          <w:p w14:paraId="44D76703"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Submitted in national language; follows local authority formats</w:t>
            </w:r>
          </w:p>
        </w:tc>
      </w:tr>
      <w:tr w:rsidR="007B3ACC" w:rsidRPr="007B3ACC" w14:paraId="5DB9869B" w14:textId="77777777">
        <w:trPr>
          <w:tblCellSpacing w:w="15" w:type="dxa"/>
        </w:trPr>
        <w:tc>
          <w:tcPr>
            <w:tcW w:w="0" w:type="auto"/>
            <w:vAlign w:val="center"/>
            <w:hideMark/>
          </w:tcPr>
          <w:p w14:paraId="583277B5"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lastRenderedPageBreak/>
              <w:t>Customers</w:t>
            </w:r>
          </w:p>
        </w:tc>
        <w:tc>
          <w:tcPr>
            <w:tcW w:w="0" w:type="auto"/>
            <w:vAlign w:val="center"/>
            <w:hideMark/>
          </w:tcPr>
          <w:p w14:paraId="2327302D"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Beta Programmes, Surveys, Community Forums, Local Events</w:t>
            </w:r>
          </w:p>
        </w:tc>
        <w:tc>
          <w:tcPr>
            <w:tcW w:w="0" w:type="auto"/>
            <w:vAlign w:val="center"/>
            <w:hideMark/>
          </w:tcPr>
          <w:p w14:paraId="316FE486"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Ongoing</w:t>
            </w:r>
          </w:p>
        </w:tc>
        <w:tc>
          <w:tcPr>
            <w:tcW w:w="0" w:type="auto"/>
            <w:vAlign w:val="center"/>
            <w:hideMark/>
          </w:tcPr>
          <w:p w14:paraId="2C9EA8AC"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Local language; offline options for low-digital areas</w:t>
            </w:r>
          </w:p>
        </w:tc>
      </w:tr>
      <w:tr w:rsidR="007B3ACC" w:rsidRPr="007B3ACC" w14:paraId="318221F3" w14:textId="77777777">
        <w:trPr>
          <w:tblCellSpacing w:w="15" w:type="dxa"/>
        </w:trPr>
        <w:tc>
          <w:tcPr>
            <w:tcW w:w="0" w:type="auto"/>
            <w:vAlign w:val="center"/>
            <w:hideMark/>
          </w:tcPr>
          <w:p w14:paraId="316DC406"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Frontline Staff</w:t>
            </w:r>
          </w:p>
        </w:tc>
        <w:tc>
          <w:tcPr>
            <w:tcW w:w="0" w:type="auto"/>
            <w:vAlign w:val="center"/>
            <w:hideMark/>
          </w:tcPr>
          <w:p w14:paraId="5B05DA3E"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Roadshows, Q&amp;A Sessions, Hands-on Training, Digital Newsletters</w:t>
            </w:r>
          </w:p>
        </w:tc>
        <w:tc>
          <w:tcPr>
            <w:tcW w:w="0" w:type="auto"/>
            <w:vAlign w:val="center"/>
            <w:hideMark/>
          </w:tcPr>
          <w:p w14:paraId="0A9261FB"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Fortnightly</w:t>
            </w:r>
          </w:p>
        </w:tc>
        <w:tc>
          <w:tcPr>
            <w:tcW w:w="0" w:type="auto"/>
            <w:vAlign w:val="center"/>
            <w:hideMark/>
          </w:tcPr>
          <w:p w14:paraId="2CC58B6A"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Scheduled around shift patterns; respects local customs</w:t>
            </w:r>
          </w:p>
        </w:tc>
      </w:tr>
    </w:tbl>
    <w:p w14:paraId="685D22D8" w14:textId="77777777" w:rsidR="007B3ACC" w:rsidRPr="006076D6" w:rsidRDefault="007B3ACC" w:rsidP="007B3ACC">
      <w:pPr>
        <w:spacing w:after="0" w:line="360" w:lineRule="atLeast"/>
        <w:outlineLvl w:val="2"/>
        <w:rPr>
          <w:rFonts w:ascii="Arial" w:eastAsia="Times New Roman" w:hAnsi="Arial" w:cs="Arial"/>
          <w:color w:val="000000"/>
          <w:kern w:val="0"/>
          <w:sz w:val="40"/>
          <w:szCs w:val="40"/>
          <w:lang w:eastAsia="en-GB"/>
          <w14:ligatures w14:val="none"/>
        </w:rPr>
      </w:pPr>
      <w:r w:rsidRPr="006076D6">
        <w:rPr>
          <w:rFonts w:ascii="Arial" w:eastAsia="Times New Roman" w:hAnsi="Arial" w:cs="Arial"/>
          <w:color w:val="000000"/>
          <w:kern w:val="0"/>
          <w:sz w:val="40"/>
          <w:szCs w:val="40"/>
          <w:lang w:eastAsia="en-GB"/>
          <w14:ligatures w14:val="none"/>
        </w:rPr>
        <w:t>5.3 Conflict Management &amp; Resolution</w:t>
      </w:r>
    </w:p>
    <w:p w14:paraId="580EA1D1" w14:textId="77777777" w:rsidR="007B3ACC" w:rsidRPr="006076D6" w:rsidRDefault="007B3ACC" w:rsidP="007B3ACC">
      <w:pPr>
        <w:spacing w:after="0" w:line="360" w:lineRule="atLeast"/>
        <w:rPr>
          <w:rFonts w:ascii="Arial" w:eastAsia="Times New Roman" w:hAnsi="Arial" w:cs="Arial"/>
          <w:color w:val="000000"/>
          <w:kern w:val="0"/>
          <w:sz w:val="40"/>
          <w:szCs w:val="40"/>
          <w:lang w:eastAsia="en-GB"/>
          <w14:ligatures w14:val="none"/>
        </w:rPr>
      </w:pPr>
      <w:r w:rsidRPr="006076D6">
        <w:rPr>
          <w:rFonts w:ascii="Arial" w:eastAsia="Times New Roman" w:hAnsi="Arial" w:cs="Arial"/>
          <w:color w:val="000000"/>
          <w:kern w:val="0"/>
          <w:sz w:val="40"/>
          <w:szCs w:val="40"/>
          <w:lang w:eastAsia="en-GB"/>
          <w14:ligatures w14:val="none"/>
        </w:rPr>
        <w:t>Conflicts fall into three core categories:</w:t>
      </w:r>
    </w:p>
    <w:p w14:paraId="4462B79A" w14:textId="77777777" w:rsidR="007B3ACC" w:rsidRPr="007B3ACC" w:rsidRDefault="007B3ACC" w:rsidP="007B3ACC">
      <w:pPr>
        <w:numPr>
          <w:ilvl w:val="0"/>
          <w:numId w:val="23"/>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Task Conflict: Disagreement over what should be delivered → Resolve by referencing shared project goals and objective evidence</w:t>
      </w:r>
    </w:p>
    <w:p w14:paraId="1A2A5F45" w14:textId="77777777" w:rsidR="007B3ACC" w:rsidRPr="007B3ACC" w:rsidRDefault="007B3ACC" w:rsidP="007B3ACC">
      <w:pPr>
        <w:numPr>
          <w:ilvl w:val="0"/>
          <w:numId w:val="23"/>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Process Conflict: Disagreement over how delivery should happen → Agree protocols and decision rights at the start of the project</w:t>
      </w:r>
    </w:p>
    <w:p w14:paraId="6695A91D" w14:textId="77777777" w:rsidR="007B3ACC" w:rsidRDefault="007B3ACC" w:rsidP="007B3ACC">
      <w:pPr>
        <w:numPr>
          <w:ilvl w:val="0"/>
          <w:numId w:val="23"/>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Relationship Conflict: Friction caused by cultural differences or personal dynamics → Mediate neutrally and refocus on common objectives</w:t>
      </w:r>
    </w:p>
    <w:p w14:paraId="0DCB41EF" w14:textId="77777777" w:rsidR="00222BBF" w:rsidRPr="007B3ACC" w:rsidRDefault="00222BBF" w:rsidP="007B3ACC">
      <w:pPr>
        <w:numPr>
          <w:ilvl w:val="0"/>
          <w:numId w:val="23"/>
        </w:numPr>
        <w:spacing w:after="0" w:line="360" w:lineRule="atLeast"/>
        <w:rPr>
          <w:rFonts w:ascii="Arial" w:eastAsia="Times New Roman" w:hAnsi="Arial" w:cs="Arial"/>
          <w:color w:val="000000"/>
          <w:kern w:val="0"/>
          <w:lang w:eastAsia="en-GB"/>
          <w14:ligatures w14:val="none"/>
        </w:rPr>
      </w:pPr>
    </w:p>
    <w:p w14:paraId="1685AF94" w14:textId="77777777" w:rsidR="007B3ACC" w:rsidRDefault="007B3ACC" w:rsidP="007B3ACC">
      <w:pPr>
        <w:spacing w:after="0" w:line="360" w:lineRule="atLeast"/>
        <w:rPr>
          <w:rFonts w:ascii="Arial" w:eastAsia="Times New Roman" w:hAnsi="Arial" w:cs="Arial"/>
          <w:color w:val="000000"/>
          <w:kern w:val="0"/>
          <w:sz w:val="32"/>
          <w:szCs w:val="32"/>
          <w:lang w:eastAsia="en-GB"/>
          <w14:ligatures w14:val="none"/>
        </w:rPr>
      </w:pPr>
      <w:r w:rsidRPr="00222BBF">
        <w:rPr>
          <w:rFonts w:ascii="Arial" w:eastAsia="Times New Roman" w:hAnsi="Arial" w:cs="Arial"/>
          <w:color w:val="000000"/>
          <w:kern w:val="0"/>
          <w:sz w:val="32"/>
          <w:szCs w:val="32"/>
          <w:lang w:eastAsia="en-GB"/>
          <w14:ligatures w14:val="none"/>
        </w:rPr>
        <w:t>Standard Resolution Process:</w:t>
      </w:r>
    </w:p>
    <w:p w14:paraId="12CF0E0B" w14:textId="77777777" w:rsidR="00222BBF" w:rsidRPr="00222BBF" w:rsidRDefault="00222BBF" w:rsidP="007B3ACC">
      <w:pPr>
        <w:spacing w:after="0" w:line="360" w:lineRule="atLeast"/>
        <w:rPr>
          <w:rFonts w:ascii="Arial" w:eastAsia="Times New Roman" w:hAnsi="Arial" w:cs="Arial"/>
          <w:color w:val="000000"/>
          <w:kern w:val="0"/>
          <w:sz w:val="32"/>
          <w:szCs w:val="32"/>
          <w:lang w:eastAsia="en-GB"/>
          <w14:ligatures w14:val="none"/>
        </w:rPr>
      </w:pPr>
    </w:p>
    <w:p w14:paraId="21AD85C7" w14:textId="77777777" w:rsidR="007B3ACC" w:rsidRPr="007B3ACC" w:rsidRDefault="007B3ACC" w:rsidP="007B3ACC">
      <w:pPr>
        <w:numPr>
          <w:ilvl w:val="0"/>
          <w:numId w:val="24"/>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Acknowledge all perspectives without judgement or dismissal</w:t>
      </w:r>
    </w:p>
    <w:p w14:paraId="18F1E1F0" w14:textId="77777777" w:rsidR="007B3ACC" w:rsidRPr="007B3ACC" w:rsidRDefault="007B3ACC" w:rsidP="007B3ACC">
      <w:pPr>
        <w:numPr>
          <w:ilvl w:val="0"/>
          <w:numId w:val="24"/>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Distinguish between stated positions and underlying interests</w:t>
      </w:r>
    </w:p>
    <w:p w14:paraId="127561F9" w14:textId="77777777" w:rsidR="007B3ACC" w:rsidRPr="007B3ACC" w:rsidRDefault="007B3ACC" w:rsidP="007B3ACC">
      <w:pPr>
        <w:numPr>
          <w:ilvl w:val="0"/>
          <w:numId w:val="24"/>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Develop and propose balanced options that satisfy shared goals</w:t>
      </w:r>
    </w:p>
    <w:p w14:paraId="3C3C4042" w14:textId="77777777" w:rsidR="007B3ACC" w:rsidRPr="007B3ACC" w:rsidRDefault="007B3ACC" w:rsidP="007B3ACC">
      <w:pPr>
        <w:numPr>
          <w:ilvl w:val="0"/>
          <w:numId w:val="24"/>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Document all agreements and monitor implementation to prevent recurrence</w:t>
      </w:r>
    </w:p>
    <w:p w14:paraId="6E7A03A8"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Regional Examples:</w:t>
      </w:r>
    </w:p>
    <w:p w14:paraId="59EB4282" w14:textId="77777777" w:rsidR="007B3ACC" w:rsidRPr="007B3ACC" w:rsidRDefault="007B3ACC" w:rsidP="007B3ACC">
      <w:pPr>
        <w:numPr>
          <w:ilvl w:val="0"/>
          <w:numId w:val="25"/>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Balancing strict EU consent requirements with India’s more flexible data practices</w:t>
      </w:r>
    </w:p>
    <w:p w14:paraId="31636672" w14:textId="77777777" w:rsidR="007B3ACC" w:rsidRPr="007B3ACC" w:rsidRDefault="007B3ACC" w:rsidP="007B3ACC">
      <w:pPr>
        <w:numPr>
          <w:ilvl w:val="0"/>
          <w:numId w:val="25"/>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Resolving concerns from French store teams about increased workload</w:t>
      </w:r>
    </w:p>
    <w:p w14:paraId="4D5DE87F" w14:textId="77777777" w:rsidR="007B3ACC" w:rsidRDefault="007B3ACC" w:rsidP="007B3ACC">
      <w:pPr>
        <w:numPr>
          <w:ilvl w:val="0"/>
          <w:numId w:val="25"/>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Reconciling global standardisation with Singapore’s demand for speed and innovation</w:t>
      </w:r>
    </w:p>
    <w:p w14:paraId="463005DF" w14:textId="77777777" w:rsidR="006076D6" w:rsidRPr="007B3ACC" w:rsidRDefault="006076D6" w:rsidP="007B3ACC">
      <w:pPr>
        <w:numPr>
          <w:ilvl w:val="0"/>
          <w:numId w:val="25"/>
        </w:numPr>
        <w:spacing w:after="0" w:line="360" w:lineRule="atLeast"/>
        <w:rPr>
          <w:rFonts w:ascii="Arial" w:eastAsia="Times New Roman" w:hAnsi="Arial" w:cs="Arial"/>
          <w:color w:val="000000"/>
          <w:kern w:val="0"/>
          <w:lang w:eastAsia="en-GB"/>
          <w14:ligatures w14:val="none"/>
        </w:rPr>
      </w:pPr>
    </w:p>
    <w:p w14:paraId="26AD3C1C" w14:textId="77777777" w:rsidR="007B3ACC" w:rsidRDefault="007B3ACC" w:rsidP="007B3ACC">
      <w:pPr>
        <w:spacing w:after="0" w:line="360" w:lineRule="atLeast"/>
        <w:outlineLvl w:val="2"/>
        <w:rPr>
          <w:rFonts w:ascii="Arial" w:eastAsia="Times New Roman" w:hAnsi="Arial" w:cs="Arial"/>
          <w:color w:val="000000"/>
          <w:kern w:val="0"/>
          <w:sz w:val="40"/>
          <w:szCs w:val="40"/>
          <w:lang w:eastAsia="en-GB"/>
          <w14:ligatures w14:val="none"/>
        </w:rPr>
      </w:pPr>
      <w:r w:rsidRPr="006076D6">
        <w:rPr>
          <w:rFonts w:ascii="Arial" w:eastAsia="Times New Roman" w:hAnsi="Arial" w:cs="Arial"/>
          <w:color w:val="000000"/>
          <w:kern w:val="0"/>
          <w:sz w:val="40"/>
          <w:szCs w:val="40"/>
          <w:lang w:eastAsia="en-GB"/>
          <w14:ligatures w14:val="none"/>
        </w:rPr>
        <w:t>5.4 Ethical Considerations</w:t>
      </w:r>
    </w:p>
    <w:p w14:paraId="25B52422" w14:textId="77777777" w:rsidR="006076D6" w:rsidRPr="006076D6" w:rsidRDefault="006076D6" w:rsidP="007B3ACC">
      <w:pPr>
        <w:spacing w:after="0" w:line="360" w:lineRule="atLeast"/>
        <w:outlineLvl w:val="2"/>
        <w:rPr>
          <w:rFonts w:ascii="Arial" w:eastAsia="Times New Roman" w:hAnsi="Arial" w:cs="Arial"/>
          <w:color w:val="000000"/>
          <w:kern w:val="0"/>
          <w:sz w:val="40"/>
          <w:szCs w:val="40"/>
          <w:lang w:eastAsia="en-GB"/>
          <w14:ligatures w14:val="none"/>
        </w:rPr>
      </w:pPr>
    </w:p>
    <w:p w14:paraId="5EE7CE32" w14:textId="77777777" w:rsidR="007B3ACC" w:rsidRPr="007B3ACC" w:rsidRDefault="007B3ACC" w:rsidP="007B3ACC">
      <w:pPr>
        <w:numPr>
          <w:ilvl w:val="0"/>
          <w:numId w:val="26"/>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lastRenderedPageBreak/>
        <w:t>Transparency: Clearly disclose exactly what data is collected, how it is used, stored and shared</w:t>
      </w:r>
    </w:p>
    <w:p w14:paraId="7DDE2DB3" w14:textId="77777777" w:rsidR="007B3ACC" w:rsidRPr="007B3ACC" w:rsidRDefault="007B3ACC" w:rsidP="007B3ACC">
      <w:pPr>
        <w:numPr>
          <w:ilvl w:val="0"/>
          <w:numId w:val="26"/>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Inclusion: Provide offline and non-digital channels for those with limited access or literacy</w:t>
      </w:r>
    </w:p>
    <w:p w14:paraId="4F8C2E8D" w14:textId="77777777" w:rsidR="007B3ACC" w:rsidRPr="007B3ACC" w:rsidRDefault="007B3ACC" w:rsidP="007B3ACC">
      <w:pPr>
        <w:numPr>
          <w:ilvl w:val="0"/>
          <w:numId w:val="26"/>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Fair Representation: Ensure less powerful or vocal groups have equal opportunity to contribute</w:t>
      </w:r>
    </w:p>
    <w:p w14:paraId="4FE2C118" w14:textId="77777777" w:rsidR="007B3ACC" w:rsidRPr="007B3ACC" w:rsidRDefault="007B3ACC" w:rsidP="007B3ACC">
      <w:pPr>
        <w:numPr>
          <w:ilvl w:val="0"/>
          <w:numId w:val="26"/>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Voluntariness: Never link engagement to job security, performance ratings or rewards unfairly</w:t>
      </w:r>
    </w:p>
    <w:p w14:paraId="4916A8CF" w14:textId="77777777" w:rsidR="007B3ACC" w:rsidRPr="007B3ACC" w:rsidRDefault="007B3ACC" w:rsidP="007B3ACC">
      <w:pPr>
        <w:numPr>
          <w:ilvl w:val="0"/>
          <w:numId w:val="26"/>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Data Justice: Only collect data that is strictly necessary; allow full and easy opt-out at any time</w:t>
      </w:r>
    </w:p>
    <w:p w14:paraId="0556E70B" w14:textId="77777777" w:rsidR="007B3ACC" w:rsidRPr="007B3ACC" w:rsidRDefault="00855DBA" w:rsidP="007B3ACC">
      <w:pPr>
        <w:spacing w:after="0" w:line="360" w:lineRule="atLeast"/>
        <w:rPr>
          <w:rFonts w:ascii="Arial" w:eastAsia="Times New Roman" w:hAnsi="Arial" w:cs="Arial"/>
          <w:kern w:val="0"/>
          <w:lang w:eastAsia="en-GB"/>
          <w14:ligatures w14:val="none"/>
        </w:rPr>
      </w:pPr>
      <w:r>
        <w:rPr>
          <w:rFonts w:ascii="Times New Roman" w:eastAsia="Times New Roman" w:hAnsi="Times New Roman" w:cs="Times New Roman"/>
          <w:noProof/>
          <w:kern w:val="0"/>
          <w:lang w:eastAsia="en-GB"/>
        </w:rPr>
        <w:pict w14:anchorId="0065E3DE">
          <v:rect id="_x0000_i1027" alt="" style="width:451.3pt;height:.05pt;mso-width-percent:0;mso-height-percent:0;mso-width-percent:0;mso-height-percent:0" o:hralign="center" o:hrstd="t" o:hrnoshade="t" o:hr="t" fillcolor="black" stroked="f"/>
        </w:pict>
      </w:r>
    </w:p>
    <w:p w14:paraId="71EA3C4D" w14:textId="77777777" w:rsidR="007B3ACC" w:rsidRPr="006076D6" w:rsidRDefault="007B3ACC" w:rsidP="007B3ACC">
      <w:pPr>
        <w:spacing w:after="0" w:line="360" w:lineRule="atLeast"/>
        <w:outlineLvl w:val="1"/>
        <w:rPr>
          <w:rFonts w:ascii="Arial" w:eastAsia="Times New Roman" w:hAnsi="Arial" w:cs="Arial"/>
          <w:color w:val="000000"/>
          <w:kern w:val="0"/>
          <w:sz w:val="40"/>
          <w:szCs w:val="40"/>
          <w:lang w:eastAsia="en-GB"/>
          <w14:ligatures w14:val="none"/>
        </w:rPr>
      </w:pPr>
      <w:r w:rsidRPr="006076D6">
        <w:rPr>
          <w:rFonts w:ascii="Arial" w:eastAsia="Times New Roman" w:hAnsi="Arial" w:cs="Arial"/>
          <w:color w:val="000000"/>
          <w:kern w:val="0"/>
          <w:sz w:val="40"/>
          <w:szCs w:val="40"/>
          <w:lang w:eastAsia="en-GB"/>
          <w14:ligatures w14:val="none"/>
        </w:rPr>
        <w:t>6. Impact of Sustainable Engagement on Business Performance (900 words)</w:t>
      </w:r>
    </w:p>
    <w:p w14:paraId="421855BA"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Sustainable engagement refers to building long-term trust and genuine partnership rather than securing short-term compliance. This creates measurable, lasting value across the entire organisation (Ashcroft, 2017).</w:t>
      </w:r>
    </w:p>
    <w:p w14:paraId="0F49BEBC" w14:textId="77777777" w:rsidR="007B3ACC" w:rsidRPr="007B3ACC" w:rsidRDefault="007B3ACC" w:rsidP="007B3ACC">
      <w:pPr>
        <w:spacing w:after="0" w:line="360" w:lineRule="atLeast"/>
        <w:outlineLvl w:val="2"/>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6.1 Project Delivery &amp; Operational Benefits</w:t>
      </w:r>
    </w:p>
    <w:p w14:paraId="1B26F37D" w14:textId="77777777" w:rsidR="007B3ACC" w:rsidRPr="007B3ACC" w:rsidRDefault="007B3ACC" w:rsidP="007B3ACC">
      <w:pPr>
        <w:numPr>
          <w:ilvl w:val="0"/>
          <w:numId w:val="27"/>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Risk Reduction: Mature, proactive stakeholder engagement reduces overall project failure risk by 35% and cost overruns by 28% (PMI, 2024). Early identification of concerns prevents costly last-minute changes.</w:t>
      </w:r>
    </w:p>
    <w:p w14:paraId="4057B6EF" w14:textId="77777777" w:rsidR="007B3ACC" w:rsidRPr="007B3ACC" w:rsidRDefault="007B3ACC" w:rsidP="007B3ACC">
      <w:pPr>
        <w:numPr>
          <w:ilvl w:val="0"/>
          <w:numId w:val="27"/>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Quality Improvement: Input from regional teams and end-users reduces post-launch defects and rework by an estimated 30%, ensuring the platform meets real needs rather than theoretical requirements.</w:t>
      </w:r>
    </w:p>
    <w:p w14:paraId="0011D555" w14:textId="77777777" w:rsidR="007B3ACC" w:rsidRPr="007B3ACC" w:rsidRDefault="007B3ACC" w:rsidP="007B3ACC">
      <w:pPr>
        <w:numPr>
          <w:ilvl w:val="0"/>
          <w:numId w:val="27"/>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Faster Adoption: Engaged and informed frontline teams drive 42% higher customer uptake and better day-to-day usage (CIPD, 2025).</w:t>
      </w:r>
    </w:p>
    <w:p w14:paraId="4731BD93" w14:textId="77777777" w:rsidR="007B3ACC" w:rsidRDefault="007B3ACC" w:rsidP="007B3ACC">
      <w:pPr>
        <w:numPr>
          <w:ilvl w:val="0"/>
          <w:numId w:val="27"/>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Compliance Confidence: Proactive engagement with regulators reduces the likelihood of fines, mandatory changes or launch delays by up to 50%.</w:t>
      </w:r>
    </w:p>
    <w:p w14:paraId="2B56E207" w14:textId="77777777" w:rsidR="006076D6" w:rsidRPr="007B3ACC" w:rsidRDefault="006076D6" w:rsidP="007B3ACC">
      <w:pPr>
        <w:numPr>
          <w:ilvl w:val="0"/>
          <w:numId w:val="27"/>
        </w:numPr>
        <w:spacing w:after="0" w:line="360" w:lineRule="atLeast"/>
        <w:rPr>
          <w:rFonts w:ascii="Arial" w:eastAsia="Times New Roman" w:hAnsi="Arial" w:cs="Arial"/>
          <w:color w:val="000000"/>
          <w:kern w:val="0"/>
          <w:lang w:eastAsia="en-GB"/>
          <w14:ligatures w14:val="none"/>
        </w:rPr>
      </w:pPr>
    </w:p>
    <w:p w14:paraId="5A4283DF" w14:textId="77777777" w:rsidR="007B3ACC" w:rsidRDefault="007B3ACC" w:rsidP="007B3ACC">
      <w:pPr>
        <w:spacing w:after="0" w:line="360" w:lineRule="atLeast"/>
        <w:outlineLvl w:val="2"/>
        <w:rPr>
          <w:rFonts w:ascii="Arial" w:eastAsia="Times New Roman" w:hAnsi="Arial" w:cs="Arial"/>
          <w:color w:val="000000"/>
          <w:kern w:val="0"/>
          <w:sz w:val="40"/>
          <w:szCs w:val="40"/>
          <w:lang w:eastAsia="en-GB"/>
          <w14:ligatures w14:val="none"/>
        </w:rPr>
      </w:pPr>
      <w:r w:rsidRPr="006076D6">
        <w:rPr>
          <w:rFonts w:ascii="Arial" w:eastAsia="Times New Roman" w:hAnsi="Arial" w:cs="Arial"/>
          <w:color w:val="000000"/>
          <w:kern w:val="0"/>
          <w:sz w:val="40"/>
          <w:szCs w:val="40"/>
          <w:lang w:eastAsia="en-GB"/>
          <w14:ligatures w14:val="none"/>
        </w:rPr>
        <w:t>6.2 Strategic &amp; Commercial Benefits</w:t>
      </w:r>
    </w:p>
    <w:p w14:paraId="56497850" w14:textId="77777777" w:rsidR="006076D6" w:rsidRPr="006076D6" w:rsidRDefault="006076D6" w:rsidP="007B3ACC">
      <w:pPr>
        <w:spacing w:after="0" w:line="360" w:lineRule="atLeast"/>
        <w:outlineLvl w:val="2"/>
        <w:rPr>
          <w:rFonts w:ascii="Arial" w:eastAsia="Times New Roman" w:hAnsi="Arial" w:cs="Arial"/>
          <w:color w:val="000000"/>
          <w:kern w:val="0"/>
          <w:sz w:val="40"/>
          <w:szCs w:val="40"/>
          <w:lang w:eastAsia="en-GB"/>
          <w14:ligatures w14:val="none"/>
        </w:rPr>
      </w:pPr>
    </w:p>
    <w:p w14:paraId="44C9F6D3" w14:textId="77777777" w:rsidR="007B3ACC" w:rsidRPr="007B3ACC" w:rsidRDefault="007B3ACC" w:rsidP="007B3ACC">
      <w:pPr>
        <w:numPr>
          <w:ilvl w:val="0"/>
          <w:numId w:val="28"/>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Revenue Growth: Customers who feel consulted and respected are 21% more likely to spend more and remain active for 27% longer (Accenture, 2025).</w:t>
      </w:r>
    </w:p>
    <w:p w14:paraId="130EDD50" w14:textId="77777777" w:rsidR="007B3ACC" w:rsidRPr="007B3ACC" w:rsidRDefault="007B3ACC" w:rsidP="007B3ACC">
      <w:pPr>
        <w:numPr>
          <w:ilvl w:val="0"/>
          <w:numId w:val="28"/>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Brand Value: 68% of global consumers state they will choose a brand they trust over a cheaper alternative, even if it offers fewer features (NielsenIQ, 2026).</w:t>
      </w:r>
    </w:p>
    <w:p w14:paraId="3C4D05AD" w14:textId="77777777" w:rsidR="007B3ACC" w:rsidRPr="007B3ACC" w:rsidRDefault="007B3ACC" w:rsidP="007B3ACC">
      <w:pPr>
        <w:numPr>
          <w:ilvl w:val="0"/>
          <w:numId w:val="28"/>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lastRenderedPageBreak/>
        <w:t>Competitive Advantage: Diverse input from different markets and groups identifies use cases and features that central teams would otherwise overlook, creating differentiation rivals cannot easily copy.</w:t>
      </w:r>
    </w:p>
    <w:p w14:paraId="71DF9FDA" w14:textId="77777777" w:rsidR="007B3ACC" w:rsidRPr="007B3ACC" w:rsidRDefault="007B3ACC" w:rsidP="007B3ACC">
      <w:pPr>
        <w:numPr>
          <w:ilvl w:val="0"/>
          <w:numId w:val="28"/>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Partner Resilience: Stronger relationships with suppliers and partners accelerate problem-solving and reduce friction during future changes.</w:t>
      </w:r>
    </w:p>
    <w:p w14:paraId="2B045E84" w14:textId="77777777" w:rsidR="007B3ACC" w:rsidRDefault="007B3ACC" w:rsidP="007B3ACC">
      <w:pPr>
        <w:spacing w:after="0" w:line="360" w:lineRule="atLeast"/>
        <w:outlineLvl w:val="2"/>
        <w:rPr>
          <w:rFonts w:ascii="Arial" w:eastAsia="Times New Roman" w:hAnsi="Arial" w:cs="Arial"/>
          <w:color w:val="000000"/>
          <w:kern w:val="0"/>
          <w:sz w:val="40"/>
          <w:szCs w:val="40"/>
          <w:lang w:eastAsia="en-GB"/>
          <w14:ligatures w14:val="none"/>
        </w:rPr>
      </w:pPr>
      <w:r w:rsidRPr="006076D6">
        <w:rPr>
          <w:rFonts w:ascii="Arial" w:eastAsia="Times New Roman" w:hAnsi="Arial" w:cs="Arial"/>
          <w:color w:val="000000"/>
          <w:kern w:val="0"/>
          <w:sz w:val="40"/>
          <w:szCs w:val="40"/>
          <w:lang w:eastAsia="en-GB"/>
          <w14:ligatures w14:val="none"/>
        </w:rPr>
        <w:t>6.3 Long-Term Organisational Value</w:t>
      </w:r>
    </w:p>
    <w:p w14:paraId="70E62489" w14:textId="77777777" w:rsidR="006076D6" w:rsidRPr="006076D6" w:rsidRDefault="006076D6" w:rsidP="007B3ACC">
      <w:pPr>
        <w:spacing w:after="0" w:line="360" w:lineRule="atLeast"/>
        <w:outlineLvl w:val="2"/>
        <w:rPr>
          <w:rFonts w:ascii="Arial" w:eastAsia="Times New Roman" w:hAnsi="Arial" w:cs="Arial"/>
          <w:color w:val="000000"/>
          <w:kern w:val="0"/>
          <w:sz w:val="40"/>
          <w:szCs w:val="40"/>
          <w:lang w:eastAsia="en-GB"/>
          <w14:ligatures w14:val="none"/>
        </w:rPr>
      </w:pPr>
    </w:p>
    <w:p w14:paraId="61AAAC38" w14:textId="77777777" w:rsidR="007B3ACC" w:rsidRPr="007B3ACC" w:rsidRDefault="007B3ACC" w:rsidP="007B3ACC">
      <w:pPr>
        <w:numPr>
          <w:ilvl w:val="0"/>
          <w:numId w:val="29"/>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Relational Capital: Trust built during this project creates networks and goodwill that benefit all future change initiatives.</w:t>
      </w:r>
    </w:p>
    <w:p w14:paraId="6B9DB802" w14:textId="77777777" w:rsidR="007B3ACC" w:rsidRPr="007B3ACC" w:rsidRDefault="007B3ACC" w:rsidP="007B3ACC">
      <w:pPr>
        <w:numPr>
          <w:ilvl w:val="0"/>
          <w:numId w:val="29"/>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Cultural Agility: Better cross-border and cross-team collaboration improves overall organisational responsiveness and adaptability.</w:t>
      </w:r>
    </w:p>
    <w:p w14:paraId="1CA91280" w14:textId="77777777" w:rsidR="007B3ACC" w:rsidRPr="007B3ACC" w:rsidRDefault="007B3ACC" w:rsidP="007B3ACC">
      <w:pPr>
        <w:numPr>
          <w:ilvl w:val="0"/>
          <w:numId w:val="29"/>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Reputation Insurance: Established trust acts as a buffer when issues or setbacks occur, reducing reputational damage.</w:t>
      </w:r>
    </w:p>
    <w:p w14:paraId="1D377006" w14:textId="77777777" w:rsidR="007B3ACC" w:rsidRPr="007B3ACC" w:rsidRDefault="007B3ACC" w:rsidP="007B3ACC">
      <w:pPr>
        <w:numPr>
          <w:ilvl w:val="0"/>
          <w:numId w:val="29"/>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Stakeholder Loyalty: Employees, customers and partners who feel heard are more likely to support innovation and change in the future.</w:t>
      </w:r>
    </w:p>
    <w:p w14:paraId="72D16081" w14:textId="77777777" w:rsidR="007B3ACC" w:rsidRPr="007B3ACC" w:rsidRDefault="007B3ACC" w:rsidP="007B3ACC">
      <w:pPr>
        <w:spacing w:after="0" w:line="360" w:lineRule="atLeast"/>
        <w:outlineLvl w:val="2"/>
        <w:rPr>
          <w:rFonts w:ascii="Arial" w:eastAsia="Times New Roman" w:hAnsi="Arial" w:cs="Arial"/>
          <w:color w:val="000000"/>
          <w:kern w:val="0"/>
          <w:sz w:val="52"/>
          <w:szCs w:val="52"/>
          <w:lang w:eastAsia="en-GB"/>
          <w14:ligatures w14:val="none"/>
        </w:rPr>
      </w:pPr>
      <w:r w:rsidRPr="007B3ACC">
        <w:rPr>
          <w:rFonts w:ascii="Arial" w:eastAsia="Times New Roman" w:hAnsi="Arial" w:cs="Arial"/>
          <w:color w:val="000000"/>
          <w:kern w:val="0"/>
          <w:sz w:val="52"/>
          <w:szCs w:val="52"/>
          <w:lang w:eastAsia="en-GB"/>
          <w14:ligatures w14:val="none"/>
        </w:rPr>
        <w:t>6.4 Costs &amp; Risks of Poor Engagement</w:t>
      </w:r>
    </w:p>
    <w:p w14:paraId="65703C42" w14:textId="77777777" w:rsidR="007B3ACC" w:rsidRPr="007B3ACC" w:rsidRDefault="007B3ACC" w:rsidP="007B3ACC">
      <w:pPr>
        <w:numPr>
          <w:ilvl w:val="0"/>
          <w:numId w:val="30"/>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Delivery delays averaging 4–6 weeks and budget overruns of up to 40%</w:t>
      </w:r>
    </w:p>
    <w:p w14:paraId="1DC49282" w14:textId="77777777" w:rsidR="007B3ACC" w:rsidRPr="007B3ACC" w:rsidRDefault="007B3ACC" w:rsidP="007B3ACC">
      <w:pPr>
        <w:numPr>
          <w:ilvl w:val="0"/>
          <w:numId w:val="30"/>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Loss of customer trust that can take years or even decades to rebuild</w:t>
      </w:r>
    </w:p>
    <w:p w14:paraId="19355999" w14:textId="77777777" w:rsidR="007B3ACC" w:rsidRPr="007B3ACC" w:rsidRDefault="007B3ACC" w:rsidP="007B3ACC">
      <w:pPr>
        <w:numPr>
          <w:ilvl w:val="0"/>
          <w:numId w:val="30"/>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Increased staff resistance, lower morale and higher voluntary turnover</w:t>
      </w:r>
    </w:p>
    <w:p w14:paraId="2EBB0A4A" w14:textId="77777777" w:rsidR="007B3ACC" w:rsidRPr="007B3ACC" w:rsidRDefault="007B3ACC" w:rsidP="007B3ACC">
      <w:pPr>
        <w:numPr>
          <w:ilvl w:val="0"/>
          <w:numId w:val="30"/>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Regulatory fines, mandatory changes or temporary bans on service</w:t>
      </w:r>
    </w:p>
    <w:p w14:paraId="58868C34" w14:textId="77777777" w:rsidR="007B3ACC" w:rsidRPr="007B3ACC" w:rsidRDefault="007B3ACC" w:rsidP="007B3ACC">
      <w:pPr>
        <w:numPr>
          <w:ilvl w:val="0"/>
          <w:numId w:val="30"/>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Missed market windows and permanent loss of competitive position</w:t>
      </w:r>
    </w:p>
    <w:p w14:paraId="3CBD8021" w14:textId="77777777" w:rsidR="007B3ACC" w:rsidRPr="007B3ACC" w:rsidRDefault="00855DBA" w:rsidP="007B3ACC">
      <w:pPr>
        <w:spacing w:after="0" w:line="360" w:lineRule="atLeast"/>
        <w:rPr>
          <w:rFonts w:ascii="Arial" w:eastAsia="Times New Roman" w:hAnsi="Arial" w:cs="Arial"/>
          <w:kern w:val="0"/>
          <w:lang w:eastAsia="en-GB"/>
          <w14:ligatures w14:val="none"/>
        </w:rPr>
      </w:pPr>
      <w:r>
        <w:rPr>
          <w:rFonts w:ascii="Times New Roman" w:eastAsia="Times New Roman" w:hAnsi="Times New Roman" w:cs="Times New Roman"/>
          <w:noProof/>
          <w:kern w:val="0"/>
          <w:lang w:eastAsia="en-GB"/>
        </w:rPr>
        <w:pict w14:anchorId="6B521C93">
          <v:rect id="_x0000_i1026" alt="" style="width:451.3pt;height:.05pt;mso-width-percent:0;mso-height-percent:0;mso-width-percent:0;mso-height-percent:0" o:hralign="center" o:hrstd="t" o:hrnoshade="t" o:hr="t" fillcolor="black" stroked="f"/>
        </w:pict>
      </w:r>
    </w:p>
    <w:p w14:paraId="4CE958A4" w14:textId="77777777" w:rsidR="007B3ACC" w:rsidRPr="007B3ACC" w:rsidRDefault="007B3ACC" w:rsidP="007B3ACC">
      <w:pPr>
        <w:spacing w:after="0" w:line="360" w:lineRule="atLeast"/>
        <w:outlineLvl w:val="1"/>
        <w:rPr>
          <w:rFonts w:ascii="Arial" w:eastAsia="Times New Roman" w:hAnsi="Arial" w:cs="Arial"/>
          <w:color w:val="000000"/>
          <w:kern w:val="0"/>
          <w:sz w:val="52"/>
          <w:szCs w:val="52"/>
          <w:lang w:eastAsia="en-GB"/>
          <w14:ligatures w14:val="none"/>
        </w:rPr>
      </w:pPr>
      <w:r w:rsidRPr="007B3ACC">
        <w:rPr>
          <w:rFonts w:ascii="Arial" w:eastAsia="Times New Roman" w:hAnsi="Arial" w:cs="Arial"/>
          <w:color w:val="000000"/>
          <w:kern w:val="0"/>
          <w:sz w:val="52"/>
          <w:szCs w:val="52"/>
          <w:lang w:eastAsia="en-GB"/>
          <w14:ligatures w14:val="none"/>
        </w:rPr>
        <w:t>7. Recommendations &amp; Conclusion (350 words)</w:t>
      </w:r>
    </w:p>
    <w:p w14:paraId="2EFA5F93" w14:textId="77777777" w:rsidR="007B3ACC" w:rsidRPr="007B3ACC" w:rsidRDefault="007B3ACC" w:rsidP="007B3ACC">
      <w:pPr>
        <w:spacing w:after="0" w:line="360" w:lineRule="atLeast"/>
        <w:outlineLvl w:val="2"/>
        <w:rPr>
          <w:rFonts w:ascii="Arial" w:eastAsia="Times New Roman" w:hAnsi="Arial" w:cs="Arial"/>
          <w:color w:val="000000"/>
          <w:kern w:val="0"/>
          <w:sz w:val="52"/>
          <w:szCs w:val="52"/>
          <w:lang w:eastAsia="en-GB"/>
          <w14:ligatures w14:val="none"/>
        </w:rPr>
      </w:pPr>
      <w:r w:rsidRPr="007B3ACC">
        <w:rPr>
          <w:rFonts w:ascii="Arial" w:eastAsia="Times New Roman" w:hAnsi="Arial" w:cs="Arial"/>
          <w:color w:val="000000"/>
          <w:kern w:val="0"/>
          <w:sz w:val="52"/>
          <w:szCs w:val="52"/>
          <w:lang w:eastAsia="en-GB"/>
          <w14:ligatures w14:val="none"/>
        </w:rPr>
        <w:t>Recommendations</w:t>
      </w:r>
    </w:p>
    <w:p w14:paraId="563155A1" w14:textId="77777777" w:rsidR="007B3ACC" w:rsidRPr="007B3ACC" w:rsidRDefault="007B3ACC" w:rsidP="007B3ACC">
      <w:pPr>
        <w:numPr>
          <w:ilvl w:val="0"/>
          <w:numId w:val="31"/>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Finalise the full stakeholder map and RACI matrix by the end of Week 2, including specific regional requirements and assigned owners.</w:t>
      </w:r>
    </w:p>
    <w:p w14:paraId="3DAEE96A" w14:textId="77777777" w:rsidR="007B3ACC" w:rsidRPr="007B3ACC" w:rsidRDefault="007B3ACC" w:rsidP="007B3ACC">
      <w:pPr>
        <w:numPr>
          <w:ilvl w:val="0"/>
          <w:numId w:val="31"/>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Establish a Global Stakeholder Forum with representation from every market, including staff and customer representatives, to align priorities and resolve conflicts proactively.</w:t>
      </w:r>
    </w:p>
    <w:p w14:paraId="7A3D5EDF" w14:textId="77777777" w:rsidR="007B3ACC" w:rsidRPr="007B3ACC" w:rsidRDefault="007B3ACC" w:rsidP="007B3ACC">
      <w:pPr>
        <w:numPr>
          <w:ilvl w:val="0"/>
          <w:numId w:val="31"/>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Develop separate market-specific engagement plans that address local laws, cultural norms and operational differences.</w:t>
      </w:r>
    </w:p>
    <w:p w14:paraId="1F6D8946" w14:textId="77777777" w:rsidR="007B3ACC" w:rsidRPr="007B3ACC" w:rsidRDefault="007B3ACC" w:rsidP="007B3ACC">
      <w:pPr>
        <w:numPr>
          <w:ilvl w:val="0"/>
          <w:numId w:val="31"/>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Deliver targeted training for all project leads on cross-cultural communication, ethical engagement and conflict resolution.</w:t>
      </w:r>
    </w:p>
    <w:p w14:paraId="48380A70" w14:textId="77777777" w:rsidR="007B3ACC" w:rsidRPr="007B3ACC" w:rsidRDefault="007B3ACC" w:rsidP="007B3ACC">
      <w:pPr>
        <w:numPr>
          <w:ilvl w:val="0"/>
          <w:numId w:val="31"/>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lastRenderedPageBreak/>
        <w:t>Track engagement effectiveness using a balanced scorecard including alignment scores, feedback response rates, adoption metrics and satisfaction levels.</w:t>
      </w:r>
    </w:p>
    <w:p w14:paraId="28F53385" w14:textId="77777777" w:rsidR="007B3ACC" w:rsidRPr="007B3ACC" w:rsidRDefault="007B3ACC" w:rsidP="007B3ACC">
      <w:pPr>
        <w:numPr>
          <w:ilvl w:val="0"/>
          <w:numId w:val="31"/>
        </w:num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Include a formal ethical review step in every major decision and engagement activity.</w:t>
      </w:r>
    </w:p>
    <w:p w14:paraId="61C63E12" w14:textId="77777777" w:rsidR="007B3ACC" w:rsidRPr="007B3ACC" w:rsidRDefault="007B3ACC" w:rsidP="007B3ACC">
      <w:pPr>
        <w:spacing w:after="0" w:line="360" w:lineRule="atLeast"/>
        <w:outlineLvl w:val="2"/>
        <w:rPr>
          <w:rFonts w:ascii="Arial" w:eastAsia="Times New Roman" w:hAnsi="Arial" w:cs="Arial"/>
          <w:color w:val="000000"/>
          <w:kern w:val="0"/>
          <w:sz w:val="52"/>
          <w:szCs w:val="52"/>
          <w:lang w:eastAsia="en-GB"/>
          <w14:ligatures w14:val="none"/>
        </w:rPr>
      </w:pPr>
      <w:r w:rsidRPr="007B3ACC">
        <w:rPr>
          <w:rFonts w:ascii="Arial" w:eastAsia="Times New Roman" w:hAnsi="Arial" w:cs="Arial"/>
          <w:color w:val="000000"/>
          <w:kern w:val="0"/>
          <w:sz w:val="52"/>
          <w:szCs w:val="52"/>
          <w:lang w:eastAsia="en-GB"/>
          <w14:ligatures w14:val="none"/>
        </w:rPr>
        <w:t>Conclusion</w:t>
      </w:r>
    </w:p>
    <w:p w14:paraId="0D4820B1"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The success of the ConnectPlus platform depends as much on effective stakeholder management as it does on technical excellence. This strategy demonstrates that structured, inclusive and ethical engagement transforms diverse and often conflicting interests into shared value, reduces risk and unlocks sustainable performance gains. By treating stakeholders as partners rather than audiences, the organisation can deliver a solution that works globally, respects local needs, and builds long-term trust and competitive advantage.</w:t>
      </w:r>
    </w:p>
    <w:p w14:paraId="231AEC36" w14:textId="77777777" w:rsidR="007B3ACC" w:rsidRPr="007B3ACC" w:rsidRDefault="00855DBA" w:rsidP="007B3ACC">
      <w:pPr>
        <w:spacing w:after="0" w:line="360" w:lineRule="atLeast"/>
        <w:rPr>
          <w:rFonts w:ascii="Arial" w:eastAsia="Times New Roman" w:hAnsi="Arial" w:cs="Arial"/>
          <w:kern w:val="0"/>
          <w:lang w:eastAsia="en-GB"/>
          <w14:ligatures w14:val="none"/>
        </w:rPr>
      </w:pPr>
      <w:r>
        <w:rPr>
          <w:rFonts w:ascii="Times New Roman" w:eastAsia="Times New Roman" w:hAnsi="Times New Roman" w:cs="Times New Roman"/>
          <w:noProof/>
          <w:kern w:val="0"/>
          <w:lang w:eastAsia="en-GB"/>
        </w:rPr>
        <w:pict w14:anchorId="056A83E2">
          <v:rect id="_x0000_i1025" alt="" style="width:451.3pt;height:.05pt;mso-width-percent:0;mso-height-percent:0;mso-width-percent:0;mso-height-percent:0" o:hralign="center" o:hrstd="t" o:hrnoshade="t" o:hr="t" fillcolor="black" stroked="f"/>
        </w:pict>
      </w:r>
    </w:p>
    <w:p w14:paraId="5AE49926" w14:textId="77777777" w:rsidR="007B3ACC" w:rsidRPr="007B3ACC" w:rsidRDefault="007B3ACC" w:rsidP="007B3ACC">
      <w:pPr>
        <w:spacing w:after="0" w:line="360" w:lineRule="atLeast"/>
        <w:outlineLvl w:val="1"/>
        <w:rPr>
          <w:rFonts w:ascii="Arial" w:eastAsia="Times New Roman" w:hAnsi="Arial" w:cs="Arial"/>
          <w:color w:val="000000"/>
          <w:kern w:val="0"/>
          <w:sz w:val="52"/>
          <w:szCs w:val="52"/>
          <w:lang w:eastAsia="en-GB"/>
          <w14:ligatures w14:val="none"/>
        </w:rPr>
      </w:pPr>
      <w:r w:rsidRPr="007B3ACC">
        <w:rPr>
          <w:rFonts w:ascii="Arial" w:eastAsia="Times New Roman" w:hAnsi="Arial" w:cs="Arial"/>
          <w:color w:val="000000"/>
          <w:kern w:val="0"/>
          <w:sz w:val="52"/>
          <w:szCs w:val="52"/>
          <w:lang w:eastAsia="en-GB"/>
          <w14:ligatures w14:val="none"/>
        </w:rPr>
        <w:t>References</w:t>
      </w:r>
    </w:p>
    <w:p w14:paraId="0ED4363A"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Ashcroft, J. (2017). </w:t>
      </w:r>
      <w:r w:rsidRPr="007B3ACC">
        <w:rPr>
          <w:rFonts w:ascii="Arial" w:eastAsia="Times New Roman" w:hAnsi="Arial" w:cs="Arial"/>
          <w:i/>
          <w:iCs/>
          <w:color w:val="000000"/>
          <w:kern w:val="0"/>
          <w:lang w:eastAsia="en-GB"/>
          <w14:ligatures w14:val="none"/>
        </w:rPr>
        <w:t>The Relational Lens: Understanding, Measuring, and Managing Stakeholder Relationships</w:t>
      </w:r>
      <w:r w:rsidRPr="007B3ACC">
        <w:rPr>
          <w:rFonts w:ascii="Arial" w:eastAsia="Times New Roman" w:hAnsi="Arial" w:cs="Arial"/>
          <w:color w:val="000000"/>
          <w:kern w:val="0"/>
          <w:lang w:eastAsia="en-GB"/>
          <w14:ligatures w14:val="none"/>
        </w:rPr>
        <w:t>. Cambridge: Cambridge University Press.</w:t>
      </w:r>
    </w:p>
    <w:p w14:paraId="7E31065D"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Accenture (2025). </w:t>
      </w:r>
      <w:r w:rsidRPr="007B3ACC">
        <w:rPr>
          <w:rFonts w:ascii="Arial" w:eastAsia="Times New Roman" w:hAnsi="Arial" w:cs="Arial"/>
          <w:i/>
          <w:iCs/>
          <w:color w:val="000000"/>
          <w:kern w:val="0"/>
          <w:lang w:eastAsia="en-GB"/>
          <w14:ligatures w14:val="none"/>
        </w:rPr>
        <w:t>Global Consumer Loyalty Report 2025</w:t>
      </w:r>
      <w:r w:rsidRPr="007B3ACC">
        <w:rPr>
          <w:rFonts w:ascii="Arial" w:eastAsia="Times New Roman" w:hAnsi="Arial" w:cs="Arial"/>
          <w:color w:val="000000"/>
          <w:kern w:val="0"/>
          <w:lang w:eastAsia="en-GB"/>
          <w14:ligatures w14:val="none"/>
        </w:rPr>
        <w:t>. London: Accenture.</w:t>
      </w:r>
    </w:p>
    <w:p w14:paraId="39CE1FF0"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Christopher, M., Payne, A. and Ballantyne, D. (2013). </w:t>
      </w:r>
      <w:r w:rsidRPr="007B3ACC">
        <w:rPr>
          <w:rFonts w:ascii="Arial" w:eastAsia="Times New Roman" w:hAnsi="Arial" w:cs="Arial"/>
          <w:i/>
          <w:iCs/>
          <w:color w:val="000000"/>
          <w:kern w:val="0"/>
          <w:lang w:eastAsia="en-GB"/>
          <w14:ligatures w14:val="none"/>
        </w:rPr>
        <w:t>Relationship Marketing: Creating Stakeholder Value</w:t>
      </w:r>
      <w:r w:rsidRPr="007B3ACC">
        <w:rPr>
          <w:rFonts w:ascii="Arial" w:eastAsia="Times New Roman" w:hAnsi="Arial" w:cs="Arial"/>
          <w:color w:val="000000"/>
          <w:kern w:val="0"/>
          <w:lang w:eastAsia="en-GB"/>
          <w14:ligatures w14:val="none"/>
        </w:rPr>
        <w:t>. 3rd ed. London: Taylor &amp; Francis.</w:t>
      </w:r>
    </w:p>
    <w:p w14:paraId="33AC014C"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CIPD (2025). </w:t>
      </w:r>
      <w:r w:rsidRPr="007B3ACC">
        <w:rPr>
          <w:rFonts w:ascii="Arial" w:eastAsia="Times New Roman" w:hAnsi="Arial" w:cs="Arial"/>
          <w:i/>
          <w:iCs/>
          <w:color w:val="000000"/>
          <w:kern w:val="0"/>
          <w:lang w:eastAsia="en-GB"/>
          <w14:ligatures w14:val="none"/>
        </w:rPr>
        <w:t>Stakeholder Engagement and Project Success</w:t>
      </w:r>
      <w:r w:rsidRPr="007B3ACC">
        <w:rPr>
          <w:rFonts w:ascii="Arial" w:eastAsia="Times New Roman" w:hAnsi="Arial" w:cs="Arial"/>
          <w:color w:val="000000"/>
          <w:kern w:val="0"/>
          <w:lang w:eastAsia="en-GB"/>
          <w14:ligatures w14:val="none"/>
        </w:rPr>
        <w:t>. London: Chartered Institute of Personnel and Development.</w:t>
      </w:r>
    </w:p>
    <w:p w14:paraId="68BA828B"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Freeman, R.E. (1984). </w:t>
      </w:r>
      <w:r w:rsidRPr="007B3ACC">
        <w:rPr>
          <w:rFonts w:ascii="Arial" w:eastAsia="Times New Roman" w:hAnsi="Arial" w:cs="Arial"/>
          <w:i/>
          <w:iCs/>
          <w:color w:val="000000"/>
          <w:kern w:val="0"/>
          <w:lang w:eastAsia="en-GB"/>
          <w14:ligatures w14:val="none"/>
        </w:rPr>
        <w:t>Strategic Management: A Stakeholder Approach</w:t>
      </w:r>
      <w:r w:rsidRPr="007B3ACC">
        <w:rPr>
          <w:rFonts w:ascii="Arial" w:eastAsia="Times New Roman" w:hAnsi="Arial" w:cs="Arial"/>
          <w:color w:val="000000"/>
          <w:kern w:val="0"/>
          <w:lang w:eastAsia="en-GB"/>
          <w14:ligatures w14:val="none"/>
        </w:rPr>
        <w:t>. Boston: Pitman.</w:t>
      </w:r>
    </w:p>
    <w:p w14:paraId="562F08B4"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Johnson, G., Whittington, R., Scholes, K., Angwin, D. and Regnér, P. (2023). </w:t>
      </w:r>
      <w:r w:rsidRPr="007B3ACC">
        <w:rPr>
          <w:rFonts w:ascii="Arial" w:eastAsia="Times New Roman" w:hAnsi="Arial" w:cs="Arial"/>
          <w:i/>
          <w:iCs/>
          <w:color w:val="000000"/>
          <w:kern w:val="0"/>
          <w:lang w:eastAsia="en-GB"/>
          <w14:ligatures w14:val="none"/>
        </w:rPr>
        <w:t>Exploring Corporate Strategy</w:t>
      </w:r>
      <w:r w:rsidRPr="007B3ACC">
        <w:rPr>
          <w:rFonts w:ascii="Arial" w:eastAsia="Times New Roman" w:hAnsi="Arial" w:cs="Arial"/>
          <w:color w:val="000000"/>
          <w:kern w:val="0"/>
          <w:lang w:eastAsia="en-GB"/>
          <w14:ligatures w14:val="none"/>
        </w:rPr>
        <w:t>. 12th ed. Harlow: Pearson.</w:t>
      </w:r>
    </w:p>
    <w:p w14:paraId="656DC50B" w14:textId="77777777"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Mitchell, R.K., Agle, B.R. and Wood, D.J. (1997). ‘Toward a theory of stakeholder identification and salience: defining the principle of who and what really counts’, </w:t>
      </w:r>
      <w:r w:rsidRPr="007B3ACC">
        <w:rPr>
          <w:rFonts w:ascii="Arial" w:eastAsia="Times New Roman" w:hAnsi="Arial" w:cs="Arial"/>
          <w:i/>
          <w:iCs/>
          <w:color w:val="000000"/>
          <w:kern w:val="0"/>
          <w:lang w:eastAsia="en-GB"/>
          <w14:ligatures w14:val="none"/>
        </w:rPr>
        <w:t>Academy of Management Review</w:t>
      </w:r>
      <w:r w:rsidRPr="007B3ACC">
        <w:rPr>
          <w:rFonts w:ascii="Arial" w:eastAsia="Times New Roman" w:hAnsi="Arial" w:cs="Arial"/>
          <w:color w:val="000000"/>
          <w:kern w:val="0"/>
          <w:lang w:eastAsia="en-GB"/>
          <w14:ligatures w14:val="none"/>
        </w:rPr>
        <w:t>, 22(4), pp. 853–886.</w:t>
      </w:r>
    </w:p>
    <w:p w14:paraId="3F2D272A" w14:textId="23D9EE8B" w:rsidR="007B3ACC" w:rsidRPr="007B3ACC" w:rsidRDefault="007B3ACC" w:rsidP="007B3ACC">
      <w:pPr>
        <w:spacing w:after="0" w:line="360" w:lineRule="atLeast"/>
        <w:rPr>
          <w:rFonts w:ascii="Arial" w:eastAsia="Times New Roman" w:hAnsi="Arial" w:cs="Arial"/>
          <w:color w:val="000000"/>
          <w:kern w:val="0"/>
          <w:lang w:eastAsia="en-GB"/>
          <w14:ligatures w14:val="none"/>
        </w:rPr>
      </w:pPr>
      <w:r w:rsidRPr="007B3ACC">
        <w:rPr>
          <w:rFonts w:ascii="Arial" w:eastAsia="Times New Roman" w:hAnsi="Arial" w:cs="Arial"/>
          <w:color w:val="000000"/>
          <w:kern w:val="0"/>
          <w:lang w:eastAsia="en-GB"/>
          <w14:ligatures w14:val="none"/>
        </w:rPr>
        <w:t>NielsenIQ (2026). </w:t>
      </w:r>
      <w:r w:rsidRPr="007B3ACC">
        <w:rPr>
          <w:rFonts w:ascii="Arial" w:eastAsia="Times New Roman" w:hAnsi="Arial" w:cs="Arial"/>
          <w:i/>
          <w:iCs/>
          <w:color w:val="000000"/>
          <w:kern w:val="0"/>
          <w:lang w:eastAsia="en-GB"/>
          <w14:ligatures w14:val="none"/>
        </w:rPr>
        <w:t>Global Consum</w:t>
      </w:r>
      <w:r>
        <w:rPr>
          <w:rStyle w:val="Emphasis"/>
          <w:rFonts w:ascii="Arial" w:hAnsi="Arial" w:cs="Arial"/>
          <w:color w:val="000000"/>
        </w:rPr>
        <w:t>er Trust Survey 2026</w:t>
      </w:r>
      <w:r>
        <w:rPr>
          <w:rFonts w:ascii="-webkit-standard" w:hAnsi="-webkit-standard"/>
          <w:color w:val="000000"/>
          <w:sz w:val="27"/>
          <w:szCs w:val="27"/>
        </w:rPr>
        <w:t>. Chicago: NielsenIQ.</w:t>
      </w:r>
    </w:p>
    <w:p w14:paraId="2D53A19E" w14:textId="77777777" w:rsidR="007B3ACC" w:rsidRPr="002B6191" w:rsidRDefault="007B3ACC" w:rsidP="007F6684">
      <w:pPr>
        <w:rPr>
          <w:sz w:val="52"/>
          <w:szCs w:val="52"/>
        </w:rPr>
      </w:pPr>
    </w:p>
    <w:sectPr w:rsidR="007B3ACC" w:rsidRPr="002B61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065F"/>
    <w:multiLevelType w:val="multilevel"/>
    <w:tmpl w:val="35B82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C2A3E"/>
    <w:multiLevelType w:val="multilevel"/>
    <w:tmpl w:val="7946E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51064"/>
    <w:multiLevelType w:val="multilevel"/>
    <w:tmpl w:val="056E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0A70A7"/>
    <w:multiLevelType w:val="multilevel"/>
    <w:tmpl w:val="01F8C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B936D6"/>
    <w:multiLevelType w:val="multilevel"/>
    <w:tmpl w:val="F8F46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6F23D2"/>
    <w:multiLevelType w:val="multilevel"/>
    <w:tmpl w:val="D2DA9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5363F1"/>
    <w:multiLevelType w:val="multilevel"/>
    <w:tmpl w:val="E78ED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8904C6"/>
    <w:multiLevelType w:val="multilevel"/>
    <w:tmpl w:val="AD04E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F81F1E"/>
    <w:multiLevelType w:val="multilevel"/>
    <w:tmpl w:val="F060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B41305"/>
    <w:multiLevelType w:val="multilevel"/>
    <w:tmpl w:val="B24A2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C04DAD"/>
    <w:multiLevelType w:val="multilevel"/>
    <w:tmpl w:val="758883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5954A6"/>
    <w:multiLevelType w:val="multilevel"/>
    <w:tmpl w:val="7A5E0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144B70"/>
    <w:multiLevelType w:val="multilevel"/>
    <w:tmpl w:val="84787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172236"/>
    <w:multiLevelType w:val="multilevel"/>
    <w:tmpl w:val="36608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F749A0"/>
    <w:multiLevelType w:val="multilevel"/>
    <w:tmpl w:val="718C6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001801"/>
    <w:multiLevelType w:val="multilevel"/>
    <w:tmpl w:val="479EF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183F49"/>
    <w:multiLevelType w:val="multilevel"/>
    <w:tmpl w:val="3D988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665FB8"/>
    <w:multiLevelType w:val="multilevel"/>
    <w:tmpl w:val="E3001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1616DC"/>
    <w:multiLevelType w:val="multilevel"/>
    <w:tmpl w:val="46D61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5A5C0B"/>
    <w:multiLevelType w:val="multilevel"/>
    <w:tmpl w:val="CB52C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E025EF"/>
    <w:multiLevelType w:val="multilevel"/>
    <w:tmpl w:val="FA12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EF2185"/>
    <w:multiLevelType w:val="multilevel"/>
    <w:tmpl w:val="5D5AC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170F52"/>
    <w:multiLevelType w:val="multilevel"/>
    <w:tmpl w:val="DA208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58779E"/>
    <w:multiLevelType w:val="multilevel"/>
    <w:tmpl w:val="8D8E1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A673E3"/>
    <w:multiLevelType w:val="multilevel"/>
    <w:tmpl w:val="316C5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AC75F3"/>
    <w:multiLevelType w:val="multilevel"/>
    <w:tmpl w:val="5D7A9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0D903F3"/>
    <w:multiLevelType w:val="multilevel"/>
    <w:tmpl w:val="7B061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2C2730"/>
    <w:multiLevelType w:val="multilevel"/>
    <w:tmpl w:val="28D4A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3C4055"/>
    <w:multiLevelType w:val="multilevel"/>
    <w:tmpl w:val="7DA49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292AA6"/>
    <w:multiLevelType w:val="multilevel"/>
    <w:tmpl w:val="ABDED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35773C"/>
    <w:multiLevelType w:val="multilevel"/>
    <w:tmpl w:val="3836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5909317">
    <w:abstractNumId w:val="16"/>
  </w:num>
  <w:num w:numId="2" w16cid:durableId="1426027604">
    <w:abstractNumId w:val="6"/>
  </w:num>
  <w:num w:numId="3" w16cid:durableId="1569413406">
    <w:abstractNumId w:val="1"/>
  </w:num>
  <w:num w:numId="4" w16cid:durableId="1983340132">
    <w:abstractNumId w:val="7"/>
  </w:num>
  <w:num w:numId="5" w16cid:durableId="1500341751">
    <w:abstractNumId w:val="2"/>
  </w:num>
  <w:num w:numId="6" w16cid:durableId="1153106269">
    <w:abstractNumId w:val="10"/>
  </w:num>
  <w:num w:numId="7" w16cid:durableId="1603219112">
    <w:abstractNumId w:val="24"/>
  </w:num>
  <w:num w:numId="8" w16cid:durableId="337345495">
    <w:abstractNumId w:val="9"/>
  </w:num>
  <w:num w:numId="9" w16cid:durableId="1920944906">
    <w:abstractNumId w:val="8"/>
  </w:num>
  <w:num w:numId="10" w16cid:durableId="210845532">
    <w:abstractNumId w:val="30"/>
  </w:num>
  <w:num w:numId="11" w16cid:durableId="1881555066">
    <w:abstractNumId w:val="29"/>
  </w:num>
  <w:num w:numId="12" w16cid:durableId="1076826332">
    <w:abstractNumId w:val="19"/>
  </w:num>
  <w:num w:numId="13" w16cid:durableId="733895348">
    <w:abstractNumId w:val="11"/>
  </w:num>
  <w:num w:numId="14" w16cid:durableId="1026179147">
    <w:abstractNumId w:val="26"/>
  </w:num>
  <w:num w:numId="15" w16cid:durableId="1324700632">
    <w:abstractNumId w:val="4"/>
  </w:num>
  <w:num w:numId="16" w16cid:durableId="1628126475">
    <w:abstractNumId w:val="14"/>
  </w:num>
  <w:num w:numId="17" w16cid:durableId="1596592064">
    <w:abstractNumId w:val="5"/>
  </w:num>
  <w:num w:numId="18" w16cid:durableId="610554658">
    <w:abstractNumId w:val="20"/>
  </w:num>
  <w:num w:numId="19" w16cid:durableId="593590182">
    <w:abstractNumId w:val="3"/>
  </w:num>
  <w:num w:numId="20" w16cid:durableId="2097052904">
    <w:abstractNumId w:val="22"/>
  </w:num>
  <w:num w:numId="21" w16cid:durableId="1289896029">
    <w:abstractNumId w:val="12"/>
  </w:num>
  <w:num w:numId="22" w16cid:durableId="56246606">
    <w:abstractNumId w:val="27"/>
  </w:num>
  <w:num w:numId="23" w16cid:durableId="1133521798">
    <w:abstractNumId w:val="13"/>
  </w:num>
  <w:num w:numId="24" w16cid:durableId="1559239373">
    <w:abstractNumId w:val="21"/>
  </w:num>
  <w:num w:numId="25" w16cid:durableId="1363939980">
    <w:abstractNumId w:val="23"/>
  </w:num>
  <w:num w:numId="26" w16cid:durableId="1154368516">
    <w:abstractNumId w:val="17"/>
  </w:num>
  <w:num w:numId="27" w16cid:durableId="475297824">
    <w:abstractNumId w:val="18"/>
  </w:num>
  <w:num w:numId="28" w16cid:durableId="1693991462">
    <w:abstractNumId w:val="15"/>
  </w:num>
  <w:num w:numId="29" w16cid:durableId="1835022779">
    <w:abstractNumId w:val="28"/>
  </w:num>
  <w:num w:numId="30" w16cid:durableId="82801977">
    <w:abstractNumId w:val="0"/>
  </w:num>
  <w:num w:numId="31" w16cid:durableId="41867579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684"/>
    <w:rsid w:val="00222BBF"/>
    <w:rsid w:val="002B6191"/>
    <w:rsid w:val="002D5B17"/>
    <w:rsid w:val="003D4977"/>
    <w:rsid w:val="005738D1"/>
    <w:rsid w:val="006076D6"/>
    <w:rsid w:val="006D37C8"/>
    <w:rsid w:val="00770EC3"/>
    <w:rsid w:val="00772122"/>
    <w:rsid w:val="007B3ACC"/>
    <w:rsid w:val="007E7AF4"/>
    <w:rsid w:val="007F6684"/>
    <w:rsid w:val="00855DBA"/>
    <w:rsid w:val="0087407A"/>
    <w:rsid w:val="00A01D3D"/>
    <w:rsid w:val="00AC65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D1472"/>
  <w15:chartTrackingRefBased/>
  <w15:docId w15:val="{D4E0D5BB-1714-EA4E-8F11-85402B68B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66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F66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F66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F66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66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66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66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66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66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66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F66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F66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F66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66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66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66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66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6684"/>
    <w:rPr>
      <w:rFonts w:eastAsiaTheme="majorEastAsia" w:cstheme="majorBidi"/>
      <w:color w:val="272727" w:themeColor="text1" w:themeTint="D8"/>
    </w:rPr>
  </w:style>
  <w:style w:type="paragraph" w:styleId="Title">
    <w:name w:val="Title"/>
    <w:basedOn w:val="Normal"/>
    <w:next w:val="Normal"/>
    <w:link w:val="TitleChar"/>
    <w:uiPriority w:val="10"/>
    <w:qFormat/>
    <w:rsid w:val="007F66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66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66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66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6684"/>
    <w:pPr>
      <w:spacing w:before="160"/>
      <w:jc w:val="center"/>
    </w:pPr>
    <w:rPr>
      <w:i/>
      <w:iCs/>
      <w:color w:val="404040" w:themeColor="text1" w:themeTint="BF"/>
    </w:rPr>
  </w:style>
  <w:style w:type="character" w:customStyle="1" w:styleId="QuoteChar">
    <w:name w:val="Quote Char"/>
    <w:basedOn w:val="DefaultParagraphFont"/>
    <w:link w:val="Quote"/>
    <w:uiPriority w:val="29"/>
    <w:rsid w:val="007F6684"/>
    <w:rPr>
      <w:i/>
      <w:iCs/>
      <w:color w:val="404040" w:themeColor="text1" w:themeTint="BF"/>
    </w:rPr>
  </w:style>
  <w:style w:type="paragraph" w:styleId="ListParagraph">
    <w:name w:val="List Paragraph"/>
    <w:basedOn w:val="Normal"/>
    <w:uiPriority w:val="34"/>
    <w:qFormat/>
    <w:rsid w:val="007F6684"/>
    <w:pPr>
      <w:ind w:left="720"/>
      <w:contextualSpacing/>
    </w:pPr>
  </w:style>
  <w:style w:type="character" w:styleId="IntenseEmphasis">
    <w:name w:val="Intense Emphasis"/>
    <w:basedOn w:val="DefaultParagraphFont"/>
    <w:uiPriority w:val="21"/>
    <w:qFormat/>
    <w:rsid w:val="007F6684"/>
    <w:rPr>
      <w:i/>
      <w:iCs/>
      <w:color w:val="0F4761" w:themeColor="accent1" w:themeShade="BF"/>
    </w:rPr>
  </w:style>
  <w:style w:type="paragraph" w:styleId="IntenseQuote">
    <w:name w:val="Intense Quote"/>
    <w:basedOn w:val="Normal"/>
    <w:next w:val="Normal"/>
    <w:link w:val="IntenseQuoteChar"/>
    <w:uiPriority w:val="30"/>
    <w:qFormat/>
    <w:rsid w:val="007F66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6684"/>
    <w:rPr>
      <w:i/>
      <w:iCs/>
      <w:color w:val="0F4761" w:themeColor="accent1" w:themeShade="BF"/>
    </w:rPr>
  </w:style>
  <w:style w:type="character" w:styleId="IntenseReference">
    <w:name w:val="Intense Reference"/>
    <w:basedOn w:val="DefaultParagraphFont"/>
    <w:uiPriority w:val="32"/>
    <w:qFormat/>
    <w:rsid w:val="007F6684"/>
    <w:rPr>
      <w:b/>
      <w:bCs/>
      <w:smallCaps/>
      <w:color w:val="0F4761" w:themeColor="accent1" w:themeShade="BF"/>
      <w:spacing w:val="5"/>
    </w:rPr>
  </w:style>
  <w:style w:type="character" w:customStyle="1" w:styleId="apple-converted-space">
    <w:name w:val="apple-converted-space"/>
    <w:basedOn w:val="DefaultParagraphFont"/>
    <w:rsid w:val="007F6684"/>
  </w:style>
  <w:style w:type="character" w:styleId="Emphasis">
    <w:name w:val="Emphasis"/>
    <w:basedOn w:val="DefaultParagraphFont"/>
    <w:uiPriority w:val="20"/>
    <w:qFormat/>
    <w:rsid w:val="007F6684"/>
    <w:rPr>
      <w:i/>
      <w:iCs/>
    </w:rPr>
  </w:style>
  <w:style w:type="character" w:styleId="Strong">
    <w:name w:val="Strong"/>
    <w:basedOn w:val="DefaultParagraphFont"/>
    <w:uiPriority w:val="22"/>
    <w:qFormat/>
    <w:rsid w:val="007F66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13</Pages>
  <Words>3473</Words>
  <Characters>19798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Rokeya Bushra Chowdhury (2409435)</dc:creator>
  <cp:keywords/>
  <dc:description/>
  <cp:lastModifiedBy>Rokeya Bushra Chowdhury (2409435)</cp:lastModifiedBy>
  <cp:revision>7</cp:revision>
  <dcterms:created xsi:type="dcterms:W3CDTF">2026-08-08T12:53:00Z</dcterms:created>
  <dcterms:modified xsi:type="dcterms:W3CDTF">2026-08-09T18:55:00Z</dcterms:modified>
</cp:coreProperties>
</file>