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rFonts w:ascii="Times New Roman" w:cs="Times New Roman" w:eastAsia="Times New Roman" w:hAnsi="Times New Roman"/>
          <w:b w:val="1"/>
          <w:color w:val="373a3c"/>
          <w:sz w:val="24"/>
          <w:szCs w:val="24"/>
          <w:highlight w:val="white"/>
        </w:rPr>
      </w:pPr>
      <w:r w:rsidDel="00000000" w:rsidR="00000000" w:rsidRPr="00000000">
        <w:rPr>
          <w:rtl w:val="0"/>
        </w:rPr>
      </w:r>
    </w:p>
    <w:p w:rsidR="00000000" w:rsidDel="00000000" w:rsidP="00000000" w:rsidRDefault="00000000" w:rsidRPr="00000000" w14:paraId="0000000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0"/>
          <w:smallCaps w:val="0"/>
          <w:color w:val="373a3c"/>
          <w:sz w:val="24"/>
          <w:szCs w:val="24"/>
          <w:highlight w:val="white"/>
          <w:rtl w:val="0"/>
        </w:rPr>
        <w:t xml:space="preserve">Analyse the following passage from the Mabinogi (in approximately 1,000 words). In your commentary you should consider a range of factors, such as the particular significance of this passage, its context within the tale, style, characterization, themes, literary motifs etc.</w:t>
      </w:r>
      <w:r w:rsidDel="00000000" w:rsidR="00000000" w:rsidRPr="00000000">
        <w:rPr>
          <w:rtl w:val="0"/>
        </w:rPr>
      </w:r>
    </w:p>
    <w:p w:rsidR="00000000" w:rsidDel="00000000" w:rsidP="00000000" w:rsidRDefault="00000000" w:rsidRPr="00000000" w14:paraId="00000003">
      <w:pPr>
        <w:spacing w:line="480" w:lineRule="auto"/>
        <w:rPr>
          <w:rFonts w:ascii="Times New Roman" w:cs="Times New Roman" w:eastAsia="Times New Roman" w:hAnsi="Times New Roman"/>
          <w:sz w:val="24"/>
          <w:szCs w:val="24"/>
        </w:rPr>
      </w:pPr>
      <w:bookmarkStart w:colFirst="0" w:colLast="0" w:name="_gjdgxs" w:id="0"/>
      <w:bookmarkEnd w:id="0"/>
      <w:r w:rsidDel="00000000" w:rsidR="00000000" w:rsidRPr="00000000">
        <w:rPr>
          <w:rtl w:val="0"/>
        </w:rPr>
      </w:r>
    </w:p>
    <w:p w:rsidR="00000000" w:rsidDel="00000000" w:rsidP="00000000" w:rsidRDefault="00000000" w:rsidRPr="00000000" w14:paraId="0000000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passage discussed here is from the Second Branch of the Mabinogi, which details Branwen’s marriage to Matholwch and Efnysien’s anger at not having been consulted. Prior to this passage, Bendigeidfran learns of Branwen’s mistreatment and makes a dramatic arrival in Ireland to avenge her. </w:t>
      </w:r>
    </w:p>
    <w:p w:rsidR="00000000" w:rsidDel="00000000" w:rsidP="00000000" w:rsidRDefault="00000000" w:rsidRPr="00000000" w14:paraId="0000000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passage describes the decision to build a house for Bendigeidfran and the events that follow: Bendigeidfran is invited to a feast inside, where, unbeknownst to him, Irish soldiers wait, ready to attack. Before they can do so, Efnysien kills them. This scene is significant in the Second Branch: it marks a point of no return in the deteriorating relationship between Ireland and Britain, and signifies a breakdown of many years’ attempts at peace-keeping. </w:t>
      </w:r>
    </w:p>
    <w:p w:rsidR="00000000" w:rsidDel="00000000" w:rsidP="00000000" w:rsidRDefault="00000000" w:rsidRPr="00000000" w14:paraId="0000000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author employs four narrative techniques in their portrayal of character: authorial voice,</w:t>
      </w:r>
      <w:r w:rsidDel="00000000" w:rsidR="00000000" w:rsidRPr="00000000">
        <w:rPr>
          <w:rFonts w:ascii="Times New Roman" w:cs="Times New Roman" w:eastAsia="Times New Roman" w:hAnsi="Times New Roman"/>
          <w:sz w:val="24"/>
          <w:szCs w:val="24"/>
          <w:vertAlign w:val="superscript"/>
        </w:rPr>
        <w:footnoteReference w:customMarkFollows="0" w:id="0"/>
      </w:r>
      <w:r w:rsidDel="00000000" w:rsidR="00000000" w:rsidRPr="00000000">
        <w:rPr>
          <w:rFonts w:ascii="Times New Roman" w:cs="Times New Roman" w:eastAsia="Times New Roman" w:hAnsi="Times New Roman"/>
          <w:sz w:val="24"/>
          <w:szCs w:val="24"/>
          <w:rtl w:val="0"/>
        </w:rPr>
        <w:t xml:space="preserve"> characters’ actions, characters’ interactions, and dialogue.</w:t>
      </w:r>
      <w:r w:rsidDel="00000000" w:rsidR="00000000" w:rsidRPr="00000000">
        <w:rPr>
          <w:rFonts w:ascii="Times New Roman" w:cs="Times New Roman" w:eastAsia="Times New Roman" w:hAnsi="Times New Roman"/>
          <w:sz w:val="24"/>
          <w:szCs w:val="24"/>
          <w:vertAlign w:val="superscript"/>
        </w:rPr>
        <w:footnoteReference w:customMarkFollows="0" w:id="1"/>
      </w:r>
      <w:r w:rsidDel="00000000" w:rsidR="00000000" w:rsidRPr="00000000">
        <w:rPr>
          <w:rFonts w:ascii="Times New Roman" w:cs="Times New Roman" w:eastAsia="Times New Roman" w:hAnsi="Times New Roman"/>
          <w:sz w:val="24"/>
          <w:szCs w:val="24"/>
          <w:rtl w:val="0"/>
        </w:rPr>
        <w:t xml:space="preserve"> All of these techniques are used throughout the Second Branch to portray character.</w:t>
      </w:r>
    </w:p>
    <w:p w:rsidR="00000000" w:rsidDel="00000000" w:rsidP="00000000" w:rsidRDefault="00000000" w:rsidRPr="00000000" w14:paraId="0000000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start, the authorial voice makes Efnysien’s character clear. Whereas his brother Nysien “could make peace between two armies when they were most enraged,” Efnysien would cause “loving brothers to fight.”</w:t>
      </w:r>
      <w:r w:rsidDel="00000000" w:rsidR="00000000" w:rsidRPr="00000000">
        <w:rPr>
          <w:rFonts w:ascii="Times New Roman" w:cs="Times New Roman" w:eastAsia="Times New Roman" w:hAnsi="Times New Roman"/>
          <w:sz w:val="24"/>
          <w:szCs w:val="24"/>
          <w:vertAlign w:val="superscript"/>
        </w:rPr>
        <w:footnoteReference w:customMarkFollows="0" w:id="2"/>
      </w:r>
      <w:r w:rsidDel="00000000" w:rsidR="00000000" w:rsidRPr="00000000">
        <w:rPr>
          <w:rFonts w:ascii="Times New Roman" w:cs="Times New Roman" w:eastAsia="Times New Roman" w:hAnsi="Times New Roman"/>
          <w:sz w:val="24"/>
          <w:szCs w:val="24"/>
          <w:rtl w:val="0"/>
        </w:rPr>
        <w:t xml:space="preserve">  He is perhaps the only character for whom we are told his motivations;</w:t>
      </w:r>
      <w:r w:rsidDel="00000000" w:rsidR="00000000" w:rsidRPr="00000000">
        <w:rPr>
          <w:rFonts w:ascii="Times New Roman" w:cs="Times New Roman" w:eastAsia="Times New Roman" w:hAnsi="Times New Roman"/>
          <w:sz w:val="24"/>
          <w:szCs w:val="24"/>
          <w:vertAlign w:val="superscript"/>
        </w:rPr>
        <w:footnoteReference w:customMarkFollows="0" w:id="3"/>
      </w:r>
      <w:r w:rsidDel="00000000" w:rsidR="00000000" w:rsidRPr="00000000">
        <w:rPr>
          <w:rFonts w:ascii="Times New Roman" w:cs="Times New Roman" w:eastAsia="Times New Roman" w:hAnsi="Times New Roman"/>
          <w:sz w:val="24"/>
          <w:szCs w:val="24"/>
          <w:rtl w:val="0"/>
        </w:rPr>
        <w:t xml:space="preserve"> he is offended that his sister, Branwen, has been married to Matholwch without his knowledge or consent.</w:t>
      </w:r>
    </w:p>
    <w:p w:rsidR="00000000" w:rsidDel="00000000" w:rsidP="00000000" w:rsidRDefault="00000000" w:rsidRPr="00000000" w14:paraId="0000000B">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Dialogue, action, and interaction help the reader understand Efnysien’s character. He is clearly a central character, and his actions are described vividly and evocatively so as to provoke a visceral reaction in the audience. Similarly, there is a contradiction between his words and his actions/interactions. Both the characters and the audience know he is not naive to the true contents of the flour-bags, and his violence in comparison to his casual dialogue creates a disconcerting effect. His englyn at the end suggests his enjoyment, and even the authorial voice describes this as a game to him.</w:t>
      </w:r>
      <w:r w:rsidDel="00000000" w:rsidR="00000000" w:rsidRPr="00000000">
        <w:rPr>
          <w:rFonts w:ascii="Times New Roman" w:cs="Times New Roman" w:eastAsia="Times New Roman" w:hAnsi="Times New Roman"/>
          <w:sz w:val="24"/>
          <w:szCs w:val="24"/>
          <w:vertAlign w:val="superscript"/>
        </w:rPr>
        <w:footnoteReference w:customMarkFollows="0" w:id="4"/>
      </w:r>
      <w:r w:rsidDel="00000000" w:rsidR="00000000" w:rsidRPr="00000000">
        <w:rPr>
          <w:rFonts w:ascii="Times New Roman" w:cs="Times New Roman" w:eastAsia="Times New Roman" w:hAnsi="Times New Roman"/>
          <w:sz w:val="24"/>
          <w:szCs w:val="24"/>
          <w:rtl w:val="0"/>
        </w:rPr>
        <w:t xml:space="preserve"> From this, it is clear that the author intends to portray him as cruel, barbaric, and even psychopathic. </w:t>
      </w:r>
    </w:p>
    <w:p w:rsidR="00000000" w:rsidDel="00000000" w:rsidP="00000000" w:rsidRDefault="00000000" w:rsidRPr="00000000" w14:paraId="0000000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Efnysien’s play on words in his englyn (using words to mean both ‘flour’ and ‘flower,’ thus implying ‘hero/champion’)</w:t>
      </w:r>
      <w:r w:rsidDel="00000000" w:rsidR="00000000" w:rsidRPr="00000000">
        <w:rPr>
          <w:rFonts w:ascii="Times New Roman" w:cs="Times New Roman" w:eastAsia="Times New Roman" w:hAnsi="Times New Roman"/>
          <w:sz w:val="24"/>
          <w:szCs w:val="24"/>
          <w:vertAlign w:val="superscript"/>
        </w:rPr>
        <w:footnoteReference w:customMarkFollows="0" w:id="5"/>
      </w:r>
      <w:r w:rsidDel="00000000" w:rsidR="00000000" w:rsidRPr="00000000">
        <w:rPr>
          <w:rFonts w:ascii="Times New Roman" w:cs="Times New Roman" w:eastAsia="Times New Roman" w:hAnsi="Times New Roman"/>
          <w:sz w:val="24"/>
          <w:szCs w:val="24"/>
          <w:rtl w:val="0"/>
        </w:rPr>
        <w:t xml:space="preserve"> show not only his knowledge of the true contents of the flour-bags, but that he is consciously destroying Ireland’s warriors, which ultimately results in them being left with no-one but “five pregnant women.”</w:t>
      </w:r>
      <w:r w:rsidDel="00000000" w:rsidR="00000000" w:rsidRPr="00000000">
        <w:rPr>
          <w:rFonts w:ascii="Times New Roman" w:cs="Times New Roman" w:eastAsia="Times New Roman" w:hAnsi="Times New Roman"/>
          <w:sz w:val="24"/>
          <w:szCs w:val="24"/>
          <w:vertAlign w:val="superscript"/>
        </w:rPr>
        <w:footnoteReference w:customMarkFollows="0" w:id="6"/>
      </w:r>
      <w:r w:rsidDel="00000000" w:rsidR="00000000" w:rsidRPr="00000000">
        <w:rPr>
          <w:rtl w:val="0"/>
        </w:rPr>
      </w:r>
    </w:p>
    <w:p w:rsidR="00000000" w:rsidDel="00000000" w:rsidP="00000000" w:rsidRDefault="00000000" w:rsidRPr="00000000" w14:paraId="0000000F">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a clear contrast between Matholwch and Efnysien: while Efnysien is an active player in the story, Matholwch is mainly shown in this passage through dialogue, which makes him appear more passive. He seems insecure and easily manipulated from the start</w:t>
      </w:r>
      <w:r w:rsidDel="00000000" w:rsidR="00000000" w:rsidRPr="00000000">
        <w:rPr>
          <w:rFonts w:ascii="Times New Roman" w:cs="Times New Roman" w:eastAsia="Times New Roman" w:hAnsi="Times New Roman"/>
          <w:sz w:val="24"/>
          <w:szCs w:val="24"/>
          <w:vertAlign w:val="superscript"/>
        </w:rPr>
        <w:footnoteReference w:customMarkFollows="0" w:id="7"/>
      </w:r>
      <w:r w:rsidDel="00000000" w:rsidR="00000000" w:rsidRPr="00000000">
        <w:rPr>
          <w:rFonts w:ascii="Times New Roman" w:cs="Times New Roman" w:eastAsia="Times New Roman" w:hAnsi="Times New Roman"/>
          <w:sz w:val="24"/>
          <w:szCs w:val="24"/>
          <w:rtl w:val="0"/>
        </w:rPr>
        <w:t xml:space="preserve"> and his men clearly command him, not vice versa, which serves to reinforce his weakness and indecisiveness. This contrast further emphasises Efnysien’s character: Efnysien does not seek advice, and is driven by his own self-assurance and emotions, which leads him to act in apparently thoughtless and volatile ways. In the end, both these character weaknesses lead to bloodshed: Efnysien through his barbarity and Matholwch through his weakness. These portrayals of character enable the author to create a passage that is tense and foreboding.</w:t>
      </w:r>
    </w:p>
    <w:p w:rsidR="00000000" w:rsidDel="00000000" w:rsidP="00000000" w:rsidRDefault="00000000" w:rsidRPr="00000000" w14:paraId="00000011">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Foreshadowing is another technique used to create tension. The authorial voice reveals that Branwen fears both countries being laid to waste, which is something that later comes to pass. This is effective in creating an atmosphere of deceitfulness and mistrust, building tension and contributing to the sense of foreboding. Furthermore, this foreshadowing may act as a cue to the audience and storyteller, assisting in remembering the narrative of the story and thus helping it survive in oral tradition.</w:t>
      </w:r>
      <w:r w:rsidDel="00000000" w:rsidR="00000000" w:rsidRPr="00000000">
        <w:rPr>
          <w:rFonts w:ascii="Times New Roman" w:cs="Times New Roman" w:eastAsia="Times New Roman" w:hAnsi="Times New Roman"/>
          <w:sz w:val="24"/>
          <w:szCs w:val="24"/>
          <w:vertAlign w:val="superscript"/>
        </w:rPr>
        <w:footnoteReference w:customMarkFollows="0" w:id="8"/>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Mabinogi’s roots in oral tradition can also be seen in its relatively heavy use of dialogue.</w:t>
      </w:r>
      <w:r w:rsidDel="00000000" w:rsidR="00000000" w:rsidRPr="00000000">
        <w:rPr>
          <w:rFonts w:ascii="Times New Roman" w:cs="Times New Roman" w:eastAsia="Times New Roman" w:hAnsi="Times New Roman"/>
          <w:sz w:val="24"/>
          <w:szCs w:val="24"/>
          <w:vertAlign w:val="superscript"/>
        </w:rPr>
        <w:footnoteReference w:customMarkFollows="0" w:id="9"/>
      </w:r>
      <w:r w:rsidDel="00000000" w:rsidR="00000000" w:rsidRPr="00000000">
        <w:rPr>
          <w:rFonts w:ascii="Times New Roman" w:cs="Times New Roman" w:eastAsia="Times New Roman" w:hAnsi="Times New Roman"/>
          <w:sz w:val="24"/>
          <w:szCs w:val="24"/>
          <w:rtl w:val="0"/>
        </w:rPr>
        <w:t xml:space="preserve"> The majority of medieval audiences were illiterate, which has influenced its narrative style.</w:t>
      </w:r>
      <w:r w:rsidDel="00000000" w:rsidR="00000000" w:rsidRPr="00000000">
        <w:rPr>
          <w:rFonts w:ascii="Times New Roman" w:cs="Times New Roman" w:eastAsia="Times New Roman" w:hAnsi="Times New Roman"/>
          <w:sz w:val="24"/>
          <w:szCs w:val="24"/>
          <w:vertAlign w:val="superscript"/>
        </w:rPr>
        <w:footnoteReference w:customMarkFollows="0" w:id="10"/>
      </w:r>
      <w:r w:rsidDel="00000000" w:rsidR="00000000" w:rsidRPr="00000000">
        <w:rPr>
          <w:rFonts w:ascii="Times New Roman" w:cs="Times New Roman" w:eastAsia="Times New Roman" w:hAnsi="Times New Roman"/>
          <w:sz w:val="24"/>
          <w:szCs w:val="24"/>
          <w:rtl w:val="0"/>
        </w:rPr>
        <w:t xml:space="preserve"> For example, Efnysien's dialogue in the passage has a formulaic and triadic element to it: three times he asks what is in the bag, to be told three times that it is flour. This helps build tension and suspense, and both modern and medieval audiences anticipate something extraordinary or horrifying happening the third time he asks. This would have been effective in oral storytelling. The repetitive call and answer effect of Efnysien’s question has an almost pantomime-like feel to it, with the repetition encouraging active audience participation.</w:t>
      </w:r>
      <w:r w:rsidDel="00000000" w:rsidR="00000000" w:rsidRPr="00000000">
        <w:rPr>
          <w:rFonts w:ascii="Times New Roman" w:cs="Times New Roman" w:eastAsia="Times New Roman" w:hAnsi="Times New Roman"/>
          <w:sz w:val="24"/>
          <w:szCs w:val="24"/>
          <w:vertAlign w:val="superscript"/>
        </w:rPr>
        <w:footnoteReference w:customMarkFollows="0" w:id="11"/>
      </w:r>
      <w:r w:rsidDel="00000000" w:rsidR="00000000" w:rsidRPr="00000000">
        <w:rPr>
          <w:rFonts w:ascii="Times New Roman" w:cs="Times New Roman" w:eastAsia="Times New Roman" w:hAnsi="Times New Roman"/>
          <w:sz w:val="24"/>
          <w:szCs w:val="24"/>
          <w:rtl w:val="0"/>
        </w:rPr>
        <w:t xml:space="preserve"> As a modern reader, it is easy to envision Efnysien, whose name means “hostile”,</w:t>
      </w:r>
      <w:r w:rsidDel="00000000" w:rsidR="00000000" w:rsidRPr="00000000">
        <w:rPr>
          <w:rFonts w:ascii="Times New Roman" w:cs="Times New Roman" w:eastAsia="Times New Roman" w:hAnsi="Times New Roman"/>
          <w:sz w:val="24"/>
          <w:szCs w:val="24"/>
          <w:vertAlign w:val="superscript"/>
        </w:rPr>
        <w:footnoteReference w:customMarkFollows="0" w:id="12"/>
      </w:r>
      <w:r w:rsidDel="00000000" w:rsidR="00000000" w:rsidRPr="00000000">
        <w:rPr>
          <w:rFonts w:ascii="Times New Roman" w:cs="Times New Roman" w:eastAsia="Times New Roman" w:hAnsi="Times New Roman"/>
          <w:sz w:val="24"/>
          <w:szCs w:val="24"/>
          <w:rtl w:val="0"/>
        </w:rPr>
        <w:t xml:space="preserve"> as a pantomime-esque villain, acting only to cause trouble and destruction so as to drive the action and conflict of the story forward. </w:t>
      </w:r>
    </w:p>
    <w:p w:rsidR="00000000" w:rsidDel="00000000" w:rsidP="00000000" w:rsidRDefault="00000000" w:rsidRPr="00000000" w14:paraId="0000001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passage makes use of various traditional literary motifs, in particular K811.1 (enemies invited to a banquet and killed) and K312 (thieves hide in oil casks)</w:t>
      </w:r>
      <w:r w:rsidDel="00000000" w:rsidR="00000000" w:rsidRPr="00000000">
        <w:rPr>
          <w:rFonts w:ascii="Times New Roman" w:cs="Times New Roman" w:eastAsia="Times New Roman" w:hAnsi="Times New Roman"/>
          <w:sz w:val="24"/>
          <w:szCs w:val="24"/>
          <w:vertAlign w:val="superscript"/>
        </w:rPr>
        <w:footnoteReference w:customMarkFollows="0" w:id="13"/>
      </w:r>
      <w:r w:rsidDel="00000000" w:rsidR="00000000" w:rsidRPr="00000000">
        <w:rPr>
          <w:rFonts w:ascii="Times New Roman" w:cs="Times New Roman" w:eastAsia="Times New Roman" w:hAnsi="Times New Roman"/>
          <w:sz w:val="24"/>
          <w:szCs w:val="24"/>
          <w:rtl w:val="0"/>
        </w:rPr>
        <w:t xml:space="preserve"> which brings to mind classical stories such as that of the Trojan Horse. As well as being reminiscent of the earlier Llasar Llaes Gyfnewid episode, the house motif has parallels in, and may have been influenced by, Irish stories such as </w:t>
      </w:r>
      <w:r w:rsidDel="00000000" w:rsidR="00000000" w:rsidRPr="00000000">
        <w:rPr>
          <w:rFonts w:ascii="Times New Roman" w:cs="Times New Roman" w:eastAsia="Times New Roman" w:hAnsi="Times New Roman"/>
          <w:i w:val="1"/>
          <w:sz w:val="24"/>
          <w:szCs w:val="24"/>
          <w:rtl w:val="0"/>
        </w:rPr>
        <w:t xml:space="preserve">Bricriu's Feast</w:t>
      </w:r>
      <w:r w:rsidDel="00000000" w:rsidR="00000000" w:rsidRPr="00000000">
        <w:rPr>
          <w:rFonts w:ascii="Times New Roman" w:cs="Times New Roman" w:eastAsia="Times New Roman" w:hAnsi="Times New Roman"/>
          <w:sz w:val="24"/>
          <w:szCs w:val="24"/>
          <w:rtl w:val="0"/>
        </w:rPr>
        <w:t xml:space="preserve"> and </w:t>
      </w:r>
      <w:r w:rsidDel="00000000" w:rsidR="00000000" w:rsidRPr="00000000">
        <w:rPr>
          <w:rFonts w:ascii="Times New Roman" w:cs="Times New Roman" w:eastAsia="Times New Roman" w:hAnsi="Times New Roman"/>
          <w:i w:val="1"/>
          <w:sz w:val="24"/>
          <w:szCs w:val="24"/>
          <w:rtl w:val="0"/>
        </w:rPr>
        <w:t xml:space="preserve">The Destruction of Dind Ríg.</w:t>
      </w:r>
      <w:r w:rsidDel="00000000" w:rsidR="00000000" w:rsidRPr="00000000">
        <w:rPr>
          <w:rFonts w:ascii="Times New Roman" w:cs="Times New Roman" w:eastAsia="Times New Roman" w:hAnsi="Times New Roman"/>
          <w:sz w:val="24"/>
          <w:szCs w:val="24"/>
          <w:vertAlign w:val="superscript"/>
        </w:rPr>
        <w:footnoteReference w:customMarkFollows="0" w:id="14"/>
      </w:r>
      <w:r w:rsidDel="00000000" w:rsidR="00000000" w:rsidRPr="00000000">
        <w:rPr>
          <w:rFonts w:ascii="Times New Roman" w:cs="Times New Roman" w:eastAsia="Times New Roman" w:hAnsi="Times New Roman"/>
          <w:sz w:val="24"/>
          <w:szCs w:val="24"/>
          <w:rtl w:val="0"/>
        </w:rPr>
        <w:t xml:space="preserve"> Similarly, other influences have been argued for this Irish element in the story, including Irish political customs and Henry II’s 1171-72 reception in Dublin.</w:t>
      </w:r>
      <w:r w:rsidDel="00000000" w:rsidR="00000000" w:rsidRPr="00000000">
        <w:rPr>
          <w:rFonts w:ascii="Times New Roman" w:cs="Times New Roman" w:eastAsia="Times New Roman" w:hAnsi="Times New Roman"/>
          <w:sz w:val="24"/>
          <w:szCs w:val="24"/>
          <w:vertAlign w:val="superscript"/>
        </w:rPr>
        <w:footnoteReference w:customMarkFollows="0" w:id="15"/>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house motif also ties into the theme of confinement in the passage. As the intention is to trap and kill Bendigeidfran, so too do the Irishmen become trapped inside the flour-bags and killed by Efnysien. Unlike the Irishmen, Bendigeidfran avoids entrapment, echoing the frequent mentions of his inability to be contained, thus reinforcing the power and importance of his character. </w:t>
      </w:r>
    </w:p>
    <w:p w:rsidR="00000000" w:rsidDel="00000000" w:rsidP="00000000" w:rsidRDefault="00000000" w:rsidRPr="00000000" w14:paraId="0000001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also a theme of betrayal and mistrust in the passage. If Matholwch is aware of the ambush plan, he is betraying attempts at peace-keeping; if he is not, he is being betrayed by his own men, who are sabotaging the negotiations. Efnysien is also wary, casting “fierce, ruthless glances”</w:t>
      </w:r>
      <w:r w:rsidDel="00000000" w:rsidR="00000000" w:rsidRPr="00000000">
        <w:rPr>
          <w:rFonts w:ascii="Times New Roman" w:cs="Times New Roman" w:eastAsia="Times New Roman" w:hAnsi="Times New Roman"/>
          <w:sz w:val="24"/>
          <w:szCs w:val="24"/>
          <w:vertAlign w:val="superscript"/>
        </w:rPr>
        <w:footnoteReference w:customMarkFollows="0" w:id="16"/>
      </w:r>
      <w:r w:rsidDel="00000000" w:rsidR="00000000" w:rsidRPr="00000000">
        <w:rPr>
          <w:rFonts w:ascii="Times New Roman" w:cs="Times New Roman" w:eastAsia="Times New Roman" w:hAnsi="Times New Roman"/>
          <w:sz w:val="24"/>
          <w:szCs w:val="24"/>
          <w:rtl w:val="0"/>
        </w:rPr>
        <w:t xml:space="preserve"> around the house. Similarly, although it is clear that the Irishmen intend to attack, their presence could also be interpreted as Irish anticipation of Bendigeidfran betraying Matholwch by attacking first. All of this is effective in maintaining a tense, distrustful mood and creating a narrative world where no character can trust another. </w:t>
      </w:r>
    </w:p>
    <w:p w:rsidR="00000000" w:rsidDel="00000000" w:rsidP="00000000" w:rsidRDefault="00000000" w:rsidRPr="00000000" w14:paraId="0000001B">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this passage is a key scene in the Second Branch. It is a crucial turning point, where peace negotiations give way to open hostility and ultimately lead to immense bloodshed and destruction for both sides. Throughout the passage, a tense atmosphere of deceitfulness and unease is created through the use of foreshadowing, themes of betrayal and confinement, and traditional folkloric motifs. Furthermore, the characters of Efnysien and Matholwch are explored through the authorial voice, dialogue, action, and interaction. All of this contributes to a dramatic and harrowing passage which is effective and entertaining for medieval and modern audiences alike. </w:t>
      </w:r>
    </w:p>
    <w:p w:rsidR="00000000" w:rsidDel="00000000" w:rsidP="00000000" w:rsidRDefault="00000000" w:rsidRPr="00000000" w14:paraId="0000001D">
      <w:pPr>
        <w:spacing w:line="480" w:lineRule="auto"/>
        <w:rPr>
          <w:rFonts w:ascii="Times New Roman" w:cs="Times New Roman" w:eastAsia="Times New Roman" w:hAnsi="Times New Roman"/>
          <w:sz w:val="24"/>
          <w:szCs w:val="24"/>
          <w:highlight w:val="yellow"/>
        </w:rPr>
      </w:pPr>
      <w:r w:rsidDel="00000000" w:rsidR="00000000" w:rsidRPr="00000000">
        <w:br w:type="page"/>
      </w:r>
      <w:r w:rsidDel="00000000" w:rsidR="00000000" w:rsidRPr="00000000">
        <w:rPr>
          <w:rtl w:val="0"/>
        </w:rPr>
      </w:r>
    </w:p>
    <w:p w:rsidR="00000000" w:rsidDel="00000000" w:rsidP="00000000" w:rsidRDefault="00000000" w:rsidRPr="00000000" w14:paraId="0000001E">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Bibliography</w:t>
      </w:r>
    </w:p>
    <w:p w:rsidR="00000000" w:rsidDel="00000000" w:rsidP="00000000" w:rsidRDefault="00000000" w:rsidRPr="00000000" w14:paraId="0000001F">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20">
      <w:pPr>
        <w:shd w:fill="ffffff" w:val="clear"/>
        <w:spacing w:after="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Booth, W.C. 1961. The Rhetoric of Fiction. University of Chicago Press. </w:t>
      </w:r>
    </w:p>
    <w:p w:rsidR="00000000" w:rsidDel="00000000" w:rsidP="00000000" w:rsidRDefault="00000000" w:rsidRPr="00000000" w14:paraId="00000021">
      <w:pPr>
        <w:shd w:fill="ffffff" w:val="clear"/>
        <w:spacing w:after="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Byfield, C.E. 1993. “Character and Conflict in the Four Branches of the Mabinogi.” </w:t>
      </w:r>
      <w:r w:rsidDel="00000000" w:rsidR="00000000" w:rsidRPr="00000000">
        <w:rPr>
          <w:rFonts w:ascii="Times New Roman" w:cs="Times New Roman" w:eastAsia="Times New Roman" w:hAnsi="Times New Roman"/>
          <w:i w:val="1"/>
          <w:sz w:val="24"/>
          <w:szCs w:val="24"/>
          <w:rtl w:val="0"/>
        </w:rPr>
        <w:t xml:space="preserve">Bulletin of the Board of Celtic Studies 40.</w:t>
      </w:r>
      <w:r w:rsidDel="00000000" w:rsidR="00000000" w:rsidRPr="00000000">
        <w:rPr>
          <w:rFonts w:ascii="Times New Roman" w:cs="Times New Roman" w:eastAsia="Times New Roman" w:hAnsi="Times New Roman"/>
          <w:sz w:val="24"/>
          <w:szCs w:val="24"/>
          <w:rtl w:val="0"/>
        </w:rPr>
        <w:t xml:space="preserve"> 51-72.</w:t>
      </w:r>
    </w:p>
    <w:p w:rsidR="00000000" w:rsidDel="00000000" w:rsidP="00000000" w:rsidRDefault="00000000" w:rsidRPr="00000000" w14:paraId="00000022">
      <w:pPr>
        <w:shd w:fill="ffffff" w:val="clear"/>
        <w:spacing w:after="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Davies, S. 2007. </w:t>
      </w:r>
      <w:r w:rsidDel="00000000" w:rsidR="00000000" w:rsidRPr="00000000">
        <w:rPr>
          <w:rFonts w:ascii="Times New Roman" w:cs="Times New Roman" w:eastAsia="Times New Roman" w:hAnsi="Times New Roman"/>
          <w:i w:val="1"/>
          <w:sz w:val="24"/>
          <w:szCs w:val="24"/>
          <w:rtl w:val="0"/>
        </w:rPr>
        <w:t xml:space="preserve">The Mabinogion</w:t>
      </w:r>
      <w:r w:rsidDel="00000000" w:rsidR="00000000" w:rsidRPr="00000000">
        <w:rPr>
          <w:rFonts w:ascii="Times New Roman" w:cs="Times New Roman" w:eastAsia="Times New Roman" w:hAnsi="Times New Roman"/>
          <w:sz w:val="24"/>
          <w:szCs w:val="24"/>
          <w:rtl w:val="0"/>
        </w:rPr>
        <w:t xml:space="preserve">. Oxford University Press.</w:t>
      </w:r>
    </w:p>
    <w:p w:rsidR="00000000" w:rsidDel="00000000" w:rsidP="00000000" w:rsidRDefault="00000000" w:rsidRPr="00000000" w14:paraId="00000023">
      <w:pPr>
        <w:shd w:fill="ffffff" w:val="clear"/>
        <w:spacing w:after="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GPC Online. 2014. [Online] Aberystwyth: University of Wales Centre for Advanced Welsh &amp; Celtic Studies. Available at: http://www.geiriadur.ac.uk [Accessed: 5 November 2019]]</w:t>
      </w:r>
    </w:p>
    <w:p w:rsidR="00000000" w:rsidDel="00000000" w:rsidP="00000000" w:rsidRDefault="00000000" w:rsidRPr="00000000" w14:paraId="00000024">
      <w:pPr>
        <w:shd w:fill="ffffff" w:val="clear"/>
        <w:spacing w:after="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Sims-Williams, P. 1991. “The submission of Irish kings in fact and fiction: Henry II, Bendigeidfran, and the dating of The four branches of the Mabinogi.”</w:t>
      </w:r>
      <w:r w:rsidDel="00000000" w:rsidR="00000000" w:rsidRPr="00000000">
        <w:rPr>
          <w:rFonts w:ascii="Times New Roman" w:cs="Times New Roman" w:eastAsia="Times New Roman" w:hAnsi="Times New Roman"/>
          <w:i w:val="1"/>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Cambridge Medieval Celtic Studies 22</w:t>
      </w:r>
      <w:r w:rsidDel="00000000" w:rsidR="00000000" w:rsidRPr="00000000">
        <w:rPr>
          <w:rFonts w:ascii="Times New Roman" w:cs="Times New Roman" w:eastAsia="Times New Roman" w:hAnsi="Times New Roman"/>
          <w:sz w:val="24"/>
          <w:szCs w:val="24"/>
          <w:rtl w:val="0"/>
        </w:rPr>
        <w:t xml:space="preserve">. 31-61.</w:t>
      </w:r>
      <w:r w:rsidDel="00000000" w:rsidR="00000000" w:rsidRPr="00000000">
        <w:rPr>
          <w:rtl w:val="0"/>
        </w:rPr>
      </w:r>
    </w:p>
    <w:p w:rsidR="00000000" w:rsidDel="00000000" w:rsidP="00000000" w:rsidRDefault="00000000" w:rsidRPr="00000000" w14:paraId="00000025">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Welsh, A. 1988. “The Traditional Narrative Motifs of the Four Branches of the Mabinogi.” </w:t>
      </w:r>
      <w:r w:rsidDel="00000000" w:rsidR="00000000" w:rsidRPr="00000000">
        <w:rPr>
          <w:rFonts w:ascii="Times New Roman" w:cs="Times New Roman" w:eastAsia="Times New Roman" w:hAnsi="Times New Roman"/>
          <w:i w:val="1"/>
          <w:sz w:val="24"/>
          <w:szCs w:val="24"/>
          <w:rtl w:val="0"/>
        </w:rPr>
        <w:t xml:space="preserve">Cambridge Medieval Celtic Studies 15</w:t>
      </w:r>
      <w:r w:rsidDel="00000000" w:rsidR="00000000" w:rsidRPr="00000000">
        <w:rPr>
          <w:rFonts w:ascii="Times New Roman" w:cs="Times New Roman" w:eastAsia="Times New Roman" w:hAnsi="Times New Roman"/>
          <w:sz w:val="24"/>
          <w:szCs w:val="24"/>
          <w:rtl w:val="0"/>
        </w:rPr>
        <w:t xml:space="preserve">. 51-62.</w:t>
      </w:r>
    </w:p>
    <w:p w:rsidR="00000000" w:rsidDel="00000000" w:rsidP="00000000" w:rsidRDefault="00000000" w:rsidRPr="00000000" w14:paraId="00000026">
      <w:pPr>
        <w:spacing w:line="480" w:lineRule="auto"/>
        <w:ind w:left="0" w:firstLine="0"/>
        <w:rPr>
          <w:rFonts w:ascii="Comic Sans MS" w:cs="Comic Sans MS" w:eastAsia="Comic Sans MS" w:hAnsi="Comic Sans MS"/>
        </w:rPr>
      </w:pPr>
      <w:r w:rsidDel="00000000" w:rsidR="00000000" w:rsidRPr="00000000">
        <w:rPr>
          <w:rtl w:val="0"/>
        </w:rPr>
      </w:r>
    </w:p>
    <w:p w:rsidR="00000000" w:rsidDel="00000000" w:rsidP="00000000" w:rsidRDefault="00000000" w:rsidRPr="00000000" w14:paraId="00000027">
      <w:pPr>
        <w:rPr>
          <w:rFonts w:ascii="Comic Sans MS" w:cs="Comic Sans MS" w:eastAsia="Comic Sans MS" w:hAnsi="Comic Sans MS"/>
        </w:rPr>
      </w:pPr>
      <w:r w:rsidDel="00000000" w:rsidR="00000000" w:rsidRPr="00000000">
        <w:rPr>
          <w:rtl w:val="0"/>
        </w:rPr>
      </w:r>
    </w:p>
    <w:p w:rsidR="00000000" w:rsidDel="00000000" w:rsidP="00000000" w:rsidRDefault="00000000" w:rsidRPr="00000000" w14:paraId="00000028">
      <w:pPr>
        <w:rPr>
          <w:rFonts w:ascii="Comic Sans MS" w:cs="Comic Sans MS" w:eastAsia="Comic Sans MS" w:hAnsi="Comic Sans MS"/>
        </w:rPr>
      </w:pPr>
      <w:r w:rsidDel="00000000" w:rsidR="00000000" w:rsidRPr="00000000">
        <w:rPr>
          <w:rtl w:val="0"/>
        </w:rPr>
      </w:r>
    </w:p>
    <w:p w:rsidR="00000000" w:rsidDel="00000000" w:rsidP="00000000" w:rsidRDefault="00000000" w:rsidRPr="00000000" w14:paraId="00000029">
      <w:pPr>
        <w:rPr>
          <w:rFonts w:ascii="Comic Sans MS" w:cs="Comic Sans MS" w:eastAsia="Comic Sans MS" w:hAnsi="Comic Sans MS"/>
        </w:rPr>
      </w:pPr>
      <w:r w:rsidDel="00000000" w:rsidR="00000000" w:rsidRPr="00000000">
        <w:rPr>
          <w:rtl w:val="0"/>
        </w:rPr>
      </w:r>
    </w:p>
    <w:p w:rsidR="00000000" w:rsidDel="00000000" w:rsidP="00000000" w:rsidRDefault="00000000" w:rsidRPr="00000000" w14:paraId="0000002A">
      <w:pPr>
        <w:rPr>
          <w:rFonts w:ascii="Comic Sans MS" w:cs="Comic Sans MS" w:eastAsia="Comic Sans MS" w:hAnsi="Comic Sans MS"/>
        </w:rPr>
      </w:pPr>
      <w:r w:rsidDel="00000000" w:rsidR="00000000" w:rsidRPr="00000000">
        <w:rPr>
          <w:rtl w:val="0"/>
        </w:rPr>
      </w:r>
    </w:p>
    <w:p w:rsidR="00000000" w:rsidDel="00000000" w:rsidP="00000000" w:rsidRDefault="00000000" w:rsidRPr="00000000" w14:paraId="0000002B">
      <w:pPr>
        <w:rPr>
          <w:rFonts w:ascii="Comic Sans MS" w:cs="Comic Sans MS" w:eastAsia="Comic Sans MS" w:hAnsi="Comic Sans MS"/>
          <w:highlight w:val="yellow"/>
        </w:rPr>
      </w:pPr>
      <w:r w:rsidDel="00000000" w:rsidR="00000000" w:rsidRPr="00000000">
        <w:rPr>
          <w:rtl w:val="0"/>
        </w:rPr>
      </w:r>
    </w:p>
    <w:p w:rsidR="00000000" w:rsidDel="00000000" w:rsidP="00000000" w:rsidRDefault="00000000" w:rsidRPr="00000000" w14:paraId="0000002C">
      <w:pPr>
        <w:rPr>
          <w:rFonts w:ascii="Comic Sans MS" w:cs="Comic Sans MS" w:eastAsia="Comic Sans MS" w:hAnsi="Comic Sans MS"/>
        </w:rPr>
      </w:pPr>
      <w:r w:rsidDel="00000000" w:rsidR="00000000" w:rsidRPr="00000000">
        <w:rPr>
          <w:rtl w:val="0"/>
        </w:rPr>
      </w:r>
    </w:p>
    <w:p w:rsidR="00000000" w:rsidDel="00000000" w:rsidP="00000000" w:rsidRDefault="00000000" w:rsidRPr="00000000" w14:paraId="0000002D">
      <w:pPr>
        <w:rPr>
          <w:rFonts w:ascii="Comic Sans MS" w:cs="Comic Sans MS" w:eastAsia="Comic Sans MS" w:hAnsi="Comic Sans MS"/>
        </w:rPr>
      </w:pPr>
      <w:r w:rsidDel="00000000" w:rsidR="00000000" w:rsidRPr="00000000">
        <w:rPr>
          <w:rtl w:val="0"/>
        </w:rPr>
      </w:r>
    </w:p>
    <w:p w:rsidR="00000000" w:rsidDel="00000000" w:rsidP="00000000" w:rsidRDefault="00000000" w:rsidRPr="00000000" w14:paraId="0000002E">
      <w:pPr>
        <w:rPr>
          <w:rFonts w:ascii="Comic Sans MS" w:cs="Comic Sans MS" w:eastAsia="Comic Sans MS" w:hAnsi="Comic Sans MS"/>
        </w:rPr>
      </w:pPr>
      <w:r w:rsidDel="00000000" w:rsidR="00000000" w:rsidRPr="00000000">
        <w:rPr>
          <w:rtl w:val="0"/>
        </w:rPr>
      </w:r>
    </w:p>
    <w:p w:rsidR="00000000" w:rsidDel="00000000" w:rsidP="00000000" w:rsidRDefault="00000000" w:rsidRPr="00000000" w14:paraId="0000002F">
      <w:pPr>
        <w:rPr>
          <w:rFonts w:ascii="Comic Sans MS" w:cs="Comic Sans MS" w:eastAsia="Comic Sans MS" w:hAnsi="Comic Sans MS"/>
        </w:rPr>
      </w:pPr>
      <w:r w:rsidDel="00000000" w:rsidR="00000000" w:rsidRPr="00000000">
        <w:rPr>
          <w:rtl w:val="0"/>
        </w:rPr>
      </w:r>
    </w:p>
    <w:p w:rsidR="00000000" w:rsidDel="00000000" w:rsidP="00000000" w:rsidRDefault="00000000" w:rsidRPr="00000000" w14:paraId="00000030">
      <w:pPr>
        <w:rPr>
          <w:rFonts w:ascii="Comic Sans MS" w:cs="Comic Sans MS" w:eastAsia="Comic Sans MS" w:hAnsi="Comic Sans MS"/>
        </w:rPr>
      </w:pPr>
      <w:r w:rsidDel="00000000" w:rsidR="00000000" w:rsidRPr="00000000">
        <w:rPr>
          <w:rtl w:val="0"/>
        </w:rPr>
      </w:r>
    </w:p>
    <w:sectPr>
      <w:headerReference r:id="rId7"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omic Sans MS"/>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Booth, 1961. 3. </w:t>
      </w:r>
    </w:p>
  </w:footnote>
  <w:footnote w:id="1">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Byfield, 1993. 51-52.</w:t>
      </w:r>
    </w:p>
  </w:footnote>
  <w:footnote w:id="2">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Davies, 2007. 22. </w:t>
      </w:r>
    </w:p>
  </w:footnote>
  <w:footnote w:id="3">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Byfield, 1993. 59.</w:t>
      </w:r>
    </w:p>
  </w:footnote>
  <w:footnote w:id="4">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This episode is similar to the Badger in the Bag game in the First Branch of the Mabinogi, although Gwawl is released alive from the bag as it is an unfitting and dishonourable death for him to be killed whilst inside. Perhaps Efnysien is waiting for his enemies to surrender, or perhaps he does not care whether his enemies are awarded an honourable death. </w:t>
      </w:r>
    </w:p>
  </w:footnote>
  <w:footnote w:id="5">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Davies, 2007. 235.</w:t>
      </w:r>
    </w:p>
  </w:footnote>
  <w:footnote w:id="6">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Davies, 2007. 34. </w:t>
      </w:r>
    </w:p>
  </w:footnote>
  <w:footnote w:id="7">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e.g. Matholwch refuses to land his ships without first sending messengers to Bendigeidfran and does nothing throughout the story without first calling council. His attempt at individual thought  (“...I find it strange, if they wanted to insult me, that they should have first given me such a fine maiden, of such high rank, so beloved by her family”(Davies, 2007.24)) is quickly suppressed by his men. Even his own people manipulate him: he is forced to choose between Llasar Llaes Gyfnewid and his kingdom.</w:t>
      </w:r>
    </w:p>
  </w:footnote>
  <w:footnote w:id="8">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Davies, 2007. XV.</w:t>
      </w:r>
    </w:p>
  </w:footnote>
  <w:footnote w:id="9">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Davies, 1993. 49.</w:t>
      </w:r>
    </w:p>
  </w:footnote>
  <w:footnote w:id="10">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Davies, 1993. 29.</w:t>
      </w:r>
    </w:p>
  </w:footnote>
  <w:footnote w:id="11">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Davies, 2007. 268.</w:t>
      </w:r>
    </w:p>
  </w:footnote>
  <w:footnote w:id="12">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GPC Online, 2014.</w:t>
      </w:r>
    </w:p>
  </w:footnote>
  <w:footnote w:id="13">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Welsh, 1988. 58.</w:t>
      </w:r>
    </w:p>
  </w:footnote>
  <w:footnote w:id="14">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Sims-William, 1991. 54-55.</w:t>
      </w:r>
    </w:p>
  </w:footnote>
  <w:footnote w:id="15">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Sims-William, 1991. 54-55; Davies, 2007. 234.</w:t>
      </w:r>
    </w:p>
  </w:footnote>
  <w:footnote w:id="16">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Davies, 2007. 31.</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1814729</w:t>
      <w:tab/>
      <w:tab/>
      <w:tab/>
      <w:tab/>
      <w:tab/>
      <w:tab/>
      <w:tab/>
      <w:tab/>
      <w:t xml:space="preserve">Y Mabinogi (CYCS7015)</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