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b/>
          <w:sz w:val="32"/>
          <w:szCs w:val="32"/>
          <w:shd w:val="clear" w:color="auto" w:fill="FFFFFF"/>
        </w:rPr>
      </w:pPr>
    </w:p>
    <w:p>
      <w:pPr>
        <w:spacing w:line="360" w:lineRule="auto"/>
        <w:jc w:val="center"/>
        <w:rPr>
          <w:rFonts w:ascii="Times New Roman" w:hAnsi="Times New Roman" w:cs="Times New Roman"/>
          <w:b/>
          <w:sz w:val="32"/>
          <w:szCs w:val="32"/>
          <w:shd w:val="clear" w:color="auto" w:fill="FFFFFF"/>
        </w:rPr>
      </w:pPr>
    </w:p>
    <w:p>
      <w:pPr>
        <w:spacing w:line="360" w:lineRule="auto"/>
        <w:jc w:val="center"/>
        <w:rPr>
          <w:rFonts w:hint="default" w:ascii="Times New Roman" w:hAnsi="Times New Roman" w:cs="Times New Roman"/>
          <w:b/>
          <w:sz w:val="40"/>
          <w:szCs w:val="40"/>
          <w:shd w:val="clear" w:color="auto" w:fill="FFFFFF"/>
          <w:lang w:val="en-US"/>
        </w:rPr>
      </w:pPr>
      <w:r>
        <w:rPr>
          <w:rFonts w:hint="default" w:ascii="Times New Roman" w:hAnsi="Times New Roman" w:cs="Times New Roman"/>
          <w:b/>
          <w:sz w:val="40"/>
          <w:szCs w:val="40"/>
          <w:shd w:val="clear" w:color="auto" w:fill="FFFFFF"/>
          <w:lang w:val="en-US"/>
        </w:rPr>
        <w:t>Academic and Employability Skills</w:t>
      </w:r>
    </w:p>
    <w:p>
      <w:pPr>
        <w:spacing w:line="360" w:lineRule="auto"/>
        <w:jc w:val="center"/>
        <w:rPr>
          <w:rFonts w:hint="default" w:ascii="Times New Roman" w:hAnsi="Times New Roman" w:cs="Times New Roman"/>
          <w:b/>
          <w:sz w:val="40"/>
          <w:szCs w:val="40"/>
          <w:shd w:val="clear" w:color="auto" w:fill="FFFFFF"/>
          <w:lang w:val="en-US"/>
        </w:rPr>
      </w:pPr>
      <w:r>
        <w:rPr>
          <w:rFonts w:hint="default" w:ascii="Times New Roman" w:hAnsi="Times New Roman" w:cs="Times New Roman"/>
          <w:b w:val="0"/>
          <w:bCs/>
          <w:sz w:val="40"/>
          <w:szCs w:val="40"/>
          <w:shd w:val="clear" w:color="auto" w:fill="FFFFFF"/>
          <w:lang w:val="en-US"/>
        </w:rPr>
        <w:t>(BMSW4001_LON)</w:t>
      </w:r>
    </w:p>
    <w:p>
      <w:pPr>
        <w:spacing w:line="360" w:lineRule="auto"/>
        <w:ind w:firstLine="2700" w:firstLineChars="750"/>
        <w:jc w:val="both"/>
        <w:rPr>
          <w:rFonts w:cs="Times New Roman"/>
          <w:bCs/>
          <w:sz w:val="36"/>
          <w:szCs w:val="36"/>
        </w:rPr>
      </w:pPr>
      <w:r>
        <w:rPr>
          <w:rFonts w:cs="Times New Roman"/>
          <w:bCs/>
          <w:sz w:val="36"/>
          <w:szCs w:val="36"/>
        </w:rPr>
        <w:t>Ilies Ioan-Paul (1907379)</w:t>
      </w:r>
    </w:p>
    <w:p>
      <w:pPr>
        <w:spacing w:line="360" w:lineRule="auto"/>
        <w:ind w:left="720" w:firstLine="1895" w:firstLineChars="526"/>
        <w:jc w:val="both"/>
        <w:rPr>
          <w:rFonts w:hint="default" w:cs="Times New Roman"/>
          <w:bCs/>
          <w:sz w:val="36"/>
          <w:szCs w:val="36"/>
          <w:lang w:val="en-US"/>
        </w:rPr>
      </w:pPr>
      <w:r>
        <w:rPr>
          <w:rFonts w:cs="Times New Roman"/>
          <w:b/>
          <w:bCs w:val="0"/>
          <w:sz w:val="36"/>
          <w:szCs w:val="36"/>
        </w:rPr>
        <w:t>Lecturer:</w:t>
      </w:r>
      <w:r>
        <w:rPr>
          <w:rFonts w:cs="Times New Roman"/>
          <w:bCs/>
          <w:sz w:val="36"/>
          <w:szCs w:val="36"/>
        </w:rPr>
        <w:t xml:space="preserve"> </w:t>
      </w:r>
      <w:r>
        <w:rPr>
          <w:rFonts w:hint="default" w:cs="Times New Roman"/>
          <w:bCs/>
          <w:sz w:val="36"/>
          <w:szCs w:val="36"/>
          <w:lang w:val="en-US"/>
        </w:rPr>
        <w:t>Silvia Hoffman</w:t>
      </w:r>
    </w:p>
    <w:p>
      <w:pPr>
        <w:spacing w:line="360" w:lineRule="auto"/>
        <w:ind w:left="720" w:firstLine="2793" w:firstLineChars="776"/>
        <w:jc w:val="both"/>
        <w:rPr>
          <w:rFonts w:cs="Times New Roman"/>
          <w:bCs/>
          <w:sz w:val="36"/>
          <w:szCs w:val="36"/>
        </w:rPr>
      </w:pPr>
      <w:r>
        <w:rPr>
          <w:rFonts w:hint="default" w:cs="Times New Roman"/>
          <w:bCs/>
          <w:sz w:val="36"/>
          <w:szCs w:val="36"/>
          <w:lang w:val="en-US"/>
        </w:rPr>
        <w:t xml:space="preserve">DECEMBER </w:t>
      </w:r>
      <w:r>
        <w:rPr>
          <w:rFonts w:cs="Times New Roman"/>
          <w:bCs/>
          <w:sz w:val="36"/>
          <w:szCs w:val="36"/>
        </w:rPr>
        <w:t>2020</w:t>
      </w:r>
    </w:p>
    <w:p>
      <w:pPr>
        <w:spacing w:line="360" w:lineRule="auto"/>
        <w:jc w:val="center"/>
        <w:rPr>
          <w:rFonts w:hint="default" w:ascii="Times New Roman" w:hAnsi="Times New Roman" w:cs="Times New Roman"/>
          <w:b/>
          <w:sz w:val="32"/>
          <w:szCs w:val="32"/>
          <w:shd w:val="clear" w:color="auto" w:fill="FFFFFF"/>
          <w:lang w:val="en-US"/>
        </w:rPr>
      </w:pPr>
    </w:p>
    <w:p>
      <w:pPr>
        <w:spacing w:line="360" w:lineRule="auto"/>
        <w:ind w:firstLine="800" w:firstLineChars="250"/>
        <w:jc w:val="both"/>
        <w:rPr>
          <w:rFonts w:ascii="Times New Roman" w:hAnsi="Times New Roman" w:cs="Times New Roman"/>
          <w:b/>
          <w:sz w:val="32"/>
          <w:szCs w:val="32"/>
          <w:shd w:val="clear" w:color="auto" w:fill="FFFFFF"/>
        </w:rPr>
      </w:pPr>
    </w:p>
    <w:p>
      <w:pPr>
        <w:spacing w:line="360" w:lineRule="auto"/>
        <w:ind w:firstLine="1121" w:firstLineChars="350"/>
        <w:jc w:val="both"/>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p>
    <w:p>
      <w:pPr>
        <w:spacing w:line="360" w:lineRule="auto"/>
        <w:rPr>
          <w:rFonts w:ascii="Times New Roman" w:hAnsi="Times New Roman" w:cs="Times New Roman"/>
          <w:b/>
          <w:sz w:val="32"/>
          <w:szCs w:val="32"/>
          <w:shd w:val="clear" w:color="auto" w:fill="FFFFFF"/>
        </w:rPr>
      </w:pPr>
      <w:bookmarkStart w:id="9" w:name="_GoBack"/>
      <w:bookmarkEnd w:id="9"/>
    </w:p>
    <w:sdt>
      <w:sdtPr>
        <w:id w:val="2083330803"/>
        <w:docPartObj>
          <w:docPartGallery w:val="Table of Contents"/>
          <w:docPartUnique/>
        </w:docPartObj>
      </w:sdtPr>
      <w:sdtEndPr>
        <w:rPr>
          <w:rFonts w:asciiTheme="minorHAnsi" w:hAnsiTheme="minorHAnsi" w:eastAsiaTheme="minorHAnsi" w:cstheme="minorBidi"/>
          <w:color w:val="auto"/>
          <w:sz w:val="22"/>
          <w:szCs w:val="22"/>
          <w:lang w:val="en-IN" w:eastAsia="en-US"/>
        </w:rPr>
      </w:sdtEndPr>
      <w:sdtContent>
        <w:p>
          <w:pPr>
            <w:pStyle w:val="17"/>
          </w:pPr>
          <w:r>
            <w:t>Table of Contents</w:t>
          </w:r>
        </w:p>
        <w:p>
          <w:pPr>
            <w:pStyle w:val="7"/>
            <w:tabs>
              <w:tab w:val="right" w:leader="dot" w:pos="9016"/>
            </w:tabs>
            <w:spacing w:line="360" w:lineRule="auto"/>
            <w:jc w:val="both"/>
            <w:rPr>
              <w:rFonts w:ascii="Times New Roman" w:hAnsi="Times New Roman" w:cs="Times New Roman"/>
              <w:sz w:val="24"/>
              <w:szCs w:val="24"/>
            </w:rPr>
          </w:pPr>
          <w:r>
            <w:fldChar w:fldCharType="begin"/>
          </w:r>
          <w:r>
            <w:instrText xml:space="preserve"> TOC \o "1-3" \h \z \u </w:instrText>
          </w:r>
          <w:r>
            <w:fldChar w:fldCharType="separate"/>
          </w:r>
          <w:r>
            <w:fldChar w:fldCharType="begin"/>
          </w:r>
          <w:r>
            <w:instrText xml:space="preserve"> HYPERLINK \l "_Toc58693314" </w:instrText>
          </w:r>
          <w:r>
            <w:fldChar w:fldCharType="separate"/>
          </w:r>
          <w:r>
            <w:rPr>
              <w:rStyle w:val="10"/>
              <w:rFonts w:ascii="Times New Roman" w:hAnsi="Times New Roman" w:cs="Times New Roman"/>
              <w:sz w:val="24"/>
              <w:szCs w:val="24"/>
              <w:shd w:val="clear" w:color="auto" w:fill="FFFFFF"/>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_Toc58693314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"_Toc58693315" </w:instrText>
          </w:r>
          <w:r>
            <w:fldChar w:fldCharType="separate"/>
          </w:r>
          <w:r>
            <w:rPr>
              <w:rStyle w:val="10"/>
              <w:rFonts w:ascii="Times New Roman" w:hAnsi="Times New Roman" w:cs="Times New Roman"/>
              <w:sz w:val="24"/>
              <w:szCs w:val="24"/>
              <w:shd w:val="clear" w:color="auto" w:fill="FFFFFF"/>
            </w:rPr>
            <w:t>Finding and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_Toc58693315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16"/>
            </w:tabs>
            <w:spacing w:line="360" w:lineRule="auto"/>
            <w:ind w:left="0" w:leftChars="0" w:firstLine="0" w:firstLineChars="0"/>
            <w:jc w:val="both"/>
            <w:rPr>
              <w:rFonts w:ascii="Times New Roman" w:hAnsi="Times New Roman" w:cs="Times New Roman"/>
              <w:sz w:val="24"/>
              <w:szCs w:val="24"/>
            </w:rPr>
          </w:pPr>
          <w:r>
            <w:fldChar w:fldCharType="begin"/>
          </w:r>
          <w:r>
            <w:instrText xml:space="preserve"> HYPERLINK \l "_Toc58693316" </w:instrText>
          </w:r>
          <w:r>
            <w:fldChar w:fldCharType="separate"/>
          </w:r>
          <w:r>
            <w:rPr>
              <w:rStyle w:val="10"/>
              <w:rFonts w:ascii="Times New Roman" w:hAnsi="Times New Roman" w:cs="Times New Roman"/>
              <w:sz w:val="24"/>
              <w:szCs w:val="24"/>
              <w:shd w:val="clear" w:color="auto" w:fill="FFFFFF"/>
            </w:rPr>
            <w:t>Description of experience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_Toc58693316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16"/>
            </w:tabs>
            <w:spacing w:line="360" w:lineRule="auto"/>
            <w:ind w:left="0" w:leftChars="0" w:firstLine="0" w:firstLineChars="0"/>
            <w:jc w:val="both"/>
            <w:rPr>
              <w:rFonts w:ascii="Times New Roman" w:hAnsi="Times New Roman" w:cs="Times New Roman"/>
              <w:sz w:val="24"/>
              <w:szCs w:val="24"/>
            </w:rPr>
          </w:pPr>
          <w:r>
            <w:fldChar w:fldCharType="begin"/>
          </w:r>
          <w:r>
            <w:instrText xml:space="preserve"> HYPERLINK \l "_Toc58693317" </w:instrText>
          </w:r>
          <w:r>
            <w:fldChar w:fldCharType="separate"/>
          </w:r>
          <w:r>
            <w:rPr>
              <w:rStyle w:val="10"/>
              <w:rFonts w:ascii="Times New Roman" w:hAnsi="Times New Roman" w:cs="Times New Roman"/>
              <w:sz w:val="24"/>
              <w:szCs w:val="24"/>
              <w:shd w:val="clear" w:color="auto" w:fill="FFFFFF"/>
            </w:rPr>
            <w:t>Feelings and thoughts on the experience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_Toc58693317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16"/>
            </w:tabs>
            <w:spacing w:line="360" w:lineRule="auto"/>
            <w:ind w:left="0" w:leftChars="0" w:firstLine="0" w:firstLineChars="0"/>
            <w:jc w:val="both"/>
            <w:rPr>
              <w:rFonts w:ascii="Times New Roman" w:hAnsi="Times New Roman" w:cs="Times New Roman"/>
              <w:sz w:val="24"/>
              <w:szCs w:val="24"/>
            </w:rPr>
          </w:pPr>
          <w:r>
            <w:fldChar w:fldCharType="begin"/>
          </w:r>
          <w:r>
            <w:instrText xml:space="preserve"> HYPERLINK \l "_Toc58693318" </w:instrText>
          </w:r>
          <w:r>
            <w:fldChar w:fldCharType="separate"/>
          </w:r>
          <w:r>
            <w:rPr>
              <w:rStyle w:val="10"/>
              <w:rFonts w:ascii="Times New Roman" w:hAnsi="Times New Roman" w:cs="Times New Roman"/>
              <w:sz w:val="24"/>
              <w:szCs w:val="24"/>
              <w:shd w:val="clear" w:color="auto" w:fill="FFFFFF"/>
            </w:rPr>
            <w:t>Evaluation of experience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_Toc58693318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16"/>
            </w:tabs>
            <w:spacing w:line="360" w:lineRule="auto"/>
            <w:ind w:left="0" w:leftChars="0" w:firstLine="0" w:firstLineChars="0"/>
            <w:jc w:val="both"/>
            <w:rPr>
              <w:rFonts w:ascii="Times New Roman" w:hAnsi="Times New Roman" w:cs="Times New Roman"/>
              <w:sz w:val="24"/>
              <w:szCs w:val="24"/>
            </w:rPr>
          </w:pPr>
          <w:r>
            <w:fldChar w:fldCharType="begin"/>
          </w:r>
          <w:r>
            <w:instrText xml:space="preserve"> HYPERLINK \l "_Toc58693319" </w:instrText>
          </w:r>
          <w:r>
            <w:fldChar w:fldCharType="separate"/>
          </w:r>
          <w:r>
            <w:rPr>
              <w:rStyle w:val="10"/>
              <w:rFonts w:ascii="Times New Roman" w:hAnsi="Times New Roman" w:cs="Times New Roman"/>
              <w:sz w:val="24"/>
              <w:szCs w:val="24"/>
              <w:shd w:val="clear" w:color="auto" w:fill="FFFFFF"/>
            </w:rPr>
            <w:t>Analysis to make situation sense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_Toc58693319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"_Toc58693320" </w:instrText>
          </w:r>
          <w:r>
            <w:fldChar w:fldCharType="separate"/>
          </w:r>
          <w:r>
            <w:rPr>
              <w:rStyle w:val="10"/>
              <w:rFonts w:ascii="Times New Roman" w:hAnsi="Times New Roman" w:cs="Times New Roman"/>
              <w:sz w:val="24"/>
              <w:szCs w:val="24"/>
              <w:shd w:val="clear" w:color="auto" w:fill="FFFFFF"/>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_Toc58693320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"_Toc58693321" </w:instrText>
          </w:r>
          <w:r>
            <w:fldChar w:fldCharType="separate"/>
          </w:r>
          <w:r>
            <w:rPr>
              <w:rStyle w:val="10"/>
              <w:rFonts w:ascii="Times New Roman" w:hAnsi="Times New Roman" w:cs="Times New Roman"/>
              <w:sz w:val="24"/>
              <w:szCs w:val="24"/>
              <w:shd w:val="clear" w:color="auto" w:fill="FFFFFF"/>
            </w:rPr>
            <w:t>Personal Action plan for future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_Toc58693321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16"/>
            </w:tabs>
            <w:spacing w:line="360" w:lineRule="auto"/>
            <w:jc w:val="both"/>
          </w:pPr>
          <w:r>
            <w:fldChar w:fldCharType="begin"/>
          </w:r>
          <w:r>
            <w:instrText xml:space="preserve"> HYPERLINK \l "_Toc58693322" </w:instrText>
          </w:r>
          <w:r>
            <w:fldChar w:fldCharType="separate"/>
          </w:r>
          <w:r>
            <w:rPr>
              <w:rStyle w:val="10"/>
              <w:rFonts w:ascii="Times New Roman" w:hAnsi="Times New Roman" w:cs="Times New Roman"/>
              <w:sz w:val="24"/>
              <w:szCs w:val="24"/>
              <w:shd w:val="clear" w:color="auto" w:fill="FFFFFF"/>
            </w:rPr>
            <w:t>Reference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_Toc58693322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jc w:val="both"/>
          </w:pPr>
          <w:r>
            <w:rPr>
              <w:b/>
              <w:bCs/>
            </w:rPr>
            <w:fldChar w:fldCharType="end"/>
          </w:r>
        </w:p>
      </w:sdtContent>
    </w:sdt>
    <w:p>
      <w:pPr>
        <w:spacing w:line="360" w:lineRule="auto"/>
        <w:rPr>
          <w:shd w:val="clear" w:color="auto" w:fill="FFFFFF"/>
        </w:rPr>
      </w:pPr>
      <w:r>
        <w:rPr>
          <w:rFonts w:hint="default" w:ascii="Times New Roman" w:hAnsi="Times New Roman" w:cs="Times New Roman"/>
          <w:b/>
          <w:sz w:val="32"/>
          <w:szCs w:val="32"/>
          <w:shd w:val="clear" w:color="auto" w:fill="FFFFFF"/>
          <w:lang w:val="en-US"/>
        </w:rPr>
        <w:t xml:space="preserve">                                                                </w:t>
      </w:r>
      <w:bookmarkStart w:id="0" w:name="_Toc58693314"/>
    </w:p>
    <w:p>
      <w:pPr>
        <w:pStyle w:val="2"/>
        <w:rPr>
          <w:shd w:val="clear" w:color="auto" w:fill="FFFFFF"/>
        </w:rPr>
      </w:pPr>
    </w:p>
    <w:p>
      <w:pPr>
        <w:pStyle w:val="2"/>
        <w:rPr>
          <w:shd w:val="clear" w:color="auto" w:fill="FFFFFF"/>
        </w:rPr>
      </w:pPr>
    </w:p>
    <w:p>
      <w:pPr>
        <w:pStyle w:val="2"/>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pStyle w:val="2"/>
        <w:rPr>
          <w:rFonts w:hint="default"/>
          <w:shd w:val="clear" w:color="auto" w:fill="FFFFFF"/>
          <w:lang w:val="en-US"/>
        </w:rPr>
      </w:pPr>
      <w:r>
        <w:rPr>
          <w:sz w:val="28"/>
          <w:szCs w:val="28"/>
          <w:shd w:val="clear" w:color="auto" w:fill="FFFFFF"/>
        </w:rPr>
        <w:t>Introduction</w:t>
      </w:r>
      <w:bookmarkEnd w:id="0"/>
      <w:r>
        <w:rPr>
          <w:shd w:val="clear" w:color="auto" w:fill="FFFFFF"/>
        </w:rPr>
        <w:t xml:space="preserve"> </w:t>
      </w:r>
      <w:r>
        <w:rPr>
          <w:rFonts w:hint="default"/>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national debates have been expanded across approaches applied for making graduates and students ready for college and career life. Implications of this readiness can't be overlooked. Three initial skills in the career are required such as technical skills (job-specific) to create the distinct path of employment, employability skills such as critical thinking and responsibility that play a central role in career aspect and central capacity and academic skills to apply it to the real-life function and situations within the day-in day tasks and work settings (Cotronei-Baird, 2020). These skills are helping students join the reliable path of a career that delivers opportunities for career development and family-sustaining compensation. Academic skills involve concepts that enable the students to career-ready skills (home). They develop learners for post-college and post-secondary careers and education. This skill also allows students to pursue high learning without remediation. Through, the employability skills help students in utilising academics within career development as well as work context. The employers apply lengthy written communication in technical reports, proposals, memos, letters, thus the requirement to equip for growth, use, and analyse the materials academically (Goodwin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xml:space="preserve"> 2019). Considering this, the report concentrates on how the Gibbs model helps an individual in research methods, academic writings, and educational referencing techniques throughout the course. It helps me to grow both my employability and academic skills. The report also focuses on individuals who apply Gibbs Cycle to determine skill gaps and recommended improving gaps by developing the proper action plan.    </w:t>
      </w:r>
    </w:p>
    <w:p>
      <w:pPr>
        <w:pStyle w:val="2"/>
        <w:rPr>
          <w:rFonts w:hint="default"/>
          <w:sz w:val="28"/>
          <w:szCs w:val="28"/>
          <w:shd w:val="clear" w:color="auto" w:fill="FFFFFF"/>
          <w:lang w:val="en-US"/>
        </w:rPr>
      </w:pPr>
      <w:bookmarkStart w:id="1" w:name="_Toc58693315"/>
      <w:r>
        <w:rPr>
          <w:sz w:val="28"/>
          <w:szCs w:val="28"/>
          <w:shd w:val="clear" w:color="auto" w:fill="FFFFFF"/>
        </w:rPr>
        <w:t>Finding and analysis</w:t>
      </w:r>
      <w:bookmarkEnd w:id="1"/>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Gibbs Reflective Cycle is the well-known cyclical reflection model leading an individual through six particular stages exploring the feelings, description, experience, evaluation, analysis, conclusion, and action plan. In 1988, Graham Gibbs had developed this reflective cycle for giving the structure to learn from the experiences (The University of Edinburgh, 2020). </w:t>
      </w:r>
    </w:p>
    <w:p>
      <w:pPr>
        <w:pStyle w:val="3"/>
        <w:rPr>
          <w:rFonts w:hint="default"/>
          <w:sz w:val="28"/>
          <w:szCs w:val="28"/>
          <w:shd w:val="clear" w:color="auto" w:fill="FFFFFF"/>
          <w:lang w:val="en-US"/>
        </w:rPr>
      </w:pPr>
      <w:bookmarkStart w:id="2" w:name="_Toc58693316"/>
      <w:r>
        <w:rPr>
          <w:sz w:val="28"/>
          <w:szCs w:val="28"/>
          <w:shd w:val="clear" w:color="auto" w:fill="FFFFFF"/>
        </w:rPr>
        <w:t>Description of experience</w:t>
      </w:r>
      <w:bookmarkEnd w:id="2"/>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Throughout the entire course, the lecturer has taught us several concepts on employability and academic skills. In the first term, our lecturer has taught us several approaches toward time management. I have studied how to utilise and develop the personal development plan, increase the student's time, and the track becomes a highly time-efficient and to-do list. The lecturer in the class also applies Eisenhower for explaining the time management styles and approaches (Griffin and Coelhoso, 2019). The lecturer has clarified how to gather the relevant data for writing essays, thesis, reports, and projects. Several vital aspects are determined, such as collecting the notes at the time of lectures and source analysis, note-taking approaches, discovering useful scholarly sources, and assessing data from the websites. These aspects are vital while doing academic writing. I have gathered knowledge of using the language and grammar, such as how to use and borrow vocabulary, to create body paragraphs and sentence structures. The lecturer has provided brief guidelines for the academic style of learning, design of sections, and introductory essays during the class. By proper procedures, I have created skills through properly understanding several language instructions for advancing academic writing. I have also discovered various approaches to determine the sentence structure, classes, and literary essays (Hart, 2019).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Other vital aspects that I have learned at the time, of course, we're paraphrasing. By practicing and exercising on examples, I have explored several important paraphrasing steps. I have also studied referencing role in academic writing. The lecturer has taught how to apply the referencing technique of Harvard by using the 2018 referencing guide of Harvard and various referencing exercises. In this report, I have learned the way words are written and the initial differences and similarities among the writing an essay. I have collected several skills on the way to summarise source by either summarising or paraphrasing. After the first term, we have studied the course of delivering and making the PowerPoint techniques and representations for developing the skills of public speaking. I have also explored the effective process of using PowerPoint, the approach to advance the presentations, body language role, and things on the audience or people which speaker highly understands (Kenayathulla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xml:space="preserve"> 2019).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During the second term, I have learned the way to write a CV. The lecture has taught us vital things to consider while designing the CV. I have also discovered a one-page CV that leaves a proper impression provided to the point and a brief personal description. I have learned leading technologies for the job interview and secrets of becoming successful in the interview. I have also known the way role-playing expands chances to pass the interview. The lecturer has explained several ways individuals should give a talk, responding to the interview questions, and determining strong and weak points. The lecturer has taught the students courses to write a professional and excellent cover letter for the job applications. The lecturer has also introduced about fundamental skills of researching (Menz, 2020). I have learned actual academic research's meaning, the six-step process to write the analysis, as well as differences among primary and secondary sources. I have also known how to select a controllable topic of research and create a good case. It has involved several exercises in learning how to develop whether the research subject is too broad and narrow. The lecturer has explored reflective writing by introducing concepts to us, steps to write a reflective report, and Schon's Reflective Practise application (Osmani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xml:space="preserve"> 2019).       </w:t>
      </w:r>
    </w:p>
    <w:p>
      <w:pPr>
        <w:pStyle w:val="3"/>
        <w:rPr>
          <w:rFonts w:hint="default"/>
          <w:sz w:val="28"/>
          <w:szCs w:val="28"/>
          <w:shd w:val="clear" w:color="auto" w:fill="FFFFFF"/>
          <w:lang w:val="en-US"/>
        </w:rPr>
      </w:pPr>
      <w:bookmarkStart w:id="3" w:name="_Toc58693317"/>
      <w:r>
        <w:rPr>
          <w:sz w:val="28"/>
          <w:szCs w:val="28"/>
          <w:shd w:val="clear" w:color="auto" w:fill="FFFFFF"/>
        </w:rPr>
        <w:t>Feelings and thoughts on the experience</w:t>
      </w:r>
      <w:bookmarkEnd w:id="3"/>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My feelings about learning employability and academic skills are divided. Normally in academic writing, I have discovered learning to be both vital and stressful. At the time of the educational class of writing, I have felt one requires advanced style, grammar, and vocabulary to create well-refined academic work. I have also learned academic writing is unique from the various writing forms. The demands are defined and unique in terms of individual making sentences, grammar, sentence clauses, body paragraphs, and penalties. Besides knowing the academic writing practice and standard, all the students require writing formats for several writing types. I have discovered that an individual student would apply various approaches and steps to academic writing (Cotronei-Baird, 2020). I did use the in-depth several educational techniques of writing and stages on-creating the academic paper. I have realized that this was simple for the students to confuse hand good academic projects while they lack insights into several writing skills applications and language discourse functions.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referencing has proved to become hard. I have realised this has played several roles in validating academic writing. It is done in the manner of writer uses and borrows works of different authors. I have learned the failure of citing other author's works generates plagiarism. Different author's word usage without acknowledgment is a serious offense that should lead toward termination. Even properly backing up arguments and claims in academic writing require proof. Reliable citation usage reveals individual has been conducted adequate online sources and academic research. This demonstrates that the writer provides credit to authors by identifying views (Goodwin </w:t>
      </w:r>
      <w:r>
        <w:rPr>
          <w:rFonts w:ascii="Times New Roman" w:hAnsi="Times New Roman" w:cs="Times New Roman"/>
          <w:i/>
          <w:sz w:val="24"/>
          <w:szCs w:val="24"/>
          <w:shd w:val="clear" w:color="auto" w:fill="FFFFFF"/>
        </w:rPr>
        <w:t>et al.,</w:t>
      </w:r>
      <w:r>
        <w:rPr>
          <w:rFonts w:ascii="Times New Roman" w:hAnsi="Times New Roman" w:cs="Times New Roman"/>
          <w:sz w:val="24"/>
          <w:szCs w:val="24"/>
          <w:shd w:val="clear" w:color="auto" w:fill="FFFFFF"/>
        </w:rPr>
        <w:t xml:space="preserve"> 2019). The reference usage allows the writer to maintain the track and determine sources applied in work by including it in the list of references, bibliographies, or work cited.           </w:t>
      </w:r>
    </w:p>
    <w:p>
      <w:pPr>
        <w:pStyle w:val="3"/>
        <w:rPr>
          <w:rFonts w:hint="default"/>
          <w:sz w:val="28"/>
          <w:szCs w:val="28"/>
          <w:shd w:val="clear" w:color="auto" w:fill="FFFFFF"/>
          <w:lang w:val="en-US"/>
        </w:rPr>
      </w:pPr>
      <w:bookmarkStart w:id="4" w:name="_Toc58693318"/>
      <w:r>
        <w:rPr>
          <w:sz w:val="28"/>
          <w:szCs w:val="28"/>
          <w:shd w:val="clear" w:color="auto" w:fill="FFFFFF"/>
        </w:rPr>
        <w:t>Evaluation of experience</w:t>
      </w:r>
      <w:bookmarkEnd w:id="4"/>
      <w:r>
        <w:rPr>
          <w:sz w:val="28"/>
          <w:szCs w:val="28"/>
          <w:shd w:val="clear" w:color="auto" w:fill="FFFFFF"/>
        </w:rPr>
        <w:t xml:space="preserve"> </w:t>
      </w:r>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Individual attainment from my employability and academic course of skills gained an adequate amount of knowledge on sentence structure, vocabulary usage, and grammar. In the last years, I have struggled to create a research topic, concentrate on the particular research question. Due to the course, I should make the research question, determine authentic sources, and apply it to create my paper. From the time I have to understand creating body paragraphs and sentence clauses, this is currently appealing to become passionate about academic writing (Griffin and Coelhoso, 2019). Despite the developments, I am very uncomfortable with the referencing. The course is also focusing on the style of Harvard referencing. Provided that several other referencing types like Chicago, APA, and MLA between the others, I have also experienced confusion in the proper writing format, I will apply for detailed research. Various disciplines are demanding the different writing usage formats provided several styles used to order and write the publication data. </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several cases, I have faced issues in comprehending data provided by several scholars. Based on this, it presents the problem to summarise or paraphrase works significantly. I have experienced an issue while differentiating unreliable and scholarly source materials. I have often observed that the author writes every idea in the academic book instead of unreliable sources. Without consideration, I have made a huge mistake in using such a basis for sustaining claims and statements. I have also learned attributing ideas of sources and data to proper authors and scholars is vital. I have discovered the requirement of training myself on acknowledgment and assess properly required sources (Hart, 2019).          </w:t>
      </w:r>
    </w:p>
    <w:p>
      <w:pPr>
        <w:pStyle w:val="3"/>
        <w:rPr>
          <w:rFonts w:hint="default"/>
          <w:sz w:val="28"/>
          <w:szCs w:val="28"/>
          <w:shd w:val="clear" w:color="auto" w:fill="FFFFFF"/>
          <w:lang w:val="en-US"/>
        </w:rPr>
      </w:pPr>
      <w:bookmarkStart w:id="5" w:name="_Toc58693319"/>
      <w:r>
        <w:rPr>
          <w:sz w:val="28"/>
          <w:szCs w:val="28"/>
          <w:shd w:val="clear" w:color="auto" w:fill="FFFFFF"/>
        </w:rPr>
        <w:t>Analysis to make situation sense</w:t>
      </w:r>
      <w:bookmarkEnd w:id="5"/>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After finishing the course, I have realised that employability's academic skills have improved and developed me. Writing the endeavor can be frustrating and can make the writer examine, brainstormed relevant data and sources, drafts, create outlines, and edit. Due to the course, I have a better process understanding, and I should write the project in record time. I have developed effective examining methods as well as identifying assignments as well as researching sources. The objective is to ensure the essay links to selected sources and deliver clear validation along with causes for conclusions. Lecture on time management has improved my skills and speed of writing (Menz, 2020). I recently chose to be worked in a suitable setting of writing as well as avoid procrastination. Lecture toward styles, vocabulary, and grammar has helped me develop the skills for writing the academic paper. Again I have also determined various gaps that need several improvements. I also require modification in applying the different styles of referencing like MLA, Chicago, and APA.       </w:t>
      </w:r>
    </w:p>
    <w:p>
      <w:pPr>
        <w:pStyle w:val="2"/>
        <w:rPr>
          <w:rFonts w:hint="default"/>
          <w:sz w:val="28"/>
          <w:szCs w:val="28"/>
          <w:shd w:val="clear" w:color="auto" w:fill="FFFFFF"/>
          <w:lang w:val="en-US"/>
        </w:rPr>
      </w:pPr>
      <w:bookmarkStart w:id="6" w:name="_Toc58693320"/>
      <w:r>
        <w:rPr>
          <w:sz w:val="28"/>
          <w:szCs w:val="28"/>
          <w:shd w:val="clear" w:color="auto" w:fill="FFFFFF"/>
        </w:rPr>
        <w:t>Conclusion</w:t>
      </w:r>
      <w:bookmarkEnd w:id="6"/>
      <w:r>
        <w:rPr>
          <w:sz w:val="28"/>
          <w:szCs w:val="28"/>
          <w:shd w:val="clear" w:color="auto" w:fill="FFFFFF"/>
        </w:rPr>
        <w:t xml:space="preserve"> </w:t>
      </w:r>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 have determined a module on research methods, academic writing, and educational referencing techniques from the above discussion. I have improved my time management skills, and I should create and apply a development plan for executing regular activities. Such gifts shouldn't support me as a student; however, in the workplace's upcoming setting. I have become observant, outcome-oriented, and time-efficient from the time I have to understand not to be procrastinated the activities. I am currently equipped academically for writing and utilising and evaluating projects, reports as well as articles. As a student, I should properly relate the academic skills to real situations even that I should face in the career. I have also learned the skills like analytical, reflective, and critical thinking, which should support me in solving problems and interacting effectively. I have also improved my vocabulary, grammar, clauses development, referencing, and body paragraphs.   </w:t>
      </w:r>
    </w:p>
    <w:p>
      <w:pPr>
        <w:pStyle w:val="2"/>
        <w:rPr>
          <w:rFonts w:hint="default"/>
          <w:sz w:val="28"/>
          <w:szCs w:val="28"/>
          <w:shd w:val="clear" w:color="auto" w:fill="FFFFFF"/>
          <w:lang w:val="en-US"/>
        </w:rPr>
      </w:pPr>
      <w:bookmarkStart w:id="7" w:name="_Toc58693321"/>
      <w:r>
        <w:rPr>
          <w:sz w:val="28"/>
          <w:szCs w:val="28"/>
          <w:shd w:val="clear" w:color="auto" w:fill="FFFFFF"/>
        </w:rPr>
        <w:t>Personal Action plan for future</w:t>
      </w:r>
      <w:bookmarkEnd w:id="7"/>
      <w:r>
        <w:rPr>
          <w:sz w:val="28"/>
          <w:szCs w:val="28"/>
          <w:shd w:val="clear" w:color="auto" w:fill="FFFFFF"/>
        </w:rPr>
        <w:t xml:space="preserve"> </w:t>
      </w:r>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Both employment and academic life need a particular skill set. In academic writing, I have applied the time that has big implications for work quality and the upcoming deliverables. Time management effectively should identify my upcoming productivity. I have also improved my skills in time management and academic writing. I may create an essay from the unique ideas applying proper vocabulary and grammar. Though I have low referencing usage, I need to learn various referencing styles include Chicago, MLA, and APA. For this purpose, I need to,</w:t>
      </w:r>
    </w:p>
    <w:p>
      <w:pPr>
        <w:pStyle w:val="14"/>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Practice on several exercise applying several referencing methods </w:t>
      </w:r>
    </w:p>
    <w:p>
      <w:pPr>
        <w:pStyle w:val="14"/>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Study properly about the Chicago, MLA, and APA usage</w:t>
      </w:r>
    </w:p>
    <w:p>
      <w:pPr>
        <w:pStyle w:val="14"/>
        <w:numPr>
          <w:ilvl w:val="0"/>
          <w:numId w:val="0"/>
        </w:numPr>
        <w:spacing w:after="160" w:line="360" w:lineRule="auto"/>
        <w:contextualSpacing/>
        <w:jc w:val="both"/>
        <w:rPr>
          <w:rFonts w:ascii="Times New Roman" w:hAnsi="Times New Roman" w:cs="Times New Roman"/>
          <w:sz w:val="24"/>
          <w:szCs w:val="24"/>
          <w:shd w:val="clear" w:color="auto" w:fill="FFFFFF"/>
        </w:rPr>
      </w:pPr>
    </w:p>
    <w:p>
      <w:pPr>
        <w:pStyle w:val="14"/>
        <w:numPr>
          <w:ilvl w:val="0"/>
          <w:numId w:val="0"/>
        </w:numPr>
        <w:spacing w:after="160" w:line="360" w:lineRule="auto"/>
        <w:contextualSpacing/>
        <w:jc w:val="both"/>
        <w:rPr>
          <w:rFonts w:ascii="Times New Roman" w:hAnsi="Times New Roman" w:cs="Times New Roman"/>
          <w:sz w:val="24"/>
          <w:szCs w:val="24"/>
          <w:shd w:val="clear" w:color="auto" w:fill="FFFFFF"/>
        </w:rPr>
      </w:pPr>
    </w:p>
    <w:p>
      <w:pPr>
        <w:pStyle w:val="14"/>
        <w:numPr>
          <w:ilvl w:val="0"/>
          <w:numId w:val="0"/>
        </w:numPr>
        <w:spacing w:after="160" w:line="360" w:lineRule="auto"/>
        <w:contextualSpacing/>
        <w:jc w:val="both"/>
        <w:rPr>
          <w:rFonts w:ascii="Times New Roman" w:hAnsi="Times New Roman" w:cs="Times New Roman"/>
          <w:sz w:val="24"/>
          <w:szCs w:val="24"/>
          <w:shd w:val="clear" w:color="auto" w:fill="FFFFFF"/>
        </w:rPr>
      </w:pPr>
    </w:p>
    <w:p>
      <w:pPr>
        <w:pStyle w:val="14"/>
        <w:numPr>
          <w:ilvl w:val="0"/>
          <w:numId w:val="0"/>
        </w:numPr>
        <w:spacing w:after="160" w:line="360" w:lineRule="auto"/>
        <w:contextualSpacing/>
        <w:jc w:val="both"/>
        <w:rPr>
          <w:rFonts w:ascii="Times New Roman" w:hAnsi="Times New Roman" w:cs="Times New Roman"/>
          <w:sz w:val="24"/>
          <w:szCs w:val="24"/>
          <w:shd w:val="clear" w:color="auto" w:fill="FFFFFF"/>
        </w:rPr>
      </w:pPr>
    </w:p>
    <w:p>
      <w:pPr>
        <w:pStyle w:val="14"/>
        <w:numPr>
          <w:ilvl w:val="0"/>
          <w:numId w:val="0"/>
        </w:numPr>
        <w:spacing w:after="160" w:line="360" w:lineRule="auto"/>
        <w:contextualSpacing/>
        <w:jc w:val="both"/>
        <w:rPr>
          <w:rFonts w:ascii="Times New Roman" w:hAnsi="Times New Roman" w:cs="Times New Roman"/>
          <w:sz w:val="24"/>
          <w:szCs w:val="24"/>
          <w:shd w:val="clear" w:color="auto" w:fill="FFFFFF"/>
        </w:rPr>
      </w:pPr>
    </w:p>
    <w:p>
      <w:pPr>
        <w:pStyle w:val="14"/>
        <w:numPr>
          <w:ilvl w:val="0"/>
          <w:numId w:val="0"/>
        </w:numPr>
        <w:spacing w:after="160" w:line="360" w:lineRule="auto"/>
        <w:contextualSpacing/>
        <w:jc w:val="both"/>
        <w:rPr>
          <w:rFonts w:ascii="Times New Roman" w:hAnsi="Times New Roman" w:cs="Times New Roman"/>
          <w:sz w:val="24"/>
          <w:szCs w:val="24"/>
          <w:shd w:val="clear" w:color="auto" w:fill="FFFFFF"/>
        </w:rPr>
      </w:pPr>
    </w:p>
    <w:p>
      <w:pPr>
        <w:spacing w:line="360" w:lineRule="auto"/>
        <w:rPr>
          <w:rFonts w:ascii="Times New Roman" w:hAnsi="Times New Roman" w:cs="Times New Roman"/>
          <w:b/>
          <w:sz w:val="24"/>
          <w:szCs w:val="24"/>
          <w:shd w:val="clear" w:color="auto" w:fill="FFFFFF"/>
        </w:rPr>
      </w:pPr>
    </w:p>
    <w:p>
      <w:pPr>
        <w:pStyle w:val="2"/>
        <w:rPr>
          <w:rFonts w:hint="default"/>
          <w:shd w:val="clear" w:color="auto" w:fill="FFFFFF"/>
          <w:lang w:val="en-US"/>
        </w:rPr>
      </w:pPr>
      <w:bookmarkStart w:id="8" w:name="_Toc58693322"/>
      <w:r>
        <w:rPr>
          <w:sz w:val="28"/>
          <w:szCs w:val="28"/>
          <w:shd w:val="clear" w:color="auto" w:fill="FFFFFF"/>
        </w:rPr>
        <w:t>Reference</w:t>
      </w:r>
      <w:bookmarkEnd w:id="8"/>
      <w:r>
        <w:rPr>
          <w:sz w:val="28"/>
          <w:szCs w:val="28"/>
          <w:shd w:val="clear" w:color="auto" w:fill="FFFFFF"/>
        </w:rPr>
        <w:t xml:space="preserve"> </w:t>
      </w:r>
      <w:r>
        <w:rPr>
          <w:rFonts w:hint="default"/>
          <w:sz w:val="28"/>
          <w:szCs w:val="28"/>
          <w:shd w:val="clear" w:color="auto" w:fill="FFFFFF"/>
          <w:lang w:val="en-US"/>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Cotronei-Baird, V.S., 2020. Academic hindrances in the integration of employability skills development in teaching and assessment practice. </w:t>
      </w:r>
      <w:r>
        <w:rPr>
          <w:rFonts w:ascii="Times New Roman" w:hAnsi="Times New Roman" w:cs="Times New Roman"/>
          <w:i/>
          <w:iCs/>
          <w:sz w:val="24"/>
          <w:szCs w:val="24"/>
          <w:shd w:val="clear" w:color="auto" w:fill="FFFFFF"/>
        </w:rPr>
        <w:t>Higher Education</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79</w:t>
      </w:r>
      <w:r>
        <w:rPr>
          <w:rFonts w:ascii="Times New Roman" w:hAnsi="Times New Roman" w:cs="Times New Roman"/>
          <w:sz w:val="24"/>
          <w:szCs w:val="24"/>
          <w:shd w:val="clear" w:color="auto" w:fill="FFFFFF"/>
        </w:rPr>
        <w:t>(2), pp.203-223.</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Goodwin, J.T., Goh, J., Verkoeyen, S. and Lithgow, K., 2019. Can students be taught to articulate employability skills?. </w:t>
      </w:r>
      <w:r>
        <w:rPr>
          <w:rFonts w:ascii="Times New Roman" w:hAnsi="Times New Roman" w:cs="Times New Roman"/>
          <w:i/>
          <w:iCs/>
          <w:sz w:val="24"/>
          <w:szCs w:val="24"/>
          <w:shd w:val="clear" w:color="auto" w:fill="FFFFFF"/>
        </w:rPr>
        <w:t>Education+ Training</w:t>
      </w:r>
      <w:r>
        <w:rPr>
          <w:rFonts w:ascii="Times New Roman" w:hAnsi="Times New Roman" w:cs="Times New Roman"/>
          <w:sz w:val="24"/>
          <w:szCs w:val="24"/>
          <w:shd w:val="clear" w:color="auto" w:fill="FFFFFF"/>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Griffin, M. and Coelhoso, P., 2019. Business students' perspectives on employability skills post internship experience. </w:t>
      </w:r>
      <w:r>
        <w:rPr>
          <w:rFonts w:ascii="Times New Roman" w:hAnsi="Times New Roman" w:cs="Times New Roman"/>
          <w:i/>
          <w:iCs/>
          <w:sz w:val="24"/>
          <w:szCs w:val="24"/>
          <w:shd w:val="clear" w:color="auto" w:fill="FFFFFF"/>
        </w:rPr>
        <w:t>Higher Education, Skills and Work-Based Learning</w:t>
      </w:r>
      <w:r>
        <w:rPr>
          <w:rFonts w:ascii="Times New Roman" w:hAnsi="Times New Roman" w:cs="Times New Roman"/>
          <w:sz w:val="24"/>
          <w:szCs w:val="24"/>
          <w:shd w:val="clear" w:color="auto" w:fill="FFFFFF"/>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Hart, J.L., 2019. Interdisciplinary project-based learning as a means of developing employability skills in undergraduate science degree programs. </w:t>
      </w:r>
      <w:r>
        <w:rPr>
          <w:rFonts w:ascii="Times New Roman" w:hAnsi="Times New Roman" w:cs="Times New Roman"/>
          <w:i/>
          <w:iCs/>
          <w:sz w:val="24"/>
          <w:szCs w:val="24"/>
          <w:shd w:val="clear" w:color="auto" w:fill="FFFFFF"/>
        </w:rPr>
        <w:t>Journal of Teaching and Learning for Graduate Employability</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10</w:t>
      </w:r>
      <w:r>
        <w:rPr>
          <w:rFonts w:ascii="Times New Roman" w:hAnsi="Times New Roman" w:cs="Times New Roman"/>
          <w:sz w:val="24"/>
          <w:szCs w:val="24"/>
          <w:shd w:val="clear" w:color="auto" w:fill="FFFFFF"/>
        </w:rPr>
        <w:t>(2), pp.50-66.</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Kenayathulla, H.B., Ahmad, N.A. and Idris, A.R., 2019. Gaps between competence and importance of employability skills: evidence from Malaysia. </w:t>
      </w:r>
      <w:r>
        <w:rPr>
          <w:rFonts w:ascii="Times New Roman" w:hAnsi="Times New Roman" w:cs="Times New Roman"/>
          <w:i/>
          <w:iCs/>
          <w:sz w:val="24"/>
          <w:szCs w:val="24"/>
          <w:shd w:val="clear" w:color="auto" w:fill="FFFFFF"/>
        </w:rPr>
        <w:t>Higher Education Evaluation and Development</w:t>
      </w:r>
      <w:r>
        <w:rPr>
          <w:rFonts w:ascii="Times New Roman" w:hAnsi="Times New Roman" w:cs="Times New Roman"/>
          <w:sz w:val="24"/>
          <w:szCs w:val="24"/>
          <w:shd w:val="clear" w:color="auto" w:fill="FFFFFF"/>
        </w:rPr>
        <w:t>.</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Menz, M., 2020. Integrating academic skills and employability-revisiting the learning journal. </w:t>
      </w:r>
      <w:r>
        <w:rPr>
          <w:rFonts w:ascii="Times New Roman" w:hAnsi="Times New Roman" w:cs="Times New Roman"/>
          <w:i/>
          <w:iCs/>
          <w:sz w:val="24"/>
          <w:szCs w:val="24"/>
          <w:shd w:val="clear" w:color="auto" w:fill="FFFFFF"/>
        </w:rPr>
        <w:t>Journal of Perspectives in Applied Academic Practice</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8</w:t>
      </w:r>
      <w:r>
        <w:rPr>
          <w:rFonts w:ascii="Times New Roman" w:hAnsi="Times New Roman" w:cs="Times New Roman"/>
          <w:sz w:val="24"/>
          <w:szCs w:val="24"/>
          <w:shd w:val="clear" w:color="auto" w:fill="FFFFFF"/>
        </w:rPr>
        <w:t>(1).</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Osmani, M., Weerakkody, V., Hindi, N. and Eldabi, T., 2019. Graduates employability skills: A review of literature against market demand. </w:t>
      </w:r>
      <w:r>
        <w:rPr>
          <w:rFonts w:ascii="Times New Roman" w:hAnsi="Times New Roman" w:cs="Times New Roman"/>
          <w:i/>
          <w:iCs/>
          <w:sz w:val="24"/>
          <w:szCs w:val="24"/>
          <w:shd w:val="clear" w:color="auto" w:fill="FFFFFF"/>
        </w:rPr>
        <w:t>Journal of Education for Business</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94</w:t>
      </w:r>
      <w:r>
        <w:rPr>
          <w:rFonts w:ascii="Times New Roman" w:hAnsi="Times New Roman" w:cs="Times New Roman"/>
          <w:sz w:val="24"/>
          <w:szCs w:val="24"/>
          <w:shd w:val="clear" w:color="auto" w:fill="FFFFFF"/>
        </w:rPr>
        <w:t>(7), pp.423-432.</w:t>
      </w:r>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University of Edinburgh. 2020. </w:t>
      </w:r>
      <w:r>
        <w:rPr>
          <w:rFonts w:ascii="Times New Roman" w:hAnsi="Times New Roman" w:cs="Times New Roman"/>
          <w:i/>
          <w:iCs/>
          <w:sz w:val="24"/>
          <w:szCs w:val="24"/>
          <w:shd w:val="clear" w:color="auto" w:fill="FFFFFF"/>
        </w:rPr>
        <w:t>Gibbs' Reflective Cycle</w:t>
      </w:r>
      <w:r>
        <w:rPr>
          <w:rFonts w:ascii="Times New Roman" w:hAnsi="Times New Roman" w:cs="Times New Roman"/>
          <w:sz w:val="24"/>
          <w:szCs w:val="24"/>
          <w:shd w:val="clear" w:color="auto" w:fill="FFFFFF"/>
        </w:rPr>
        <w:t>. [online] Available at: &lt;https://www.ed.ac.uk/reflection/reflectors-toolkit/reflecting-on-experience/gibbs-reflective-cycle&gt; [Accessed 12 December 2020].</w:t>
      </w:r>
    </w:p>
    <w:p>
      <w:pPr>
        <w:spacing w:line="360" w:lineRule="auto"/>
        <w:jc w:val="both"/>
        <w:rPr>
          <w:rFonts w:ascii="Times New Roman" w:hAnsi="Times New Roman" w:cs="Times New Roman"/>
          <w:b/>
          <w:sz w:val="24"/>
          <w:szCs w:val="24"/>
          <w:shd w:val="clear" w:color="auto" w:fill="FFFFFF"/>
        </w:rPr>
      </w:pPr>
    </w:p>
    <w:sectPr>
      <w:footerReference r:id="rId4" w:type="first"/>
      <w:footerReference r:id="rId3"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right"/>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083218542"/>
                            <w:docPartObj>
                              <w:docPartGallery w:val="autotext"/>
                            </w:docPartObj>
                          </w:sdtPr>
                          <w:sdtContent>
                            <w:p>
                              <w:pPr>
                                <w:pStyle w:val="5"/>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sdt>
                    <w:sdtPr>
                      <w:id w:val="-1083218542"/>
                      <w:docPartObj>
                        <w:docPartGallery w:val="autotext"/>
                      </w:docPartObj>
                    </w:sdtPr>
                    <w:sdtContent>
                      <w:p>
                        <w:pPr>
                          <w:pStyle w:val="5"/>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O7H/0EAgAAEg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zux/9BAIAABIEAAAOAAAAAAAAAAEAIAAAAB8BAABkcnMvZTJv&#10;RG9jLnhtbFBLBQYAAAAABgAGAFkBAACVBQAAAAA=&#10;">
              <v:fill on="f" focussize="0,0"/>
              <v:stroke on="f" weight="0.5pt"/>
              <v:imagedata o:title=""/>
              <o:lock v:ext="edit" aspectratio="f"/>
              <v:textbox inset="0mm,0mm,0mm,0mm" style="mso-fit-shape-to-text:t;">
                <w:txbxContent>
                  <w:p>
                    <w:pPr>
                      <w:pStyle w:val="5"/>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8DC4290"/>
    <w:multiLevelType w:val="multilevel"/>
    <w:tmpl w:val="58DC4290"/>
    <w:lvl w:ilvl="0" w:tentative="0">
      <w:start w:val="1"/>
      <w:numFmt w:val="bullet"/>
      <w:lvlText w:val=""/>
      <w:lvlJc w:val="left"/>
      <w:pPr>
        <w:ind w:left="840" w:hanging="360"/>
      </w:pPr>
      <w:rPr>
        <w:rFonts w:hint="default" w:ascii="Symbol" w:hAnsi="Symbol"/>
      </w:rPr>
    </w:lvl>
    <w:lvl w:ilvl="1" w:tentative="0">
      <w:start w:val="1"/>
      <w:numFmt w:val="bullet"/>
      <w:lvlText w:val="o"/>
      <w:lvlJc w:val="left"/>
      <w:pPr>
        <w:ind w:left="1560" w:hanging="360"/>
      </w:pPr>
      <w:rPr>
        <w:rFonts w:hint="default" w:ascii="Courier New" w:hAnsi="Courier New" w:cs="Courier New"/>
      </w:rPr>
    </w:lvl>
    <w:lvl w:ilvl="2" w:tentative="0">
      <w:start w:val="1"/>
      <w:numFmt w:val="bullet"/>
      <w:lvlText w:val=""/>
      <w:lvlJc w:val="left"/>
      <w:pPr>
        <w:ind w:left="2280" w:hanging="360"/>
      </w:pPr>
      <w:rPr>
        <w:rFonts w:hint="default" w:ascii="Wingdings" w:hAnsi="Wingdings"/>
      </w:rPr>
    </w:lvl>
    <w:lvl w:ilvl="3" w:tentative="0">
      <w:start w:val="1"/>
      <w:numFmt w:val="bullet"/>
      <w:lvlText w:val=""/>
      <w:lvlJc w:val="left"/>
      <w:pPr>
        <w:ind w:left="3000" w:hanging="360"/>
      </w:pPr>
      <w:rPr>
        <w:rFonts w:hint="default" w:ascii="Symbol" w:hAnsi="Symbol"/>
      </w:rPr>
    </w:lvl>
    <w:lvl w:ilvl="4" w:tentative="0">
      <w:start w:val="1"/>
      <w:numFmt w:val="bullet"/>
      <w:lvlText w:val="o"/>
      <w:lvlJc w:val="left"/>
      <w:pPr>
        <w:ind w:left="3720" w:hanging="360"/>
      </w:pPr>
      <w:rPr>
        <w:rFonts w:hint="default" w:ascii="Courier New" w:hAnsi="Courier New" w:cs="Courier New"/>
      </w:rPr>
    </w:lvl>
    <w:lvl w:ilvl="5" w:tentative="0">
      <w:start w:val="1"/>
      <w:numFmt w:val="bullet"/>
      <w:lvlText w:val=""/>
      <w:lvlJc w:val="left"/>
      <w:pPr>
        <w:ind w:left="4440" w:hanging="360"/>
      </w:pPr>
      <w:rPr>
        <w:rFonts w:hint="default" w:ascii="Wingdings" w:hAnsi="Wingdings"/>
      </w:rPr>
    </w:lvl>
    <w:lvl w:ilvl="6" w:tentative="0">
      <w:start w:val="1"/>
      <w:numFmt w:val="bullet"/>
      <w:lvlText w:val=""/>
      <w:lvlJc w:val="left"/>
      <w:pPr>
        <w:ind w:left="5160" w:hanging="360"/>
      </w:pPr>
      <w:rPr>
        <w:rFonts w:hint="default" w:ascii="Symbol" w:hAnsi="Symbol"/>
      </w:rPr>
    </w:lvl>
    <w:lvl w:ilvl="7" w:tentative="0">
      <w:start w:val="1"/>
      <w:numFmt w:val="bullet"/>
      <w:lvlText w:val="o"/>
      <w:lvlJc w:val="left"/>
      <w:pPr>
        <w:ind w:left="5880" w:hanging="360"/>
      </w:pPr>
      <w:rPr>
        <w:rFonts w:hint="default" w:ascii="Courier New" w:hAnsi="Courier New" w:cs="Courier New"/>
      </w:rPr>
    </w:lvl>
    <w:lvl w:ilvl="8" w:tentative="0">
      <w:start w:val="1"/>
      <w:numFmt w:val="bullet"/>
      <w:lvlText w:val=""/>
      <w:lvlJc w:val="left"/>
      <w:pPr>
        <w:ind w:left="660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yNjUyAVFGZsamSjpKwanFxZn5eSAFhrUAh1/QuiwAAAA="/>
  </w:docVars>
  <w:rsids>
    <w:rsidRoot w:val="006B66A0"/>
    <w:rsid w:val="00010B90"/>
    <w:rsid w:val="0001675A"/>
    <w:rsid w:val="00023855"/>
    <w:rsid w:val="00023BC1"/>
    <w:rsid w:val="000714B5"/>
    <w:rsid w:val="000811B9"/>
    <w:rsid w:val="000812B6"/>
    <w:rsid w:val="00095D5C"/>
    <w:rsid w:val="00096E94"/>
    <w:rsid w:val="000A0858"/>
    <w:rsid w:val="000A7382"/>
    <w:rsid w:val="000B4F0D"/>
    <w:rsid w:val="000C430A"/>
    <w:rsid w:val="000E2C28"/>
    <w:rsid w:val="000E7EE5"/>
    <w:rsid w:val="000F7E78"/>
    <w:rsid w:val="0010072F"/>
    <w:rsid w:val="0011499D"/>
    <w:rsid w:val="00121C8F"/>
    <w:rsid w:val="00125E9A"/>
    <w:rsid w:val="001304BB"/>
    <w:rsid w:val="00166095"/>
    <w:rsid w:val="0017058F"/>
    <w:rsid w:val="00171AF2"/>
    <w:rsid w:val="001903F3"/>
    <w:rsid w:val="001A275D"/>
    <w:rsid w:val="001A2DC3"/>
    <w:rsid w:val="001D68B8"/>
    <w:rsid w:val="001E4AD1"/>
    <w:rsid w:val="002008C4"/>
    <w:rsid w:val="002029FC"/>
    <w:rsid w:val="00203CAE"/>
    <w:rsid w:val="0021119B"/>
    <w:rsid w:val="00222A28"/>
    <w:rsid w:val="002324C6"/>
    <w:rsid w:val="002411B4"/>
    <w:rsid w:val="00291176"/>
    <w:rsid w:val="002A0850"/>
    <w:rsid w:val="002B7008"/>
    <w:rsid w:val="002C132E"/>
    <w:rsid w:val="002C66AB"/>
    <w:rsid w:val="002D61F9"/>
    <w:rsid w:val="002E3EDF"/>
    <w:rsid w:val="002E628B"/>
    <w:rsid w:val="00306875"/>
    <w:rsid w:val="00311AFE"/>
    <w:rsid w:val="003341E9"/>
    <w:rsid w:val="0035175F"/>
    <w:rsid w:val="00361E69"/>
    <w:rsid w:val="003756A3"/>
    <w:rsid w:val="003A58C0"/>
    <w:rsid w:val="003D074A"/>
    <w:rsid w:val="003D32BC"/>
    <w:rsid w:val="003E08C4"/>
    <w:rsid w:val="003E48B2"/>
    <w:rsid w:val="003E72A5"/>
    <w:rsid w:val="003F17EF"/>
    <w:rsid w:val="00400FB9"/>
    <w:rsid w:val="004075AF"/>
    <w:rsid w:val="004149D2"/>
    <w:rsid w:val="00420F0C"/>
    <w:rsid w:val="0042130C"/>
    <w:rsid w:val="0042209F"/>
    <w:rsid w:val="004630B7"/>
    <w:rsid w:val="004647F1"/>
    <w:rsid w:val="00465242"/>
    <w:rsid w:val="00484FDD"/>
    <w:rsid w:val="004A2D64"/>
    <w:rsid w:val="004B4725"/>
    <w:rsid w:val="004B534E"/>
    <w:rsid w:val="004C3A02"/>
    <w:rsid w:val="004D7036"/>
    <w:rsid w:val="004E013C"/>
    <w:rsid w:val="0051093A"/>
    <w:rsid w:val="0051456A"/>
    <w:rsid w:val="0056111B"/>
    <w:rsid w:val="00561717"/>
    <w:rsid w:val="005707AE"/>
    <w:rsid w:val="00577C86"/>
    <w:rsid w:val="0058087B"/>
    <w:rsid w:val="0058158F"/>
    <w:rsid w:val="005874A3"/>
    <w:rsid w:val="00590886"/>
    <w:rsid w:val="005A1B04"/>
    <w:rsid w:val="005B2CDF"/>
    <w:rsid w:val="005C4347"/>
    <w:rsid w:val="005C632A"/>
    <w:rsid w:val="005C6562"/>
    <w:rsid w:val="005E0E9A"/>
    <w:rsid w:val="005E1A80"/>
    <w:rsid w:val="005E396F"/>
    <w:rsid w:val="005E6932"/>
    <w:rsid w:val="00652947"/>
    <w:rsid w:val="00662455"/>
    <w:rsid w:val="0068264C"/>
    <w:rsid w:val="00691C96"/>
    <w:rsid w:val="006941B3"/>
    <w:rsid w:val="006944EB"/>
    <w:rsid w:val="006961F9"/>
    <w:rsid w:val="006A3773"/>
    <w:rsid w:val="006A5A6E"/>
    <w:rsid w:val="006B5E56"/>
    <w:rsid w:val="006B66A0"/>
    <w:rsid w:val="006B7006"/>
    <w:rsid w:val="006C4C40"/>
    <w:rsid w:val="006E6979"/>
    <w:rsid w:val="006F1449"/>
    <w:rsid w:val="00714236"/>
    <w:rsid w:val="00715784"/>
    <w:rsid w:val="007372B6"/>
    <w:rsid w:val="00750000"/>
    <w:rsid w:val="00752D28"/>
    <w:rsid w:val="00756EAD"/>
    <w:rsid w:val="007C31AC"/>
    <w:rsid w:val="007E3A69"/>
    <w:rsid w:val="007E6FE4"/>
    <w:rsid w:val="007E73BA"/>
    <w:rsid w:val="007F45DC"/>
    <w:rsid w:val="008472FA"/>
    <w:rsid w:val="008550D6"/>
    <w:rsid w:val="008727FA"/>
    <w:rsid w:val="00897825"/>
    <w:rsid w:val="008C26D5"/>
    <w:rsid w:val="008D43D1"/>
    <w:rsid w:val="008E7626"/>
    <w:rsid w:val="008F1788"/>
    <w:rsid w:val="008F5100"/>
    <w:rsid w:val="009107D8"/>
    <w:rsid w:val="009402EC"/>
    <w:rsid w:val="00954FE6"/>
    <w:rsid w:val="009553F3"/>
    <w:rsid w:val="00956332"/>
    <w:rsid w:val="00970E2D"/>
    <w:rsid w:val="00991256"/>
    <w:rsid w:val="009952BC"/>
    <w:rsid w:val="009B311B"/>
    <w:rsid w:val="009B7433"/>
    <w:rsid w:val="009C03F5"/>
    <w:rsid w:val="009D7DB3"/>
    <w:rsid w:val="009E2240"/>
    <w:rsid w:val="009F1425"/>
    <w:rsid w:val="009F6BA8"/>
    <w:rsid w:val="00A02261"/>
    <w:rsid w:val="00A02AFB"/>
    <w:rsid w:val="00A36513"/>
    <w:rsid w:val="00A41038"/>
    <w:rsid w:val="00A47C55"/>
    <w:rsid w:val="00A57826"/>
    <w:rsid w:val="00A621AA"/>
    <w:rsid w:val="00A80654"/>
    <w:rsid w:val="00A87B28"/>
    <w:rsid w:val="00A90A51"/>
    <w:rsid w:val="00AA0343"/>
    <w:rsid w:val="00AB79AF"/>
    <w:rsid w:val="00AD0DBD"/>
    <w:rsid w:val="00B04D18"/>
    <w:rsid w:val="00B07A24"/>
    <w:rsid w:val="00B2156F"/>
    <w:rsid w:val="00B22BEA"/>
    <w:rsid w:val="00B70B18"/>
    <w:rsid w:val="00B74C22"/>
    <w:rsid w:val="00B84AA9"/>
    <w:rsid w:val="00B962AD"/>
    <w:rsid w:val="00BB3D35"/>
    <w:rsid w:val="00BC1857"/>
    <w:rsid w:val="00BE0675"/>
    <w:rsid w:val="00C16676"/>
    <w:rsid w:val="00C1690B"/>
    <w:rsid w:val="00C43B3A"/>
    <w:rsid w:val="00C44936"/>
    <w:rsid w:val="00C60858"/>
    <w:rsid w:val="00C65DBD"/>
    <w:rsid w:val="00C75543"/>
    <w:rsid w:val="00C83C39"/>
    <w:rsid w:val="00C91DD2"/>
    <w:rsid w:val="00C95ED9"/>
    <w:rsid w:val="00C96018"/>
    <w:rsid w:val="00CA4C83"/>
    <w:rsid w:val="00CD3C5F"/>
    <w:rsid w:val="00CD70BA"/>
    <w:rsid w:val="00CF482A"/>
    <w:rsid w:val="00D00E36"/>
    <w:rsid w:val="00D01810"/>
    <w:rsid w:val="00D15D44"/>
    <w:rsid w:val="00D30924"/>
    <w:rsid w:val="00D43180"/>
    <w:rsid w:val="00D625AF"/>
    <w:rsid w:val="00D71236"/>
    <w:rsid w:val="00D72418"/>
    <w:rsid w:val="00D7666C"/>
    <w:rsid w:val="00D831EF"/>
    <w:rsid w:val="00D905BF"/>
    <w:rsid w:val="00DC354F"/>
    <w:rsid w:val="00DC7725"/>
    <w:rsid w:val="00DC7742"/>
    <w:rsid w:val="00DD1067"/>
    <w:rsid w:val="00DD1826"/>
    <w:rsid w:val="00E03328"/>
    <w:rsid w:val="00E11676"/>
    <w:rsid w:val="00E13FE3"/>
    <w:rsid w:val="00E55BB7"/>
    <w:rsid w:val="00E721EF"/>
    <w:rsid w:val="00E7305D"/>
    <w:rsid w:val="00E90FBB"/>
    <w:rsid w:val="00E94590"/>
    <w:rsid w:val="00E97D87"/>
    <w:rsid w:val="00EA390D"/>
    <w:rsid w:val="00EC1A77"/>
    <w:rsid w:val="00ED13F1"/>
    <w:rsid w:val="00ED5649"/>
    <w:rsid w:val="00F0024D"/>
    <w:rsid w:val="00F05355"/>
    <w:rsid w:val="00F11475"/>
    <w:rsid w:val="00F11F5C"/>
    <w:rsid w:val="00F15D20"/>
    <w:rsid w:val="00F2760F"/>
    <w:rsid w:val="00F316D9"/>
    <w:rsid w:val="00F31E6C"/>
    <w:rsid w:val="00F401CB"/>
    <w:rsid w:val="00F60754"/>
    <w:rsid w:val="00F71569"/>
    <w:rsid w:val="00F761C9"/>
    <w:rsid w:val="00F83DD0"/>
    <w:rsid w:val="00F93E5D"/>
    <w:rsid w:val="00FA3AFC"/>
    <w:rsid w:val="00FA64E4"/>
    <w:rsid w:val="00FC14EE"/>
    <w:rsid w:val="00FC68D8"/>
    <w:rsid w:val="00FE47B5"/>
    <w:rsid w:val="00FF4602"/>
    <w:rsid w:val="7129700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IN" w:eastAsia="en-US" w:bidi="ar-SA"/>
    </w:rPr>
  </w:style>
  <w:style w:type="paragraph" w:styleId="2">
    <w:name w:val="heading 1"/>
    <w:basedOn w:val="1"/>
    <w:next w:val="1"/>
    <w:link w:val="15"/>
    <w:qFormat/>
    <w:uiPriority w:val="9"/>
    <w:pPr>
      <w:keepNext/>
      <w:keepLines/>
      <w:spacing w:before="480" w:after="0" w:line="360" w:lineRule="auto"/>
      <w:jc w:val="both"/>
      <w:outlineLvl w:val="0"/>
    </w:pPr>
    <w:rPr>
      <w:rFonts w:ascii="Times New Roman" w:hAnsi="Times New Roman" w:eastAsiaTheme="majorEastAsia" w:cstheme="majorBidi"/>
      <w:b/>
      <w:bCs/>
      <w:sz w:val="24"/>
      <w:szCs w:val="28"/>
    </w:rPr>
  </w:style>
  <w:style w:type="paragraph" w:styleId="3">
    <w:name w:val="heading 2"/>
    <w:basedOn w:val="1"/>
    <w:next w:val="1"/>
    <w:link w:val="16"/>
    <w:unhideWhenUsed/>
    <w:qFormat/>
    <w:uiPriority w:val="9"/>
    <w:pPr>
      <w:keepNext/>
      <w:keepLines/>
      <w:spacing w:before="200" w:after="0" w:line="360" w:lineRule="auto"/>
      <w:jc w:val="both"/>
      <w:outlineLvl w:val="1"/>
    </w:pPr>
    <w:rPr>
      <w:rFonts w:ascii="Times New Roman" w:hAnsi="Times New Roman" w:eastAsiaTheme="majorEastAsia" w:cstheme="majorBidi"/>
      <w:b/>
      <w:bCs/>
      <w:sz w:val="24"/>
      <w:szCs w:val="26"/>
    </w:rPr>
  </w:style>
  <w:style w:type="character" w:default="1" w:styleId="9">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Balloon Text"/>
    <w:basedOn w:val="1"/>
    <w:link w:val="18"/>
    <w:semiHidden/>
    <w:unhideWhenUsed/>
    <w:uiPriority w:val="99"/>
    <w:pPr>
      <w:spacing w:after="0" w:line="240" w:lineRule="auto"/>
    </w:pPr>
    <w:rPr>
      <w:rFonts w:ascii="Tahoma" w:hAnsi="Tahoma" w:cs="Tahoma"/>
      <w:sz w:val="16"/>
      <w:szCs w:val="16"/>
    </w:rPr>
  </w:style>
  <w:style w:type="paragraph" w:styleId="5">
    <w:name w:val="footer"/>
    <w:basedOn w:val="1"/>
    <w:link w:val="13"/>
    <w:unhideWhenUsed/>
    <w:qFormat/>
    <w:uiPriority w:val="99"/>
    <w:pPr>
      <w:tabs>
        <w:tab w:val="center" w:pos="4513"/>
        <w:tab w:val="right" w:pos="9026"/>
      </w:tabs>
      <w:spacing w:after="0" w:line="240" w:lineRule="auto"/>
    </w:pPr>
  </w:style>
  <w:style w:type="paragraph" w:styleId="6">
    <w:name w:val="header"/>
    <w:basedOn w:val="1"/>
    <w:link w:val="12"/>
    <w:unhideWhenUsed/>
    <w:qFormat/>
    <w:uiPriority w:val="99"/>
    <w:pPr>
      <w:tabs>
        <w:tab w:val="center" w:pos="4513"/>
        <w:tab w:val="right" w:pos="9026"/>
      </w:tabs>
      <w:spacing w:after="0" w:line="240" w:lineRule="auto"/>
    </w:pPr>
  </w:style>
  <w:style w:type="paragraph" w:styleId="7">
    <w:name w:val="toc 1"/>
    <w:basedOn w:val="1"/>
    <w:next w:val="1"/>
    <w:unhideWhenUsed/>
    <w:uiPriority w:val="39"/>
    <w:pPr>
      <w:spacing w:after="100"/>
    </w:pPr>
  </w:style>
  <w:style w:type="paragraph" w:styleId="8">
    <w:name w:val="toc 2"/>
    <w:basedOn w:val="1"/>
    <w:next w:val="1"/>
    <w:unhideWhenUsed/>
    <w:qFormat/>
    <w:uiPriority w:val="39"/>
    <w:pPr>
      <w:spacing w:after="100"/>
      <w:ind w:left="22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character" w:customStyle="1" w:styleId="12">
    <w:name w:val="Header Char"/>
    <w:basedOn w:val="9"/>
    <w:link w:val="6"/>
    <w:qFormat/>
    <w:uiPriority w:val="99"/>
  </w:style>
  <w:style w:type="character" w:customStyle="1" w:styleId="13">
    <w:name w:val="Footer Char"/>
    <w:basedOn w:val="9"/>
    <w:link w:val="5"/>
    <w:qFormat/>
    <w:uiPriority w:val="99"/>
  </w:style>
  <w:style w:type="paragraph" w:styleId="14">
    <w:name w:val="List Paragraph"/>
    <w:basedOn w:val="1"/>
    <w:qFormat/>
    <w:uiPriority w:val="34"/>
    <w:pPr>
      <w:ind w:left="720"/>
      <w:contextualSpacing/>
    </w:pPr>
  </w:style>
  <w:style w:type="character" w:customStyle="1" w:styleId="15">
    <w:name w:val="Heading 1 Char"/>
    <w:basedOn w:val="9"/>
    <w:link w:val="2"/>
    <w:qFormat/>
    <w:uiPriority w:val="9"/>
    <w:rPr>
      <w:rFonts w:ascii="Times New Roman" w:hAnsi="Times New Roman" w:eastAsiaTheme="majorEastAsia" w:cstheme="majorBidi"/>
      <w:b/>
      <w:bCs/>
      <w:sz w:val="24"/>
      <w:szCs w:val="28"/>
    </w:rPr>
  </w:style>
  <w:style w:type="character" w:customStyle="1" w:styleId="16">
    <w:name w:val="Heading 2 Char"/>
    <w:basedOn w:val="9"/>
    <w:link w:val="3"/>
    <w:uiPriority w:val="9"/>
    <w:rPr>
      <w:rFonts w:ascii="Times New Roman" w:hAnsi="Times New Roman" w:eastAsiaTheme="majorEastAsia" w:cstheme="majorBidi"/>
      <w:b/>
      <w:bCs/>
      <w:sz w:val="24"/>
      <w:szCs w:val="26"/>
    </w:rPr>
  </w:style>
  <w:style w:type="paragraph" w:customStyle="1" w:styleId="17">
    <w:name w:val="TOC Heading"/>
    <w:basedOn w:val="2"/>
    <w:next w:val="1"/>
    <w:semiHidden/>
    <w:unhideWhenUsed/>
    <w:qFormat/>
    <w:uiPriority w:val="39"/>
    <w:pPr>
      <w:spacing w:line="276" w:lineRule="auto"/>
      <w:jc w:val="left"/>
      <w:outlineLvl w:val="9"/>
    </w:pPr>
    <w:rPr>
      <w:rFonts w:asciiTheme="majorHAnsi" w:hAnsiTheme="majorHAnsi"/>
      <w:color w:val="2E75B6" w:themeColor="accent1" w:themeShade="BF"/>
      <w:sz w:val="28"/>
      <w:lang w:val="en-US" w:eastAsia="ja-JP"/>
    </w:rPr>
  </w:style>
  <w:style w:type="character" w:customStyle="1" w:styleId="18">
    <w:name w:val="Balloon Text Char"/>
    <w:basedOn w:val="9"/>
    <w:link w:val="4"/>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CCCA777-8FD3-4A62-A8BC-6EE6A4127F55}">
  <ds:schemaRefs/>
</ds:datastoreItem>
</file>

<file path=docProps/app.xml><?xml version="1.0" encoding="utf-8"?>
<Properties xmlns="http://schemas.openxmlformats.org/officeDocument/2006/extended-properties" xmlns:vt="http://schemas.openxmlformats.org/officeDocument/2006/docPropsVTypes">
  <Template>Normal</Template>
  <Pages>8</Pages>
  <Words>2284</Words>
  <Characters>13023</Characters>
  <Lines>108</Lines>
  <Paragraphs>30</Paragraphs>
  <TotalTime>9</TotalTime>
  <ScaleCrop>false</ScaleCrop>
  <LinksUpToDate>false</LinksUpToDate>
  <CharactersWithSpaces>15277</CharactersWithSpaces>
  <Application>WPS Office_11.2.0.9747_F1E327BC-269C-435d-A152-05C5408002CA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2020-12-12T08:27:00Z</dcterms:created>
  <dc:creator>Windows User</dc:creator>
  <cp:lastModifiedBy>Asus</cp:lastModifiedBy>
  <dcterms:modified xsi:type="dcterms:W3CDTF">2020-12-17T18:14:01Z</dcterms:modified>
  <cp:revision>3154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1033-11.2.0.9747</vt:lpwstr>
  </property>
</Properties>
</file>