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89E9F" w14:textId="77777777" w:rsidR="005C27C9" w:rsidRPr="00CC4C37" w:rsidRDefault="005C27C9" w:rsidP="005C27C9">
      <w:pPr>
        <w:jc w:val="center"/>
        <w:rPr>
          <w:sz w:val="36"/>
          <w:szCs w:val="36"/>
          <w:u w:val="single"/>
        </w:rPr>
      </w:pPr>
      <w:r w:rsidRPr="00CC4C37">
        <w:rPr>
          <w:sz w:val="36"/>
          <w:szCs w:val="36"/>
          <w:u w:val="single"/>
        </w:rPr>
        <w:t>Critical Commentary on the ‘</w:t>
      </w:r>
      <w:r w:rsidRPr="00CC4C37">
        <w:rPr>
          <w:i/>
          <w:iCs/>
          <w:sz w:val="36"/>
          <w:szCs w:val="36"/>
          <w:u w:val="single"/>
        </w:rPr>
        <w:t>Carta Caritatis’ extract</w:t>
      </w:r>
      <w:r w:rsidRPr="00CC4C37">
        <w:rPr>
          <w:sz w:val="36"/>
          <w:szCs w:val="36"/>
          <w:u w:val="single"/>
        </w:rPr>
        <w:t>.</w:t>
      </w:r>
    </w:p>
    <w:p w14:paraId="739A02D0" w14:textId="77777777" w:rsidR="005C27C9" w:rsidRPr="00CC4C37" w:rsidRDefault="005C27C9" w:rsidP="005C27C9">
      <w:pPr>
        <w:jc w:val="center"/>
        <w:rPr>
          <w:sz w:val="28"/>
          <w:szCs w:val="28"/>
          <w:u w:val="single"/>
        </w:rPr>
      </w:pPr>
    </w:p>
    <w:p w14:paraId="766AE995" w14:textId="77777777" w:rsidR="005C27C9" w:rsidRPr="00CC4C37" w:rsidRDefault="005C27C9" w:rsidP="005C27C9">
      <w:pPr>
        <w:pStyle w:val="NoSpacing"/>
        <w:jc w:val="right"/>
        <w:rPr>
          <w:sz w:val="16"/>
          <w:szCs w:val="16"/>
        </w:rPr>
      </w:pPr>
      <w:r w:rsidRPr="00CC4C37">
        <w:rPr>
          <w:sz w:val="16"/>
          <w:szCs w:val="16"/>
        </w:rPr>
        <w:t>Darren Tierney</w:t>
      </w:r>
    </w:p>
    <w:p w14:paraId="7E8FFB6D" w14:textId="77777777" w:rsidR="005C27C9" w:rsidRPr="00CC4C37" w:rsidRDefault="005C27C9" w:rsidP="005C27C9">
      <w:pPr>
        <w:pStyle w:val="NoSpacing"/>
        <w:jc w:val="right"/>
        <w:rPr>
          <w:sz w:val="16"/>
          <w:szCs w:val="16"/>
        </w:rPr>
      </w:pPr>
      <w:r w:rsidRPr="00CC4C37">
        <w:rPr>
          <w:sz w:val="16"/>
          <w:szCs w:val="16"/>
        </w:rPr>
        <w:t>Level 6</w:t>
      </w:r>
    </w:p>
    <w:p w14:paraId="74AD8000" w14:textId="77777777" w:rsidR="005C27C9" w:rsidRDefault="005C27C9" w:rsidP="005C27C9">
      <w:pPr>
        <w:pStyle w:val="NoSpacing"/>
        <w:jc w:val="right"/>
        <w:rPr>
          <w:sz w:val="16"/>
          <w:szCs w:val="16"/>
        </w:rPr>
      </w:pPr>
      <w:r w:rsidRPr="00CC4C37">
        <w:rPr>
          <w:sz w:val="16"/>
          <w:szCs w:val="16"/>
        </w:rPr>
        <w:t>01/03/24</w:t>
      </w:r>
    </w:p>
    <w:p w14:paraId="3E2765EE" w14:textId="77777777" w:rsidR="005C27C9" w:rsidRDefault="005C27C9"/>
    <w:p w14:paraId="7D5F3575" w14:textId="3B1740BB" w:rsidR="00F578F6" w:rsidRDefault="005C27C9" w:rsidP="00195A44">
      <w:pPr>
        <w:ind w:firstLine="720"/>
      </w:pPr>
      <w:r>
        <w:t>The ‘Carta Caritatis’ is a medieval legal document created by the Cistercians</w:t>
      </w:r>
      <w:r w:rsidR="00474607">
        <w:t xml:space="preserve">, the name </w:t>
      </w:r>
      <w:r>
        <w:t xml:space="preserve">translates </w:t>
      </w:r>
      <w:r w:rsidR="00474607">
        <w:t>from Latin</w:t>
      </w:r>
      <w:r>
        <w:t xml:space="preserve"> </w:t>
      </w:r>
      <w:r w:rsidR="00474607">
        <w:t xml:space="preserve">to </w:t>
      </w:r>
      <w:r>
        <w:t>the ‘Charter of Charity’.</w:t>
      </w:r>
      <w:r>
        <w:rPr>
          <w:rStyle w:val="FootnoteReference"/>
        </w:rPr>
        <w:footnoteReference w:id="1"/>
      </w:r>
      <w:r>
        <w:t xml:space="preserve"> It was one of the many charters that the Cistercians created to standardise a rule of law throughout their many growing </w:t>
      </w:r>
      <w:r w:rsidR="002E2CF9">
        <w:t>monasteries,</w:t>
      </w:r>
      <w:r>
        <w:t xml:space="preserve"> and it stems from the Cistercian tradition of closely following the Rule of St Benedict. The document itself was approbated in 1119 by the Pope Calixtus II, this in itself shows the influence that the Cistercians had within Catholicism as a whole.</w:t>
      </w:r>
      <w:r>
        <w:rPr>
          <w:rStyle w:val="FootnoteReference"/>
        </w:rPr>
        <w:footnoteReference w:id="2"/>
      </w:r>
      <w:r>
        <w:t xml:space="preserve"> In this commentary I will be looking at an extract specifically </w:t>
      </w:r>
      <w:r w:rsidR="00474607">
        <w:t>concerning the procedure that happens upon</w:t>
      </w:r>
      <w:r>
        <w:t xml:space="preserve"> the death of an abbot</w:t>
      </w:r>
      <w:r w:rsidR="00474607">
        <w:t>.</w:t>
      </w:r>
      <w:r>
        <w:t xml:space="preserve"> </w:t>
      </w:r>
      <w:r w:rsidR="00474607">
        <w:t>This extract</w:t>
      </w:r>
      <w:r>
        <w:t xml:space="preserve"> focus</w:t>
      </w:r>
      <w:r w:rsidR="00474607">
        <w:t>es</w:t>
      </w:r>
      <w:r>
        <w:t xml:space="preserve"> on new</w:t>
      </w:r>
      <w:r w:rsidR="00474607">
        <w:t xml:space="preserve">ly founded </w:t>
      </w:r>
      <w:r>
        <w:t>monaster</w:t>
      </w:r>
      <w:r w:rsidR="00474607">
        <w:t>ies</w:t>
      </w:r>
      <w:r>
        <w:t xml:space="preserve"> </w:t>
      </w:r>
      <w:r w:rsidR="00474607">
        <w:t xml:space="preserve">and is put in place to create a </w:t>
      </w:r>
      <w:r w:rsidR="00F578F6">
        <w:t xml:space="preserve">hierarchy between any new </w:t>
      </w:r>
      <w:r w:rsidR="00474607">
        <w:t>daughter house</w:t>
      </w:r>
      <w:r w:rsidR="00F578F6">
        <w:t xml:space="preserve"> </w:t>
      </w:r>
      <w:r w:rsidR="00474607">
        <w:t>to</w:t>
      </w:r>
      <w:r w:rsidR="00F578F6">
        <w:t xml:space="preserve"> Citeaux</w:t>
      </w:r>
      <w:r w:rsidR="00474607">
        <w:t xml:space="preserve"> the mother house</w:t>
      </w:r>
      <w:r>
        <w:t>.</w:t>
      </w:r>
      <w:r>
        <w:rPr>
          <w:rStyle w:val="FootnoteReference"/>
        </w:rPr>
        <w:footnoteReference w:id="3"/>
      </w:r>
      <w:r>
        <w:t xml:space="preserve"> </w:t>
      </w:r>
      <w:r w:rsidR="00F578F6">
        <w:t>Gonzalo suggests that this charter became the foundation to Cistercian identity to be ‘extended through time and space’</w:t>
      </w:r>
      <w:r w:rsidR="00F578F6">
        <w:rPr>
          <w:rStyle w:val="FootnoteReference"/>
        </w:rPr>
        <w:footnoteReference w:id="4"/>
      </w:r>
      <w:r w:rsidR="00F578F6">
        <w:t xml:space="preserve"> and this charter is still revered by Cistercians and Trappists to this day.</w:t>
      </w:r>
    </w:p>
    <w:p w14:paraId="72D97274" w14:textId="153942BA" w:rsidR="00F578F6" w:rsidRDefault="00F578F6">
      <w:r>
        <w:t xml:space="preserve">The extract is found within the eleventh and final chapter </w:t>
      </w:r>
      <w:r w:rsidR="00474607">
        <w:t>of</w:t>
      </w:r>
      <w:r>
        <w:t xml:space="preserve"> the charter</w:t>
      </w:r>
      <w:r w:rsidR="00474607">
        <w:t>,</w:t>
      </w:r>
      <w:r>
        <w:t xml:space="preserve"> it </w:t>
      </w:r>
      <w:r w:rsidR="00474607">
        <w:t>is titled as</w:t>
      </w:r>
      <w:r>
        <w:t xml:space="preserve"> ‘death and election of abbots’. In this extract we learn from the title about the protocols that are in place upon a monastery undergoing re-election due to the ‘death of their father’</w:t>
      </w:r>
      <w:r w:rsidR="00474607">
        <w:t>,</w:t>
      </w:r>
      <w:r w:rsidR="0025200E">
        <w:t xml:space="preserve"> t</w:t>
      </w:r>
      <w:r w:rsidR="00474607">
        <w:t>he father being the</w:t>
      </w:r>
      <w:r w:rsidR="0025200E">
        <w:t xml:space="preserve"> abbot of the monastery. An abbot in a monastery fulfils a patriarchal role, the death of such a figure in a monastery would surely be a critical moment in the history of the site, all of the monks within the monastery would pay homage to his death. This event is anticipated by the charter, it lists the steps the monks must take to allow the veneration of their late father and keep the monastery in a stable state and a smooth transition into an elective process.</w:t>
      </w:r>
    </w:p>
    <w:p w14:paraId="668C0752" w14:textId="003B46C5" w:rsidR="0025200E" w:rsidRDefault="0025200E">
      <w:r>
        <w:tab/>
        <w:t>The first detail that is revealed to us is that the new monastery must send three messengers to the abbot of nearby monastic houses, or should they wish</w:t>
      </w:r>
      <w:r w:rsidR="00474607">
        <w:t>,</w:t>
      </w:r>
      <w:r>
        <w:t xml:space="preserve"> as many </w:t>
      </w:r>
      <w:r w:rsidR="00474607">
        <w:t xml:space="preserve">more </w:t>
      </w:r>
      <w:r>
        <w:t>as they w</w:t>
      </w:r>
      <w:r w:rsidR="00474607">
        <w:t>ould like</w:t>
      </w:r>
      <w:r>
        <w:t xml:space="preserve">. After this messaging process they would wait for fifteen days for as many monks and abbots that appear. </w:t>
      </w:r>
      <w:r w:rsidR="00195A44">
        <w:t>Fifteen days is a very specific time, it is long enough for the bereaved to gather</w:t>
      </w:r>
      <w:r w:rsidR="00474607">
        <w:t xml:space="preserve"> but not too long to keep the lord waiting</w:t>
      </w:r>
      <w:r w:rsidR="00195A44">
        <w:t>. The monks then appoint one shepherd, specifically one that ‘God has foreseen’</w:t>
      </w:r>
      <w:r w:rsidR="008A609F">
        <w:t>. This can be speculated to be</w:t>
      </w:r>
      <w:r w:rsidR="00195A44">
        <w:t xml:space="preserve"> an abbot from another monastery or a monk that is particularly venerated and virtuous.</w:t>
      </w:r>
      <w:r w:rsidR="0037660B">
        <w:t xml:space="preserve"> </w:t>
      </w:r>
      <w:r w:rsidR="004902F9">
        <w:t xml:space="preserve">The abbot of La Ferté is to take the place of the deceased abbot in everything, this would allow the monastery to carry on with its </w:t>
      </w:r>
      <w:r w:rsidR="008A609F">
        <w:t>daily procedures and formalities.</w:t>
      </w:r>
      <w:r w:rsidR="004902F9">
        <w:t xml:space="preserve"> This</w:t>
      </w:r>
      <w:r w:rsidR="008A609F">
        <w:t xml:space="preserve"> procedure</w:t>
      </w:r>
      <w:r w:rsidR="004902F9">
        <w:t xml:space="preserve"> may discourage a struggle to power that may happen within a</w:t>
      </w:r>
      <w:r w:rsidR="008A609F">
        <w:t>n unsupervised</w:t>
      </w:r>
      <w:r w:rsidR="004902F9">
        <w:t xml:space="preserve"> environment with an authority vacuum. This charter states that a new abbot must be elected from anywhere within the Cistercian order, this electoral process may alleviate corruption on a secular basis and keep the monastery in li</w:t>
      </w:r>
      <w:r w:rsidR="008A609F">
        <w:t>n</w:t>
      </w:r>
      <w:r w:rsidR="004902F9">
        <w:t xml:space="preserve">e with the </w:t>
      </w:r>
      <w:r w:rsidR="004902F9">
        <w:lastRenderedPageBreak/>
        <w:t>Rule of St Benedict, a house of virtue and simple living, rather than one of ambition and a struggle for power.</w:t>
      </w:r>
    </w:p>
    <w:p w14:paraId="065613D3" w14:textId="5CABB5CA" w:rsidR="002E2CF9" w:rsidRDefault="00E469EA" w:rsidP="008A609F">
      <w:pPr>
        <w:ind w:firstLine="720"/>
      </w:pPr>
      <w:r>
        <w:t>This simple guideline that is set out links Citeaux to newer founded monasteries</w:t>
      </w:r>
      <w:r w:rsidR="008A609F">
        <w:t>.</w:t>
      </w:r>
      <w:r>
        <w:t xml:space="preserve"> </w:t>
      </w:r>
      <w:r w:rsidR="008A609F">
        <w:t>I</w:t>
      </w:r>
      <w:r>
        <w:t>t suggests venerating the original abbot of the monastery</w:t>
      </w:r>
      <w:r w:rsidR="008A609F">
        <w:t>,</w:t>
      </w:r>
      <w:r>
        <w:t xml:space="preserve"> when the death of an abbot </w:t>
      </w:r>
      <w:r w:rsidR="008A609F">
        <w:t>happens, tradition is evoked to</w:t>
      </w:r>
      <w:r>
        <w:t xml:space="preserve"> respect both the abbot and the history of the monastery. Veneration and rite shows praise to the original intentions of the monastery, keeping to traditions that brought the Cistercians together in brotherhood in the first place.</w:t>
      </w:r>
      <w:r>
        <w:rPr>
          <w:rStyle w:val="FootnoteReference"/>
        </w:rPr>
        <w:footnoteReference w:id="5"/>
      </w:r>
      <w:r w:rsidR="002E2CF9">
        <w:t xml:space="preserve"> This rigorous ruleset seems to be intended to keeping the hierarchical structure of the monastery focused on one thing alone, tradition and the Rule of St Benedict</w:t>
      </w:r>
      <w:r w:rsidR="008A609F">
        <w:t>. The charter</w:t>
      </w:r>
      <w:r w:rsidR="002E2CF9">
        <w:t xml:space="preserve"> attempt</w:t>
      </w:r>
      <w:r w:rsidR="008A609F">
        <w:t>s</w:t>
      </w:r>
      <w:r w:rsidR="002E2CF9">
        <w:t xml:space="preserve"> to quash practices that may occur by self-regulated monasteries such as nepotism and greed. In this tradition as previously stated </w:t>
      </w:r>
      <w:r w:rsidR="008A609F">
        <w:t>an</w:t>
      </w:r>
      <w:r w:rsidR="002E2CF9">
        <w:t xml:space="preserve"> abbot can be elected from anywhere within the Cistercian hemisphere, so while it could be someone from the monastery itself the openness to this elective process would be intended to </w:t>
      </w:r>
      <w:r w:rsidR="008A609F">
        <w:t>allow easy oversight</w:t>
      </w:r>
      <w:r w:rsidR="002E2CF9">
        <w:t>.</w:t>
      </w:r>
      <w:r w:rsidR="008A609F">
        <w:t xml:space="preserve"> </w:t>
      </w:r>
      <w:r w:rsidR="002E2CF9">
        <w:t xml:space="preserve">Charters like these are what made the Cistercian expansion so successful, their legal processes that they put in place helped them cement their position as a powerhouse in the </w:t>
      </w:r>
      <w:r w:rsidR="00EB3B92">
        <w:t>Middle Ages</w:t>
      </w:r>
      <w:r w:rsidR="002E2CF9">
        <w:t>. Although</w:t>
      </w:r>
      <w:r w:rsidR="008A609F">
        <w:t xml:space="preserve"> later into the Middle Ages</w:t>
      </w:r>
      <w:r w:rsidR="002E2CF9">
        <w:t xml:space="preserve"> it seem</w:t>
      </w:r>
      <w:r w:rsidR="008A609F">
        <w:t>ed</w:t>
      </w:r>
      <w:r w:rsidR="002E2CF9">
        <w:t xml:space="preserve"> that they may have strayed from their original path, their charters were made with good intentions to create </w:t>
      </w:r>
      <w:r w:rsidR="00EB3B92">
        <w:t>a structural integrity</w:t>
      </w:r>
      <w:r w:rsidR="002E2CF9">
        <w:t xml:space="preserve"> that is resistant to corruption.</w:t>
      </w:r>
    </w:p>
    <w:p w14:paraId="6A8EE0E1" w14:textId="77777777" w:rsidR="002E2CF9" w:rsidRDefault="002E2CF9" w:rsidP="00E469EA">
      <w:pPr>
        <w:ind w:firstLine="720"/>
      </w:pPr>
    </w:p>
    <w:p w14:paraId="48EF5A58" w14:textId="77777777" w:rsidR="00836A8A" w:rsidRDefault="00836A8A" w:rsidP="00E469EA">
      <w:pPr>
        <w:ind w:firstLine="720"/>
      </w:pPr>
    </w:p>
    <w:p w14:paraId="2C1BFF76" w14:textId="77777777" w:rsidR="00143E22" w:rsidRDefault="00143E22" w:rsidP="00E469EA">
      <w:pPr>
        <w:ind w:firstLine="720"/>
      </w:pPr>
    </w:p>
    <w:p w14:paraId="0A0FA30D" w14:textId="77777777" w:rsidR="00143E22" w:rsidRDefault="00143E22" w:rsidP="00E469EA">
      <w:pPr>
        <w:ind w:firstLine="720"/>
      </w:pPr>
    </w:p>
    <w:p w14:paraId="2D4960F0" w14:textId="77777777" w:rsidR="00143E22" w:rsidRDefault="00143E22" w:rsidP="00E469EA">
      <w:pPr>
        <w:ind w:firstLine="720"/>
      </w:pPr>
    </w:p>
    <w:p w14:paraId="1471B50C" w14:textId="77777777" w:rsidR="00143E22" w:rsidRDefault="00143E22" w:rsidP="00E469EA">
      <w:pPr>
        <w:ind w:firstLine="720"/>
      </w:pPr>
    </w:p>
    <w:p w14:paraId="72F7679B" w14:textId="77777777" w:rsidR="00836A8A" w:rsidRDefault="00836A8A" w:rsidP="00E469EA">
      <w:pPr>
        <w:ind w:firstLine="720"/>
      </w:pPr>
    </w:p>
    <w:p w14:paraId="1B55EE2B" w14:textId="77777777" w:rsidR="00836A8A" w:rsidRDefault="00836A8A" w:rsidP="00E469EA">
      <w:pPr>
        <w:ind w:firstLine="720"/>
      </w:pPr>
    </w:p>
    <w:p w14:paraId="439C69A4" w14:textId="77777777" w:rsidR="00836A8A" w:rsidRDefault="00836A8A" w:rsidP="00E469EA">
      <w:pPr>
        <w:ind w:firstLine="720"/>
      </w:pPr>
    </w:p>
    <w:p w14:paraId="6A065DC2" w14:textId="77777777" w:rsidR="00836A8A" w:rsidRDefault="00836A8A" w:rsidP="00E469EA">
      <w:pPr>
        <w:ind w:firstLine="720"/>
      </w:pPr>
    </w:p>
    <w:p w14:paraId="0C649827" w14:textId="77777777" w:rsidR="00836A8A" w:rsidRDefault="00836A8A" w:rsidP="00E469EA">
      <w:pPr>
        <w:ind w:firstLine="720"/>
      </w:pPr>
    </w:p>
    <w:p w14:paraId="6B09C92A" w14:textId="77777777" w:rsidR="00EB3B92" w:rsidRDefault="00EB3B92" w:rsidP="00E469EA">
      <w:pPr>
        <w:ind w:firstLine="720"/>
      </w:pPr>
    </w:p>
    <w:p w14:paraId="05ECB7EF" w14:textId="77777777" w:rsidR="00EB3B92" w:rsidRDefault="00EB3B92" w:rsidP="00E469EA">
      <w:pPr>
        <w:ind w:firstLine="720"/>
      </w:pPr>
    </w:p>
    <w:p w14:paraId="214A0A07" w14:textId="77777777" w:rsidR="00EB3B92" w:rsidRDefault="00EB3B92" w:rsidP="00E469EA">
      <w:pPr>
        <w:ind w:firstLine="720"/>
      </w:pPr>
    </w:p>
    <w:p w14:paraId="3E99CE43" w14:textId="77777777" w:rsidR="00EB3B92" w:rsidRDefault="00EB3B92" w:rsidP="00E469EA">
      <w:pPr>
        <w:ind w:firstLine="720"/>
      </w:pPr>
    </w:p>
    <w:p w14:paraId="3C6BDB86" w14:textId="77777777" w:rsidR="00EB3B92" w:rsidRDefault="00EB3B92" w:rsidP="00E469EA">
      <w:pPr>
        <w:ind w:firstLine="720"/>
      </w:pPr>
    </w:p>
    <w:p w14:paraId="799A9A37" w14:textId="77777777" w:rsidR="00836A8A" w:rsidRDefault="00836A8A" w:rsidP="00EB3B92"/>
    <w:p w14:paraId="6883BA1A" w14:textId="77777777" w:rsidR="00836A8A" w:rsidRPr="00D02A18" w:rsidRDefault="00836A8A" w:rsidP="00836A8A">
      <w:pPr>
        <w:jc w:val="center"/>
        <w:rPr>
          <w:sz w:val="52"/>
          <w:szCs w:val="52"/>
          <w:u w:val="single"/>
        </w:rPr>
      </w:pPr>
      <w:r w:rsidRPr="00D02A18">
        <w:rPr>
          <w:sz w:val="52"/>
          <w:szCs w:val="52"/>
          <w:u w:val="single"/>
        </w:rPr>
        <w:lastRenderedPageBreak/>
        <w:t>Bibliography</w:t>
      </w:r>
    </w:p>
    <w:p w14:paraId="20876BA9" w14:textId="77777777" w:rsidR="00836A8A" w:rsidRPr="00D02A18" w:rsidRDefault="00836A8A" w:rsidP="00836A8A">
      <w:pPr>
        <w:rPr>
          <w:sz w:val="32"/>
          <w:szCs w:val="32"/>
          <w:u w:val="single"/>
        </w:rPr>
      </w:pPr>
      <w:r w:rsidRPr="00D02A18">
        <w:rPr>
          <w:sz w:val="32"/>
          <w:szCs w:val="32"/>
          <w:u w:val="single"/>
        </w:rPr>
        <w:t>Primary Sources</w:t>
      </w:r>
    </w:p>
    <w:p w14:paraId="063A01AC" w14:textId="0CF19B7D" w:rsidR="00836A8A" w:rsidRPr="0049263B" w:rsidRDefault="000B0759" w:rsidP="00836A8A">
      <w:pPr>
        <w:rPr>
          <w:sz w:val="24"/>
          <w:szCs w:val="24"/>
        </w:rPr>
      </w:pPr>
      <w:r w:rsidRPr="000B0759">
        <w:rPr>
          <w:i/>
          <w:iCs/>
          <w:sz w:val="24"/>
          <w:szCs w:val="24"/>
        </w:rPr>
        <w:t>Carta Caritatis</w:t>
      </w:r>
      <w:r>
        <w:rPr>
          <w:sz w:val="24"/>
          <w:szCs w:val="24"/>
        </w:rPr>
        <w:t xml:space="preserve">, Online PDF, </w:t>
      </w:r>
      <w:r w:rsidR="00A24FAC">
        <w:rPr>
          <w:sz w:val="24"/>
          <w:szCs w:val="24"/>
        </w:rPr>
        <w:t>(</w:t>
      </w:r>
      <w:r>
        <w:rPr>
          <w:sz w:val="24"/>
          <w:szCs w:val="24"/>
        </w:rPr>
        <w:t xml:space="preserve">available at: </w:t>
      </w:r>
      <w:hyperlink r:id="rId6" w:history="1">
        <w:r w:rsidRPr="00FF52FE">
          <w:rPr>
            <w:rStyle w:val="Hyperlink"/>
            <w:sz w:val="24"/>
            <w:szCs w:val="24"/>
          </w:rPr>
          <w:t>https://ocso.org/resources/foundational-text/charter-of-charity/</w:t>
        </w:r>
      </w:hyperlink>
      <w:r w:rsidR="00A24FAC">
        <w:rPr>
          <w:rStyle w:val="Hyperlink"/>
          <w:sz w:val="24"/>
          <w:szCs w:val="24"/>
        </w:rPr>
        <w:t>)</w:t>
      </w:r>
      <w:r>
        <w:rPr>
          <w:sz w:val="24"/>
          <w:szCs w:val="24"/>
        </w:rPr>
        <w:t xml:space="preserve">, </w:t>
      </w:r>
      <w:r w:rsidR="00A24FAC">
        <w:rPr>
          <w:sz w:val="24"/>
          <w:szCs w:val="24"/>
        </w:rPr>
        <w:t>[</w:t>
      </w:r>
      <w:r>
        <w:rPr>
          <w:sz w:val="24"/>
          <w:szCs w:val="24"/>
        </w:rPr>
        <w:t>Accessed 01/03/2024</w:t>
      </w:r>
      <w:r w:rsidR="00A24FAC">
        <w:rPr>
          <w:sz w:val="24"/>
          <w:szCs w:val="24"/>
        </w:rPr>
        <w:t>]</w:t>
      </w:r>
    </w:p>
    <w:p w14:paraId="7A5EDDB3" w14:textId="77777777" w:rsidR="00836A8A" w:rsidRPr="00D02A18" w:rsidRDefault="00836A8A" w:rsidP="00836A8A">
      <w:pPr>
        <w:rPr>
          <w:sz w:val="32"/>
          <w:szCs w:val="32"/>
          <w:u w:val="single"/>
        </w:rPr>
      </w:pPr>
      <w:r w:rsidRPr="00D02A18">
        <w:rPr>
          <w:sz w:val="32"/>
          <w:szCs w:val="32"/>
          <w:u w:val="single"/>
        </w:rPr>
        <w:t>Secondary Sources</w:t>
      </w:r>
    </w:p>
    <w:p w14:paraId="6C85BEB7" w14:textId="77777777" w:rsidR="00A24FAC" w:rsidRDefault="00A24FAC" w:rsidP="00A24FAC">
      <w:r>
        <w:t xml:space="preserve">Gonzalo, M., ‘We Cistercians’: Rediscovering Our Common Identity Through the Charter of Charity, </w:t>
      </w:r>
      <w:r>
        <w:rPr>
          <w:i/>
          <w:iCs/>
        </w:rPr>
        <w:t xml:space="preserve">Cistercian Studies Quarterly, </w:t>
      </w:r>
      <w:r>
        <w:t>55, 4 (2020), 473-480</w:t>
      </w:r>
    </w:p>
    <w:p w14:paraId="3760FEEB" w14:textId="6C98D8C4" w:rsidR="00222675" w:rsidRDefault="000B0759" w:rsidP="000B0759">
      <w:r>
        <w:t>Truax</w:t>
      </w:r>
      <w:r w:rsidR="00222675">
        <w:t>,</w:t>
      </w:r>
      <w:r w:rsidR="00222675" w:rsidRPr="00222675">
        <w:t xml:space="preserve"> </w:t>
      </w:r>
      <w:r w:rsidR="00222675">
        <w:t>J.</w:t>
      </w:r>
      <w:r>
        <w:t xml:space="preserve">, </w:t>
      </w:r>
      <w:r>
        <w:rPr>
          <w:i/>
          <w:iCs/>
        </w:rPr>
        <w:t>Like Mother Like Daughter? The Evidence of Early Cistercian Charters,</w:t>
      </w:r>
      <w:r>
        <w:t xml:space="preserve"> Cistercian Studies Quarterly, 53, 1 (2018)</w:t>
      </w:r>
    </w:p>
    <w:p w14:paraId="73A16704" w14:textId="3491E5C7" w:rsidR="00EB3B92" w:rsidRPr="00EB3B92" w:rsidRDefault="00EB3B92" w:rsidP="000B0759">
      <w:r>
        <w:t xml:space="preserve">O’Neill, K., The Charter of Charity, 1119-2019: Introduction, </w:t>
      </w:r>
      <w:r>
        <w:rPr>
          <w:i/>
          <w:iCs/>
        </w:rPr>
        <w:t xml:space="preserve">Cistercian Studies Quarterly, </w:t>
      </w:r>
      <w:r>
        <w:t>55, 4 (2020) 377-380</w:t>
      </w:r>
    </w:p>
    <w:sectPr w:rsidR="00EB3B92" w:rsidRPr="00EB3B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D6BAB" w14:textId="77777777" w:rsidR="008F51DC" w:rsidRDefault="008F51DC" w:rsidP="005C27C9">
      <w:pPr>
        <w:spacing w:after="0" w:line="240" w:lineRule="auto"/>
      </w:pPr>
      <w:r>
        <w:separator/>
      </w:r>
    </w:p>
  </w:endnote>
  <w:endnote w:type="continuationSeparator" w:id="0">
    <w:p w14:paraId="1E39A2CA" w14:textId="77777777" w:rsidR="008F51DC" w:rsidRDefault="008F51DC" w:rsidP="005C2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4B80B" w14:textId="77777777" w:rsidR="008F51DC" w:rsidRDefault="008F51DC" w:rsidP="005C27C9">
      <w:pPr>
        <w:spacing w:after="0" w:line="240" w:lineRule="auto"/>
      </w:pPr>
      <w:r>
        <w:separator/>
      </w:r>
    </w:p>
  </w:footnote>
  <w:footnote w:type="continuationSeparator" w:id="0">
    <w:p w14:paraId="123FCD29" w14:textId="77777777" w:rsidR="008F51DC" w:rsidRDefault="008F51DC" w:rsidP="005C27C9">
      <w:pPr>
        <w:spacing w:after="0" w:line="240" w:lineRule="auto"/>
      </w:pPr>
      <w:r>
        <w:continuationSeparator/>
      </w:r>
    </w:p>
  </w:footnote>
  <w:footnote w:id="1">
    <w:p w14:paraId="77F1BFFC" w14:textId="6E0A681E" w:rsidR="005C27C9" w:rsidRPr="000B0759" w:rsidRDefault="005C27C9" w:rsidP="000B0759">
      <w:pPr>
        <w:pStyle w:val="NoSpacing"/>
      </w:pPr>
      <w:r>
        <w:rPr>
          <w:rStyle w:val="FootnoteReference"/>
        </w:rPr>
        <w:footnoteRef/>
      </w:r>
      <w:r>
        <w:t xml:space="preserve"> </w:t>
      </w:r>
      <w:r w:rsidR="000B0759" w:rsidRPr="00474607">
        <w:rPr>
          <w:i/>
          <w:iCs/>
          <w:sz w:val="20"/>
          <w:szCs w:val="20"/>
        </w:rPr>
        <w:t>Carta Caritatis</w:t>
      </w:r>
      <w:r w:rsidR="000B0759" w:rsidRPr="00474607">
        <w:rPr>
          <w:sz w:val="20"/>
          <w:szCs w:val="20"/>
        </w:rPr>
        <w:t xml:space="preserve">, Online PDF, available at: </w:t>
      </w:r>
      <w:hyperlink r:id="rId1" w:history="1">
        <w:r w:rsidR="000B0759" w:rsidRPr="00474607">
          <w:rPr>
            <w:rStyle w:val="Hyperlink"/>
            <w:sz w:val="20"/>
            <w:szCs w:val="20"/>
          </w:rPr>
          <w:t>https://ocso.org/resources/foundational-text/charter-of-charity/</w:t>
        </w:r>
      </w:hyperlink>
      <w:r w:rsidR="000B0759" w:rsidRPr="00474607">
        <w:rPr>
          <w:sz w:val="20"/>
          <w:szCs w:val="20"/>
        </w:rPr>
        <w:t>, Accessed 01/03/2024</w:t>
      </w:r>
    </w:p>
  </w:footnote>
  <w:footnote w:id="2">
    <w:p w14:paraId="49186138" w14:textId="64C1AD1A" w:rsidR="005C27C9" w:rsidRDefault="005C27C9" w:rsidP="00EB3B92">
      <w:pPr>
        <w:pStyle w:val="NoSpacing"/>
      </w:pPr>
      <w:r>
        <w:rPr>
          <w:rStyle w:val="FootnoteReference"/>
        </w:rPr>
        <w:footnoteRef/>
      </w:r>
      <w:r>
        <w:t xml:space="preserve"> </w:t>
      </w:r>
      <w:r w:rsidR="00EB3B92" w:rsidRPr="00EB3B92">
        <w:rPr>
          <w:sz w:val="20"/>
          <w:szCs w:val="20"/>
        </w:rPr>
        <w:t xml:space="preserve">O’Neill, K., The Charter of Charity, 1119-2019: Introduction, </w:t>
      </w:r>
      <w:r w:rsidR="00EB3B92" w:rsidRPr="00EB3B92">
        <w:rPr>
          <w:i/>
          <w:iCs/>
          <w:sz w:val="20"/>
          <w:szCs w:val="20"/>
        </w:rPr>
        <w:t xml:space="preserve">Cistercian Studies Quarterly, </w:t>
      </w:r>
      <w:r w:rsidR="00EB3B92" w:rsidRPr="00EB3B92">
        <w:rPr>
          <w:sz w:val="20"/>
          <w:szCs w:val="20"/>
        </w:rPr>
        <w:t xml:space="preserve">55, 4 (2020) 377-380, </w:t>
      </w:r>
      <w:r w:rsidR="00222675" w:rsidRPr="00EB3B92">
        <w:rPr>
          <w:sz w:val="20"/>
          <w:szCs w:val="20"/>
        </w:rPr>
        <w:t>p. 378</w:t>
      </w:r>
    </w:p>
  </w:footnote>
  <w:footnote w:id="3">
    <w:p w14:paraId="406122FF" w14:textId="6D40BDEF" w:rsidR="005C27C9" w:rsidRPr="000B0759" w:rsidRDefault="005C27C9">
      <w:pPr>
        <w:pStyle w:val="FootnoteText"/>
      </w:pPr>
      <w:r>
        <w:rPr>
          <w:rStyle w:val="FootnoteReference"/>
        </w:rPr>
        <w:footnoteRef/>
      </w:r>
      <w:r>
        <w:t xml:space="preserve"> </w:t>
      </w:r>
      <w:r w:rsidR="000B0759">
        <w:t xml:space="preserve">J. Truax, </w:t>
      </w:r>
      <w:r w:rsidR="000B0759">
        <w:rPr>
          <w:i/>
          <w:iCs/>
        </w:rPr>
        <w:t>Like Mother Like DaughterThe Evidence of Early Cistercian Charters,</w:t>
      </w:r>
      <w:r w:rsidR="000B0759">
        <w:t xml:space="preserve"> Cistercian Studies Quarterly, 53, 1 (2018) pp. 55-72</w:t>
      </w:r>
    </w:p>
  </w:footnote>
  <w:footnote w:id="4">
    <w:p w14:paraId="09D59B77" w14:textId="4C0BAB2C" w:rsidR="00F578F6" w:rsidRDefault="00F578F6" w:rsidP="00222675">
      <w:pPr>
        <w:pStyle w:val="NoSpacing"/>
      </w:pPr>
      <w:r>
        <w:rPr>
          <w:rStyle w:val="FootnoteReference"/>
        </w:rPr>
        <w:footnoteRef/>
      </w:r>
      <w:r>
        <w:t xml:space="preserve"> </w:t>
      </w:r>
      <w:r w:rsidR="00222675">
        <w:t xml:space="preserve">M. </w:t>
      </w:r>
      <w:r w:rsidR="00222675" w:rsidRPr="00222675">
        <w:rPr>
          <w:sz w:val="20"/>
          <w:szCs w:val="20"/>
        </w:rPr>
        <w:t xml:space="preserve">Gonzalo, ‘We Cistercians’: Rediscovering Our Common Identity Through the Charter of Charity, </w:t>
      </w:r>
      <w:r w:rsidR="00222675" w:rsidRPr="00222675">
        <w:rPr>
          <w:i/>
          <w:iCs/>
          <w:sz w:val="20"/>
          <w:szCs w:val="20"/>
        </w:rPr>
        <w:t xml:space="preserve">Cistercian Studies Quarterly, </w:t>
      </w:r>
      <w:r w:rsidR="00222675" w:rsidRPr="00222675">
        <w:rPr>
          <w:sz w:val="20"/>
          <w:szCs w:val="20"/>
        </w:rPr>
        <w:t xml:space="preserve">55, 4 (2020), 473-480, </w:t>
      </w:r>
      <w:r w:rsidRPr="00222675">
        <w:rPr>
          <w:sz w:val="20"/>
          <w:szCs w:val="20"/>
        </w:rPr>
        <w:t>p. 473</w:t>
      </w:r>
    </w:p>
  </w:footnote>
  <w:footnote w:id="5">
    <w:p w14:paraId="65EB8FBE" w14:textId="7F6A4630" w:rsidR="00E469EA" w:rsidRDefault="00E469EA">
      <w:pPr>
        <w:pStyle w:val="FootnoteText"/>
      </w:pPr>
      <w:r>
        <w:rPr>
          <w:rStyle w:val="FootnoteReference"/>
        </w:rPr>
        <w:footnoteRef/>
      </w:r>
      <w:r>
        <w:t xml:space="preserve"> </w:t>
      </w:r>
      <w:r w:rsidR="000B0759">
        <w:t>Truax p. 71-72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7C9"/>
    <w:rsid w:val="000B0759"/>
    <w:rsid w:val="00143E22"/>
    <w:rsid w:val="00195A44"/>
    <w:rsid w:val="00222675"/>
    <w:rsid w:val="0025200E"/>
    <w:rsid w:val="002D7C45"/>
    <w:rsid w:val="002E2CF9"/>
    <w:rsid w:val="0037660B"/>
    <w:rsid w:val="00474607"/>
    <w:rsid w:val="004902F9"/>
    <w:rsid w:val="005C27C9"/>
    <w:rsid w:val="00836A8A"/>
    <w:rsid w:val="008A609F"/>
    <w:rsid w:val="008F51DC"/>
    <w:rsid w:val="009D6579"/>
    <w:rsid w:val="00A24FAC"/>
    <w:rsid w:val="00CD543C"/>
    <w:rsid w:val="00D02A18"/>
    <w:rsid w:val="00DD3494"/>
    <w:rsid w:val="00E469EA"/>
    <w:rsid w:val="00E732FE"/>
    <w:rsid w:val="00EB3B92"/>
    <w:rsid w:val="00F57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97B11"/>
  <w15:chartTrackingRefBased/>
  <w15:docId w15:val="{061E1A37-CAE9-49DF-84CF-5A8BDC89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7C9"/>
  </w:style>
  <w:style w:type="paragraph" w:styleId="Heading1">
    <w:name w:val="heading 1"/>
    <w:basedOn w:val="Normal"/>
    <w:next w:val="Normal"/>
    <w:link w:val="Heading1Char"/>
    <w:uiPriority w:val="9"/>
    <w:qFormat/>
    <w:rsid w:val="005C27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7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7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7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7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7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7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7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7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7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7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7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7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7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7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7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7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7C9"/>
    <w:rPr>
      <w:rFonts w:eastAsiaTheme="majorEastAsia" w:cstheme="majorBidi"/>
      <w:color w:val="272727" w:themeColor="text1" w:themeTint="D8"/>
    </w:rPr>
  </w:style>
  <w:style w:type="paragraph" w:styleId="Title">
    <w:name w:val="Title"/>
    <w:basedOn w:val="Normal"/>
    <w:next w:val="Normal"/>
    <w:link w:val="TitleChar"/>
    <w:uiPriority w:val="10"/>
    <w:qFormat/>
    <w:rsid w:val="005C27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7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7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7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7C9"/>
    <w:pPr>
      <w:spacing w:before="160"/>
      <w:jc w:val="center"/>
    </w:pPr>
    <w:rPr>
      <w:i/>
      <w:iCs/>
      <w:color w:val="404040" w:themeColor="text1" w:themeTint="BF"/>
    </w:rPr>
  </w:style>
  <w:style w:type="character" w:customStyle="1" w:styleId="QuoteChar">
    <w:name w:val="Quote Char"/>
    <w:basedOn w:val="DefaultParagraphFont"/>
    <w:link w:val="Quote"/>
    <w:uiPriority w:val="29"/>
    <w:rsid w:val="005C27C9"/>
    <w:rPr>
      <w:i/>
      <w:iCs/>
      <w:color w:val="404040" w:themeColor="text1" w:themeTint="BF"/>
    </w:rPr>
  </w:style>
  <w:style w:type="paragraph" w:styleId="ListParagraph">
    <w:name w:val="List Paragraph"/>
    <w:basedOn w:val="Normal"/>
    <w:uiPriority w:val="34"/>
    <w:qFormat/>
    <w:rsid w:val="005C27C9"/>
    <w:pPr>
      <w:ind w:left="720"/>
      <w:contextualSpacing/>
    </w:pPr>
  </w:style>
  <w:style w:type="character" w:styleId="IntenseEmphasis">
    <w:name w:val="Intense Emphasis"/>
    <w:basedOn w:val="DefaultParagraphFont"/>
    <w:uiPriority w:val="21"/>
    <w:qFormat/>
    <w:rsid w:val="005C27C9"/>
    <w:rPr>
      <w:i/>
      <w:iCs/>
      <w:color w:val="0F4761" w:themeColor="accent1" w:themeShade="BF"/>
    </w:rPr>
  </w:style>
  <w:style w:type="paragraph" w:styleId="IntenseQuote">
    <w:name w:val="Intense Quote"/>
    <w:basedOn w:val="Normal"/>
    <w:next w:val="Normal"/>
    <w:link w:val="IntenseQuoteChar"/>
    <w:uiPriority w:val="30"/>
    <w:qFormat/>
    <w:rsid w:val="005C27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7C9"/>
    <w:rPr>
      <w:i/>
      <w:iCs/>
      <w:color w:val="0F4761" w:themeColor="accent1" w:themeShade="BF"/>
    </w:rPr>
  </w:style>
  <w:style w:type="character" w:styleId="IntenseReference">
    <w:name w:val="Intense Reference"/>
    <w:basedOn w:val="DefaultParagraphFont"/>
    <w:uiPriority w:val="32"/>
    <w:qFormat/>
    <w:rsid w:val="005C27C9"/>
    <w:rPr>
      <w:b/>
      <w:bCs/>
      <w:smallCaps/>
      <w:color w:val="0F4761" w:themeColor="accent1" w:themeShade="BF"/>
      <w:spacing w:val="5"/>
    </w:rPr>
  </w:style>
  <w:style w:type="paragraph" w:styleId="NoSpacing">
    <w:name w:val="No Spacing"/>
    <w:uiPriority w:val="1"/>
    <w:qFormat/>
    <w:rsid w:val="005C27C9"/>
    <w:pPr>
      <w:spacing w:after="0" w:line="240" w:lineRule="auto"/>
    </w:pPr>
  </w:style>
  <w:style w:type="paragraph" w:styleId="FootnoteText">
    <w:name w:val="footnote text"/>
    <w:basedOn w:val="Normal"/>
    <w:link w:val="FootnoteTextChar"/>
    <w:uiPriority w:val="99"/>
    <w:semiHidden/>
    <w:unhideWhenUsed/>
    <w:rsid w:val="005C27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27C9"/>
    <w:rPr>
      <w:sz w:val="20"/>
      <w:szCs w:val="20"/>
    </w:rPr>
  </w:style>
  <w:style w:type="character" w:styleId="FootnoteReference">
    <w:name w:val="footnote reference"/>
    <w:basedOn w:val="DefaultParagraphFont"/>
    <w:uiPriority w:val="99"/>
    <w:semiHidden/>
    <w:unhideWhenUsed/>
    <w:rsid w:val="005C27C9"/>
    <w:rPr>
      <w:vertAlign w:val="superscript"/>
    </w:rPr>
  </w:style>
  <w:style w:type="character" w:styleId="Hyperlink">
    <w:name w:val="Hyperlink"/>
    <w:basedOn w:val="DefaultParagraphFont"/>
    <w:uiPriority w:val="99"/>
    <w:unhideWhenUsed/>
    <w:rsid w:val="000B0759"/>
    <w:rPr>
      <w:color w:val="467886" w:themeColor="hyperlink"/>
      <w:u w:val="single"/>
    </w:rPr>
  </w:style>
  <w:style w:type="character" w:styleId="UnresolvedMention">
    <w:name w:val="Unresolved Mention"/>
    <w:basedOn w:val="DefaultParagraphFont"/>
    <w:uiPriority w:val="99"/>
    <w:semiHidden/>
    <w:unhideWhenUsed/>
    <w:rsid w:val="000B0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cso.org/resources/foundational-text/charter-of-charity/"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ocso.org/resources/foundational-text/charter-of-cha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6</cp:revision>
  <dcterms:created xsi:type="dcterms:W3CDTF">2024-03-03T19:59:00Z</dcterms:created>
  <dcterms:modified xsi:type="dcterms:W3CDTF">2024-03-03T20:43:00Z</dcterms:modified>
</cp:coreProperties>
</file>