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C5555A" w14:textId="27BC8E1B" w:rsidR="00481F84" w:rsidRDefault="00481F84" w:rsidP="00481F84">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3E44D931" wp14:editId="4906DF97">
            <wp:extent cx="2206625" cy="747395"/>
            <wp:effectExtent l="0" t="0" r="3175" b="0"/>
            <wp:docPr id="868212523" name="Picture 4"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 up of black 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06625" cy="747395"/>
                    </a:xfrm>
                    <a:prstGeom prst="rect">
                      <a:avLst/>
                    </a:prstGeom>
                    <a:noFill/>
                    <a:ln>
                      <a:noFill/>
                    </a:ln>
                  </pic:spPr>
                </pic:pic>
              </a:graphicData>
            </a:graphic>
          </wp:inline>
        </w:drawing>
      </w:r>
      <w:r>
        <w:rPr>
          <w:rFonts w:ascii="Tahoma" w:hAnsi="Tahoma" w:cs="Tahoma"/>
          <w:color w:val="000000"/>
          <w:sz w:val="40"/>
          <w:szCs w:val="40"/>
        </w:rPr>
        <w:t> </w:t>
      </w:r>
    </w:p>
    <w:p w14:paraId="6968610B" w14:textId="77777777" w:rsidR="00481F84" w:rsidRDefault="00481F84" w:rsidP="00481F84">
      <w:pPr>
        <w:spacing w:after="0" w:line="240" w:lineRule="auto"/>
        <w:jc w:val="center"/>
        <w:textAlignment w:val="baseline"/>
        <w:rPr>
          <w:rFonts w:ascii="Tahoma" w:eastAsia="Times New Roman" w:hAnsi="Tahoma" w:cs="Tahoma"/>
          <w:color w:val="000000"/>
          <w:sz w:val="40"/>
          <w:szCs w:val="40"/>
          <w:lang w:eastAsia="en-GB"/>
        </w:rPr>
      </w:pPr>
    </w:p>
    <w:p w14:paraId="645FCCDE" w14:textId="77777777" w:rsidR="00481F84" w:rsidRDefault="00481F84" w:rsidP="00481F84">
      <w:pPr>
        <w:spacing w:after="0" w:line="240" w:lineRule="auto"/>
        <w:jc w:val="center"/>
        <w:textAlignment w:val="baseline"/>
        <w:rPr>
          <w:rFonts w:ascii="Tahoma" w:eastAsia="Times New Roman" w:hAnsi="Tahoma" w:cs="Tahoma"/>
          <w:color w:val="000000"/>
          <w:sz w:val="40"/>
          <w:szCs w:val="40"/>
          <w:lang w:eastAsia="en-GB"/>
        </w:rPr>
      </w:pPr>
    </w:p>
    <w:p w14:paraId="4A4353BD" w14:textId="77777777" w:rsidR="00481F84" w:rsidRDefault="00481F84" w:rsidP="00481F84">
      <w:pPr>
        <w:spacing w:after="0" w:line="240" w:lineRule="auto"/>
        <w:jc w:val="center"/>
        <w:textAlignment w:val="baseline"/>
        <w:rPr>
          <w:rFonts w:ascii="Segoe UI" w:eastAsia="Times New Roman" w:hAnsi="Segoe UI" w:cs="Segoe UI"/>
          <w:sz w:val="18"/>
          <w:szCs w:val="18"/>
          <w:lang w:eastAsia="en-GB"/>
        </w:rPr>
      </w:pPr>
      <w:r>
        <w:rPr>
          <w:rFonts w:ascii="Tahoma" w:eastAsia="Times New Roman" w:hAnsi="Tahoma" w:cs="Tahoma"/>
          <w:color w:val="000000"/>
          <w:sz w:val="40"/>
          <w:szCs w:val="40"/>
          <w:lang w:eastAsia="en-GB"/>
        </w:rPr>
        <w:t>Applied Leadership and Management in the Workplace </w:t>
      </w:r>
      <w:r>
        <w:rPr>
          <w:rFonts w:ascii="Tahoma" w:eastAsia="Times New Roman" w:hAnsi="Tahoma" w:cs="Tahoma"/>
          <w:color w:val="000000"/>
          <w:sz w:val="40"/>
          <w:szCs w:val="40"/>
          <w:lang w:eastAsia="en-GB"/>
        </w:rPr>
        <w:br/>
        <w:t>Module Assignment Submission  </w:t>
      </w:r>
      <w:r>
        <w:rPr>
          <w:rFonts w:ascii="Tahoma" w:eastAsia="Times New Roman" w:hAnsi="Tahoma" w:cs="Tahoma"/>
          <w:color w:val="000000"/>
          <w:sz w:val="40"/>
          <w:szCs w:val="40"/>
          <w:lang w:eastAsia="en-GB"/>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9"/>
        <w:gridCol w:w="5731"/>
      </w:tblGrid>
      <w:tr w:rsidR="00481F84" w14:paraId="37AB9C60" w14:textId="77777777" w:rsidTr="00481F84">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13F05381" w14:textId="77777777" w:rsidR="00481F84" w:rsidRDefault="00481F84">
            <w:pPr>
              <w:spacing w:after="0" w:line="240" w:lineRule="auto"/>
              <w:textAlignment w:val="baseline"/>
              <w:rPr>
                <w:rFonts w:ascii="Times New Roman" w:eastAsia="Times New Roman" w:hAnsi="Times New Roman" w:cs="Times New Roman"/>
                <w:lang w:eastAsia="en-GB"/>
              </w:rPr>
            </w:pPr>
            <w:r>
              <w:rPr>
                <w:rFonts w:ascii="Tahoma" w:eastAsia="Times New Roman" w:hAnsi="Tahoma" w:cs="Tahoma"/>
                <w:sz w:val="32"/>
                <w:szCs w:val="32"/>
                <w:lang w:eastAsia="en-GB"/>
              </w:rPr>
              <w:t>Student Name: </w:t>
            </w:r>
          </w:p>
        </w:tc>
        <w:tc>
          <w:tcPr>
            <w:tcW w:w="6045" w:type="dxa"/>
            <w:tcBorders>
              <w:top w:val="single" w:sz="6" w:space="0" w:color="000000"/>
              <w:left w:val="single" w:sz="6" w:space="0" w:color="000000"/>
              <w:bottom w:val="single" w:sz="6" w:space="0" w:color="000000"/>
              <w:right w:val="single" w:sz="6" w:space="0" w:color="000000"/>
            </w:tcBorders>
            <w:hideMark/>
          </w:tcPr>
          <w:p w14:paraId="05C0272D" w14:textId="77777777" w:rsidR="00481F84" w:rsidRDefault="00481F84">
            <w:pPr>
              <w:spacing w:after="0" w:line="240" w:lineRule="auto"/>
              <w:textAlignment w:val="baseline"/>
              <w:rPr>
                <w:rFonts w:ascii="Times New Roman" w:eastAsia="Times New Roman" w:hAnsi="Times New Roman" w:cs="Times New Roman"/>
                <w:lang w:eastAsia="en-GB"/>
              </w:rPr>
            </w:pPr>
            <w:r>
              <w:rPr>
                <w:rFonts w:ascii="Arial" w:eastAsia="Times New Roman" w:hAnsi="Arial" w:cs="Arial"/>
                <w:sz w:val="32"/>
                <w:szCs w:val="32"/>
                <w:lang w:eastAsia="en-GB"/>
              </w:rPr>
              <w:t> Tanya Regan</w:t>
            </w:r>
          </w:p>
        </w:tc>
      </w:tr>
      <w:tr w:rsidR="00481F84" w14:paraId="112B4282" w14:textId="77777777" w:rsidTr="00481F84">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D9ADD1A" w14:textId="77777777" w:rsidR="00481F84" w:rsidRDefault="00481F84">
            <w:pPr>
              <w:spacing w:after="0" w:line="240" w:lineRule="auto"/>
              <w:textAlignment w:val="baseline"/>
              <w:rPr>
                <w:rFonts w:ascii="Times New Roman" w:eastAsia="Times New Roman" w:hAnsi="Times New Roman" w:cs="Times New Roman"/>
                <w:lang w:eastAsia="en-GB"/>
              </w:rPr>
            </w:pPr>
            <w:r>
              <w:rPr>
                <w:rFonts w:ascii="Tahoma" w:eastAsia="Times New Roman" w:hAnsi="Tahoma" w:cs="Tahoma"/>
                <w:sz w:val="32"/>
                <w:szCs w:val="32"/>
                <w:lang w:eastAsia="en-GB"/>
              </w:rPr>
              <w:t>Student Number: </w:t>
            </w:r>
          </w:p>
        </w:tc>
        <w:tc>
          <w:tcPr>
            <w:tcW w:w="6045" w:type="dxa"/>
            <w:tcBorders>
              <w:top w:val="single" w:sz="6" w:space="0" w:color="000000"/>
              <w:left w:val="single" w:sz="6" w:space="0" w:color="000000"/>
              <w:bottom w:val="single" w:sz="6" w:space="0" w:color="000000"/>
              <w:right w:val="single" w:sz="6" w:space="0" w:color="000000"/>
            </w:tcBorders>
            <w:hideMark/>
          </w:tcPr>
          <w:p w14:paraId="4920FA33" w14:textId="77777777" w:rsidR="00481F84" w:rsidRDefault="00481F84">
            <w:pPr>
              <w:spacing w:after="0" w:line="240" w:lineRule="auto"/>
              <w:textAlignment w:val="baseline"/>
              <w:rPr>
                <w:rFonts w:ascii="Times New Roman" w:eastAsia="Times New Roman" w:hAnsi="Times New Roman" w:cs="Times New Roman"/>
                <w:lang w:eastAsia="en-GB"/>
              </w:rPr>
            </w:pPr>
            <w:r>
              <w:rPr>
                <w:rFonts w:ascii="Arial" w:eastAsia="Times New Roman" w:hAnsi="Arial" w:cs="Arial"/>
                <w:sz w:val="32"/>
                <w:szCs w:val="32"/>
                <w:lang w:eastAsia="en-GB"/>
              </w:rPr>
              <w:t> 2319051</w:t>
            </w:r>
          </w:p>
        </w:tc>
      </w:tr>
      <w:tr w:rsidR="00481F84" w14:paraId="462347ED" w14:textId="77777777" w:rsidTr="00481F84">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3A32FBF" w14:textId="77777777" w:rsidR="00481F84" w:rsidRDefault="00481F84">
            <w:pPr>
              <w:spacing w:after="0" w:line="240" w:lineRule="auto"/>
              <w:textAlignment w:val="baseline"/>
              <w:rPr>
                <w:rFonts w:ascii="Times New Roman" w:eastAsia="Times New Roman" w:hAnsi="Times New Roman" w:cs="Times New Roman"/>
                <w:lang w:eastAsia="en-GB"/>
              </w:rPr>
            </w:pPr>
            <w:r>
              <w:rPr>
                <w:rFonts w:ascii="Tahoma" w:eastAsia="Times New Roman" w:hAnsi="Tahoma" w:cs="Tahoma"/>
                <w:sz w:val="32"/>
                <w:szCs w:val="32"/>
                <w:lang w:eastAsia="en-GB"/>
              </w:rPr>
              <w:t>Module No: </w:t>
            </w:r>
          </w:p>
        </w:tc>
        <w:tc>
          <w:tcPr>
            <w:tcW w:w="6045" w:type="dxa"/>
            <w:tcBorders>
              <w:top w:val="single" w:sz="6" w:space="0" w:color="000000"/>
              <w:left w:val="single" w:sz="6" w:space="0" w:color="000000"/>
              <w:bottom w:val="single" w:sz="6" w:space="0" w:color="000000"/>
              <w:right w:val="single" w:sz="6" w:space="0" w:color="000000"/>
            </w:tcBorders>
            <w:hideMark/>
          </w:tcPr>
          <w:p w14:paraId="666B86E7" w14:textId="77777777" w:rsidR="00481F84" w:rsidRDefault="00481F84">
            <w:pPr>
              <w:spacing w:after="0" w:line="240" w:lineRule="auto"/>
              <w:textAlignment w:val="baseline"/>
              <w:rPr>
                <w:rFonts w:ascii="Times New Roman" w:eastAsia="Times New Roman" w:hAnsi="Times New Roman" w:cs="Times New Roman"/>
                <w:lang w:eastAsia="en-GB"/>
              </w:rPr>
            </w:pPr>
            <w:r>
              <w:rPr>
                <w:rFonts w:ascii="Tahoma" w:eastAsia="Times New Roman" w:hAnsi="Tahoma" w:cs="Tahoma"/>
                <w:b/>
                <w:bCs/>
                <w:color w:val="000000"/>
                <w:sz w:val="32"/>
                <w:szCs w:val="32"/>
                <w:lang w:eastAsia="en-GB"/>
              </w:rPr>
              <w:t>BMSK4015</w:t>
            </w:r>
            <w:r>
              <w:rPr>
                <w:rFonts w:ascii="Tahoma" w:eastAsia="Times New Roman" w:hAnsi="Tahoma" w:cs="Tahoma"/>
                <w:color w:val="000000"/>
                <w:sz w:val="32"/>
                <w:szCs w:val="32"/>
                <w:lang w:eastAsia="en-GB"/>
              </w:rPr>
              <w:t> </w:t>
            </w:r>
          </w:p>
        </w:tc>
      </w:tr>
      <w:tr w:rsidR="00481F84" w14:paraId="413164DA" w14:textId="77777777" w:rsidTr="00481F84">
        <w:trPr>
          <w:trHeight w:val="6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528B1A2D" w14:textId="77777777" w:rsidR="00481F84" w:rsidRDefault="00481F84">
            <w:pPr>
              <w:spacing w:after="0" w:line="240" w:lineRule="auto"/>
              <w:textAlignment w:val="baseline"/>
              <w:rPr>
                <w:rFonts w:ascii="Times New Roman" w:eastAsia="Times New Roman" w:hAnsi="Times New Roman" w:cs="Times New Roman"/>
                <w:lang w:eastAsia="en-GB"/>
              </w:rPr>
            </w:pPr>
            <w:r>
              <w:rPr>
                <w:rFonts w:ascii="Tahoma" w:eastAsia="Times New Roman" w:hAnsi="Tahoma" w:cs="Tahoma"/>
                <w:sz w:val="32"/>
                <w:szCs w:val="32"/>
                <w:lang w:eastAsia="en-GB"/>
              </w:rPr>
              <w:t>Module Title: </w:t>
            </w:r>
          </w:p>
        </w:tc>
        <w:tc>
          <w:tcPr>
            <w:tcW w:w="6045" w:type="dxa"/>
            <w:tcBorders>
              <w:top w:val="single" w:sz="6" w:space="0" w:color="000000"/>
              <w:left w:val="single" w:sz="6" w:space="0" w:color="000000"/>
              <w:bottom w:val="single" w:sz="6" w:space="0" w:color="000000"/>
              <w:right w:val="single" w:sz="6" w:space="0" w:color="000000"/>
            </w:tcBorders>
            <w:hideMark/>
          </w:tcPr>
          <w:p w14:paraId="3D780A56" w14:textId="77777777" w:rsidR="00481F84" w:rsidRDefault="00481F84">
            <w:pPr>
              <w:spacing w:after="0" w:line="240" w:lineRule="auto"/>
              <w:textAlignment w:val="baseline"/>
              <w:rPr>
                <w:rFonts w:ascii="Times New Roman" w:eastAsia="Times New Roman" w:hAnsi="Times New Roman" w:cs="Times New Roman"/>
                <w:b/>
                <w:bCs/>
                <w:lang w:eastAsia="en-GB"/>
              </w:rPr>
            </w:pPr>
            <w:r>
              <w:rPr>
                <w:rFonts w:ascii="Calibri" w:eastAsia="Times New Roman" w:hAnsi="Calibri" w:cs="Calibri"/>
                <w:b/>
                <w:bCs/>
                <w:color w:val="000000"/>
                <w:sz w:val="44"/>
                <w:szCs w:val="44"/>
                <w:lang w:eastAsia="en-GB"/>
              </w:rPr>
              <w:t>Academic and Research Skills </w:t>
            </w:r>
          </w:p>
        </w:tc>
      </w:tr>
    </w:tbl>
    <w:p w14:paraId="1EF6D058"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color w:val="FF0000"/>
          <w:lang w:eastAsia="en-GB"/>
        </w:rPr>
        <w:t> </w:t>
      </w:r>
    </w:p>
    <w:p w14:paraId="7DA38EF1" w14:textId="77777777" w:rsidR="00481F84" w:rsidRDefault="00481F84" w:rsidP="00481F84">
      <w:pPr>
        <w:spacing w:after="0" w:line="240" w:lineRule="auto"/>
        <w:textAlignment w:val="baseline"/>
        <w:rPr>
          <w:rFonts w:ascii="Tahoma" w:eastAsia="Times New Roman" w:hAnsi="Tahoma" w:cs="Tahoma"/>
          <w:b/>
          <w:bCs/>
          <w:color w:val="000000"/>
          <w:lang w:eastAsia="en-GB"/>
        </w:rPr>
      </w:pPr>
    </w:p>
    <w:p w14:paraId="06AF9EA1" w14:textId="77777777" w:rsidR="00481F84" w:rsidRDefault="00481F84" w:rsidP="00481F84">
      <w:pPr>
        <w:spacing w:after="0" w:line="240" w:lineRule="auto"/>
        <w:textAlignment w:val="baseline"/>
        <w:rPr>
          <w:rFonts w:ascii="Tahoma" w:eastAsia="Times New Roman" w:hAnsi="Tahoma" w:cs="Tahoma"/>
          <w:b/>
          <w:bCs/>
          <w:color w:val="000000"/>
          <w:lang w:eastAsia="en-GB"/>
        </w:rPr>
      </w:pPr>
    </w:p>
    <w:p w14:paraId="1A652955" w14:textId="77777777" w:rsidR="00481F84" w:rsidRDefault="00481F84" w:rsidP="00481F84">
      <w:pPr>
        <w:spacing w:after="0" w:line="240" w:lineRule="auto"/>
        <w:textAlignment w:val="baseline"/>
        <w:rPr>
          <w:rFonts w:ascii="Tahoma" w:eastAsia="Times New Roman" w:hAnsi="Tahoma" w:cs="Tahoma"/>
          <w:b/>
          <w:bCs/>
          <w:color w:val="000000"/>
          <w:lang w:eastAsia="en-GB"/>
        </w:rPr>
      </w:pPr>
    </w:p>
    <w:p w14:paraId="35EF671D" w14:textId="77777777" w:rsidR="00481F84" w:rsidRDefault="00481F84" w:rsidP="00481F84">
      <w:pPr>
        <w:spacing w:after="0" w:line="240" w:lineRule="auto"/>
        <w:textAlignment w:val="baseline"/>
        <w:rPr>
          <w:rFonts w:ascii="Tahoma" w:eastAsia="Times New Roman" w:hAnsi="Tahoma" w:cs="Tahoma"/>
          <w:b/>
          <w:bCs/>
          <w:color w:val="000000"/>
          <w:lang w:eastAsia="en-GB"/>
        </w:rPr>
      </w:pPr>
    </w:p>
    <w:p w14:paraId="3C539715"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Tahoma" w:eastAsia="Times New Roman" w:hAnsi="Tahoma" w:cs="Tahoma"/>
          <w:b/>
          <w:bCs/>
          <w:color w:val="000000"/>
          <w:lang w:eastAsia="en-GB"/>
        </w:rPr>
        <w:t>Statement of Confirmation of Authenticity</w:t>
      </w:r>
      <w:r>
        <w:rPr>
          <w:rFonts w:ascii="Tahoma" w:eastAsia="Times New Roman" w:hAnsi="Tahoma" w:cs="Tahoma"/>
          <w:color w:val="000000"/>
          <w:lang w:eastAsia="en-GB"/>
        </w:rPr>
        <w:t> </w:t>
      </w:r>
    </w:p>
    <w:p w14:paraId="6DD7C868"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Tahoma" w:eastAsia="Times New Roman" w:hAnsi="Tahoma" w:cs="Tahoma"/>
          <w:color w:val="000000"/>
          <w:sz w:val="22"/>
          <w:szCs w:val="22"/>
          <w:lang w:eastAsia="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0A303E70"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Tahoma" w:eastAsia="Times New Roman" w:hAnsi="Tahoma" w:cs="Tahoma"/>
          <w:color w:val="000000"/>
          <w:sz w:val="22"/>
          <w:szCs w:val="22"/>
          <w:lang w:eastAsia="en-GB"/>
        </w:rPr>
        <w:t>Attention is drawn to the plagiarism and unfair practice policies of both the University and of ILM. </w:t>
      </w:r>
    </w:p>
    <w:p w14:paraId="77D7FD84"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Tahoma" w:eastAsia="Times New Roman" w:hAnsi="Tahoma" w:cs="Tahoma"/>
          <w:color w:val="000000"/>
          <w:sz w:val="22"/>
          <w:szCs w:val="22"/>
          <w:lang w:eastAsia="en-GB"/>
        </w:rPr>
        <w:t> </w:t>
      </w:r>
    </w:p>
    <w:p w14:paraId="34259EF3"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2"/>
          <w:szCs w:val="22"/>
          <w:lang w:eastAsia="en-GB"/>
        </w:rPr>
        <w:t> </w:t>
      </w:r>
    </w:p>
    <w:p w14:paraId="224F9CA2"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2"/>
          <w:szCs w:val="22"/>
          <w:lang w:eastAsia="en-GB"/>
        </w:rPr>
        <w:t> </w:t>
      </w:r>
    </w:p>
    <w:p w14:paraId="6338A9D9"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2"/>
          <w:szCs w:val="22"/>
          <w:lang w:eastAsia="en-GB"/>
        </w:rPr>
        <w:t> </w:t>
      </w:r>
    </w:p>
    <w:p w14:paraId="0FD8D01D"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2"/>
          <w:szCs w:val="22"/>
          <w:lang w:eastAsia="en-GB"/>
        </w:rPr>
        <w:t> </w:t>
      </w:r>
    </w:p>
    <w:p w14:paraId="0BB499B1"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2"/>
          <w:szCs w:val="22"/>
          <w:lang w:eastAsia="en-GB"/>
        </w:rPr>
        <w:t> </w:t>
      </w:r>
    </w:p>
    <w:p w14:paraId="2A78D4C6"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2"/>
          <w:szCs w:val="22"/>
          <w:lang w:eastAsia="en-GB"/>
        </w:rPr>
        <w:t> </w:t>
      </w:r>
    </w:p>
    <w:p w14:paraId="78876F9E"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2"/>
          <w:szCs w:val="22"/>
          <w:lang w:eastAsia="en-GB"/>
        </w:rPr>
        <w:t> </w:t>
      </w:r>
    </w:p>
    <w:p w14:paraId="7ED1E95F"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2"/>
          <w:szCs w:val="22"/>
          <w:lang w:eastAsia="en-GB"/>
        </w:rPr>
        <w:t> </w:t>
      </w:r>
    </w:p>
    <w:p w14:paraId="55F2CDC8"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2"/>
          <w:szCs w:val="22"/>
          <w:lang w:eastAsia="en-GB"/>
        </w:rPr>
        <w:t> </w:t>
      </w:r>
    </w:p>
    <w:p w14:paraId="5ECD5DA0"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2"/>
          <w:szCs w:val="22"/>
          <w:lang w:eastAsia="en-GB"/>
        </w:rPr>
        <w:t> </w:t>
      </w:r>
    </w:p>
    <w:p w14:paraId="078DB984"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2"/>
          <w:szCs w:val="22"/>
          <w:lang w:eastAsia="en-GB"/>
        </w:rPr>
        <w:t> </w:t>
      </w:r>
    </w:p>
    <w:p w14:paraId="6312B021" w14:textId="77777777" w:rsidR="00481F84" w:rsidRDefault="00481F84" w:rsidP="00481F84">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sz w:val="22"/>
          <w:szCs w:val="22"/>
          <w:lang w:eastAsia="en-GB"/>
        </w:rPr>
        <w:t> </w:t>
      </w:r>
    </w:p>
    <w:p w14:paraId="5EFBBE26" w14:textId="77777777" w:rsidR="00481F84" w:rsidRDefault="00481F84" w:rsidP="00481F84">
      <w:pPr>
        <w:rPr>
          <w:rFonts w:ascii="Arial" w:eastAsia="Arial" w:hAnsi="Arial" w:cs="Arial"/>
          <w:b/>
          <w:bCs/>
          <w:u w:val="single"/>
        </w:rPr>
      </w:pPr>
      <w:r>
        <w:rPr>
          <w:rFonts w:ascii="Arial" w:eastAsia="Arial" w:hAnsi="Arial" w:cs="Arial"/>
          <w:b/>
          <w:bCs/>
          <w:u w:val="single"/>
        </w:rPr>
        <w:br w:type="page"/>
      </w:r>
    </w:p>
    <w:p w14:paraId="7ABAA1AD" w14:textId="77777777" w:rsidR="00481F84" w:rsidRDefault="00481F84" w:rsidP="00481F84">
      <w:pPr>
        <w:rPr>
          <w:rFonts w:ascii="Arial" w:eastAsia="Arial" w:hAnsi="Arial" w:cs="Arial"/>
          <w:b/>
          <w:bCs/>
          <w:u w:val="single"/>
        </w:rPr>
      </w:pPr>
    </w:p>
    <w:p w14:paraId="64D95CF0" w14:textId="77777777" w:rsidR="00481F84" w:rsidRDefault="00481F84" w:rsidP="00481F84">
      <w:pPr>
        <w:rPr>
          <w:rFonts w:ascii="Arial" w:eastAsia="Arial" w:hAnsi="Arial" w:cs="Arial"/>
          <w:b/>
          <w:bCs/>
          <w:u w:val="single"/>
        </w:rPr>
      </w:pPr>
    </w:p>
    <w:p w14:paraId="01CF3D08" w14:textId="77777777" w:rsidR="00481F84" w:rsidRDefault="00481F84" w:rsidP="00481F84">
      <w:pPr>
        <w:rPr>
          <w:rFonts w:ascii="Arial" w:eastAsia="Arial" w:hAnsi="Arial" w:cs="Arial"/>
          <w:b/>
          <w:bCs/>
          <w:u w:val="single"/>
        </w:rPr>
      </w:pPr>
      <w:r>
        <w:rPr>
          <w:rFonts w:ascii="Arial" w:eastAsia="Arial" w:hAnsi="Arial" w:cs="Arial"/>
          <w:b/>
          <w:bCs/>
          <w:u w:val="single"/>
        </w:rPr>
        <w:t>Table of contents</w:t>
      </w:r>
    </w:p>
    <w:p w14:paraId="06650738" w14:textId="77777777" w:rsidR="00481F84" w:rsidRDefault="00481F84" w:rsidP="00481F84">
      <w:pPr>
        <w:rPr>
          <w:rFonts w:ascii="Arial" w:eastAsia="Arial" w:hAnsi="Arial" w:cs="Arial"/>
          <w:b/>
          <w:bCs/>
          <w:u w:val="single"/>
        </w:rPr>
      </w:pPr>
    </w:p>
    <w:p w14:paraId="6CD2A25F" w14:textId="77777777" w:rsidR="00481F84" w:rsidRDefault="00481F84" w:rsidP="00481F84">
      <w:pPr>
        <w:jc w:val="right"/>
        <w:rPr>
          <w:rFonts w:ascii="Arial" w:eastAsia="Arial" w:hAnsi="Arial" w:cs="Arial"/>
          <w:b/>
          <w:bCs/>
          <w:u w:val="single"/>
        </w:rPr>
      </w:pPr>
      <w:r>
        <w:rPr>
          <w:rFonts w:ascii="Arial" w:eastAsia="Arial" w:hAnsi="Arial" w:cs="Arial"/>
          <w:b/>
          <w:bCs/>
          <w:u w:val="single"/>
        </w:rPr>
        <w:t>Introduction</w:t>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t>3</w:t>
      </w:r>
    </w:p>
    <w:p w14:paraId="67ABFBBA" w14:textId="77777777" w:rsidR="00481F84" w:rsidRDefault="00481F84" w:rsidP="00481F84">
      <w:pPr>
        <w:jc w:val="right"/>
        <w:rPr>
          <w:rFonts w:ascii="Arial" w:eastAsia="Arial" w:hAnsi="Arial" w:cs="Arial"/>
          <w:b/>
          <w:bCs/>
          <w:u w:val="single"/>
        </w:rPr>
      </w:pPr>
      <w:r>
        <w:rPr>
          <w:rFonts w:ascii="Arial" w:eastAsia="Arial" w:hAnsi="Arial" w:cs="Arial"/>
          <w:b/>
          <w:bCs/>
          <w:u w:val="single"/>
        </w:rPr>
        <w:t>Advantages from a manager’s perspective</w:t>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t>4</w:t>
      </w:r>
    </w:p>
    <w:p w14:paraId="4BE50EC6" w14:textId="77777777" w:rsidR="00481F84" w:rsidRDefault="00481F84" w:rsidP="00481F84">
      <w:pPr>
        <w:jc w:val="right"/>
        <w:rPr>
          <w:rFonts w:ascii="Arial" w:eastAsia="Arial" w:hAnsi="Arial" w:cs="Arial"/>
          <w:b/>
          <w:bCs/>
          <w:u w:val="single"/>
        </w:rPr>
      </w:pPr>
      <w:r>
        <w:rPr>
          <w:rFonts w:ascii="Arial" w:eastAsia="Arial" w:hAnsi="Arial" w:cs="Arial"/>
          <w:b/>
          <w:bCs/>
          <w:u w:val="single"/>
        </w:rPr>
        <w:t>Disadvantages from a manager's perspective</w:t>
      </w:r>
      <w:r>
        <w:rPr>
          <w:rFonts w:ascii="Arial" w:eastAsia="Arial" w:hAnsi="Arial" w:cs="Arial"/>
          <w:b/>
          <w:bCs/>
          <w:u w:val="single"/>
        </w:rPr>
        <w:tab/>
      </w:r>
      <w:r>
        <w:rPr>
          <w:rFonts w:ascii="Arial" w:eastAsia="Arial" w:hAnsi="Arial" w:cs="Arial"/>
          <w:b/>
          <w:bCs/>
          <w:u w:val="single"/>
        </w:rPr>
        <w:tab/>
        <w:t>5</w:t>
      </w:r>
    </w:p>
    <w:p w14:paraId="2D74939A" w14:textId="77777777" w:rsidR="00481F84" w:rsidRDefault="00481F84" w:rsidP="00481F84">
      <w:pPr>
        <w:jc w:val="right"/>
        <w:rPr>
          <w:rFonts w:ascii="Arial" w:eastAsia="Arial" w:hAnsi="Arial" w:cs="Arial"/>
          <w:b/>
          <w:bCs/>
          <w:u w:val="single"/>
        </w:rPr>
      </w:pPr>
      <w:r>
        <w:rPr>
          <w:rFonts w:ascii="Arial" w:eastAsia="Arial" w:hAnsi="Arial" w:cs="Arial"/>
          <w:b/>
          <w:bCs/>
          <w:u w:val="single"/>
        </w:rPr>
        <w:t>Advantages from an employee perspective</w:t>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t>7</w:t>
      </w:r>
    </w:p>
    <w:p w14:paraId="6C4F5455" w14:textId="77777777" w:rsidR="00481F84" w:rsidRDefault="00481F84" w:rsidP="00481F84">
      <w:pPr>
        <w:ind w:firstLine="720"/>
        <w:jc w:val="right"/>
        <w:rPr>
          <w:rFonts w:ascii="Arial" w:eastAsia="Arial" w:hAnsi="Arial" w:cs="Arial"/>
          <w:b/>
          <w:bCs/>
          <w:u w:val="single"/>
        </w:rPr>
      </w:pPr>
      <w:r>
        <w:rPr>
          <w:rFonts w:ascii="Arial" w:eastAsia="Arial" w:hAnsi="Arial" w:cs="Arial"/>
          <w:b/>
          <w:bCs/>
          <w:u w:val="single"/>
        </w:rPr>
        <w:t>Disadvantages from a employee perspective</w:t>
      </w:r>
      <w:r>
        <w:rPr>
          <w:rFonts w:ascii="Arial" w:eastAsia="Arial" w:hAnsi="Arial" w:cs="Arial"/>
          <w:b/>
          <w:bCs/>
          <w:u w:val="single"/>
        </w:rPr>
        <w:tab/>
      </w:r>
      <w:r>
        <w:rPr>
          <w:rFonts w:ascii="Arial" w:eastAsia="Arial" w:hAnsi="Arial" w:cs="Arial"/>
          <w:b/>
          <w:bCs/>
          <w:u w:val="single"/>
        </w:rPr>
        <w:tab/>
        <w:t>8</w:t>
      </w:r>
    </w:p>
    <w:p w14:paraId="3A633578" w14:textId="77777777" w:rsidR="00481F84" w:rsidRDefault="00481F84" w:rsidP="00481F84">
      <w:pPr>
        <w:ind w:firstLine="720"/>
        <w:jc w:val="right"/>
        <w:rPr>
          <w:rFonts w:ascii="Arial" w:eastAsia="Arial" w:hAnsi="Arial" w:cs="Arial"/>
          <w:b/>
          <w:bCs/>
          <w:u w:val="single"/>
        </w:rPr>
      </w:pPr>
      <w:r>
        <w:rPr>
          <w:rFonts w:ascii="Arial" w:eastAsia="Arial" w:hAnsi="Arial" w:cs="Arial"/>
          <w:b/>
          <w:bCs/>
          <w:u w:val="single"/>
        </w:rPr>
        <w:t>Advantages from a business perspective</w:t>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t>9</w:t>
      </w:r>
    </w:p>
    <w:p w14:paraId="0B07085A" w14:textId="77777777" w:rsidR="00481F84" w:rsidRDefault="00481F84" w:rsidP="00481F84">
      <w:pPr>
        <w:ind w:firstLine="720"/>
        <w:jc w:val="right"/>
        <w:rPr>
          <w:rFonts w:ascii="Arial" w:eastAsia="Arial" w:hAnsi="Arial" w:cs="Arial"/>
          <w:b/>
          <w:bCs/>
          <w:u w:val="single"/>
        </w:rPr>
      </w:pPr>
      <w:r>
        <w:rPr>
          <w:rFonts w:ascii="Arial" w:eastAsia="Arial" w:hAnsi="Arial" w:cs="Arial"/>
          <w:b/>
          <w:bCs/>
          <w:u w:val="single"/>
        </w:rPr>
        <w:t xml:space="preserve"> Disadvantages from a business perspective __      </w:t>
      </w:r>
      <w:r>
        <w:rPr>
          <w:rFonts w:ascii="Arial" w:eastAsia="Arial" w:hAnsi="Arial" w:cs="Arial"/>
          <w:b/>
          <w:bCs/>
          <w:u w:val="single"/>
        </w:rPr>
        <w:tab/>
        <w:t>10</w:t>
      </w:r>
    </w:p>
    <w:p w14:paraId="27D80A50" w14:textId="77777777" w:rsidR="00481F84" w:rsidRDefault="00481F84" w:rsidP="00481F84">
      <w:pPr>
        <w:ind w:firstLine="720"/>
        <w:jc w:val="right"/>
        <w:rPr>
          <w:rFonts w:ascii="Arial" w:eastAsia="Arial" w:hAnsi="Arial" w:cs="Arial"/>
          <w:b/>
          <w:bCs/>
          <w:u w:val="single"/>
        </w:rPr>
      </w:pPr>
      <w:r>
        <w:rPr>
          <w:rFonts w:ascii="Arial" w:eastAsia="Arial" w:hAnsi="Arial" w:cs="Arial"/>
          <w:b/>
          <w:bCs/>
          <w:u w:val="single"/>
        </w:rPr>
        <w:t xml:space="preserve">Conclusion and reflection </w:t>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t>11</w:t>
      </w:r>
    </w:p>
    <w:p w14:paraId="26105995" w14:textId="77777777" w:rsidR="00481F84" w:rsidRDefault="00481F84" w:rsidP="00481F84">
      <w:pPr>
        <w:ind w:firstLine="720"/>
        <w:jc w:val="right"/>
        <w:rPr>
          <w:rFonts w:ascii="Arial" w:eastAsia="Arial" w:hAnsi="Arial" w:cs="Arial"/>
          <w:b/>
          <w:bCs/>
          <w:u w:val="single"/>
        </w:rPr>
      </w:pPr>
      <w:r>
        <w:rPr>
          <w:rFonts w:ascii="Arial" w:eastAsia="Arial" w:hAnsi="Arial" w:cs="Arial"/>
          <w:b/>
          <w:bCs/>
          <w:u w:val="single"/>
        </w:rPr>
        <w:t xml:space="preserve"> References</w:t>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t xml:space="preserve"> 12</w:t>
      </w:r>
    </w:p>
    <w:p w14:paraId="5C497DA6" w14:textId="77777777" w:rsidR="00481F84" w:rsidRDefault="00481F84" w:rsidP="00481F84">
      <w:pPr>
        <w:ind w:left="720" w:firstLine="720"/>
        <w:jc w:val="right"/>
        <w:rPr>
          <w:rFonts w:ascii="Arial" w:eastAsia="Arial" w:hAnsi="Arial" w:cs="Arial"/>
          <w:b/>
          <w:bCs/>
          <w:u w:val="single"/>
        </w:rPr>
      </w:pPr>
      <w:r>
        <w:rPr>
          <w:rFonts w:ascii="Arial" w:eastAsia="Arial" w:hAnsi="Arial" w:cs="Arial"/>
          <w:b/>
          <w:bCs/>
          <w:u w:val="single"/>
        </w:rPr>
        <w:t xml:space="preserve">Appendixes </w:t>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r>
      <w:r>
        <w:rPr>
          <w:rFonts w:ascii="Arial" w:eastAsia="Arial" w:hAnsi="Arial" w:cs="Arial"/>
          <w:b/>
          <w:bCs/>
          <w:u w:val="single"/>
        </w:rPr>
        <w:tab/>
        <w:t>19</w:t>
      </w:r>
    </w:p>
    <w:p w14:paraId="0A661EF4" w14:textId="77777777" w:rsidR="00481F84" w:rsidRDefault="00481F84" w:rsidP="00481F84">
      <w:pPr>
        <w:ind w:firstLine="720"/>
        <w:jc w:val="right"/>
        <w:rPr>
          <w:rFonts w:ascii="Arial" w:eastAsia="Arial" w:hAnsi="Arial" w:cs="Arial"/>
          <w:b/>
          <w:bCs/>
          <w:u w:val="single"/>
        </w:rPr>
      </w:pPr>
    </w:p>
    <w:p w14:paraId="0ABE1B5C" w14:textId="77777777" w:rsidR="00481F84" w:rsidRDefault="00481F84" w:rsidP="00481F84">
      <w:pPr>
        <w:jc w:val="right"/>
        <w:rPr>
          <w:rFonts w:ascii="Arial" w:eastAsia="Arial" w:hAnsi="Arial" w:cs="Arial"/>
          <w:b/>
          <w:bCs/>
          <w:u w:val="single"/>
        </w:rPr>
      </w:pPr>
    </w:p>
    <w:p w14:paraId="3A2C4C0C" w14:textId="77777777" w:rsidR="00481F84" w:rsidRDefault="00481F84" w:rsidP="00481F84">
      <w:pPr>
        <w:jc w:val="right"/>
        <w:rPr>
          <w:rFonts w:ascii="Arial" w:eastAsia="Arial" w:hAnsi="Arial" w:cs="Arial"/>
          <w:b/>
          <w:bCs/>
          <w:u w:val="single"/>
        </w:rPr>
      </w:pPr>
    </w:p>
    <w:p w14:paraId="506E47F8" w14:textId="77777777" w:rsidR="00481F84" w:rsidRDefault="00481F84" w:rsidP="00481F84">
      <w:pPr>
        <w:jc w:val="right"/>
        <w:rPr>
          <w:rFonts w:ascii="Arial" w:eastAsia="Arial" w:hAnsi="Arial" w:cs="Arial"/>
          <w:b/>
          <w:bCs/>
          <w:u w:val="single"/>
        </w:rPr>
      </w:pPr>
      <w:r>
        <w:rPr>
          <w:rFonts w:ascii="Arial" w:eastAsia="Arial" w:hAnsi="Arial" w:cs="Arial"/>
          <w:b/>
          <w:bCs/>
          <w:u w:val="single"/>
        </w:rPr>
        <w:br w:type="page"/>
      </w:r>
    </w:p>
    <w:p w14:paraId="31CBC63E" w14:textId="77777777" w:rsidR="00481F84" w:rsidRDefault="00481F84" w:rsidP="00481F84">
      <w:pPr>
        <w:rPr>
          <w:rFonts w:ascii="Arial" w:eastAsia="Arial" w:hAnsi="Arial" w:cs="Arial"/>
          <w:b/>
          <w:bCs/>
          <w:u w:val="single"/>
        </w:rPr>
      </w:pPr>
      <w:r>
        <w:rPr>
          <w:rFonts w:ascii="Arial" w:eastAsia="Arial" w:hAnsi="Arial" w:cs="Arial"/>
          <w:b/>
          <w:bCs/>
          <w:u w:val="single"/>
        </w:rPr>
        <w:lastRenderedPageBreak/>
        <w:t>Introduction</w:t>
      </w:r>
    </w:p>
    <w:p w14:paraId="7181077F" w14:textId="77777777" w:rsidR="00481F84" w:rsidRDefault="00481F84" w:rsidP="00481F84">
      <w:pPr>
        <w:rPr>
          <w:rFonts w:ascii="Arial" w:eastAsia="Arial" w:hAnsi="Arial" w:cs="Arial"/>
        </w:rPr>
      </w:pPr>
      <w:r>
        <w:rPr>
          <w:rFonts w:ascii="Arial" w:eastAsia="Arial" w:hAnsi="Arial" w:cs="Arial"/>
        </w:rPr>
        <w:t xml:space="preserve">The COVID 19 pandemic thrust workforces into remote working in early 2020. Whereas this was most people’s first experiences of remote working- it has in fact, been topic to explore since early 2000’s </w:t>
      </w:r>
      <w:r>
        <w:rPr>
          <w:rFonts w:ascii="Arial" w:eastAsia="Arial" w:hAnsi="Arial" w:cs="Arial"/>
          <w:color w:val="333333"/>
        </w:rPr>
        <w:t>(e.g., Cascio, 2000).</w:t>
      </w:r>
    </w:p>
    <w:p w14:paraId="7E097E35" w14:textId="77777777" w:rsidR="00481F84" w:rsidRDefault="00481F84" w:rsidP="00481F84">
      <w:pPr>
        <w:rPr>
          <w:rFonts w:ascii="Arial" w:eastAsia="Arial" w:hAnsi="Arial" w:cs="Arial"/>
        </w:rPr>
      </w:pPr>
      <w:r>
        <w:rPr>
          <w:rFonts w:ascii="Arial" w:eastAsia="Arial" w:hAnsi="Arial" w:cs="Arial"/>
        </w:rPr>
        <w:t>Remote working explained is “</w:t>
      </w:r>
      <w:r>
        <w:rPr>
          <w:rFonts w:ascii="Arial" w:eastAsia="Arial" w:hAnsi="Arial" w:cs="Arial"/>
          <w:color w:val="111111"/>
        </w:rPr>
        <w:t xml:space="preserve">a situation in which an employee works mainly from home and communicates with the company by email and telephone” </w:t>
      </w:r>
      <w:r>
        <w:rPr>
          <w:rFonts w:ascii="Arial" w:eastAsia="Arial" w:hAnsi="Arial" w:cs="Arial"/>
        </w:rPr>
        <w:t>(Cambridge dictionary, 2022) for the purpose of this report remote working also includes the term ‘working from home’ and WFH.</w:t>
      </w:r>
    </w:p>
    <w:p w14:paraId="4D3BA6D2" w14:textId="77777777" w:rsidR="00481F84" w:rsidRDefault="00481F84" w:rsidP="00481F84">
      <w:pPr>
        <w:rPr>
          <w:rFonts w:ascii="Arial" w:eastAsia="Arial" w:hAnsi="Arial" w:cs="Arial"/>
        </w:rPr>
      </w:pPr>
      <w:r>
        <w:rPr>
          <w:rFonts w:ascii="Arial" w:eastAsia="Arial" w:hAnsi="Arial" w:cs="Arial"/>
        </w:rPr>
        <w:t xml:space="preserve">The research will consist of the advantages and disadvantages for the employee (including the term staff) and managers (also references as leaders) and the business. </w:t>
      </w:r>
    </w:p>
    <w:p w14:paraId="047BB1F7" w14:textId="77777777" w:rsidR="00481F84" w:rsidRDefault="00481F84" w:rsidP="00481F84">
      <w:pPr>
        <w:rPr>
          <w:rFonts w:ascii="Arial" w:eastAsia="Arial" w:hAnsi="Arial" w:cs="Arial"/>
        </w:rPr>
      </w:pPr>
    </w:p>
    <w:p w14:paraId="186704E2" w14:textId="77777777" w:rsidR="00481F84" w:rsidRDefault="00481F84" w:rsidP="00481F84">
      <w:pPr>
        <w:rPr>
          <w:rFonts w:ascii="Arial" w:eastAsia="Arial" w:hAnsi="Arial" w:cs="Arial"/>
        </w:rPr>
      </w:pPr>
      <w:r>
        <w:rPr>
          <w:rFonts w:ascii="Arial" w:eastAsia="Arial" w:hAnsi="Arial" w:cs="Arial"/>
        </w:rPr>
        <w:br w:type="page"/>
      </w:r>
    </w:p>
    <w:p w14:paraId="433315C3" w14:textId="77777777" w:rsidR="00481F84" w:rsidRDefault="00481F84" w:rsidP="00481F84">
      <w:pPr>
        <w:rPr>
          <w:rFonts w:ascii="Arial" w:eastAsia="Arial" w:hAnsi="Arial" w:cs="Arial"/>
          <w:b/>
          <w:bCs/>
          <w:u w:val="single"/>
        </w:rPr>
      </w:pPr>
      <w:r>
        <w:rPr>
          <w:rFonts w:ascii="Arial" w:eastAsia="Arial" w:hAnsi="Arial" w:cs="Arial"/>
          <w:b/>
          <w:bCs/>
          <w:u w:val="single"/>
        </w:rPr>
        <w:lastRenderedPageBreak/>
        <w:t xml:space="preserve">Advantages from a manager perspective. </w:t>
      </w:r>
    </w:p>
    <w:p w14:paraId="19D6B481" w14:textId="77777777" w:rsidR="00481F84" w:rsidRDefault="00481F84" w:rsidP="00481F84">
      <w:pPr>
        <w:rPr>
          <w:rFonts w:ascii="Arial" w:eastAsia="Arial" w:hAnsi="Arial" w:cs="Arial"/>
        </w:rPr>
      </w:pPr>
      <w:r>
        <w:rPr>
          <w:rFonts w:ascii="Arial" w:eastAsia="Arial" w:hAnsi="Arial" w:cs="Arial"/>
        </w:rPr>
        <w:t>When assessing working from home, an important point to consider according to  Urbaniec (2022) is that lower-level managers have the most direct contact with front line staff. They communicate with them the most frequently and play a crucial role in their effectiveness. Therefore, due to their significant impact on staff, it is important to consider how mangers can benefit from a working from home environment.</w:t>
      </w:r>
    </w:p>
    <w:p w14:paraId="5CD78A75" w14:textId="77777777" w:rsidR="00481F84" w:rsidRDefault="00481F84" w:rsidP="00481F84">
      <w:pPr>
        <w:rPr>
          <w:rFonts w:ascii="Arial" w:eastAsia="Arial" w:hAnsi="Arial" w:cs="Arial"/>
        </w:rPr>
      </w:pPr>
      <w:r>
        <w:rPr>
          <w:rFonts w:ascii="Arial" w:eastAsia="Arial" w:hAnsi="Arial" w:cs="Arial"/>
        </w:rPr>
        <w:t xml:space="preserve">One point to consider as suggested by Dingel &amp; Neiman, (2020) is that jobs that work from home pay more. According to their US study, 37% of US jobs can be done from home and these jobs typically pay more. This report also evidences the link to lower income economies and percentage of work from home jobs in that area, further supporting a potential financial gain managers (and staff) when working from home.  Pay is an important benefit to consider as according to Indeed </w:t>
      </w:r>
      <w:r>
        <w:rPr>
          <w:rFonts w:ascii="Arial" w:eastAsia="Arial" w:hAnsi="Arial" w:cs="Arial"/>
          <w:color w:val="000000" w:themeColor="text1"/>
        </w:rPr>
        <w:t>(</w:t>
      </w:r>
      <w:r>
        <w:rPr>
          <w:rFonts w:ascii="Arial" w:eastAsia="Arial" w:hAnsi="Arial" w:cs="Arial"/>
          <w:i/>
          <w:iCs/>
          <w:color w:val="000000" w:themeColor="text1"/>
        </w:rPr>
        <w:t>What to Consider before Accepting a Job Offer: Everything You Need to Know!</w:t>
      </w:r>
      <w:r>
        <w:rPr>
          <w:rFonts w:ascii="Arial" w:eastAsia="Arial" w:hAnsi="Arial" w:cs="Arial"/>
          <w:color w:val="000000" w:themeColor="text1"/>
        </w:rPr>
        <w:t>, 2022)</w:t>
      </w:r>
      <w:r>
        <w:rPr>
          <w:rFonts w:ascii="Arial" w:eastAsia="Arial" w:hAnsi="Arial" w:cs="Arial"/>
        </w:rPr>
        <w:t xml:space="preserve"> base pay is the number one consideration individuals should make when accepting a job offer. </w:t>
      </w:r>
    </w:p>
    <w:p w14:paraId="53E7A34A" w14:textId="77777777" w:rsidR="00481F84" w:rsidRDefault="00481F84" w:rsidP="00481F84">
      <w:pPr>
        <w:rPr>
          <w:rFonts w:ascii="Arial" w:eastAsia="Arial" w:hAnsi="Arial" w:cs="Arial"/>
        </w:rPr>
      </w:pPr>
      <w:r>
        <w:rPr>
          <w:rFonts w:ascii="Arial" w:eastAsia="Arial" w:hAnsi="Arial" w:cs="Arial"/>
        </w:rPr>
        <w:t>According to Prism (</w:t>
      </w:r>
      <w:r>
        <w:rPr>
          <w:rFonts w:ascii="Arial" w:eastAsia="Arial" w:hAnsi="Arial" w:cs="Arial"/>
          <w:i/>
          <w:iCs/>
        </w:rPr>
        <w:t>5 Reasons to Let Employees Work from Home | Prism IT</w:t>
      </w:r>
      <w:r>
        <w:rPr>
          <w:rFonts w:ascii="Arial" w:eastAsia="Arial" w:hAnsi="Arial" w:cs="Arial"/>
        </w:rPr>
        <w:t>, n.d.) having a wider location for candidates is a benefit for managers with hiring responsibilities. Finding the right person for the job without location restrictions is a great opportunity allowing managers a better pool of candidates.  This report also highlights in addition to this, staff take less sick days when working from home- benefiting managers by them not only having a wider range of candidates, but the hired staff will potentially take less days off due to sickness.</w:t>
      </w:r>
    </w:p>
    <w:p w14:paraId="7870203A" w14:textId="77777777" w:rsidR="00481F84" w:rsidRDefault="00481F84" w:rsidP="00481F84">
      <w:pPr>
        <w:rPr>
          <w:rFonts w:ascii="Arial" w:eastAsia="Arial" w:hAnsi="Arial" w:cs="Arial"/>
        </w:rPr>
      </w:pPr>
      <w:r>
        <w:rPr>
          <w:rFonts w:ascii="Arial" w:eastAsia="Arial" w:hAnsi="Arial" w:cs="Arial"/>
        </w:rPr>
        <w:t>Work/ life balance is one of the top reported benefits of working from home according to Ipsen et al. (2021).  Other research by Ferreira et al. (2020) shows 47% of employees who worked from home had more time for family and friends. This highlights the benefit of working from home for the mangers point of view as an individual and their ability to advertise better work life balance as a benefit to working for the company when hiring.</w:t>
      </w:r>
    </w:p>
    <w:p w14:paraId="009142D1" w14:textId="77777777" w:rsidR="00481F84" w:rsidRDefault="00481F84" w:rsidP="00481F84">
      <w:pPr>
        <w:rPr>
          <w:rFonts w:ascii="Arial" w:eastAsia="Arial" w:hAnsi="Arial" w:cs="Arial"/>
        </w:rPr>
      </w:pPr>
      <w:r>
        <w:rPr>
          <w:rFonts w:ascii="Arial" w:eastAsia="Arial" w:hAnsi="Arial" w:cs="Arial"/>
        </w:rPr>
        <w:t xml:space="preserve">Arguably a report by Wu and Chen (2020) claims that those who work from home, work on average 3 hours more per week than those don’t. However this does not indicate that this increase of hours negativity impacts work life balance. </w:t>
      </w:r>
    </w:p>
    <w:p w14:paraId="5FBCF536" w14:textId="77777777" w:rsidR="00481F84" w:rsidRDefault="00481F84" w:rsidP="00481F84">
      <w:pPr>
        <w:rPr>
          <w:rFonts w:ascii="Arial" w:eastAsia="Arial" w:hAnsi="Arial" w:cs="Arial"/>
        </w:rPr>
      </w:pPr>
      <w:r>
        <w:rPr>
          <w:rFonts w:ascii="Arial" w:eastAsia="Arial" w:hAnsi="Arial" w:cs="Arial"/>
        </w:rPr>
        <w:t xml:space="preserve">From the research it is evident that working from home brings the opportunity to pay more and gives better work life balance for managers. It also allows hiring managers to gain a wider scope of potential candidates and advertise working from home as a benefit to further attract potential employees. </w:t>
      </w:r>
    </w:p>
    <w:p w14:paraId="6F17F5AD" w14:textId="77777777" w:rsidR="00481F84" w:rsidRDefault="00481F84" w:rsidP="00481F84">
      <w:pPr>
        <w:rPr>
          <w:rFonts w:ascii="Arial" w:eastAsia="Arial" w:hAnsi="Arial" w:cs="Arial"/>
        </w:rPr>
      </w:pPr>
      <w:r>
        <w:rPr>
          <w:rFonts w:ascii="Arial" w:eastAsia="Arial" w:hAnsi="Arial" w:cs="Arial"/>
        </w:rPr>
        <w:br w:type="page"/>
      </w:r>
    </w:p>
    <w:p w14:paraId="0538EA15" w14:textId="77777777" w:rsidR="00481F84" w:rsidRDefault="00481F84" w:rsidP="00481F84">
      <w:pPr>
        <w:rPr>
          <w:rFonts w:ascii="Arial" w:eastAsia="Arial" w:hAnsi="Arial" w:cs="Arial"/>
          <w:b/>
          <w:bCs/>
          <w:u w:val="single"/>
        </w:rPr>
      </w:pPr>
      <w:r>
        <w:rPr>
          <w:rFonts w:ascii="Arial" w:eastAsia="Arial" w:hAnsi="Arial" w:cs="Arial"/>
          <w:b/>
          <w:bCs/>
          <w:u w:val="single"/>
        </w:rPr>
        <w:lastRenderedPageBreak/>
        <w:t xml:space="preserve">Disadvantages from a manager perspective. </w:t>
      </w:r>
    </w:p>
    <w:p w14:paraId="7378E165" w14:textId="77777777" w:rsidR="00481F84" w:rsidRDefault="00481F84" w:rsidP="00481F84">
      <w:pPr>
        <w:rPr>
          <w:rFonts w:ascii="Arial" w:eastAsia="Arial" w:hAnsi="Arial" w:cs="Arial"/>
        </w:rPr>
      </w:pPr>
      <w:r>
        <w:rPr>
          <w:rFonts w:ascii="Arial" w:eastAsia="Arial" w:hAnsi="Arial" w:cs="Arial"/>
        </w:rPr>
        <w:t xml:space="preserve">When assessing working home from a managers perspective the following research demonstrates potential barriers to consider for managers working from home. </w:t>
      </w:r>
    </w:p>
    <w:p w14:paraId="7F6BE19D" w14:textId="77777777" w:rsidR="00481F84" w:rsidRDefault="00481F84" w:rsidP="00481F84">
      <w:pPr>
        <w:rPr>
          <w:rFonts w:ascii="Arial" w:eastAsia="Arial" w:hAnsi="Arial" w:cs="Arial"/>
        </w:rPr>
      </w:pPr>
      <w:r>
        <w:rPr>
          <w:rFonts w:ascii="Arial" w:eastAsia="Arial" w:hAnsi="Arial" w:cs="Arial"/>
        </w:rPr>
        <w:t xml:space="preserve">Following on from Wu and Chen’s claim those who work from home work more hours- A report by Cropley et al. (2022) backs this up and looks into how the lack of rest breaks can effect a manger (and employee) The report indicates a failure to take ‘rest breaks’ through-out the day is linked to </w:t>
      </w:r>
      <w:r>
        <w:rPr>
          <w:rFonts w:ascii="Arial" w:eastAsia="Arial" w:hAnsi="Arial" w:cs="Arial"/>
          <w:color w:val="333333"/>
        </w:rPr>
        <w:t>increased risk of mental fatigue, physical fatigue, sleep problems, and a lack of mentally detaching from work and experiencing adequate rest. To overcome this, further research suggests a</w:t>
      </w:r>
      <w:r>
        <w:rPr>
          <w:rFonts w:ascii="Arial" w:eastAsia="Arial" w:hAnsi="Arial" w:cs="Arial"/>
        </w:rPr>
        <w:t xml:space="preserve"> rest and recovery model. (Milicevic, 2023) </w:t>
      </w:r>
    </w:p>
    <w:p w14:paraId="68BB4309" w14:textId="77777777" w:rsidR="00481F84" w:rsidRDefault="00481F84" w:rsidP="00481F84">
      <w:pPr>
        <w:rPr>
          <w:rFonts w:ascii="Arial" w:eastAsia="Arial" w:hAnsi="Arial" w:cs="Arial"/>
        </w:rPr>
      </w:pPr>
      <w:r>
        <w:rPr>
          <w:rFonts w:ascii="Arial" w:eastAsia="Arial" w:hAnsi="Arial" w:cs="Arial"/>
        </w:rPr>
        <w:t>In summary their report based on the model suggests giving autonomy to managers and staff to schedule their work based on their mood trajectories.</w:t>
      </w:r>
      <w:r>
        <w:rPr>
          <w:rFonts w:ascii="Arial" w:eastAsia="Arial" w:hAnsi="Arial" w:cs="Arial"/>
          <w:color w:val="333333"/>
        </w:rPr>
        <w:t xml:space="preserve"> i.e., wakefulness-tiredness, calmness-tenseness, and pleasantness-unpleasantness.</w:t>
      </w:r>
      <w:r>
        <w:rPr>
          <w:rFonts w:ascii="Arial" w:eastAsia="Arial" w:hAnsi="Arial" w:cs="Arial"/>
        </w:rPr>
        <w:t xml:space="preserve"> For example- high mood and wakefulness windows should be utilised for tasks involving concentration and energy. (see appendix A for full model)</w:t>
      </w:r>
    </w:p>
    <w:p w14:paraId="7307ABF9" w14:textId="77777777" w:rsidR="00481F84" w:rsidRDefault="00481F84" w:rsidP="00481F84">
      <w:pPr>
        <w:rPr>
          <w:rFonts w:ascii="Arial" w:eastAsia="Arial" w:hAnsi="Arial" w:cs="Arial"/>
        </w:rPr>
      </w:pPr>
      <w:r>
        <w:rPr>
          <w:rFonts w:ascii="Arial" w:eastAsia="Arial" w:hAnsi="Arial" w:cs="Arial"/>
        </w:rPr>
        <w:t>The model backs up the importance of detaching from the job after work hours and encourages relaxation throughout the day resulting in a more restful evening, leading to a more productive morning. Creating a positive cycle of rest, recovery and performance.</w:t>
      </w:r>
    </w:p>
    <w:p w14:paraId="085D6B64" w14:textId="77777777" w:rsidR="00481F84" w:rsidRDefault="00481F84" w:rsidP="00481F84">
      <w:pPr>
        <w:rPr>
          <w:rFonts w:ascii="Arial" w:eastAsia="Arial" w:hAnsi="Arial" w:cs="Arial"/>
          <w:highlight w:val="yellow"/>
        </w:rPr>
      </w:pPr>
      <w:r>
        <w:rPr>
          <w:rFonts w:ascii="Arial" w:eastAsia="Arial" w:hAnsi="Arial" w:cs="Arial"/>
        </w:rPr>
        <w:t xml:space="preserve">Taking the key principles as a prevention to overworking could be a solution to the barrier faced by managers for themselves, and as a tool to get the best from their staff. </w:t>
      </w:r>
    </w:p>
    <w:p w14:paraId="02ED9F98" w14:textId="77777777" w:rsidR="00481F84" w:rsidRDefault="00481F84" w:rsidP="00481F84">
      <w:pPr>
        <w:rPr>
          <w:rFonts w:ascii="Arial" w:eastAsia="Arial" w:hAnsi="Arial" w:cs="Arial"/>
          <w:color w:val="333333"/>
        </w:rPr>
      </w:pPr>
      <w:r>
        <w:rPr>
          <w:rFonts w:ascii="Arial" w:eastAsia="Arial" w:hAnsi="Arial" w:cs="Arial"/>
        </w:rPr>
        <w:t xml:space="preserve">Another challenge managers may face according to Izhar Oplatka (2023) is learning to change and adapt their leadership style. They may have managed the same way for many years, which would need adapting to fit a work from home environment. They suggest situational leadership as a solution as it was </w:t>
      </w:r>
      <w:r>
        <w:rPr>
          <w:rFonts w:ascii="Arial" w:eastAsia="Arial" w:hAnsi="Arial" w:cs="Arial"/>
          <w:color w:val="333333"/>
        </w:rPr>
        <w:t xml:space="preserve">proposed as “…a useful model for effectively leading teleworkers in the 21st century” by Gibson et al. (2002, p.85) </w:t>
      </w:r>
    </w:p>
    <w:p w14:paraId="71102989" w14:textId="77777777" w:rsidR="00481F84" w:rsidRDefault="00481F84" w:rsidP="00481F84">
      <w:pPr>
        <w:rPr>
          <w:rFonts w:ascii="Arial" w:eastAsia="Arial" w:hAnsi="Arial" w:cs="Arial"/>
          <w:color w:val="333333"/>
        </w:rPr>
      </w:pPr>
      <w:r>
        <w:rPr>
          <w:rFonts w:ascii="Arial" w:eastAsia="Arial" w:hAnsi="Arial" w:cs="Arial"/>
        </w:rPr>
        <w:t>Situational leadership is about adapting your leadership style to best suit the situation (Blanchard et al., 2013) I</w:t>
      </w:r>
      <w:r>
        <w:rPr>
          <w:rFonts w:ascii="Arial" w:eastAsia="Arial" w:hAnsi="Arial" w:cs="Arial"/>
          <w:color w:val="333333"/>
        </w:rPr>
        <w:t>t consists of four leadership styles: directing, coaching, supporting and delegating. Izhar goes on to explain learning about different leadership styles could help mangers overcome and adapt their own leadership style to fit the new environment and staff needs.</w:t>
      </w:r>
    </w:p>
    <w:p w14:paraId="14166A21" w14:textId="77777777" w:rsidR="00481F84" w:rsidRDefault="00481F84" w:rsidP="00481F84">
      <w:pPr>
        <w:rPr>
          <w:rFonts w:ascii="Arial" w:eastAsia="Arial" w:hAnsi="Arial" w:cs="Arial"/>
          <w:color w:val="333333"/>
        </w:rPr>
      </w:pPr>
      <w:r>
        <w:rPr>
          <w:rFonts w:ascii="Arial" w:eastAsia="Arial" w:hAnsi="Arial" w:cs="Arial"/>
        </w:rPr>
        <w:t xml:space="preserve">Another point to consider when successfully managing from home is considering key leadership competencies and how they motivate and engage staff, further expanding on how to overcome changing the way managers lead. James and Wooten (2008) identified some of the key leadership competencies as building trust, creating a new mindset, and making smart decisions. Their research goes on to evidence how these key competencies motivate and encourage staff when working remotely.  Although </w:t>
      </w:r>
      <w:r>
        <w:rPr>
          <w:rFonts w:ascii="Arial" w:eastAsia="Arial" w:hAnsi="Arial" w:cs="Arial"/>
        </w:rPr>
        <w:lastRenderedPageBreak/>
        <w:t>their work is based around leading during the COVID19 crisis- these competencies can be used even now to encourage managers to think differently once working from home.</w:t>
      </w:r>
    </w:p>
    <w:p w14:paraId="3AF23A0C" w14:textId="77777777" w:rsidR="00481F84" w:rsidRDefault="00481F84" w:rsidP="00481F84">
      <w:pPr>
        <w:rPr>
          <w:rFonts w:ascii="Arial" w:eastAsia="Arial" w:hAnsi="Arial" w:cs="Arial"/>
        </w:rPr>
      </w:pPr>
      <w:r>
        <w:rPr>
          <w:rFonts w:ascii="Arial" w:eastAsia="Arial" w:hAnsi="Arial" w:cs="Arial"/>
          <w:color w:val="333333"/>
        </w:rPr>
        <w:t xml:space="preserve">With the previous points in mind- considerable amount of time is needed for managers to invest in new leadership styles and get to know staff remotely </w:t>
      </w:r>
      <w:r>
        <w:rPr>
          <w:rFonts w:ascii="Arial" w:eastAsia="Arial" w:hAnsi="Arial" w:cs="Arial"/>
        </w:rPr>
        <w:t xml:space="preserve">(Purvanova &amp; Bono, 2009) . A solution to overcome this, according to Abdul (2021) is using Stephen Covey time management matrix (Covey, 1997)  </w:t>
      </w:r>
    </w:p>
    <w:p w14:paraId="79A9B1D4" w14:textId="77777777" w:rsidR="00481F84" w:rsidRDefault="00481F84" w:rsidP="00481F84">
      <w:pPr>
        <w:rPr>
          <w:rFonts w:ascii="Arial" w:eastAsia="Arial" w:hAnsi="Arial" w:cs="Arial"/>
        </w:rPr>
      </w:pPr>
      <w:r>
        <w:rPr>
          <w:rFonts w:ascii="Arial" w:eastAsia="Arial" w:hAnsi="Arial" w:cs="Arial"/>
        </w:rPr>
        <w:t>Relationship building often is placed in the important not urgent box (full matrix shown in appendix B). However, the model explains that anything can become urgent/important at any time, especially when it is avoided. With careful planning and a focus on building relationships ad hoc and regularly, this is a solution to the barrier of ‘investing too much time’ as the tasks become small and frequent and more manageable.</w:t>
      </w:r>
    </w:p>
    <w:p w14:paraId="7E17F930" w14:textId="77777777" w:rsidR="00481F84" w:rsidRDefault="00481F84" w:rsidP="00481F84">
      <w:pPr>
        <w:rPr>
          <w:rFonts w:ascii="Arial" w:eastAsia="Arial" w:hAnsi="Arial" w:cs="Arial"/>
        </w:rPr>
      </w:pPr>
      <w:r>
        <w:rPr>
          <w:rFonts w:ascii="Arial" w:eastAsia="Arial" w:hAnsi="Arial" w:cs="Arial"/>
        </w:rPr>
        <w:t>From these points it can be concluded- that overworking, changes to leadership style and time are all factors to consider for managers. Evidence showing how to overcome this consisting of forward planning, utilising time effectively and being adaptable as managers show the disadvantages have straight forward solutions.</w:t>
      </w:r>
    </w:p>
    <w:p w14:paraId="78BFAB48" w14:textId="77777777" w:rsidR="00481F84" w:rsidRDefault="00481F84" w:rsidP="00481F84">
      <w:pPr>
        <w:rPr>
          <w:rFonts w:ascii="Arial" w:eastAsia="Arial" w:hAnsi="Arial" w:cs="Arial"/>
        </w:rPr>
      </w:pPr>
    </w:p>
    <w:p w14:paraId="6C1AEB4E" w14:textId="77777777" w:rsidR="00481F84" w:rsidRDefault="00481F84" w:rsidP="00481F84">
      <w:pPr>
        <w:rPr>
          <w:rFonts w:ascii="Arial" w:eastAsia="Arial" w:hAnsi="Arial" w:cs="Arial"/>
        </w:rPr>
      </w:pPr>
      <w:r>
        <w:rPr>
          <w:rFonts w:ascii="Arial" w:eastAsia="Arial" w:hAnsi="Arial" w:cs="Arial"/>
        </w:rPr>
        <w:br w:type="page"/>
      </w:r>
    </w:p>
    <w:p w14:paraId="5FC1FCCE" w14:textId="77777777" w:rsidR="00481F84" w:rsidRDefault="00481F84" w:rsidP="00481F84">
      <w:pPr>
        <w:rPr>
          <w:rFonts w:ascii="Arial" w:eastAsia="Arial" w:hAnsi="Arial" w:cs="Arial"/>
          <w:b/>
          <w:bCs/>
          <w:u w:val="single"/>
        </w:rPr>
      </w:pPr>
      <w:r>
        <w:rPr>
          <w:rFonts w:ascii="Arial" w:eastAsia="Arial" w:hAnsi="Arial" w:cs="Arial"/>
          <w:b/>
          <w:bCs/>
          <w:u w:val="single"/>
        </w:rPr>
        <w:lastRenderedPageBreak/>
        <w:t xml:space="preserve">Advantages from an Employee perspective. </w:t>
      </w:r>
    </w:p>
    <w:p w14:paraId="300C5336" w14:textId="77777777" w:rsidR="00481F84" w:rsidRDefault="00481F84" w:rsidP="00481F84">
      <w:pPr>
        <w:rPr>
          <w:rFonts w:ascii="Arial" w:eastAsia="Arial" w:hAnsi="Arial" w:cs="Arial"/>
        </w:rPr>
      </w:pPr>
      <w:r>
        <w:rPr>
          <w:rFonts w:ascii="Arial" w:eastAsia="Arial" w:hAnsi="Arial" w:cs="Arial"/>
        </w:rPr>
        <w:t>Working from home also will see changes for employees.</w:t>
      </w:r>
    </w:p>
    <w:p w14:paraId="63E1196E" w14:textId="77777777" w:rsidR="00481F84" w:rsidRDefault="00481F84" w:rsidP="00481F84">
      <w:pPr>
        <w:rPr>
          <w:rFonts w:ascii="Arial" w:eastAsia="Arial" w:hAnsi="Arial" w:cs="Arial"/>
        </w:rPr>
      </w:pPr>
      <w:r>
        <w:rPr>
          <w:rFonts w:ascii="Arial" w:eastAsia="Arial" w:hAnsi="Arial" w:cs="Arial"/>
        </w:rPr>
        <w:t xml:space="preserve">A study conducted by Ispen et al. (2021) found the three main benefits reported by those working from home were work life balance, work efficiency and work control.  From an employee perspective Ispen et al. finds employees report less stress since working from home- with the requirement to no longer commute being a factor to this. The report finds employees found they had more control over their working day and hours- leading to reconfirm work life balance is a key attribute when looking at the benefit for those working from home. </w:t>
      </w:r>
    </w:p>
    <w:p w14:paraId="4D99707E" w14:textId="77777777" w:rsidR="00481F84" w:rsidRDefault="00481F84" w:rsidP="00481F84">
      <w:pPr>
        <w:rPr>
          <w:rFonts w:ascii="Arial" w:eastAsia="Arial" w:hAnsi="Arial" w:cs="Arial"/>
        </w:rPr>
      </w:pPr>
      <w:r>
        <w:rPr>
          <w:rFonts w:ascii="Arial" w:eastAsia="Arial" w:hAnsi="Arial" w:cs="Arial"/>
        </w:rPr>
        <w:t>Moving on from work life balance, an interesting point to consider according to the report by Ferreira et al. (2020) found 69% of those surveyed claimed wearing casual clothes to be a benefit to remote working.</w:t>
      </w:r>
    </w:p>
    <w:p w14:paraId="127D8252" w14:textId="77777777" w:rsidR="00481F84" w:rsidRDefault="00481F84" w:rsidP="00481F84">
      <w:pPr>
        <w:rPr>
          <w:rFonts w:ascii="Arial" w:eastAsia="Arial" w:hAnsi="Arial" w:cs="Arial"/>
          <w:color w:val="000000" w:themeColor="text1"/>
        </w:rPr>
      </w:pPr>
      <w:r>
        <w:rPr>
          <w:rFonts w:ascii="Arial" w:eastAsia="Arial" w:hAnsi="Arial" w:cs="Arial"/>
        </w:rPr>
        <w:t>To further explore this point, a report by the Chicago clothing boutique, (</w:t>
      </w:r>
      <w:r>
        <w:rPr>
          <w:rFonts w:ascii="Arial" w:eastAsia="Arial" w:hAnsi="Arial" w:cs="Arial"/>
          <w:i/>
          <w:iCs/>
        </w:rPr>
        <w:t>The Power of Comfortable Clothes: Why How You Dress Matters</w:t>
      </w:r>
      <w:r>
        <w:rPr>
          <w:rFonts w:ascii="Arial" w:eastAsia="Arial" w:hAnsi="Arial" w:cs="Arial"/>
        </w:rPr>
        <w:t>, n.d.) claims comfortable clothing makes an individual feel more comfortable</w:t>
      </w:r>
      <w:r>
        <w:rPr>
          <w:rFonts w:ascii="Arial" w:eastAsia="Arial" w:hAnsi="Arial" w:cs="Arial"/>
          <w:color w:val="000000" w:themeColor="text1"/>
        </w:rPr>
        <w:t xml:space="preserve"> in their own skin, confident in their own abilities and more willing to take risks or try new things. In addition to the employee’s general wellbeing being improved, there is the potential monetary saving elements to this point for no longer needing to purchase ‘business dress’.</w:t>
      </w:r>
    </w:p>
    <w:p w14:paraId="73FD3085" w14:textId="77777777" w:rsidR="00481F84" w:rsidRDefault="00481F84" w:rsidP="00481F84">
      <w:pPr>
        <w:rPr>
          <w:rFonts w:ascii="Arial" w:eastAsia="Arial" w:hAnsi="Arial" w:cs="Arial"/>
        </w:rPr>
      </w:pPr>
      <w:r>
        <w:rPr>
          <w:rFonts w:ascii="Arial" w:eastAsia="Arial" w:hAnsi="Arial" w:cs="Arial"/>
        </w:rPr>
        <w:t>A Harvard Business Review (2020) reports that overall employees reported less stress, a reduction in task related conflicts and less negative emotions since working from home- each point reducing by at least 10%. The review also shows improved employee efficiency and attention span-  by approximately 10%. Where as these figures were collected between March and May 2020 they are still valid points to back up that staff are happier when working from home.</w:t>
      </w:r>
    </w:p>
    <w:p w14:paraId="533B4903" w14:textId="77777777" w:rsidR="00481F84" w:rsidRDefault="00481F84" w:rsidP="00481F84">
      <w:pPr>
        <w:rPr>
          <w:rFonts w:ascii="Arial" w:eastAsia="Arial" w:hAnsi="Arial" w:cs="Arial"/>
        </w:rPr>
      </w:pPr>
      <w:r>
        <w:rPr>
          <w:rFonts w:ascii="Arial" w:eastAsia="Arial" w:hAnsi="Arial" w:cs="Arial"/>
          <w:color w:val="000000" w:themeColor="text1"/>
        </w:rPr>
        <w:t xml:space="preserve">In summary the key points made from the research, indicate work life balance, casual dress, less work related stress and less work conflict improves employee’s wellbeing by working from home. Employees wellbeing is an important consideration as a study by the </w:t>
      </w:r>
      <w:r>
        <w:rPr>
          <w:rFonts w:ascii="Arial" w:eastAsia="Arial" w:hAnsi="Arial" w:cs="Arial"/>
        </w:rPr>
        <w:t xml:space="preserve">University of Warwick, (2014) shows people are 12% more productive in work when they are happy. </w:t>
      </w:r>
    </w:p>
    <w:p w14:paraId="246CEB1B" w14:textId="77777777" w:rsidR="00481F84" w:rsidRDefault="00481F84" w:rsidP="00481F84">
      <w:pPr>
        <w:rPr>
          <w:rFonts w:ascii="Arial" w:eastAsia="Arial" w:hAnsi="Arial" w:cs="Arial"/>
        </w:rPr>
      </w:pPr>
    </w:p>
    <w:p w14:paraId="01843DAF" w14:textId="77777777" w:rsidR="00481F84" w:rsidRDefault="00481F84" w:rsidP="00481F84">
      <w:pPr>
        <w:rPr>
          <w:rFonts w:ascii="Arial" w:eastAsia="Arial" w:hAnsi="Arial" w:cs="Arial"/>
        </w:rPr>
      </w:pPr>
    </w:p>
    <w:p w14:paraId="493F1201" w14:textId="77777777" w:rsidR="00481F84" w:rsidRDefault="00481F84" w:rsidP="00481F84">
      <w:pPr>
        <w:rPr>
          <w:rFonts w:ascii="Arial" w:eastAsia="Arial" w:hAnsi="Arial" w:cs="Arial"/>
        </w:rPr>
      </w:pPr>
    </w:p>
    <w:p w14:paraId="13A28962" w14:textId="77777777" w:rsidR="00481F84" w:rsidRDefault="00481F84" w:rsidP="00481F84">
      <w:pPr>
        <w:rPr>
          <w:rFonts w:ascii="Arial" w:eastAsia="Arial" w:hAnsi="Arial" w:cs="Arial"/>
        </w:rPr>
      </w:pPr>
    </w:p>
    <w:p w14:paraId="5D7D2B73" w14:textId="77777777" w:rsidR="00481F84" w:rsidRDefault="00481F84" w:rsidP="00481F84">
      <w:pPr>
        <w:rPr>
          <w:rFonts w:ascii="Arial" w:eastAsia="Arial" w:hAnsi="Arial" w:cs="Arial"/>
        </w:rPr>
      </w:pPr>
      <w:r>
        <w:rPr>
          <w:rFonts w:ascii="Arial" w:eastAsia="Arial" w:hAnsi="Arial" w:cs="Arial"/>
        </w:rPr>
        <w:br w:type="page"/>
      </w:r>
    </w:p>
    <w:p w14:paraId="25F8B31F" w14:textId="77777777" w:rsidR="00481F84" w:rsidRDefault="00481F84" w:rsidP="00481F84">
      <w:pPr>
        <w:rPr>
          <w:rFonts w:ascii="Arial" w:eastAsia="Arial" w:hAnsi="Arial" w:cs="Arial"/>
          <w:b/>
          <w:bCs/>
          <w:u w:val="single"/>
        </w:rPr>
      </w:pPr>
      <w:r>
        <w:rPr>
          <w:rFonts w:ascii="Arial" w:eastAsia="Arial" w:hAnsi="Arial" w:cs="Arial"/>
          <w:b/>
          <w:bCs/>
          <w:u w:val="single"/>
        </w:rPr>
        <w:lastRenderedPageBreak/>
        <w:t xml:space="preserve">Disadvantages from an Employee perspective </w:t>
      </w:r>
    </w:p>
    <w:p w14:paraId="50FC65A8" w14:textId="77777777" w:rsidR="00481F84" w:rsidRDefault="00481F84" w:rsidP="00481F84">
      <w:pPr>
        <w:rPr>
          <w:rFonts w:ascii="Arial" w:eastAsia="Arial" w:hAnsi="Arial" w:cs="Arial"/>
        </w:rPr>
      </w:pPr>
      <w:r>
        <w:rPr>
          <w:rFonts w:ascii="Arial" w:eastAsia="Arial" w:hAnsi="Arial" w:cs="Arial"/>
        </w:rPr>
        <w:t xml:space="preserve">Where evidence suggests there are many benefits to working from home, arguably it comes with its challenges for employees. </w:t>
      </w:r>
    </w:p>
    <w:p w14:paraId="7DD4BD1D" w14:textId="77777777" w:rsidR="00481F84" w:rsidRDefault="00481F84" w:rsidP="00481F84">
      <w:pPr>
        <w:rPr>
          <w:rFonts w:ascii="Arial" w:eastAsia="Arial" w:hAnsi="Arial" w:cs="Arial"/>
        </w:rPr>
      </w:pPr>
      <w:r>
        <w:rPr>
          <w:rFonts w:ascii="Arial" w:eastAsia="Arial" w:hAnsi="Arial" w:cs="Arial"/>
        </w:rPr>
        <w:t xml:space="preserve">With moving away from the office environment employees face the challenge of no face to face contact. A report by the University of Amsterdam (Universiteit van Amsterdam, 2020) shows 53% of employees think face to face contact is very important for enjoying work, with 46% stating that it is more important than they thought since the move to working from home. </w:t>
      </w:r>
    </w:p>
    <w:p w14:paraId="6567EEA1" w14:textId="77777777" w:rsidR="00481F84" w:rsidRDefault="00481F84" w:rsidP="00481F84">
      <w:pPr>
        <w:rPr>
          <w:rFonts w:ascii="Arial" w:eastAsia="Arial" w:hAnsi="Arial" w:cs="Arial"/>
        </w:rPr>
      </w:pPr>
      <w:r>
        <w:rPr>
          <w:rFonts w:ascii="Arial" w:eastAsia="Arial" w:hAnsi="Arial" w:cs="Arial"/>
        </w:rPr>
        <w:t>In addition to this, a report by Phycology today (2022) suggests a link between remote work and loneliness. Where the report does go on to state that loneliness is a perceived state, it is an import factor to consider in addition to the importance of face to face contact for employees. The report goes on to say that those experiencing loneliness are less productive and more likely to quit- along with other serious mental health effects on the individual. To overcome loneliness, RSM (2020) suggests for employees to communicate with their managers, create meaningful virtual work and spend time reflecting with colleagues on times together . In addition to these suggestions, outside work interactions are no longer restricted now the pandemic is over, which is a consideration to take into account when looking at the reports.</w:t>
      </w:r>
    </w:p>
    <w:p w14:paraId="5F3A824F" w14:textId="77777777" w:rsidR="00481F84" w:rsidRDefault="00481F84" w:rsidP="00481F84">
      <w:pPr>
        <w:rPr>
          <w:rFonts w:ascii="Arial" w:eastAsia="Arial" w:hAnsi="Arial" w:cs="Arial"/>
        </w:rPr>
      </w:pPr>
      <w:r>
        <w:rPr>
          <w:rFonts w:ascii="Arial" w:eastAsia="Arial" w:hAnsi="Arial" w:cs="Arial"/>
        </w:rPr>
        <w:t xml:space="preserve">One final point to consider from an employee perspective is the potential lack of functioning office tools. A report by HR Future (2024) explores the impacts poor office equipment has on employees. It reports reduced productivity, increased health risks and employee moral have a direct link to inadequate equipment. Their solutions to overcome this are workplace assessments, company's investing in the right equipment and overall staff education on office products. </w:t>
      </w:r>
    </w:p>
    <w:p w14:paraId="62A5F926" w14:textId="77777777" w:rsidR="00481F84" w:rsidRDefault="00481F84" w:rsidP="00481F84">
      <w:pPr>
        <w:rPr>
          <w:rFonts w:ascii="Arial" w:eastAsia="Arial" w:hAnsi="Arial" w:cs="Arial"/>
        </w:rPr>
      </w:pPr>
      <w:r>
        <w:rPr>
          <w:rFonts w:ascii="Arial" w:eastAsia="Arial" w:hAnsi="Arial" w:cs="Arial"/>
        </w:rPr>
        <w:t>Further evidence to overcome communication issues and inadequate office tools is to use of Zoom.  Data released via their blog (Zoom, 2020) states their platform went from 10 million users to 200 million during the pandemic. Where their data might be argued at bias- the numbers speak for themselves evidencing the programs popularity. The argument to use Zoom, is further supported by HiTechNectar (HiTechNectar, n.d.) and Hubstaff.com  (Ohlsson, 2023) who both voted Zoom as the number one platform to use when working from home.</w:t>
      </w:r>
    </w:p>
    <w:p w14:paraId="14540897" w14:textId="77777777" w:rsidR="00481F84" w:rsidRDefault="00481F84" w:rsidP="00481F84">
      <w:pPr>
        <w:rPr>
          <w:rFonts w:ascii="Arial" w:eastAsia="Arial" w:hAnsi="Arial" w:cs="Arial"/>
        </w:rPr>
      </w:pPr>
      <w:r>
        <w:rPr>
          <w:rFonts w:ascii="Arial" w:eastAsia="Arial" w:hAnsi="Arial" w:cs="Arial"/>
        </w:rPr>
        <w:t xml:space="preserve">The employee’s wellbeing is evident to the success of working from home from the research. Where there are challenges for the employee mainly around wellbeing, interactions and inadequate office tools- these challenges have straight forward solutions- ensure staff wellbeing is monitored, invest in appropriate and quality tools and good communication between managers and peers. </w:t>
      </w:r>
    </w:p>
    <w:p w14:paraId="76DA3DE7" w14:textId="77777777" w:rsidR="00481F84" w:rsidRDefault="00481F84" w:rsidP="00481F84">
      <w:pPr>
        <w:rPr>
          <w:rFonts w:ascii="Arial" w:eastAsia="Arial" w:hAnsi="Arial" w:cs="Arial"/>
        </w:rPr>
      </w:pPr>
    </w:p>
    <w:p w14:paraId="2D85B7D6" w14:textId="77777777" w:rsidR="00481F84" w:rsidRDefault="00481F84" w:rsidP="00481F84">
      <w:pPr>
        <w:rPr>
          <w:rFonts w:ascii="Arial" w:eastAsia="Arial" w:hAnsi="Arial" w:cs="Arial"/>
        </w:rPr>
      </w:pPr>
    </w:p>
    <w:p w14:paraId="7DEA5C63" w14:textId="77777777" w:rsidR="00481F84" w:rsidRDefault="00481F84" w:rsidP="00481F84">
      <w:r>
        <w:br w:type="page"/>
      </w:r>
    </w:p>
    <w:p w14:paraId="22E74564" w14:textId="77777777" w:rsidR="00481F84" w:rsidRDefault="00481F84" w:rsidP="00481F84">
      <w:pPr>
        <w:rPr>
          <w:rFonts w:ascii="Arial" w:eastAsia="Arial" w:hAnsi="Arial" w:cs="Arial"/>
          <w:b/>
          <w:bCs/>
          <w:u w:val="single"/>
        </w:rPr>
      </w:pPr>
      <w:r>
        <w:rPr>
          <w:rFonts w:ascii="Arial" w:eastAsia="Arial" w:hAnsi="Arial" w:cs="Arial"/>
          <w:b/>
          <w:bCs/>
          <w:u w:val="single"/>
        </w:rPr>
        <w:lastRenderedPageBreak/>
        <w:t xml:space="preserve">Advantages from a business perspective </w:t>
      </w:r>
    </w:p>
    <w:p w14:paraId="1D5DD7E2" w14:textId="77777777" w:rsidR="00481F84" w:rsidRDefault="00481F84" w:rsidP="00481F84">
      <w:pPr>
        <w:rPr>
          <w:rFonts w:ascii="Arial" w:eastAsia="Arial" w:hAnsi="Arial" w:cs="Arial"/>
        </w:rPr>
      </w:pPr>
      <w:r>
        <w:rPr>
          <w:rFonts w:ascii="Arial" w:eastAsia="Arial" w:hAnsi="Arial" w:cs="Arial"/>
        </w:rPr>
        <w:t>When looking at considerations for working from home, the business implications are the next points to consider.</w:t>
      </w:r>
    </w:p>
    <w:p w14:paraId="342FC8AD" w14:textId="77777777" w:rsidR="00481F84" w:rsidRDefault="00481F84" w:rsidP="00481F84">
      <w:pPr>
        <w:rPr>
          <w:rFonts w:ascii="Arial" w:eastAsia="Arial" w:hAnsi="Arial" w:cs="Arial"/>
        </w:rPr>
      </w:pPr>
      <w:r>
        <w:rPr>
          <w:rFonts w:ascii="Arial" w:eastAsia="Arial" w:hAnsi="Arial" w:cs="Arial"/>
        </w:rPr>
        <w:t xml:space="preserve">Following on from a point earlier made about a lack of commuting being a benefit for employees, from a business perspective the impact of less commuting has a positive effect on environment reducing a company's carbon footprint.  According to an article by SHRM (SHRM, 2015) </w:t>
      </w:r>
      <w:r>
        <w:rPr>
          <w:rFonts w:ascii="Arial" w:eastAsia="Arial" w:hAnsi="Arial" w:cs="Arial"/>
          <w:color w:val="222222"/>
        </w:rPr>
        <w:t xml:space="preserve">The telecommuting policies of Dell, Aetna and Xerox cumulatively saved 95,294 metric tons of greenhouse gas emissions when moving towards working from home, which is the equivalent of taking 20,000 passenger vehicles off of the road. Their research is based on data from Flexjobs </w:t>
      </w:r>
      <w:r>
        <w:rPr>
          <w:rFonts w:ascii="Arial" w:eastAsia="Arial" w:hAnsi="Arial" w:cs="Arial"/>
        </w:rPr>
        <w:t>(Flexjobs, 2020)</w:t>
      </w:r>
    </w:p>
    <w:p w14:paraId="28326AF1" w14:textId="77777777" w:rsidR="00481F84" w:rsidRDefault="00481F84" w:rsidP="00481F84">
      <w:pPr>
        <w:rPr>
          <w:rFonts w:ascii="Arial" w:eastAsia="Arial" w:hAnsi="Arial" w:cs="Arial"/>
        </w:rPr>
      </w:pPr>
      <w:r>
        <w:rPr>
          <w:rFonts w:ascii="Arial" w:hAnsi="Arial" w:cs="Arial"/>
        </w:rPr>
        <w:t>Evidence of a company saving money is also shown in a report by Michael Tedder for Thestreet.com (Tedder, 2022) This source quotes one company claiming a potential of $11,000 saving per employee from overheads such as office space and heating.</w:t>
      </w:r>
    </w:p>
    <w:p w14:paraId="313D6E14" w14:textId="77777777" w:rsidR="00481F84" w:rsidRDefault="00481F84" w:rsidP="00481F84">
      <w:pPr>
        <w:rPr>
          <w:rFonts w:ascii="Arial" w:eastAsia="Arial" w:hAnsi="Arial" w:cs="Arial"/>
          <w:color w:val="233B6E"/>
        </w:rPr>
      </w:pPr>
      <w:r>
        <w:rPr>
          <w:rFonts w:ascii="Arial" w:hAnsi="Arial" w:cs="Arial"/>
        </w:rPr>
        <w:t>Another source (Ryans chartered accountants, 2022) also claims- from its own research, its estimated that companies can save an average of around £6,810 per year for every employee that spends at least half of their time working remotely.</w:t>
      </w:r>
      <w:r>
        <w:t xml:space="preserve"> </w:t>
      </w:r>
      <w:r>
        <w:rPr>
          <w:rFonts w:ascii="Arial" w:eastAsia="Arial" w:hAnsi="Arial" w:cs="Arial"/>
        </w:rPr>
        <w:t>These figures strongly argue there is a significant monetary advantage to business’s moving towards working from home, and an environmental one.</w:t>
      </w:r>
    </w:p>
    <w:p w14:paraId="1CB4B688" w14:textId="77777777" w:rsidR="00481F84" w:rsidRDefault="00481F84" w:rsidP="00481F84">
      <w:pPr>
        <w:rPr>
          <w:rFonts w:ascii="Arial" w:eastAsia="Arial" w:hAnsi="Arial" w:cs="Arial"/>
        </w:rPr>
      </w:pPr>
      <w:r>
        <w:rPr>
          <w:rFonts w:ascii="Arial" w:eastAsia="Arial" w:hAnsi="Arial" w:cs="Arial"/>
        </w:rPr>
        <w:t>When companies are considering who will be working for them in the future, the answer according to Demitro Gianniris (Gianniris, 2018) is 75% of the workforce will be millennials by 2030. From a company perspective, being able to offer WFH as an option to millennials will be an attract option to encourage potential employees. The for this is that millennials report working from home/ work life balance is a priority when considering a career/ job (Deloitte, 2016).</w:t>
      </w:r>
      <w:r>
        <w:rPr>
          <w:rFonts w:ascii="Arial" w:eastAsia="Arial" w:hAnsi="Arial" w:cs="Arial"/>
          <w:color w:val="233B6E"/>
        </w:rPr>
        <w:t xml:space="preserve"> </w:t>
      </w:r>
      <w:r>
        <w:rPr>
          <w:rFonts w:ascii="Arial" w:eastAsia="Arial" w:hAnsi="Arial" w:cs="Arial"/>
        </w:rPr>
        <w:t>It could be argued business have no choice to consider working from home as thew way forward, as if they don’t, the future generation of workers will move to competitors who do.</w:t>
      </w:r>
    </w:p>
    <w:p w14:paraId="5BCB3AE6" w14:textId="77777777" w:rsidR="00481F84" w:rsidRDefault="00481F84" w:rsidP="00481F84">
      <w:pPr>
        <w:rPr>
          <w:rFonts w:ascii="Arial" w:eastAsia="Arial" w:hAnsi="Arial" w:cs="Arial"/>
        </w:rPr>
      </w:pPr>
      <w:r>
        <w:rPr>
          <w:rFonts w:ascii="Arial" w:eastAsia="Arial" w:hAnsi="Arial" w:cs="Arial"/>
        </w:rPr>
        <w:t xml:space="preserve">A business can also benefit from some of the points earlier mentioned with regards to hiring staff and having a happier work force. </w:t>
      </w:r>
    </w:p>
    <w:p w14:paraId="1E9F6BF0" w14:textId="77777777" w:rsidR="00481F84" w:rsidRDefault="00481F84" w:rsidP="00481F84">
      <w:pPr>
        <w:rPr>
          <w:rFonts w:ascii="Arial" w:eastAsia="Arial" w:hAnsi="Arial" w:cs="Arial"/>
        </w:rPr>
      </w:pPr>
      <w:r>
        <w:rPr>
          <w:rFonts w:ascii="Arial" w:eastAsia="Arial" w:hAnsi="Arial" w:cs="Arial"/>
        </w:rPr>
        <w:t xml:space="preserve">Overall, the research shows a business can greatly benefit from working from home, from cost, carbon footprints, job prospects and the wellbeing of its managers and employees. </w:t>
      </w:r>
    </w:p>
    <w:p w14:paraId="64FC9C9E" w14:textId="77777777" w:rsidR="00481F84" w:rsidRDefault="00481F84" w:rsidP="00481F84">
      <w:pPr>
        <w:rPr>
          <w:rFonts w:ascii="Arial" w:eastAsia="Arial" w:hAnsi="Arial" w:cs="Arial"/>
        </w:rPr>
      </w:pPr>
    </w:p>
    <w:p w14:paraId="4A114FB6" w14:textId="77777777" w:rsidR="00481F84" w:rsidRDefault="00481F84" w:rsidP="00481F84">
      <w:pPr>
        <w:rPr>
          <w:rFonts w:ascii="Arial" w:eastAsia="Arial" w:hAnsi="Arial" w:cs="Arial"/>
        </w:rPr>
      </w:pPr>
      <w:r>
        <w:rPr>
          <w:rFonts w:ascii="Arial" w:eastAsia="Arial" w:hAnsi="Arial" w:cs="Arial"/>
        </w:rPr>
        <w:br w:type="page"/>
      </w:r>
    </w:p>
    <w:p w14:paraId="152BCBB1" w14:textId="77777777" w:rsidR="00481F84" w:rsidRDefault="00481F84" w:rsidP="00481F84">
      <w:pPr>
        <w:rPr>
          <w:rFonts w:ascii="Arial" w:eastAsia="Arial" w:hAnsi="Arial" w:cs="Arial"/>
          <w:b/>
          <w:bCs/>
          <w:u w:val="single"/>
        </w:rPr>
      </w:pPr>
      <w:r>
        <w:rPr>
          <w:rFonts w:ascii="Arial" w:eastAsia="Arial" w:hAnsi="Arial" w:cs="Arial"/>
          <w:b/>
          <w:bCs/>
          <w:u w:val="single"/>
        </w:rPr>
        <w:lastRenderedPageBreak/>
        <w:t xml:space="preserve">Disadvantages from a business perspective. </w:t>
      </w:r>
    </w:p>
    <w:p w14:paraId="4C31FF38" w14:textId="77777777" w:rsidR="00481F84" w:rsidRDefault="00481F84" w:rsidP="00481F84">
      <w:pPr>
        <w:rPr>
          <w:rFonts w:ascii="Times New Roman" w:eastAsia="Times New Roman" w:hAnsi="Times New Roman" w:cs="Times New Roman"/>
        </w:rPr>
      </w:pPr>
      <w:r>
        <w:rPr>
          <w:rFonts w:ascii="Arial" w:eastAsia="Arial" w:hAnsi="Arial" w:cs="Arial"/>
        </w:rPr>
        <w:t xml:space="preserve">Naturally, business can expect challenges when moving towards working from home. A concern to consider from a business perspective is cyber security. A lack of remote working security training, heightened stress, and anxiety from staff and untrusted (or not security cleared) individuals within the home environment are all a security risk factor (Nurse et al., 2021). A way to overcome this and reduce the risk or data leaks would be to train staff on new WFH security processes. </w:t>
      </w:r>
    </w:p>
    <w:p w14:paraId="3518F0D8" w14:textId="77777777" w:rsidR="00481F84" w:rsidRDefault="00481F84" w:rsidP="00481F84">
      <w:pPr>
        <w:rPr>
          <w:rFonts w:ascii="Arial" w:eastAsia="Arial" w:hAnsi="Arial" w:cs="Arial"/>
        </w:rPr>
      </w:pPr>
      <w:r>
        <w:rPr>
          <w:rFonts w:ascii="Arial" w:eastAsia="Arial" w:hAnsi="Arial" w:cs="Arial"/>
        </w:rPr>
        <w:t>Another point to consider is a high turnaround of staff (Go, 2018). Staff have the ability to just ‘disappear’ when working remotely and its suggested those in a WFH position can consider the job as temporary. A suggestion to overcome this is to ensure hiring is right and the candidate has experience with WFH and know what to expect.</w:t>
      </w:r>
    </w:p>
    <w:p w14:paraId="18DC5EB8" w14:textId="77777777" w:rsidR="00481F84" w:rsidRDefault="00481F84" w:rsidP="00481F84">
      <w:pPr>
        <w:rPr>
          <w:rFonts w:ascii="Arial" w:eastAsia="Arial" w:hAnsi="Arial" w:cs="Arial"/>
        </w:rPr>
      </w:pPr>
      <w:r>
        <w:rPr>
          <w:rFonts w:ascii="Arial" w:eastAsia="Arial" w:hAnsi="Arial" w:cs="Arial"/>
        </w:rPr>
        <w:t>One final point to consider is the wellbeing of staff and managers. Previous points have highlighted the potential challenges they may face. It has been previously supported in this report that staff wellbeing has a positive impact on productivity. - so if staff are not happy- then productivity can be effected.</w:t>
      </w:r>
    </w:p>
    <w:p w14:paraId="592A80EC" w14:textId="77777777" w:rsidR="00481F84" w:rsidRDefault="00481F84" w:rsidP="00481F84">
      <w:pPr>
        <w:rPr>
          <w:rFonts w:ascii="Arial" w:eastAsia="Arial" w:hAnsi="Arial" w:cs="Arial"/>
        </w:rPr>
      </w:pPr>
      <w:r>
        <w:rPr>
          <w:rFonts w:ascii="Arial" w:eastAsia="Arial" w:hAnsi="Arial" w:cs="Arial"/>
        </w:rPr>
        <w:t xml:space="preserve">One final point to consider it the potential legal implications if businesses don’t follow legislation when setting staff up to WFH. </w:t>
      </w:r>
    </w:p>
    <w:p w14:paraId="4EA0D3E5" w14:textId="77777777" w:rsidR="00481F84" w:rsidRDefault="00481F84" w:rsidP="00481F84">
      <w:pPr>
        <w:rPr>
          <w:rFonts w:ascii="Arial" w:eastAsia="Arial" w:hAnsi="Arial" w:cs="Arial"/>
        </w:rPr>
      </w:pPr>
      <w:r>
        <w:rPr>
          <w:rFonts w:ascii="Arial" w:eastAsia="Arial" w:hAnsi="Arial" w:cs="Arial"/>
        </w:rPr>
        <w:t xml:space="preserve">According to TheHRD </w:t>
      </w:r>
      <w:r>
        <w:rPr>
          <w:color w:val="000000"/>
          <w:shd w:val="clear" w:color="auto" w:fill="FFFFFF"/>
        </w:rPr>
        <w:t>(</w:t>
      </w:r>
      <w:r>
        <w:rPr>
          <w:i/>
          <w:iCs/>
          <w:color w:val="000000"/>
        </w:rPr>
        <w:t>Five Things Employers Legally Need to Do for Home Workers | TheHRD</w:t>
      </w:r>
      <w:r>
        <w:rPr>
          <w:color w:val="000000"/>
          <w:shd w:val="clear" w:color="auto" w:fill="FFFFFF"/>
        </w:rPr>
        <w:t xml:space="preserve">, 2021) </w:t>
      </w:r>
      <w:r>
        <w:rPr>
          <w:rFonts w:ascii="Arial" w:eastAsia="Arial" w:hAnsi="Arial" w:cs="Arial"/>
        </w:rPr>
        <w:t>some key legal responsibilities for business are equipment, work from home policies and safe workspace. This report goes on to evidence that these things are still the responsibility of the company even though staff are working from home. Following legislation is a key factor to consider.</w:t>
      </w:r>
    </w:p>
    <w:p w14:paraId="0AEDE331" w14:textId="77777777" w:rsidR="00481F84" w:rsidRDefault="00481F84" w:rsidP="00481F84">
      <w:pPr>
        <w:rPr>
          <w:rFonts w:ascii="Arial" w:eastAsia="Arial" w:hAnsi="Arial" w:cs="Arial"/>
        </w:rPr>
      </w:pPr>
      <w:r>
        <w:rPr>
          <w:rFonts w:ascii="Arial" w:eastAsia="Arial" w:hAnsi="Arial" w:cs="Arial"/>
        </w:rPr>
        <w:t xml:space="preserve">In summary- from a business perspective- staff wellbeing, security and staff retention are the key barriers when introducing WFH. However the ways to overcome this are evident and with planning and utilising some of the points discussed. Further supporting the argument that working from home benefits outweigh the potential risks for a business, </w:t>
      </w:r>
    </w:p>
    <w:p w14:paraId="633190F6" w14:textId="77777777" w:rsidR="00481F84" w:rsidRDefault="00481F84" w:rsidP="00481F84">
      <w:pPr>
        <w:rPr>
          <w:rFonts w:ascii="Arial" w:eastAsia="Arial" w:hAnsi="Arial" w:cs="Arial"/>
        </w:rPr>
      </w:pPr>
      <w:r>
        <w:rPr>
          <w:rFonts w:ascii="Arial" w:eastAsia="Arial" w:hAnsi="Arial" w:cs="Arial"/>
        </w:rPr>
        <w:br w:type="page"/>
      </w:r>
    </w:p>
    <w:p w14:paraId="7F93161D" w14:textId="77777777" w:rsidR="00481F84" w:rsidRDefault="00481F84" w:rsidP="00481F84">
      <w:pPr>
        <w:rPr>
          <w:rFonts w:ascii="Arial" w:eastAsia="Arial" w:hAnsi="Arial" w:cs="Arial"/>
          <w:b/>
          <w:bCs/>
          <w:u w:val="single"/>
        </w:rPr>
      </w:pPr>
      <w:r>
        <w:rPr>
          <w:rFonts w:ascii="Arial" w:eastAsia="Arial" w:hAnsi="Arial" w:cs="Arial"/>
          <w:b/>
          <w:bCs/>
          <w:u w:val="single"/>
        </w:rPr>
        <w:lastRenderedPageBreak/>
        <w:t>Conclusion</w:t>
      </w:r>
    </w:p>
    <w:p w14:paraId="48C45431" w14:textId="77777777" w:rsidR="00481F84" w:rsidRDefault="00481F84" w:rsidP="00481F84">
      <w:pPr>
        <w:rPr>
          <w:rFonts w:ascii="Arial" w:eastAsia="Arial" w:hAnsi="Arial" w:cs="Arial"/>
        </w:rPr>
      </w:pPr>
      <w:r>
        <w:rPr>
          <w:rFonts w:ascii="Arial" w:eastAsia="Arial" w:hAnsi="Arial" w:cs="Arial"/>
        </w:rPr>
        <w:t xml:space="preserve">The research highlights some key advantages to working from home from the perspective on the employee, managers, and business. The key advantages to consider are work life balance, flexibility, and hiring potentials. The research shows the benefits the managers and employees would experience would have a positive impact on the business. Where there are naturally disadvantages to any change, the research shows that they are overcome with simple measures such time management, training, and correct equipment. Overall, the study shows moving to a work from home environment is beneficial to employees, managers and the business. </w:t>
      </w:r>
    </w:p>
    <w:p w14:paraId="2EDEA6CE" w14:textId="77777777" w:rsidR="00481F84" w:rsidRDefault="00481F84" w:rsidP="00481F84">
      <w:pPr>
        <w:rPr>
          <w:rFonts w:ascii="Arial" w:eastAsia="Arial" w:hAnsi="Arial" w:cs="Arial"/>
        </w:rPr>
      </w:pPr>
    </w:p>
    <w:p w14:paraId="2EB1FFDC" w14:textId="77777777" w:rsidR="00481F84" w:rsidRDefault="00481F84" w:rsidP="00481F84">
      <w:pPr>
        <w:rPr>
          <w:rFonts w:ascii="Arial" w:eastAsia="Arial" w:hAnsi="Arial" w:cs="Arial"/>
          <w:b/>
          <w:bCs/>
          <w:u w:val="single"/>
        </w:rPr>
      </w:pPr>
      <w:r>
        <w:rPr>
          <w:rFonts w:ascii="Arial" w:eastAsia="Arial" w:hAnsi="Arial" w:cs="Arial"/>
          <w:b/>
          <w:bCs/>
          <w:u w:val="single"/>
        </w:rPr>
        <w:t>Reflection</w:t>
      </w:r>
    </w:p>
    <w:p w14:paraId="7DB15849" w14:textId="77777777" w:rsidR="00481F84" w:rsidRDefault="00481F84" w:rsidP="00481F84">
      <w:pPr>
        <w:rPr>
          <w:rFonts w:ascii="Arial" w:eastAsia="Arial" w:hAnsi="Arial" w:cs="Arial"/>
        </w:rPr>
      </w:pPr>
      <w:r>
        <w:rPr>
          <w:rFonts w:ascii="Arial" w:eastAsia="Arial" w:hAnsi="Arial" w:cs="Arial"/>
        </w:rPr>
        <w:t>To reflect on this research I have used the KOLB reflective model (Kolb, 1984)  based on my own experiences of working from home. (See appendix C for KOLB model)</w:t>
      </w:r>
    </w:p>
    <w:p w14:paraId="1794DFA9" w14:textId="77777777" w:rsidR="00481F84" w:rsidRDefault="00481F84" w:rsidP="00481F84">
      <w:pPr>
        <w:rPr>
          <w:rFonts w:ascii="Arial" w:eastAsia="Arial" w:hAnsi="Arial" w:cs="Arial"/>
        </w:rPr>
      </w:pPr>
      <w:r>
        <w:rPr>
          <w:rFonts w:ascii="Arial" w:eastAsia="Arial" w:hAnsi="Arial" w:cs="Arial"/>
          <w:b/>
          <w:bCs/>
        </w:rPr>
        <w:t>Concreate experiences</w:t>
      </w:r>
      <w:r>
        <w:rPr>
          <w:rFonts w:ascii="Arial" w:eastAsia="Arial" w:hAnsi="Arial" w:cs="Arial"/>
        </w:rPr>
        <w:t xml:space="preserve">- when working from home the key advantages I experienced were no commute, slower mornings and flexibility with my children. The disadvantages I experiences were lack of functioning equipment, security risks and on occasion lack of motivation as I work best in a team environment. One main barrier was the managers who could not adapt to a more flexible way of working and still expected me to be ‘on the clock’. </w:t>
      </w:r>
    </w:p>
    <w:p w14:paraId="455502AD" w14:textId="77777777" w:rsidR="00481F84" w:rsidRDefault="00481F84" w:rsidP="00481F84">
      <w:pPr>
        <w:rPr>
          <w:rFonts w:ascii="Arial" w:eastAsia="Arial" w:hAnsi="Arial" w:cs="Arial"/>
        </w:rPr>
      </w:pPr>
      <w:r>
        <w:rPr>
          <w:rFonts w:ascii="Arial" w:eastAsia="Arial" w:hAnsi="Arial" w:cs="Arial"/>
          <w:b/>
          <w:bCs/>
        </w:rPr>
        <w:t>Reflection</w:t>
      </w:r>
      <w:r>
        <w:rPr>
          <w:rFonts w:ascii="Arial" w:eastAsia="Arial" w:hAnsi="Arial" w:cs="Arial"/>
        </w:rPr>
        <w:t>- reflecting on the experience I enjoyed working from home and benefited greatly from the experience. My main frustration was the lack of manager by in. The research shows ways other companies have overcome these issues and how working from home has developed since the pandemic.  I do currently work in a hybrid manner- meeting with clients online and in person and this works ideally for me.</w:t>
      </w:r>
    </w:p>
    <w:p w14:paraId="69548E19" w14:textId="77777777" w:rsidR="00481F84" w:rsidRDefault="00481F84" w:rsidP="00481F84">
      <w:pPr>
        <w:rPr>
          <w:rFonts w:ascii="Arial" w:eastAsia="Arial" w:hAnsi="Arial" w:cs="Arial"/>
        </w:rPr>
      </w:pPr>
      <w:r>
        <w:rPr>
          <w:rFonts w:ascii="Arial" w:eastAsia="Arial" w:hAnsi="Arial" w:cs="Arial"/>
          <w:b/>
          <w:bCs/>
        </w:rPr>
        <w:t>Learning</w:t>
      </w:r>
      <w:r>
        <w:rPr>
          <w:rFonts w:ascii="Arial" w:eastAsia="Arial" w:hAnsi="Arial" w:cs="Arial"/>
        </w:rPr>
        <w:t xml:space="preserve">- my key learning from this research is by allowing employees to work from home they are happier and will produce better work. The research shows it’s the way forward. My key learning from the experiences of working from home in an office environment is that for it to work- the managers have to have buy and adapt the principles themselves to move away from micromanaging. </w:t>
      </w:r>
    </w:p>
    <w:p w14:paraId="6BDC3A75" w14:textId="77777777" w:rsidR="00481F84" w:rsidRDefault="00481F84" w:rsidP="00481F84">
      <w:pPr>
        <w:rPr>
          <w:rFonts w:ascii="Arial" w:eastAsia="Arial" w:hAnsi="Arial" w:cs="Arial"/>
        </w:rPr>
      </w:pPr>
      <w:r>
        <w:rPr>
          <w:rFonts w:ascii="Arial" w:eastAsia="Arial" w:hAnsi="Arial" w:cs="Arial"/>
          <w:b/>
          <w:bCs/>
        </w:rPr>
        <w:t>Experimentation</w:t>
      </w:r>
      <w:r>
        <w:rPr>
          <w:rFonts w:ascii="Arial" w:eastAsia="Arial" w:hAnsi="Arial" w:cs="Arial"/>
        </w:rPr>
        <w:t xml:space="preserve">- moving forward I will be looking at doing some of my group sessions via online platforms like Zoom. This will open up the potential of clients who cannot meet in person and also save me costs on venue hire. </w:t>
      </w:r>
    </w:p>
    <w:p w14:paraId="7ABB917D" w14:textId="77777777" w:rsidR="00481F84" w:rsidRDefault="00481F84" w:rsidP="00481F84">
      <w:pPr>
        <w:rPr>
          <w:rFonts w:ascii="Arial" w:eastAsia="Arial" w:hAnsi="Arial" w:cs="Arial"/>
        </w:rPr>
      </w:pPr>
    </w:p>
    <w:p w14:paraId="08C95356" w14:textId="77777777" w:rsidR="00481F84" w:rsidRDefault="00481F84" w:rsidP="00481F84">
      <w:pPr>
        <w:rPr>
          <w:rFonts w:ascii="Arial" w:eastAsia="Arial" w:hAnsi="Arial" w:cs="Arial"/>
        </w:rPr>
      </w:pPr>
    </w:p>
    <w:p w14:paraId="2E8EC583" w14:textId="77777777" w:rsidR="00481F84" w:rsidRDefault="00481F84" w:rsidP="00481F84">
      <w:pPr>
        <w:rPr>
          <w:rFonts w:ascii="Arial" w:eastAsia="Arial" w:hAnsi="Arial" w:cs="Arial"/>
        </w:rPr>
      </w:pPr>
      <w:r>
        <w:rPr>
          <w:rFonts w:ascii="Arial" w:eastAsia="Arial" w:hAnsi="Arial" w:cs="Arial"/>
        </w:rPr>
        <w:br w:type="page"/>
      </w:r>
    </w:p>
    <w:p w14:paraId="363C0011" w14:textId="77777777" w:rsidR="00481F84" w:rsidRDefault="00481F84" w:rsidP="00481F84">
      <w:pPr>
        <w:pStyle w:val="Heading1"/>
        <w:spacing w:before="0" w:after="0" w:line="480" w:lineRule="auto"/>
        <w:jc w:val="center"/>
        <w:rPr>
          <w:sz w:val="24"/>
          <w:szCs w:val="24"/>
        </w:rPr>
      </w:pPr>
      <w:r>
        <w:rPr>
          <w:sz w:val="24"/>
          <w:szCs w:val="24"/>
        </w:rPr>
        <w:lastRenderedPageBreak/>
        <w:t>References</w:t>
      </w:r>
    </w:p>
    <w:p w14:paraId="36DB5EF9" w14:textId="77777777" w:rsidR="00481F84" w:rsidRDefault="00481F84" w:rsidP="00481F84">
      <w:pPr>
        <w:pStyle w:val="NormalWeb"/>
        <w:spacing w:before="0" w:beforeAutospacing="0" w:after="0" w:afterAutospacing="0" w:line="480" w:lineRule="auto"/>
        <w:ind w:left="720" w:hanging="720"/>
      </w:pPr>
      <w:r>
        <w:rPr>
          <w:i/>
          <w:iCs/>
        </w:rPr>
        <w:t>5 Reasons To Let Employees Work From Home | Prism IT</w:t>
      </w:r>
      <w:r>
        <w:t>. (n.d.). Prism. Retrieved March 19, 2024, from https://www.prism.uk.com/article/5-reasons-let-employees-work-home/#:~:text=5%20Reasons%20To%20Let%20Employees%20Work%20From%20Home</w:t>
      </w:r>
    </w:p>
    <w:p w14:paraId="18D74549" w14:textId="77777777" w:rsidR="00481F84" w:rsidRDefault="00481F84" w:rsidP="00481F84">
      <w:pPr>
        <w:pStyle w:val="NormalWeb"/>
        <w:spacing w:before="0" w:beforeAutospacing="0" w:after="0" w:afterAutospacing="0" w:line="480" w:lineRule="auto"/>
        <w:ind w:left="720" w:hanging="720"/>
      </w:pPr>
      <w:r>
        <w:t xml:space="preserve">Abdul, S. (2021, May 29). </w:t>
      </w:r>
      <w:r>
        <w:rPr>
          <w:i/>
          <w:iCs/>
        </w:rPr>
        <w:t>How to Use Covey’s 4 Quadrants Matrix for Effective Time Management</w:t>
      </w:r>
      <w:r>
        <w:t>. MUO. https://www.makeuseof.com/use-coveys-quadrants-matrix-time-management/</w:t>
      </w:r>
    </w:p>
    <w:p w14:paraId="1589B84C" w14:textId="77777777" w:rsidR="00481F84" w:rsidRDefault="00481F84" w:rsidP="00481F84">
      <w:pPr>
        <w:pStyle w:val="NormalWeb"/>
        <w:spacing w:before="0" w:beforeAutospacing="0" w:after="0" w:afterAutospacing="0" w:line="480" w:lineRule="auto"/>
        <w:ind w:left="720" w:hanging="720"/>
      </w:pPr>
      <w:r>
        <w:t xml:space="preserve">Adisa, T. A., Ogbonnaya, C., &amp; Adekoya, O. D. (2021). Remote working and employee engagement: a qualitative study of British workers during the pandemic. </w:t>
      </w:r>
      <w:r>
        <w:rPr>
          <w:i/>
          <w:iCs/>
        </w:rPr>
        <w:t>Information Technology &amp; People</w:t>
      </w:r>
      <w:r>
        <w:t xml:space="preserve">, </w:t>
      </w:r>
      <w:r>
        <w:rPr>
          <w:i/>
          <w:iCs/>
        </w:rPr>
        <w:t>36</w:t>
      </w:r>
      <w:r>
        <w:t>(5). https://doi.org/10.1108/itp-12-2020-0850</w:t>
      </w:r>
    </w:p>
    <w:p w14:paraId="5F6FE69E" w14:textId="77777777" w:rsidR="00481F84" w:rsidRDefault="00481F84" w:rsidP="00481F84">
      <w:pPr>
        <w:pStyle w:val="NormalWeb"/>
        <w:spacing w:before="0" w:beforeAutospacing="0" w:after="0" w:afterAutospacing="0" w:line="480" w:lineRule="auto"/>
        <w:ind w:left="720" w:hanging="720"/>
      </w:pPr>
      <w:r>
        <w:t xml:space="preserve">Blanchard, K. H., Zigarmi, P., &amp; Zigarmi, D. (2013). </w:t>
      </w:r>
      <w:r>
        <w:rPr>
          <w:i/>
          <w:iCs/>
        </w:rPr>
        <w:t>Leadership and the one minute manager: Increasing effectiveness through situational leadership®</w:t>
      </w:r>
      <w:r>
        <w:t>. William Morrow.</w:t>
      </w:r>
    </w:p>
    <w:p w14:paraId="62EF1F47" w14:textId="77777777" w:rsidR="00481F84" w:rsidRDefault="00481F84" w:rsidP="00481F84">
      <w:pPr>
        <w:pStyle w:val="NormalWeb"/>
        <w:spacing w:before="0" w:beforeAutospacing="0" w:after="0" w:afterAutospacing="0" w:line="480" w:lineRule="auto"/>
        <w:ind w:left="720" w:hanging="720"/>
      </w:pPr>
      <w:r>
        <w:t>Boston Consulting Group. (n.d.). Https://Www.g20ys.org/Upload/Auto/7139c0b4e3d35d31fe4c92c7347aec3422b64164.Pdf. Retrieved March 18, 2024, from https://www.g20ys.org/upload/auto/7139c0b4e3d35d31fe4c92c7347aec3422b64164.pdf. Dahik, A., Lovich, D., Kreafle, C., Bailey, A., Kilmann, J., Kennedy, D., ... &amp; Wenstrup, J. (2020). What 12,000 employees have to say about the future of remote work. Boston Consulting Group, 12.</w:t>
      </w:r>
    </w:p>
    <w:p w14:paraId="0A8FC582" w14:textId="77777777" w:rsidR="00481F84" w:rsidRDefault="00481F84" w:rsidP="00481F84">
      <w:pPr>
        <w:pStyle w:val="NormalWeb"/>
        <w:spacing w:before="0" w:beforeAutospacing="0" w:after="0" w:afterAutospacing="0" w:line="480" w:lineRule="auto"/>
        <w:ind w:left="720" w:hanging="720"/>
      </w:pPr>
      <w:r>
        <w:t xml:space="preserve">Cambridge dictionary. (2022). </w:t>
      </w:r>
      <w:r>
        <w:rPr>
          <w:i/>
          <w:iCs/>
        </w:rPr>
        <w:t>REMOTE WORKING | meaning in the Cambridge English Dictionary</w:t>
      </w:r>
      <w:r>
        <w:t>. Dictionary.cambridge.org. https://dictionary.cambridge.org/dictionary/english/remote-working</w:t>
      </w:r>
    </w:p>
    <w:p w14:paraId="4898B01E" w14:textId="77777777" w:rsidR="00481F84" w:rsidRDefault="00481F84" w:rsidP="00481F84">
      <w:pPr>
        <w:pStyle w:val="NormalWeb"/>
        <w:spacing w:before="0" w:beforeAutospacing="0" w:after="0" w:afterAutospacing="0" w:line="480" w:lineRule="auto"/>
        <w:ind w:left="720" w:hanging="720"/>
      </w:pPr>
      <w:r>
        <w:t xml:space="preserve">Cascio, W. F. (2020). Managing a virtual workplace. </w:t>
      </w:r>
      <w:r>
        <w:rPr>
          <w:i/>
          <w:iCs/>
        </w:rPr>
        <w:t>Academy of Management Perspectives</w:t>
      </w:r>
      <w:r>
        <w:t xml:space="preserve">, </w:t>
      </w:r>
      <w:r>
        <w:rPr>
          <w:i/>
          <w:iCs/>
        </w:rPr>
        <w:t>14</w:t>
      </w:r>
      <w:r>
        <w:t>(3), 81–90. https://doi.org/10.5465/ame.2000.4468068</w:t>
      </w:r>
    </w:p>
    <w:p w14:paraId="24A948F7" w14:textId="77777777" w:rsidR="00481F84" w:rsidRDefault="00481F84" w:rsidP="00481F84">
      <w:pPr>
        <w:pStyle w:val="NormalWeb"/>
        <w:spacing w:before="0" w:beforeAutospacing="0" w:after="0" w:afterAutospacing="0" w:line="480" w:lineRule="auto"/>
        <w:ind w:left="720" w:hanging="720"/>
      </w:pPr>
      <w:r>
        <w:lastRenderedPageBreak/>
        <w:t xml:space="preserve">Covey, S. R. (1997). </w:t>
      </w:r>
      <w:r>
        <w:rPr>
          <w:i/>
          <w:iCs/>
        </w:rPr>
        <w:t>The seven habits of highly effective people : restoring the character ethic</w:t>
      </w:r>
      <w:r>
        <w:t>. G.K. Hall.</w:t>
      </w:r>
    </w:p>
    <w:p w14:paraId="0D60EBF3" w14:textId="77777777" w:rsidR="00481F84" w:rsidRDefault="00481F84" w:rsidP="00481F84">
      <w:pPr>
        <w:pStyle w:val="NormalWeb"/>
        <w:spacing w:before="0" w:beforeAutospacing="0" w:after="0" w:afterAutospacing="0" w:line="480" w:lineRule="auto"/>
        <w:ind w:left="720" w:hanging="720"/>
      </w:pPr>
      <w:r>
        <w:t xml:space="preserve">Cropley, M., Weidenstedt, L., Leick, B., &amp; Sütterlin, S. (2022). Working from home during lockdown: the association between rest breaks and well-being. </w:t>
      </w:r>
      <w:r>
        <w:rPr>
          <w:i/>
          <w:iCs/>
        </w:rPr>
        <w:t>Ergonomics</w:t>
      </w:r>
      <w:r>
        <w:t xml:space="preserve">, </w:t>
      </w:r>
      <w:r>
        <w:rPr>
          <w:i/>
          <w:iCs/>
        </w:rPr>
        <w:t>66</w:t>
      </w:r>
      <w:r>
        <w:t>(4), 1–11. https://doi.org/10.1080/00140139.2022.2095038</w:t>
      </w:r>
    </w:p>
    <w:p w14:paraId="5A486FF0" w14:textId="77777777" w:rsidR="00481F84" w:rsidRDefault="00481F84" w:rsidP="00481F84">
      <w:pPr>
        <w:pStyle w:val="NormalWeb"/>
        <w:spacing w:before="0" w:beforeAutospacing="0" w:after="0" w:afterAutospacing="0" w:line="480" w:lineRule="auto"/>
        <w:ind w:left="720" w:hanging="720"/>
      </w:pPr>
      <w:r>
        <w:t xml:space="preserve">Deloitte. (2016). </w:t>
      </w:r>
      <w:r>
        <w:rPr>
          <w:i/>
          <w:iCs/>
        </w:rPr>
        <w:t>The 2016 Deloitte Millennial Survey Winning over the next generation of leaders</w:t>
      </w:r>
      <w:r>
        <w:t>. https://www2.deloitte.com/content/dam/Deloitte/global/Documents/About-Deloitte/gx-millenial-survey-2016-exec-summary.pdf</w:t>
      </w:r>
    </w:p>
    <w:p w14:paraId="27FB3FE7" w14:textId="77777777" w:rsidR="00481F84" w:rsidRDefault="00481F84" w:rsidP="00481F84">
      <w:pPr>
        <w:pStyle w:val="NormalWeb"/>
        <w:spacing w:before="0" w:beforeAutospacing="0" w:after="0" w:afterAutospacing="0" w:line="480" w:lineRule="auto"/>
        <w:ind w:left="720" w:hanging="720"/>
      </w:pPr>
      <w:r>
        <w:t xml:space="preserve">Dingel, J. I., &amp; Neiman, B. (2020). How many jobs can be done at home? </w:t>
      </w:r>
      <w:r>
        <w:rPr>
          <w:i/>
          <w:iCs/>
        </w:rPr>
        <w:t>Journal of Public Economics</w:t>
      </w:r>
      <w:r>
        <w:t xml:space="preserve">, </w:t>
      </w:r>
      <w:r>
        <w:rPr>
          <w:i/>
          <w:iCs/>
        </w:rPr>
        <w:t>189</w:t>
      </w:r>
      <w:r>
        <w:t>(189), 104235. https://doi.org/10.1016/j.jpubeco.2020.104235</w:t>
      </w:r>
    </w:p>
    <w:p w14:paraId="6CCF421A" w14:textId="77777777" w:rsidR="00481F84" w:rsidRDefault="00481F84" w:rsidP="00481F84">
      <w:pPr>
        <w:pStyle w:val="NormalWeb"/>
        <w:spacing w:before="0" w:beforeAutospacing="0" w:after="0" w:afterAutospacing="0" w:line="480" w:lineRule="auto"/>
        <w:ind w:left="720" w:hanging="720"/>
      </w:pPr>
      <w:r>
        <w:t xml:space="preserve">Ferreira, J., Claver, P., Pereira, P., &amp; Thomaz, S. (2020). </w:t>
      </w:r>
      <w:r>
        <w:rPr>
          <w:i/>
          <w:iCs/>
        </w:rPr>
        <w:t>Remote Working and the Platform of the Future</w:t>
      </w:r>
      <w:r>
        <w:t>. https://web-assets.bcg.com/80/e1/8db524dc4b80abf09f0575cd0eea/bcg-remote-working-and-the-platform-of-the-future-oct-2020.pdf</w:t>
      </w:r>
    </w:p>
    <w:p w14:paraId="6627E0B2" w14:textId="77777777" w:rsidR="00481F84" w:rsidRDefault="00481F84" w:rsidP="00481F84">
      <w:pPr>
        <w:pStyle w:val="NormalWeb"/>
        <w:spacing w:before="0" w:beforeAutospacing="0" w:after="0" w:afterAutospacing="0" w:line="480" w:lineRule="auto"/>
        <w:ind w:left="720" w:hanging="720"/>
      </w:pPr>
      <w:r>
        <w:t xml:space="preserve">flexjobs. (2020). </w:t>
      </w:r>
      <w:r>
        <w:rPr>
          <w:i/>
          <w:iCs/>
        </w:rPr>
        <w:t>FlexJobs: Find The Best Remote &amp; Flexible Jobs</w:t>
      </w:r>
      <w:r>
        <w:t>. Flexjobs.com. https://www.flexjobs.com/</w:t>
      </w:r>
    </w:p>
    <w:p w14:paraId="22E3F33E" w14:textId="77777777" w:rsidR="00481F84" w:rsidRDefault="00481F84" w:rsidP="00481F84">
      <w:pPr>
        <w:pStyle w:val="NormalWeb"/>
        <w:spacing w:before="0" w:beforeAutospacing="0" w:after="0" w:afterAutospacing="0" w:line="480" w:lineRule="auto"/>
        <w:ind w:left="720" w:hanging="720"/>
      </w:pPr>
      <w:r>
        <w:t xml:space="preserve">Gianniris, D. (2018, January 25). </w:t>
      </w:r>
      <w:r>
        <w:rPr>
          <w:i/>
          <w:iCs/>
        </w:rPr>
        <w:t>Council Post: The Millennial Arrival And The Evolution Of The Modern Workplace</w:t>
      </w:r>
      <w:r>
        <w:t>. Forbes. https://www.forbes.com/sites/forbestechcouncil/2018/01/25/the-millennial-arrival-and-the-evolution-of-the-modern-workplace/?sh=3dd5de6e5a73</w:t>
      </w:r>
    </w:p>
    <w:p w14:paraId="1DF75E8D" w14:textId="77777777" w:rsidR="00481F84" w:rsidRDefault="00481F84" w:rsidP="00481F84">
      <w:pPr>
        <w:pStyle w:val="NormalWeb"/>
        <w:spacing w:before="0" w:beforeAutospacing="0" w:after="0" w:afterAutospacing="0" w:line="480" w:lineRule="auto"/>
        <w:ind w:left="720" w:hanging="720"/>
      </w:pPr>
      <w:r>
        <w:t xml:space="preserve">Gibson, J. W., Blackwell, C. W., Dominicis, P., &amp; Demerath, N. (2002). Telecommuting in the 21st Century: Benefits, Issues, and a Leadership Model Which Will Work. </w:t>
      </w:r>
      <w:r>
        <w:rPr>
          <w:i/>
          <w:iCs/>
        </w:rPr>
        <w:t>Journal of Leadership Studies</w:t>
      </w:r>
      <w:r>
        <w:t xml:space="preserve">, </w:t>
      </w:r>
      <w:r>
        <w:rPr>
          <w:i/>
          <w:iCs/>
        </w:rPr>
        <w:t>8</w:t>
      </w:r>
      <w:r>
        <w:t>(4), 75–86. https://doi.org/10.1177/107179190200800407</w:t>
      </w:r>
    </w:p>
    <w:p w14:paraId="35F31693" w14:textId="77777777" w:rsidR="00481F84" w:rsidRDefault="00481F84" w:rsidP="00481F84">
      <w:pPr>
        <w:pStyle w:val="NormalWeb"/>
        <w:spacing w:before="0" w:beforeAutospacing="0" w:after="0" w:afterAutospacing="0" w:line="480" w:lineRule="auto"/>
        <w:ind w:left="720" w:hanging="720"/>
      </w:pPr>
      <w:r>
        <w:lastRenderedPageBreak/>
        <w:t xml:space="preserve">Go, R. (2018, January 9). </w:t>
      </w:r>
      <w:r>
        <w:rPr>
          <w:i/>
          <w:iCs/>
        </w:rPr>
        <w:t>The 7 Biggest Disadvantages of Working From Home</w:t>
      </w:r>
      <w:r>
        <w:t>. Hubstaff Blog. https://hubstaff.com/blog/disadvantages-of-working-from-home/#:~:text=7%20Disadvantages%20of%20Working%20from%20Home%20and%20How</w:t>
      </w:r>
    </w:p>
    <w:p w14:paraId="49B5C697" w14:textId="77777777" w:rsidR="00481F84" w:rsidRDefault="00481F84" w:rsidP="00481F84">
      <w:pPr>
        <w:pStyle w:val="NormalWeb"/>
        <w:spacing w:before="0" w:beforeAutospacing="0" w:after="0" w:afterAutospacing="0" w:line="480" w:lineRule="auto"/>
        <w:ind w:left="720" w:hanging="720"/>
      </w:pPr>
      <w:r>
        <w:t xml:space="preserve">Harvard Business Review. (2020, July 15). </w:t>
      </w:r>
      <w:r>
        <w:rPr>
          <w:i/>
          <w:iCs/>
        </w:rPr>
        <w:t>The Implications of Working Without an Office</w:t>
      </w:r>
      <w:r>
        <w:t>. Harvard Business Review. https://hbr.org/2020/07/the-implications-of-working-without-an-office</w:t>
      </w:r>
    </w:p>
    <w:p w14:paraId="5D9069BE" w14:textId="77777777" w:rsidR="00481F84" w:rsidRDefault="00481F84" w:rsidP="00481F84">
      <w:pPr>
        <w:pStyle w:val="NormalWeb"/>
        <w:spacing w:before="0" w:beforeAutospacing="0" w:after="0" w:afterAutospacing="0" w:line="480" w:lineRule="auto"/>
        <w:ind w:left="720" w:hanging="720"/>
      </w:pPr>
      <w:r>
        <w:t xml:space="preserve">HiTechNectar. (n.d.). </w:t>
      </w:r>
      <w:r>
        <w:rPr>
          <w:i/>
          <w:iCs/>
        </w:rPr>
        <w:t>Top 14 Tools for Communication While Working Remotely</w:t>
      </w:r>
      <w:r>
        <w:t>. HitechNectar. Retrieved March 21, 2024, from https://www.hitechnectar.com/blogs/remote-communication-tools</w:t>
      </w:r>
    </w:p>
    <w:p w14:paraId="08358487" w14:textId="77777777" w:rsidR="00481F84" w:rsidRDefault="00481F84" w:rsidP="00481F84">
      <w:pPr>
        <w:pStyle w:val="NormalWeb"/>
        <w:spacing w:before="0" w:beforeAutospacing="0" w:after="0" w:afterAutospacing="0" w:line="480" w:lineRule="auto"/>
        <w:ind w:left="720" w:hanging="720"/>
      </w:pPr>
      <w:r>
        <w:t xml:space="preserve">HR Future . (2024, March 8). </w:t>
      </w:r>
      <w:r>
        <w:rPr>
          <w:i/>
          <w:iCs/>
        </w:rPr>
        <w:t>The Impact Of Office Equipment On Employee Productivity</w:t>
      </w:r>
      <w:r>
        <w:t>. Www.hrfuture.net. https://www.hrfuture.net/talent-management/employee-engagement/the-impact-of-office-equipment-on-employee-productivity/</w:t>
      </w:r>
    </w:p>
    <w:p w14:paraId="0829F51B" w14:textId="77777777" w:rsidR="00481F84" w:rsidRDefault="00481F84" w:rsidP="00481F84">
      <w:pPr>
        <w:pStyle w:val="NormalWeb"/>
        <w:spacing w:before="0" w:beforeAutospacing="0" w:after="0" w:afterAutospacing="0" w:line="480" w:lineRule="auto"/>
        <w:ind w:left="720" w:hanging="720"/>
      </w:pPr>
      <w:r>
        <w:t xml:space="preserve">Ian Howard. (2021, March 5). </w:t>
      </w:r>
      <w:r>
        <w:rPr>
          <w:i/>
          <w:iCs/>
        </w:rPr>
        <w:t>Five things employers legally need to do for home workers</w:t>
      </w:r>
      <w:r>
        <w:t>. TheHRDIRECTOR. https://www.thehrdirector.com/features/flexible-working/five-things-employers-legally-need-home-workers/</w:t>
      </w:r>
    </w:p>
    <w:p w14:paraId="4CACB9EA" w14:textId="77777777" w:rsidR="00481F84" w:rsidRDefault="00481F84" w:rsidP="00481F84">
      <w:pPr>
        <w:pStyle w:val="NormalWeb"/>
        <w:spacing w:before="0" w:beforeAutospacing="0" w:after="0" w:afterAutospacing="0" w:line="480" w:lineRule="auto"/>
        <w:ind w:left="720" w:hanging="720"/>
      </w:pPr>
      <w:r>
        <w:t xml:space="preserve">Indeed. (2022). </w:t>
      </w:r>
      <w:r>
        <w:rPr>
          <w:i/>
          <w:iCs/>
        </w:rPr>
        <w:t>What to Consider Before Accepting a Job Offer: Everything You Need to Know!</w:t>
      </w:r>
      <w:r>
        <w:t xml:space="preserve"> Indeed.com. https://www.indeed.com/career-advice/starting-new-job/job-offer-considerations</w:t>
      </w:r>
    </w:p>
    <w:p w14:paraId="19652D30" w14:textId="77777777" w:rsidR="00481F84" w:rsidRDefault="00481F84" w:rsidP="00481F84">
      <w:pPr>
        <w:pStyle w:val="NormalWeb"/>
        <w:spacing w:before="0" w:beforeAutospacing="0" w:after="0" w:afterAutospacing="0" w:line="480" w:lineRule="auto"/>
        <w:ind w:left="720" w:hanging="720"/>
      </w:pPr>
      <w:r>
        <w:t xml:space="preserve">Indeed. (2023). </w:t>
      </w:r>
      <w:r>
        <w:rPr>
          <w:i/>
          <w:iCs/>
        </w:rPr>
        <w:t>Job Search | Indeed</w:t>
      </w:r>
      <w:r>
        <w:t>. Uk.indeed.com. https://uk.indeed.com</w:t>
      </w:r>
    </w:p>
    <w:p w14:paraId="5983427C" w14:textId="77777777" w:rsidR="00481F84" w:rsidRDefault="00481F84" w:rsidP="00481F84">
      <w:pPr>
        <w:pStyle w:val="NormalWeb"/>
        <w:spacing w:before="0" w:beforeAutospacing="0" w:after="0" w:afterAutospacing="0" w:line="480" w:lineRule="auto"/>
        <w:ind w:left="720" w:hanging="720"/>
      </w:pPr>
      <w:r>
        <w:rPr>
          <w:i/>
          <w:iCs/>
        </w:rPr>
        <w:t>International Journal of Organizational Analysis | Emerald Insight</w:t>
      </w:r>
      <w:r>
        <w:t>. (n.d.). Www.emerald.com. https://www.emerald.com/insight/publication/issn/1934-8835</w:t>
      </w:r>
    </w:p>
    <w:p w14:paraId="1B9A63CB" w14:textId="77777777" w:rsidR="00481F84" w:rsidRDefault="00481F84" w:rsidP="00481F84">
      <w:pPr>
        <w:pStyle w:val="NormalWeb"/>
        <w:spacing w:before="0" w:beforeAutospacing="0" w:after="0" w:afterAutospacing="0" w:line="480" w:lineRule="auto"/>
        <w:ind w:left="720" w:hanging="720"/>
      </w:pPr>
      <w:r>
        <w:t xml:space="preserve">Ipsen, C., van Veldhoven, M., Kirchner, K., &amp; Hansen, J. P. (2021). Six Key Advantages and Disadvantages of Working from Home in Europe during COVID-19. </w:t>
      </w:r>
      <w:r>
        <w:rPr>
          <w:i/>
          <w:iCs/>
        </w:rPr>
        <w:t xml:space="preserve">International </w:t>
      </w:r>
      <w:r>
        <w:rPr>
          <w:i/>
          <w:iCs/>
        </w:rPr>
        <w:lastRenderedPageBreak/>
        <w:t>Journal of Environmental Research and Public Health</w:t>
      </w:r>
      <w:r>
        <w:t xml:space="preserve">, </w:t>
      </w:r>
      <w:r>
        <w:rPr>
          <w:i/>
          <w:iCs/>
        </w:rPr>
        <w:t>18</w:t>
      </w:r>
      <w:r>
        <w:t>(4), 1–17. ncbi. https://www.mdpi.com/1660-4601/18/4/1826</w:t>
      </w:r>
    </w:p>
    <w:p w14:paraId="0CF326EF" w14:textId="77777777" w:rsidR="00481F84" w:rsidRDefault="00481F84" w:rsidP="00481F84">
      <w:pPr>
        <w:pStyle w:val="NormalWeb"/>
        <w:spacing w:before="0" w:beforeAutospacing="0" w:after="0" w:afterAutospacing="0" w:line="480" w:lineRule="auto"/>
        <w:ind w:left="720" w:hanging="720"/>
      </w:pPr>
      <w:r>
        <w:t xml:space="preserve">Izhar Oplatka. (2023). </w:t>
      </w:r>
      <w:r>
        <w:rPr>
          <w:i/>
          <w:iCs/>
        </w:rPr>
        <w:t>Educational Leadership in Times of Crisis</w:t>
      </w:r>
      <w:r>
        <w:t>. Springer Nature.</w:t>
      </w:r>
    </w:p>
    <w:p w14:paraId="67295D8A" w14:textId="77777777" w:rsidR="00481F84" w:rsidRDefault="00481F84" w:rsidP="00481F84">
      <w:pPr>
        <w:pStyle w:val="NormalWeb"/>
        <w:spacing w:before="0" w:beforeAutospacing="0" w:after="0" w:afterAutospacing="0" w:line="480" w:lineRule="auto"/>
        <w:ind w:left="720" w:hanging="720"/>
      </w:pPr>
      <w:r>
        <w:t xml:space="preserve">Kolb, D. A. (1984). </w:t>
      </w:r>
      <w:r>
        <w:rPr>
          <w:i/>
          <w:iCs/>
        </w:rPr>
        <w:t>Experimental learning: Experience as the source of learning and development</w:t>
      </w:r>
      <w:r>
        <w:t>. Prentice-Hall.</w:t>
      </w:r>
    </w:p>
    <w:p w14:paraId="38F6523F" w14:textId="77777777" w:rsidR="00481F84" w:rsidRDefault="00481F84" w:rsidP="00481F84">
      <w:pPr>
        <w:pStyle w:val="NormalWeb"/>
        <w:spacing w:before="0" w:beforeAutospacing="0" w:after="0" w:afterAutospacing="0" w:line="480" w:lineRule="auto"/>
        <w:ind w:left="720" w:hanging="720"/>
      </w:pPr>
      <w:r>
        <w:t xml:space="preserve">Maslow, A. (1943). </w:t>
      </w:r>
      <w:r>
        <w:rPr>
          <w:i/>
          <w:iCs/>
        </w:rPr>
        <w:t>A Theory of Human Motivation</w:t>
      </w:r>
      <w:r>
        <w:t>. Lulu.com.</w:t>
      </w:r>
    </w:p>
    <w:p w14:paraId="5CBE0FEE" w14:textId="77777777" w:rsidR="00481F84" w:rsidRDefault="00481F84" w:rsidP="00481F84">
      <w:pPr>
        <w:pStyle w:val="NormalWeb"/>
        <w:spacing w:before="0" w:beforeAutospacing="0" w:after="0" w:afterAutospacing="0" w:line="480" w:lineRule="auto"/>
        <w:ind w:left="720" w:hanging="720"/>
      </w:pPr>
      <w:r>
        <w:t xml:space="preserve">Mcleod, S. (2024). </w:t>
      </w:r>
      <w:r>
        <w:rPr>
          <w:i/>
          <w:iCs/>
        </w:rPr>
        <w:t>Kolb’s Learning Styles and Experiential Learning Cycle</w:t>
      </w:r>
      <w:r>
        <w:t>. Simply Psychology. https://www.simplypsychology.org/learning-kolb.html</w:t>
      </w:r>
    </w:p>
    <w:p w14:paraId="0275FD86" w14:textId="77777777" w:rsidR="00481F84" w:rsidRDefault="00481F84" w:rsidP="00481F84">
      <w:pPr>
        <w:pStyle w:val="NormalWeb"/>
        <w:spacing w:before="0" w:beforeAutospacing="0" w:after="0" w:afterAutospacing="0" w:line="480" w:lineRule="auto"/>
        <w:ind w:left="720" w:hanging="720"/>
      </w:pPr>
      <w:r>
        <w:t xml:space="preserve">Milicevic, M. (2023). </w:t>
      </w:r>
      <w:r>
        <w:rPr>
          <w:i/>
          <w:iCs/>
        </w:rPr>
        <w:t>Human Systems Engineering and Design (IHSED2023): Future Trends and Applications</w:t>
      </w:r>
      <w:r>
        <w:t>. AHFE Conference.</w:t>
      </w:r>
    </w:p>
    <w:p w14:paraId="038BABEA" w14:textId="77777777" w:rsidR="00481F84" w:rsidRDefault="00481F84" w:rsidP="00481F84">
      <w:pPr>
        <w:pStyle w:val="NormalWeb"/>
        <w:spacing w:before="0" w:beforeAutospacing="0" w:after="0" w:afterAutospacing="0" w:line="480" w:lineRule="auto"/>
        <w:ind w:left="720" w:hanging="720"/>
      </w:pPr>
      <w:r>
        <w:t xml:space="preserve">Nurse, J. R. C., Williams, N., Collins, E., Panteli, N., Blythe, J., &amp; Koppelman, B. (2021). Remote Working Pre- and Post-COVID-19: An Analysis of New Threats and Risks to Security and Privacy. </w:t>
      </w:r>
      <w:r>
        <w:rPr>
          <w:i/>
          <w:iCs/>
        </w:rPr>
        <w:t>ArXiv:2107.03907 [Cs]</w:t>
      </w:r>
      <w:r>
        <w:t xml:space="preserve">, </w:t>
      </w:r>
      <w:r>
        <w:rPr>
          <w:i/>
          <w:iCs/>
        </w:rPr>
        <w:t>1421</w:t>
      </w:r>
      <w:r>
        <w:t>, 583–590. https://doi.org/10.1007/978-3-030-78645-8_74</w:t>
      </w:r>
    </w:p>
    <w:p w14:paraId="204EE643" w14:textId="77777777" w:rsidR="00481F84" w:rsidRDefault="00481F84" w:rsidP="00481F84">
      <w:pPr>
        <w:pStyle w:val="NormalWeb"/>
        <w:spacing w:before="0" w:beforeAutospacing="0" w:after="0" w:afterAutospacing="0" w:line="480" w:lineRule="auto"/>
        <w:ind w:left="720" w:hanging="720"/>
      </w:pPr>
      <w:r>
        <w:t xml:space="preserve">Ohlsson, I. (2023, November 28). </w:t>
      </w:r>
      <w:r>
        <w:rPr>
          <w:i/>
          <w:iCs/>
        </w:rPr>
        <w:t>A Comprehensive Guide to Remote Communication Tools</w:t>
      </w:r>
      <w:r>
        <w:t>. Hubstaff Blog. https://hubstaff.com/blog/remote-communication-tools/</w:t>
      </w:r>
    </w:p>
    <w:p w14:paraId="0DE44FEE" w14:textId="77777777" w:rsidR="00481F84" w:rsidRDefault="00481F84" w:rsidP="00481F84">
      <w:pPr>
        <w:pStyle w:val="NormalWeb"/>
        <w:spacing w:before="0" w:beforeAutospacing="0" w:after="0" w:afterAutospacing="0" w:line="480" w:lineRule="auto"/>
        <w:ind w:left="720" w:hanging="720"/>
      </w:pPr>
      <w:r>
        <w:t xml:space="preserve">phycology today . (2022, October 3). </w:t>
      </w:r>
      <w:r>
        <w:rPr>
          <w:i/>
          <w:iCs/>
        </w:rPr>
        <w:t>Preventing Loneliness in Remote Working | Psychology Today</w:t>
      </w:r>
      <w:r>
        <w:t>. Www.psychologytoday.com. https://www.psychologytoday.com/us/blog/the-behavioral-science-hub/202210/preventing-loneliness-in-remote-working</w:t>
      </w:r>
    </w:p>
    <w:p w14:paraId="0ADB1F84" w14:textId="77777777" w:rsidR="00481F84" w:rsidRDefault="00481F84" w:rsidP="00481F84">
      <w:pPr>
        <w:pStyle w:val="NormalWeb"/>
        <w:spacing w:before="0" w:beforeAutospacing="0" w:after="0" w:afterAutospacing="0" w:line="480" w:lineRule="auto"/>
        <w:ind w:left="720" w:hanging="720"/>
      </w:pPr>
      <w:r>
        <w:t xml:space="preserve">Piera Centobelli, &amp; Cerchione, R. (2022). </w:t>
      </w:r>
      <w:r>
        <w:rPr>
          <w:i/>
          <w:iCs/>
        </w:rPr>
        <w:t>23rd European Conference on Knowledge Management Vol 1</w:t>
      </w:r>
      <w:r>
        <w:t>. Academic Conferences and publishing limited.</w:t>
      </w:r>
    </w:p>
    <w:p w14:paraId="1354AFB5" w14:textId="77777777" w:rsidR="00481F84" w:rsidRDefault="00481F84" w:rsidP="00481F84">
      <w:pPr>
        <w:pStyle w:val="NormalWeb"/>
        <w:spacing w:before="0" w:beforeAutospacing="0" w:after="0" w:afterAutospacing="0" w:line="480" w:lineRule="auto"/>
        <w:ind w:left="720" w:hanging="720"/>
      </w:pPr>
      <w:r>
        <w:t xml:space="preserve">Pina, M., Vera, D., Cunha, A., &amp; Miner, A. (2023). </w:t>
      </w:r>
      <w:r>
        <w:rPr>
          <w:i/>
          <w:iCs/>
        </w:rPr>
        <w:t>The Routledge Companion to Improvisation in Organizations</w:t>
      </w:r>
      <w:r>
        <w:t>. Taylor &amp; Francis.</w:t>
      </w:r>
    </w:p>
    <w:p w14:paraId="32E57D0C" w14:textId="77777777" w:rsidR="00481F84" w:rsidRDefault="00481F84" w:rsidP="00481F84">
      <w:pPr>
        <w:pStyle w:val="NormalWeb"/>
        <w:spacing w:before="0" w:beforeAutospacing="0" w:after="0" w:afterAutospacing="0" w:line="480" w:lineRule="auto"/>
        <w:ind w:left="720" w:hanging="720"/>
      </w:pPr>
      <w:r>
        <w:lastRenderedPageBreak/>
        <w:t xml:space="preserve">Purvanova, R. K., &amp; Bono, J. E. (2009). Transformational leadership in context: Face-to-face and virtual teams. </w:t>
      </w:r>
      <w:r>
        <w:rPr>
          <w:i/>
          <w:iCs/>
        </w:rPr>
        <w:t>The Leadership Quarterly</w:t>
      </w:r>
      <w:r>
        <w:t xml:space="preserve">, </w:t>
      </w:r>
      <w:r>
        <w:rPr>
          <w:i/>
          <w:iCs/>
        </w:rPr>
        <w:t>20</w:t>
      </w:r>
      <w:r>
        <w:t>(3), 343–357. https://doi.org/10.1016/j.leaqua.2009.03.004</w:t>
      </w:r>
    </w:p>
    <w:p w14:paraId="28FAFFBA" w14:textId="77777777" w:rsidR="00481F84" w:rsidRDefault="00481F84" w:rsidP="00481F84">
      <w:pPr>
        <w:pStyle w:val="NormalWeb"/>
        <w:spacing w:before="0" w:beforeAutospacing="0" w:after="0" w:afterAutospacing="0" w:line="480" w:lineRule="auto"/>
        <w:ind w:left="720" w:hanging="720"/>
      </w:pPr>
      <w:r>
        <w:t xml:space="preserve">RSM. (2020). </w:t>
      </w:r>
      <w:r>
        <w:rPr>
          <w:i/>
          <w:iCs/>
        </w:rPr>
        <w:t>Tips: Loneliness and working from home during the COVID-19 crisis</w:t>
      </w:r>
      <w:r>
        <w:t>. Www.rsm.nl. https://www.rsm.nl/discovery/2020/loneliness-working-from-home</w:t>
      </w:r>
    </w:p>
    <w:p w14:paraId="403153E8" w14:textId="77777777" w:rsidR="00481F84" w:rsidRDefault="00481F84" w:rsidP="00481F84">
      <w:pPr>
        <w:pStyle w:val="NormalWeb"/>
        <w:spacing w:before="0" w:beforeAutospacing="0" w:after="0" w:afterAutospacing="0" w:line="480" w:lineRule="auto"/>
        <w:ind w:left="720" w:hanging="720"/>
      </w:pPr>
      <w:r>
        <w:t xml:space="preserve">Ryans chartered accountants . (2022, June 10). </w:t>
      </w:r>
      <w:r>
        <w:rPr>
          <w:i/>
          <w:iCs/>
        </w:rPr>
        <w:t>How Has Working from Home Affected the Economy</w:t>
      </w:r>
      <w:r>
        <w:t>. Ryans Uk. https://www.ryans-uk.com/how-has-working-from-home-affected-the-economy/#:~:text=Where%20Can%20Savings%20Be%20Made%3F%201%20Around%20%C2%A31%2C857</w:t>
      </w:r>
    </w:p>
    <w:p w14:paraId="3F6CB87F" w14:textId="77777777" w:rsidR="00481F84" w:rsidRDefault="00481F84" w:rsidP="00481F84">
      <w:pPr>
        <w:pStyle w:val="NormalWeb"/>
        <w:spacing w:before="0" w:beforeAutospacing="0" w:after="0" w:afterAutospacing="0" w:line="480" w:lineRule="auto"/>
        <w:ind w:left="720" w:hanging="720"/>
      </w:pPr>
      <w:r>
        <w:t xml:space="preserve">Schur, L. A., Ameri, M., &amp; Kruse, D. (2020). Telework After COVID: A “Silver Lining” for Workers with Disabilities?. </w:t>
      </w:r>
      <w:r>
        <w:rPr>
          <w:i/>
          <w:iCs/>
        </w:rPr>
        <w:t>Journal of Occupational Rehabilitation</w:t>
      </w:r>
      <w:r>
        <w:t xml:space="preserve">, </w:t>
      </w:r>
      <w:r>
        <w:rPr>
          <w:i/>
          <w:iCs/>
        </w:rPr>
        <w:t>30</w:t>
      </w:r>
      <w:r>
        <w:t>, 521–536. https://doi.org/10.1007/s10926-020-09936-5</w:t>
      </w:r>
    </w:p>
    <w:p w14:paraId="48EEADC3" w14:textId="77777777" w:rsidR="00481F84" w:rsidRDefault="00481F84" w:rsidP="00481F84">
      <w:pPr>
        <w:pStyle w:val="NormalWeb"/>
        <w:spacing w:before="0" w:beforeAutospacing="0" w:after="0" w:afterAutospacing="0" w:line="480" w:lineRule="auto"/>
        <w:ind w:left="720" w:hanging="720"/>
      </w:pPr>
      <w:r>
        <w:t xml:space="preserve">SHRM. (2015, April 29). </w:t>
      </w:r>
      <w:r>
        <w:rPr>
          <w:i/>
          <w:iCs/>
        </w:rPr>
        <w:t>How Telecommuting Helps the Environment</w:t>
      </w:r>
      <w:r>
        <w:t>. Www.shrm.org. https://www.shrm.org/topics-tools/news/technology/how-telecommuting-helps-environment</w:t>
      </w:r>
    </w:p>
    <w:p w14:paraId="078CF293" w14:textId="77777777" w:rsidR="00481F84" w:rsidRDefault="00481F84" w:rsidP="00481F84">
      <w:pPr>
        <w:pStyle w:val="NormalWeb"/>
        <w:spacing w:before="0" w:beforeAutospacing="0" w:after="0" w:afterAutospacing="0" w:line="480" w:lineRule="auto"/>
        <w:ind w:left="720" w:hanging="720"/>
      </w:pPr>
      <w:r>
        <w:t xml:space="preserve">Sull, D., Sull, C., &amp; Bersin, J. (2020). </w:t>
      </w:r>
      <w:r>
        <w:rPr>
          <w:i/>
          <w:iCs/>
        </w:rPr>
        <w:t>Five Ways Leaders Can Support Remote Work</w:t>
      </w:r>
      <w:r>
        <w:t>. MIT Sloan Management Review. https://sloanreview.mit.edu/article/five-ways-leaders-can-support-remote-work/</w:t>
      </w:r>
    </w:p>
    <w:p w14:paraId="4542B7FC" w14:textId="77777777" w:rsidR="00481F84" w:rsidRDefault="00481F84" w:rsidP="00481F84">
      <w:pPr>
        <w:pStyle w:val="NormalWeb"/>
        <w:spacing w:before="0" w:beforeAutospacing="0" w:after="0" w:afterAutospacing="0" w:line="480" w:lineRule="auto"/>
        <w:ind w:left="720" w:hanging="720"/>
      </w:pPr>
      <w:r>
        <w:t xml:space="preserve">Tedder, M. (2022, March 19). </w:t>
      </w:r>
      <w:r>
        <w:rPr>
          <w:i/>
          <w:iCs/>
        </w:rPr>
        <w:t>Here’s How Much Companies Can Save With Work From Home</w:t>
      </w:r>
      <w:r>
        <w:t>. TheStreet. https://www.thestreet.com/investing/heres-how-much-companies-can-save-with-work-from-home</w:t>
      </w:r>
    </w:p>
    <w:p w14:paraId="2B991C6F" w14:textId="77777777" w:rsidR="00481F84" w:rsidRDefault="00481F84" w:rsidP="00481F84">
      <w:pPr>
        <w:pStyle w:val="NormalWeb"/>
        <w:spacing w:before="0" w:beforeAutospacing="0" w:after="0" w:afterAutospacing="0" w:line="480" w:lineRule="auto"/>
        <w:ind w:left="720" w:hanging="720"/>
        <w:rPr>
          <w:i/>
          <w:iCs/>
        </w:rPr>
      </w:pPr>
    </w:p>
    <w:p w14:paraId="2BE498A8" w14:textId="77777777" w:rsidR="00481F84" w:rsidRDefault="00481F84" w:rsidP="00481F84">
      <w:pPr>
        <w:pStyle w:val="NormalWeb"/>
        <w:spacing w:before="0" w:beforeAutospacing="0" w:after="0" w:afterAutospacing="0" w:line="480" w:lineRule="auto"/>
        <w:ind w:left="720" w:hanging="720"/>
        <w:rPr>
          <w:i/>
          <w:iCs/>
        </w:rPr>
      </w:pPr>
    </w:p>
    <w:p w14:paraId="7BC11FB2" w14:textId="77777777" w:rsidR="00481F84" w:rsidRDefault="00481F84" w:rsidP="00481F84">
      <w:pPr>
        <w:pStyle w:val="NormalWeb"/>
        <w:spacing w:before="0" w:beforeAutospacing="0" w:after="0" w:afterAutospacing="0" w:line="480" w:lineRule="auto"/>
        <w:ind w:left="720" w:hanging="720"/>
      </w:pPr>
      <w:r>
        <w:rPr>
          <w:i/>
          <w:iCs/>
        </w:rPr>
        <w:lastRenderedPageBreak/>
        <w:t>The Power of Comfortable Clothes: Why How You Dress Matters</w:t>
      </w:r>
      <w:r>
        <w:t>. (n.d.). Cuflic Collection - Chicago Clothing Boutique. Retrieved March 20, 2024, from https://cufliccollection.com/blogs/news/the-power-of-comfortable-clothes-why-how-you-dress-matters#:~:text=When%20we%20feel%20comfortable%20in%20our%20own%20skin%2C</w:t>
      </w:r>
    </w:p>
    <w:p w14:paraId="3AE9F87C" w14:textId="77777777" w:rsidR="00481F84" w:rsidRDefault="00481F84" w:rsidP="00481F84">
      <w:pPr>
        <w:pStyle w:val="NormalWeb"/>
        <w:spacing w:before="0" w:beforeAutospacing="0" w:after="0" w:afterAutospacing="0" w:line="480" w:lineRule="auto"/>
        <w:ind w:left="720" w:hanging="720"/>
      </w:pPr>
      <w:r>
        <w:t xml:space="preserve">Universiteit van Amsterdam. (2020, November 5). </w:t>
      </w:r>
      <w:r>
        <w:rPr>
          <w:i/>
          <w:iCs/>
        </w:rPr>
        <w:t>What can we learn from the COVID-19 pandemic about how people experience working from home and commuting? - by Ori Rubin, Anna Nikolaeva, Samuel Nello-Deakin and Marco te Brömmelstroet - Centre for Urban Studies</w:t>
      </w:r>
      <w:r>
        <w:t>. Centre for Urban Studies - University of Amsterdam. https://urbanstudies.uva.nl/content/blog-series/covid-19-pandemic-working-from-home-and-commuting.html?cb</w:t>
      </w:r>
    </w:p>
    <w:p w14:paraId="3CEE7A99" w14:textId="77777777" w:rsidR="00481F84" w:rsidRDefault="00481F84" w:rsidP="00481F84">
      <w:pPr>
        <w:pStyle w:val="NormalWeb"/>
        <w:spacing w:before="0" w:beforeAutospacing="0" w:after="0" w:afterAutospacing="0" w:line="480" w:lineRule="auto"/>
        <w:ind w:left="720" w:hanging="720"/>
      </w:pPr>
      <w:r>
        <w:t xml:space="preserve">University of Warwick. (2014). </w:t>
      </w:r>
      <w:r>
        <w:rPr>
          <w:i/>
          <w:iCs/>
        </w:rPr>
        <w:t>New study shows we work harder when we are happy</w:t>
      </w:r>
      <w:r>
        <w:t>. Warwick.ac.uk. https://warwick.ac.uk/newsandevents/pressreleases/new_study_shows/</w:t>
      </w:r>
    </w:p>
    <w:p w14:paraId="23E21959" w14:textId="77777777" w:rsidR="00481F84" w:rsidRDefault="00481F84" w:rsidP="00481F84">
      <w:pPr>
        <w:pStyle w:val="NormalWeb"/>
        <w:spacing w:before="0" w:beforeAutospacing="0" w:after="0" w:afterAutospacing="0" w:line="480" w:lineRule="auto"/>
        <w:ind w:left="720" w:hanging="720"/>
      </w:pPr>
      <w:r>
        <w:t xml:space="preserve">Urbaniec, M. (2022). </w:t>
      </w:r>
      <w:r>
        <w:rPr>
          <w:i/>
          <w:iCs/>
        </w:rPr>
        <w:t>The Digital Economy and the European Labour Market</w:t>
      </w:r>
      <w:r>
        <w:t>. Taylor &amp; Francis.</w:t>
      </w:r>
    </w:p>
    <w:p w14:paraId="33F33609" w14:textId="77777777" w:rsidR="00481F84" w:rsidRDefault="00481F84" w:rsidP="00481F84">
      <w:pPr>
        <w:pStyle w:val="NormalWeb"/>
        <w:spacing w:before="0" w:beforeAutospacing="0" w:after="0" w:afterAutospacing="0" w:line="480" w:lineRule="auto"/>
        <w:ind w:left="720" w:hanging="720"/>
      </w:pPr>
      <w:r>
        <w:t xml:space="preserve">Wittmer, J. L. S., &amp; Hopkins, M. M. (2021). Leading Remotely in a Time of Crisis: Relationships with Emotional Intelligence. </w:t>
      </w:r>
      <w:r>
        <w:rPr>
          <w:i/>
          <w:iCs/>
        </w:rPr>
        <w:t>Journal of Leadership &amp; Organizational Studies</w:t>
      </w:r>
      <w:r>
        <w:t xml:space="preserve">, </w:t>
      </w:r>
      <w:r>
        <w:rPr>
          <w:i/>
          <w:iCs/>
        </w:rPr>
        <w:t>29</w:t>
      </w:r>
      <w:r>
        <w:t>(2), 176–189. https://doi.org/10.1177/15480518211053531</w:t>
      </w:r>
    </w:p>
    <w:p w14:paraId="146CD4C8" w14:textId="77777777" w:rsidR="00481F84" w:rsidRDefault="00481F84" w:rsidP="00481F84">
      <w:pPr>
        <w:pStyle w:val="NormalWeb"/>
        <w:spacing w:before="0" w:beforeAutospacing="0" w:after="0" w:afterAutospacing="0" w:line="480" w:lineRule="auto"/>
        <w:ind w:left="720" w:hanging="720"/>
      </w:pPr>
      <w:r>
        <w:t xml:space="preserve">Wooten, L. P., &amp; James, E. H. (2008). Linking Crisis Management and Leadership Competencies: The Role of Human Resource Development. </w:t>
      </w:r>
      <w:r>
        <w:rPr>
          <w:i/>
          <w:iCs/>
        </w:rPr>
        <w:t>Advances in Developing Human Resources</w:t>
      </w:r>
      <w:r>
        <w:t xml:space="preserve">, </w:t>
      </w:r>
      <w:r>
        <w:rPr>
          <w:i/>
          <w:iCs/>
        </w:rPr>
        <w:t>10</w:t>
      </w:r>
      <w:r>
        <w:t>(3), 352–379. https://doi.org/10.1177/1523422308316450</w:t>
      </w:r>
    </w:p>
    <w:p w14:paraId="2E2BCA82" w14:textId="77777777" w:rsidR="00481F84" w:rsidRDefault="00481F84" w:rsidP="00481F84">
      <w:pPr>
        <w:pStyle w:val="NormalWeb"/>
        <w:spacing w:before="0" w:beforeAutospacing="0" w:after="0" w:afterAutospacing="0" w:line="480" w:lineRule="auto"/>
        <w:ind w:left="720" w:hanging="720"/>
      </w:pPr>
      <w:r>
        <w:lastRenderedPageBreak/>
        <w:t xml:space="preserve">Wu, H., &amp; Chen, Y. (2020). The Impact of Work from Home (WFH) on Workload and Productivity in Terms of Different Tasks and Occupations. </w:t>
      </w:r>
      <w:r>
        <w:rPr>
          <w:i/>
          <w:iCs/>
        </w:rPr>
        <w:t>Lecture Notes in Computer Science</w:t>
      </w:r>
      <w:r>
        <w:t xml:space="preserve">, </w:t>
      </w:r>
      <w:r>
        <w:rPr>
          <w:i/>
          <w:iCs/>
        </w:rPr>
        <w:t>12427</w:t>
      </w:r>
      <w:r>
        <w:t>, 693–706. https://doi.org/10.1007/978-3-030-60152-2_52</w:t>
      </w:r>
    </w:p>
    <w:p w14:paraId="6104AC80" w14:textId="77777777" w:rsidR="00481F84" w:rsidRDefault="00481F84" w:rsidP="00481F84">
      <w:pPr>
        <w:pStyle w:val="NormalWeb"/>
        <w:spacing w:before="0" w:beforeAutospacing="0" w:after="0" w:afterAutospacing="0" w:line="480" w:lineRule="auto"/>
        <w:ind w:left="720" w:hanging="720"/>
      </w:pPr>
      <w:r>
        <w:t xml:space="preserve">zoom. (2020, April 1). </w:t>
      </w:r>
      <w:r>
        <w:rPr>
          <w:i/>
          <w:iCs/>
        </w:rPr>
        <w:t>A Message to Our Users</w:t>
      </w:r>
      <w:r>
        <w:t>. Zoom. https://www.zoom.com/en/blog/a-message-to-our-users/</w:t>
      </w:r>
      <w:r>
        <w:rPr>
          <w:rFonts w:ascii="Arial" w:eastAsia="Arial" w:hAnsi="Arial" w:cs="Arial"/>
        </w:rPr>
        <w:br w:type="page"/>
      </w:r>
    </w:p>
    <w:p w14:paraId="0B5A8B16" w14:textId="77777777" w:rsidR="00481F84" w:rsidRDefault="00481F84" w:rsidP="00481F84">
      <w:pPr>
        <w:rPr>
          <w:rFonts w:ascii="Arial" w:eastAsia="Arial" w:hAnsi="Arial" w:cs="Arial"/>
        </w:rPr>
      </w:pPr>
      <w:r>
        <w:rPr>
          <w:rFonts w:ascii="Arial" w:eastAsia="Arial" w:hAnsi="Arial" w:cs="Arial"/>
        </w:rPr>
        <w:lastRenderedPageBreak/>
        <w:t>Appendix A Rest and recovery model (Milicevic, 2023)</w:t>
      </w:r>
    </w:p>
    <w:p w14:paraId="2B9683A4" w14:textId="1B7E7DB5" w:rsidR="00481F84" w:rsidRDefault="00481F84" w:rsidP="00481F84">
      <w:pPr>
        <w:rPr>
          <w:rFonts w:ascii="Arial" w:eastAsia="Arial" w:hAnsi="Arial" w:cs="Arial"/>
        </w:rPr>
      </w:pPr>
      <w:r>
        <w:rPr>
          <w:noProof/>
        </w:rPr>
        <w:drawing>
          <wp:inline distT="0" distB="0" distL="0" distR="0" wp14:anchorId="724CFE05" wp14:editId="52A1C8D4">
            <wp:extent cx="5731510" cy="2021840"/>
            <wp:effectExtent l="0" t="0" r="2540" b="0"/>
            <wp:docPr id="1429704434" name="Picture 3" descr="Details are in the caption following th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ails are in the caption following th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021840"/>
                    </a:xfrm>
                    <a:prstGeom prst="rect">
                      <a:avLst/>
                    </a:prstGeom>
                    <a:noFill/>
                    <a:ln>
                      <a:noFill/>
                    </a:ln>
                  </pic:spPr>
                </pic:pic>
              </a:graphicData>
            </a:graphic>
          </wp:inline>
        </w:drawing>
      </w:r>
    </w:p>
    <w:p w14:paraId="4844EA58" w14:textId="77777777" w:rsidR="00481F84" w:rsidRDefault="00481F84" w:rsidP="00481F84">
      <w:pPr>
        <w:rPr>
          <w:rFonts w:ascii="Arial" w:eastAsia="Arial" w:hAnsi="Arial" w:cs="Arial"/>
        </w:rPr>
      </w:pPr>
    </w:p>
    <w:p w14:paraId="16DEFB8D" w14:textId="77777777" w:rsidR="00481F84" w:rsidRDefault="00481F84" w:rsidP="00481F84">
      <w:pPr>
        <w:rPr>
          <w:rFonts w:ascii="Arial" w:eastAsia="Arial" w:hAnsi="Arial" w:cs="Arial"/>
        </w:rPr>
      </w:pPr>
      <w:r>
        <w:rPr>
          <w:rFonts w:ascii="Arial" w:eastAsia="Arial" w:hAnsi="Arial" w:cs="Arial"/>
        </w:rPr>
        <w:t>Appendix B Covey time management matrix (covey, 1997)</w:t>
      </w:r>
    </w:p>
    <w:p w14:paraId="036511F0" w14:textId="29C38534" w:rsidR="00481F84" w:rsidRDefault="00481F84" w:rsidP="00481F84">
      <w:pPr>
        <w:rPr>
          <w:rFonts w:ascii="Arial" w:eastAsia="Arial" w:hAnsi="Arial" w:cs="Arial"/>
        </w:rPr>
      </w:pPr>
      <w:r>
        <w:rPr>
          <w:noProof/>
        </w:rPr>
        <w:drawing>
          <wp:inline distT="0" distB="0" distL="0" distR="0" wp14:anchorId="0EBA0220" wp14:editId="039FEFEA">
            <wp:extent cx="4572000" cy="2620010"/>
            <wp:effectExtent l="0" t="0" r="0" b="8890"/>
            <wp:docPr id="1705627776" name="Picture 2" descr="A diagram of a tas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627776" name="Picture 2" descr="A diagram of a task&#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2620010"/>
                    </a:xfrm>
                    <a:prstGeom prst="rect">
                      <a:avLst/>
                    </a:prstGeom>
                    <a:noFill/>
                    <a:ln>
                      <a:noFill/>
                    </a:ln>
                  </pic:spPr>
                </pic:pic>
              </a:graphicData>
            </a:graphic>
          </wp:inline>
        </w:drawing>
      </w:r>
    </w:p>
    <w:p w14:paraId="576DE320" w14:textId="77777777" w:rsidR="00481F84" w:rsidRDefault="00481F84" w:rsidP="00481F84">
      <w:pPr>
        <w:rPr>
          <w:rFonts w:ascii="Times New Roman" w:eastAsia="Times New Roman" w:hAnsi="Times New Roman" w:cs="Times New Roman"/>
        </w:rPr>
      </w:pPr>
      <w:r>
        <w:rPr>
          <w:rFonts w:ascii="Arial" w:eastAsia="Arial" w:hAnsi="Arial" w:cs="Arial"/>
        </w:rPr>
        <w:t xml:space="preserve">Appendix C Kolb reflective model </w:t>
      </w:r>
      <w:r>
        <w:rPr>
          <w:rFonts w:ascii="Times New Roman" w:eastAsia="Times New Roman" w:hAnsi="Times New Roman" w:cs="Times New Roman"/>
        </w:rPr>
        <w:t>(Kolb, 1984)</w:t>
      </w:r>
    </w:p>
    <w:p w14:paraId="2DAF32A5" w14:textId="07800F7C" w:rsidR="00481F84" w:rsidRDefault="00481F84" w:rsidP="00481F84">
      <w:r>
        <w:rPr>
          <w:noProof/>
        </w:rPr>
        <w:drawing>
          <wp:inline distT="0" distB="0" distL="0" distR="0" wp14:anchorId="10F0464B" wp14:editId="230D5C7C">
            <wp:extent cx="3578225" cy="2637790"/>
            <wp:effectExtent l="0" t="0" r="0" b="0"/>
            <wp:docPr id="408338720" name="Picture 1"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38720" name="Picture 1" descr="A diagram of different colored circle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78225" cy="2637790"/>
                    </a:xfrm>
                    <a:prstGeom prst="rect">
                      <a:avLst/>
                    </a:prstGeom>
                    <a:noFill/>
                    <a:ln>
                      <a:noFill/>
                    </a:ln>
                  </pic:spPr>
                </pic:pic>
              </a:graphicData>
            </a:graphic>
          </wp:inline>
        </w:drawing>
      </w:r>
    </w:p>
    <w:p w14:paraId="1432C17A" w14:textId="77777777" w:rsidR="00346340" w:rsidRDefault="00346340"/>
    <w:sectPr w:rsidR="00346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340"/>
    <w:rsid w:val="00346340"/>
    <w:rsid w:val="00481F84"/>
    <w:rsid w:val="00FE7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42BD6"/>
  <w15:chartTrackingRefBased/>
  <w15:docId w15:val="{219F5C02-2546-4EDC-9D5B-D3352DE57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F84"/>
    <w:rPr>
      <w:rFonts w:eastAsiaTheme="minorEastAsia"/>
      <w:kern w:val="0"/>
      <w:lang w:eastAsia="ja-JP"/>
      <w14:ligatures w14:val="none"/>
    </w:rPr>
  </w:style>
  <w:style w:type="paragraph" w:styleId="Heading1">
    <w:name w:val="heading 1"/>
    <w:basedOn w:val="Normal"/>
    <w:next w:val="Normal"/>
    <w:link w:val="Heading1Char"/>
    <w:uiPriority w:val="9"/>
    <w:qFormat/>
    <w:rsid w:val="003463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63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63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63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63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63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63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63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63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3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63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63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63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63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63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63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63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6340"/>
    <w:rPr>
      <w:rFonts w:eastAsiaTheme="majorEastAsia" w:cstheme="majorBidi"/>
      <w:color w:val="272727" w:themeColor="text1" w:themeTint="D8"/>
    </w:rPr>
  </w:style>
  <w:style w:type="paragraph" w:styleId="Title">
    <w:name w:val="Title"/>
    <w:basedOn w:val="Normal"/>
    <w:next w:val="Normal"/>
    <w:link w:val="TitleChar"/>
    <w:uiPriority w:val="10"/>
    <w:qFormat/>
    <w:rsid w:val="003463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63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63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63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6340"/>
    <w:pPr>
      <w:spacing w:before="160"/>
      <w:jc w:val="center"/>
    </w:pPr>
    <w:rPr>
      <w:i/>
      <w:iCs/>
      <w:color w:val="404040" w:themeColor="text1" w:themeTint="BF"/>
    </w:rPr>
  </w:style>
  <w:style w:type="character" w:customStyle="1" w:styleId="QuoteChar">
    <w:name w:val="Quote Char"/>
    <w:basedOn w:val="DefaultParagraphFont"/>
    <w:link w:val="Quote"/>
    <w:uiPriority w:val="29"/>
    <w:rsid w:val="00346340"/>
    <w:rPr>
      <w:i/>
      <w:iCs/>
      <w:color w:val="404040" w:themeColor="text1" w:themeTint="BF"/>
    </w:rPr>
  </w:style>
  <w:style w:type="paragraph" w:styleId="ListParagraph">
    <w:name w:val="List Paragraph"/>
    <w:basedOn w:val="Normal"/>
    <w:uiPriority w:val="34"/>
    <w:qFormat/>
    <w:rsid w:val="00346340"/>
    <w:pPr>
      <w:ind w:left="720"/>
      <w:contextualSpacing/>
    </w:pPr>
  </w:style>
  <w:style w:type="character" w:styleId="IntenseEmphasis">
    <w:name w:val="Intense Emphasis"/>
    <w:basedOn w:val="DefaultParagraphFont"/>
    <w:uiPriority w:val="21"/>
    <w:qFormat/>
    <w:rsid w:val="00346340"/>
    <w:rPr>
      <w:i/>
      <w:iCs/>
      <w:color w:val="0F4761" w:themeColor="accent1" w:themeShade="BF"/>
    </w:rPr>
  </w:style>
  <w:style w:type="paragraph" w:styleId="IntenseQuote">
    <w:name w:val="Intense Quote"/>
    <w:basedOn w:val="Normal"/>
    <w:next w:val="Normal"/>
    <w:link w:val="IntenseQuoteChar"/>
    <w:uiPriority w:val="30"/>
    <w:qFormat/>
    <w:rsid w:val="003463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6340"/>
    <w:rPr>
      <w:i/>
      <w:iCs/>
      <w:color w:val="0F4761" w:themeColor="accent1" w:themeShade="BF"/>
    </w:rPr>
  </w:style>
  <w:style w:type="character" w:styleId="IntenseReference">
    <w:name w:val="Intense Reference"/>
    <w:basedOn w:val="DefaultParagraphFont"/>
    <w:uiPriority w:val="32"/>
    <w:qFormat/>
    <w:rsid w:val="00346340"/>
    <w:rPr>
      <w:b/>
      <w:bCs/>
      <w:smallCaps/>
      <w:color w:val="0F4761" w:themeColor="accent1" w:themeShade="BF"/>
      <w:spacing w:val="5"/>
    </w:rPr>
  </w:style>
  <w:style w:type="paragraph" w:styleId="NormalWeb">
    <w:name w:val="Normal (Web)"/>
    <w:basedOn w:val="Normal"/>
    <w:uiPriority w:val="99"/>
    <w:semiHidden/>
    <w:unhideWhenUsed/>
    <w:rsid w:val="00481F84"/>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paragraph">
    <w:name w:val="paragraph"/>
    <w:basedOn w:val="Normal"/>
    <w:uiPriority w:val="99"/>
    <w:rsid w:val="00481F84"/>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357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4440</Words>
  <Characters>25312</Characters>
  <Application>Microsoft Office Word</Application>
  <DocSecurity>0</DocSecurity>
  <Lines>210</Lines>
  <Paragraphs>59</Paragraphs>
  <ScaleCrop>false</ScaleCrop>
  <Company/>
  <LinksUpToDate>false</LinksUpToDate>
  <CharactersWithSpaces>29693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regan</dc:creator>
  <cp:keywords/>
  <dc:description/>
  <cp:lastModifiedBy>tanya regan</cp:lastModifiedBy>
  <cp:revision>2</cp:revision>
  <dcterms:created xsi:type="dcterms:W3CDTF">2024-03-23T12:21:00Z</dcterms:created>
  <dcterms:modified xsi:type="dcterms:W3CDTF">2024-03-23T12:21:00Z</dcterms:modified>
</cp:coreProperties>
</file>