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7AC75" w14:textId="77777777" w:rsidR="00707310" w:rsidRDefault="00000000">
      <w:r>
        <w:br/>
      </w:r>
      <w:r>
        <w:br/>
      </w:r>
      <w:r>
        <w:br/>
      </w:r>
      <w:r>
        <w:br/>
      </w:r>
    </w:p>
    <w:p w14:paraId="689FFEC9" w14:textId="77777777" w:rsidR="00707310" w:rsidRDefault="00000000">
      <w:pPr>
        <w:spacing w:after="200"/>
        <w:jc w:val="center"/>
      </w:pPr>
      <w:r>
        <w:rPr>
          <w:b/>
          <w:bCs/>
          <w:sz w:val="28"/>
          <w:szCs w:val="28"/>
        </w:rPr>
        <w:t>Reflective Report: Person-Centred Care, Partnership Working and Ethics in Health and Social Care</w:t>
      </w:r>
    </w:p>
    <w:p w14:paraId="5CFE4FA4" w14:textId="77777777" w:rsidR="00707310" w:rsidRDefault="00000000">
      <w:r>
        <w:br/>
      </w:r>
      <w:r>
        <w:br/>
      </w:r>
    </w:p>
    <w:p w14:paraId="234232A0" w14:textId="366FACFC" w:rsidR="00707310" w:rsidRDefault="00000000">
      <w:pPr>
        <w:spacing w:after="120"/>
        <w:jc w:val="center"/>
      </w:pPr>
      <w:r>
        <w:t xml:space="preserve">Student Name: </w:t>
      </w:r>
      <w:r w:rsidR="00732080">
        <w:t xml:space="preserve">Sabah Tahir. </w:t>
      </w:r>
    </w:p>
    <w:p w14:paraId="3D9CFB1E" w14:textId="51C2BB24" w:rsidR="00707310" w:rsidRDefault="00000000">
      <w:pPr>
        <w:spacing w:after="120"/>
        <w:jc w:val="center"/>
      </w:pPr>
      <w:r>
        <w:t xml:space="preserve">Student Number: </w:t>
      </w:r>
      <w:hyperlink r:id="rId5" w:history="1">
        <w:r w:rsidR="00732080" w:rsidRPr="00D71F96">
          <w:rPr>
            <w:rStyle w:val="Hyperlink"/>
            <w:color w:val="000000" w:themeColor="text1"/>
            <w:u w:val="none"/>
          </w:rPr>
          <w:t>243227</w:t>
        </w:r>
      </w:hyperlink>
    </w:p>
    <w:p w14:paraId="4A5A8351" w14:textId="2EDF1724" w:rsidR="00707310" w:rsidRDefault="00000000">
      <w:pPr>
        <w:spacing w:after="120"/>
        <w:jc w:val="center"/>
      </w:pPr>
      <w:r>
        <w:t xml:space="preserve">Module Code and Title: </w:t>
      </w:r>
      <w:hyperlink r:id="rId6" w:tooltip="Principles of Health and Social Care Practice (BMHP5016_BIRM)" w:history="1">
        <w:r w:rsidR="00732080" w:rsidRPr="00732080">
          <w:rPr>
            <w:rStyle w:val="Hyperlink"/>
            <w:color w:val="000000" w:themeColor="text1"/>
            <w:u w:val="none"/>
          </w:rPr>
          <w:t>BMHP5016</w:t>
        </w:r>
      </w:hyperlink>
    </w:p>
    <w:p w14:paraId="0D6C96F7" w14:textId="77777777" w:rsidR="00707310" w:rsidRDefault="00000000">
      <w:pPr>
        <w:spacing w:after="120"/>
        <w:jc w:val="center"/>
      </w:pPr>
      <w:r>
        <w:t>Assignment Title: Reflective Report – Principles of Health and Social Care</w:t>
      </w:r>
    </w:p>
    <w:p w14:paraId="7E2E0E53" w14:textId="77777777" w:rsidR="00707310" w:rsidRDefault="00707310">
      <w:pPr>
        <w:pageBreakBefore/>
      </w:pPr>
    </w:p>
    <w:p w14:paraId="47E8883A" w14:textId="77777777" w:rsidR="00707310" w:rsidRDefault="00000000">
      <w:pPr>
        <w:pStyle w:val="Heading1"/>
      </w:pPr>
      <w:r>
        <w:t>Task 1: Reflection on the Importance of Principles of Health and Social Care</w:t>
      </w:r>
    </w:p>
    <w:p w14:paraId="3EBEFF7F" w14:textId="0F9AC66F" w:rsidR="00707310" w:rsidRDefault="00000000">
      <w:pPr>
        <w:spacing w:after="200" w:line="360" w:lineRule="auto"/>
        <w:jc w:val="both"/>
      </w:pPr>
      <w:r>
        <w:t xml:space="preserve">Person-centred care, partnership working and ethical practice are three principles that sit at the heart of good health and social care in the UK. They are not just policy </w:t>
      </w:r>
      <w:proofErr w:type="gramStart"/>
      <w:r>
        <w:t>ideals  they</w:t>
      </w:r>
      <w:proofErr w:type="gramEnd"/>
      <w:r>
        <w:t xml:space="preserve"> shape the day-to-day experience of people who use services and the professionals who deliver them. Reflecting on why these principles matter helps to explain not just what good care looks like, but why it makes such a difference to outcomes.</w:t>
      </w:r>
    </w:p>
    <w:p w14:paraId="405C9097" w14:textId="5ED43FA7" w:rsidR="00707310" w:rsidRDefault="00000000">
      <w:pPr>
        <w:spacing w:after="200" w:line="360" w:lineRule="auto"/>
        <w:jc w:val="both"/>
      </w:pPr>
      <w:r>
        <w:t>Person-centred care means putting the individual at the centre of decisions about their own care and support, rather than fitting them into a one</w:t>
      </w:r>
      <w:r w:rsidR="00732080">
        <w:t xml:space="preserve"> </w:t>
      </w:r>
      <w:r>
        <w:t>size</w:t>
      </w:r>
      <w:r w:rsidR="00732080">
        <w:t xml:space="preserve"> </w:t>
      </w:r>
      <w:r>
        <w:t>fits</w:t>
      </w:r>
      <w:r w:rsidR="00732080">
        <w:t xml:space="preserve"> </w:t>
      </w:r>
      <w:r>
        <w:t xml:space="preserve">all service. The Care Act 2014 places a legal duty on local authorities in England to promote wellbeing and to involve people in decisions about their care, which reflects how deeply embedded this principle now is in UK policy (Care Act 2014). Theoretically, this links well to Maslow’s Hierarchy of Needs (1943), which suggests that human beings have a range of needs from basic physical needs like warmth and food, through to higher-level needs like belonging, </w:t>
      </w:r>
      <w:r w:rsidR="00732080">
        <w:t>self-esteem</w:t>
      </w:r>
      <w:r>
        <w:t xml:space="preserve"> and personal fulfilment. Person-centred care recognises that services must address the whole person across all these levels, not just the immediate presenting need.</w:t>
      </w:r>
    </w:p>
    <w:p w14:paraId="3A23C873" w14:textId="57C17E93" w:rsidR="00707310" w:rsidRDefault="00000000">
      <w:pPr>
        <w:spacing w:after="200" w:line="360" w:lineRule="auto"/>
        <w:jc w:val="both"/>
      </w:pPr>
      <w:r>
        <w:t xml:space="preserve">Partnership working is equally important. In health and social care, no single professional or organisation can meet </w:t>
      </w:r>
      <w:r w:rsidR="00732080">
        <w:t>all</w:t>
      </w:r>
      <w:r>
        <w:t xml:space="preserve"> a person’s needs on their own. Effective collaboration between different </w:t>
      </w:r>
      <w:proofErr w:type="gramStart"/>
      <w:r>
        <w:t>services  for</w:t>
      </w:r>
      <w:proofErr w:type="gramEnd"/>
      <w:r>
        <w:t xml:space="preserve"> example between social care, NHS services, housing and the voluntary </w:t>
      </w:r>
      <w:r w:rsidR="00732080">
        <w:t>sector is</w:t>
      </w:r>
      <w:r>
        <w:t xml:space="preserve"> essential to provide joined-up support. The Health and Care Act 2022 introduced Integrated Care Systems across England specifically to improve this kind of coordination and reduce the fragmentation that can otherwise leave people falling through the gaps between services (Health and Care Act 2022).</w:t>
      </w:r>
    </w:p>
    <w:p w14:paraId="09CDA438" w14:textId="77777777" w:rsidR="00707310" w:rsidRDefault="00000000">
      <w:pPr>
        <w:spacing w:after="200" w:line="360" w:lineRule="auto"/>
        <w:jc w:val="both"/>
      </w:pPr>
      <w:r>
        <w:t>Ethics underpins everything in health and social care. The four key ethical principles widely used in practice are autonomy, which means respecting people’s right to make their own decisions, beneficence, which means acting in someone’s best interests, non-maleficence, which means avoiding harm, and justice, which means treating people fairly (Beauchamp and Childress, 2019). These principles guide professionals when they face difficult decisions, particularly in situations where someone’s wishes might conflict with what a professional thinks is safe, or where resources are limited.</w:t>
      </w:r>
    </w:p>
    <w:p w14:paraId="3121B3EA" w14:textId="77777777" w:rsidR="00707310" w:rsidRDefault="00000000">
      <w:pPr>
        <w:spacing w:after="200" w:line="360" w:lineRule="auto"/>
        <w:jc w:val="both"/>
      </w:pPr>
      <w:r>
        <w:t xml:space="preserve">Together, these three principles create a framework for care that is both effective and humane. Research consistently shows that when people feel listened to, when services work together around them, and when decisions are made ethically, health outcomes improve and people’s experiences of care are more positive (The King’s Fund, 2023). They are not optional extras </w:t>
      </w:r>
      <w:r>
        <w:lastRenderedPageBreak/>
        <w:t>– they are what makes the difference between care that merely keeps people safe and care that genuinely supports people to live well.</w:t>
      </w:r>
    </w:p>
    <w:p w14:paraId="74FFDAFE" w14:textId="6958AD54" w:rsidR="00707310" w:rsidRDefault="00000000">
      <w:pPr>
        <w:pStyle w:val="Heading1"/>
      </w:pPr>
      <w:r>
        <w:t xml:space="preserve">Task 2: Practical Examples of Concepts in </w:t>
      </w:r>
      <w:proofErr w:type="gramStart"/>
      <w:r>
        <w:t>Practice  Case</w:t>
      </w:r>
      <w:proofErr w:type="gramEnd"/>
      <w:r>
        <w:t xml:space="preserve"> Study 7: Robert</w:t>
      </w:r>
    </w:p>
    <w:p w14:paraId="16812AF3" w14:textId="77777777" w:rsidR="00707310" w:rsidRDefault="00000000">
      <w:pPr>
        <w:spacing w:after="200" w:line="360" w:lineRule="auto"/>
        <w:jc w:val="both"/>
      </w:pPr>
      <w:r>
        <w:t>This section draws on Case Study 7, which focuses on Robert, a 30-year-old man with moderate developmental delays who requires assistance with daily activities and experiences difficulties with communication. Robert’s situation raises important questions about how person-centred care, partnership working and ethical practice can be applied when supporting someone with additional communication and cognitive needs.</w:t>
      </w:r>
    </w:p>
    <w:p w14:paraId="74597CAC" w14:textId="77777777" w:rsidR="00707310" w:rsidRDefault="00000000">
      <w:pPr>
        <w:pStyle w:val="Heading2"/>
      </w:pPr>
      <w:r>
        <w:t>Person-Centred Care</w:t>
      </w:r>
    </w:p>
    <w:p w14:paraId="2810CEDE" w14:textId="5E335E44" w:rsidR="00707310" w:rsidRDefault="00000000">
      <w:pPr>
        <w:spacing w:after="200" w:line="360" w:lineRule="auto"/>
        <w:jc w:val="both"/>
      </w:pPr>
      <w:r>
        <w:t xml:space="preserve">Applying person-centred care to Robert requires a genuine commitment to understanding his preferences, wishes and routines, even where communication is more complex. It would be wrong to assume that because Robert has developmental </w:t>
      </w:r>
      <w:r w:rsidR="00732080">
        <w:t>delays,</w:t>
      </w:r>
      <w:r>
        <w:t xml:space="preserve"> he is unable to express what matters to him – people communicate in many different ways, and a person-centred approach means taking the time to understand Robert’s individual communication style, whether that is through speech, gesture, visual aids or behaviour (NHS England, 2024). The Care Act 2014 is clear that wellbeing and involvement in decisions about care applies to everyone, including people with learning disabilities, and Robert’s support plan should reflect his own goals and preferences, not just what others think is best for him.</w:t>
      </w:r>
    </w:p>
    <w:p w14:paraId="27DCE235" w14:textId="77777777" w:rsidR="00707310" w:rsidRDefault="00000000">
      <w:pPr>
        <w:spacing w:after="200" w:line="360" w:lineRule="auto"/>
        <w:jc w:val="both"/>
      </w:pPr>
      <w:r>
        <w:t>In practice, this might mean working with Robert to develop a care plan that uses easy-read formats or pictures, building consistent routines that give him a sense of security and control, and ensuring that any changes to his care are introduced gradually and with his understanding. Maslow’s Hierarchy of Needs (1943) is a useful frame here – Robert’s basic needs around safety, personal care and nutrition must be reliably met, but a truly person-centred service would also support his needs for belonging, dignity and the opportunity to engage in activities that are meaningful to him.</w:t>
      </w:r>
    </w:p>
    <w:p w14:paraId="5FDED0A3" w14:textId="77777777" w:rsidR="00707310" w:rsidRDefault="00000000">
      <w:pPr>
        <w:pStyle w:val="Heading2"/>
      </w:pPr>
      <w:r>
        <w:t>Partnership Working</w:t>
      </w:r>
    </w:p>
    <w:p w14:paraId="01F6DEB3" w14:textId="77777777" w:rsidR="00707310" w:rsidRDefault="00000000">
      <w:pPr>
        <w:spacing w:after="200" w:line="360" w:lineRule="auto"/>
        <w:jc w:val="both"/>
      </w:pPr>
      <w:r>
        <w:t>Robert’s needs are likely to span several different services and agencies. Effective partnership working would involve his care team coordinating closely with his GP, any specialist learning disability services, speech and language therapy if communication support is needed, and potentially housing services depending on his living situation. If Robert has a formal Education, Health and Care plan or is transitioning between services, multi-agency meetings and shared care planning would be particularly important (Health and Care Act 2022).</w:t>
      </w:r>
    </w:p>
    <w:p w14:paraId="76CA3890" w14:textId="3521B63A" w:rsidR="00707310" w:rsidRDefault="00000000">
      <w:pPr>
        <w:spacing w:after="200" w:line="360" w:lineRule="auto"/>
        <w:jc w:val="both"/>
      </w:pPr>
      <w:r>
        <w:t xml:space="preserve">Family members or advocates who know Robert well are also a key part of the partnership. Where Robert finds it difficult to communicate his views directly, those who know him best can </w:t>
      </w:r>
      <w:r>
        <w:lastRenderedPageBreak/>
        <w:t xml:space="preserve">provide valuable </w:t>
      </w:r>
      <w:proofErr w:type="gramStart"/>
      <w:r>
        <w:t>insight  though</w:t>
      </w:r>
      <w:proofErr w:type="gramEnd"/>
      <w:r>
        <w:t xml:space="preserve"> it is important that this does not replace attempts to hear from Robert himself. The risk in cases like Robert’s is that </w:t>
      </w:r>
      <w:r w:rsidR="00732080">
        <w:t>professional’s</w:t>
      </w:r>
      <w:r>
        <w:t xml:space="preserve"> default to communicating only with family or carers rather than making the effort to involve Robert directly, which undermines the person-centred principle.</w:t>
      </w:r>
    </w:p>
    <w:p w14:paraId="46E8EDB7" w14:textId="77777777" w:rsidR="00707310" w:rsidRDefault="00000000">
      <w:pPr>
        <w:pStyle w:val="Heading2"/>
      </w:pPr>
      <w:r>
        <w:t>Ethical Practice</w:t>
      </w:r>
    </w:p>
    <w:p w14:paraId="70F46A8E" w14:textId="08DB5078" w:rsidR="00707310" w:rsidRDefault="00000000">
      <w:pPr>
        <w:spacing w:after="200" w:line="360" w:lineRule="auto"/>
        <w:jc w:val="both"/>
      </w:pPr>
      <w:r>
        <w:t xml:space="preserve">Robert’s situation raises significant ethical considerations, particularly around autonomy and capacity. The Mental Capacity Act 2005 establishes that every adult must be assumed to have capacity to make decisions unless there is specific evidence to the contrary, and that capacity must be assessed for each individual decision rather than assumed to be absent because of a diagnosis (Mental Capacity Act 2005). This means that even though Robert has moderate developmental delays, he may well have the capacity to make many decisions about his own life, and any decisions made on his behalf must follow a formal best </w:t>
      </w:r>
      <w:r w:rsidR="00732080">
        <w:t>interest’s</w:t>
      </w:r>
      <w:r>
        <w:t xml:space="preserve"> process involving those who know him well.</w:t>
      </w:r>
    </w:p>
    <w:p w14:paraId="6BA8CB0F" w14:textId="77777777" w:rsidR="00707310" w:rsidRDefault="00000000">
      <w:pPr>
        <w:spacing w:after="200" w:line="360" w:lineRule="auto"/>
        <w:jc w:val="both"/>
      </w:pPr>
      <w:r>
        <w:t>There is also an ethical duty to ensure that Robert is protected from potential harm or exploitation while still being supported to live as independently and fulfilling a life as possible. Balancing protection with autonomy is one of the core ethical challenges in supporting people with learning disabilities, and professionals working with Robert must be careful not to be so focused on risk management that they inadvertently restrict his freedoms or fail to support his development. The code of practice for social care workers makes clear that dignity, respect and the promotion of independence are non-negotiable principles regardless of a person’s level of need (Social Care Wales, 2022).</w:t>
      </w:r>
    </w:p>
    <w:p w14:paraId="4582F9DB" w14:textId="665AAD12" w:rsidR="00707310" w:rsidRDefault="00000000">
      <w:pPr>
        <w:spacing w:after="200" w:line="360" w:lineRule="auto"/>
        <w:jc w:val="both"/>
      </w:pPr>
      <w:r>
        <w:t xml:space="preserve">Overall, Robert’s case illustrates that applying these three principles to people with developmental delays requires extra thought, creativity and </w:t>
      </w:r>
      <w:r w:rsidR="00732080">
        <w:t>commitment but</w:t>
      </w:r>
      <w:r>
        <w:t xml:space="preserve"> the principles themselves remain just as relevant and just as important as in any other care situation.</w:t>
      </w:r>
    </w:p>
    <w:p w14:paraId="4CB826B1" w14:textId="77777777" w:rsidR="00707310" w:rsidRDefault="00000000">
      <w:pPr>
        <w:pStyle w:val="Heading1"/>
      </w:pPr>
      <w:r>
        <w:t>Task 3: Self-Reflection as a Health and Social Care Professional</w:t>
      </w:r>
    </w:p>
    <w:p w14:paraId="4FB12FDD" w14:textId="26B47066" w:rsidR="00707310" w:rsidRDefault="00000000">
      <w:pPr>
        <w:spacing w:after="200" w:line="360" w:lineRule="auto"/>
        <w:jc w:val="both"/>
      </w:pPr>
      <w:r>
        <w:t xml:space="preserve">As a manager working in domiciliary care, I have direct experience of trying to apply these principles in a fast-paced, community-based setting. Reflecting on my practice honestly is something I find both valuable and </w:t>
      </w:r>
      <w:r w:rsidR="00732080">
        <w:t>challenging it</w:t>
      </w:r>
      <w:r>
        <w:t xml:space="preserve"> requires me to look at not just what I do well, but where there is still room to grow.</w:t>
      </w:r>
    </w:p>
    <w:p w14:paraId="5B8609C6" w14:textId="77777777" w:rsidR="00707310" w:rsidRDefault="00000000">
      <w:pPr>
        <w:pStyle w:val="Heading2"/>
      </w:pPr>
      <w:r>
        <w:t>Person-Centred Care in My Role</w:t>
      </w:r>
    </w:p>
    <w:p w14:paraId="4031DEA0" w14:textId="77777777" w:rsidR="00707310" w:rsidRDefault="00000000">
      <w:pPr>
        <w:spacing w:after="200" w:line="360" w:lineRule="auto"/>
        <w:jc w:val="both"/>
      </w:pPr>
      <w:r>
        <w:t xml:space="preserve">In my day-to-day work as a domiciliary care manager, person-centred care shapes almost every decision I make. When I am putting together or reviewing a care plan, my starting point is always the individual – what matters to them, what their routines are, what their preferences are around how and when care is delivered. I have seen firsthand how much difference this </w:t>
      </w:r>
      <w:r>
        <w:lastRenderedPageBreak/>
        <w:t>makes. When people feel that their care is built around them rather than around the convenience of the rota, they are more engaged, more cooperative and generally happier with the service.</w:t>
      </w:r>
    </w:p>
    <w:p w14:paraId="543676F7" w14:textId="0F800C1E" w:rsidR="00707310" w:rsidRDefault="00000000">
      <w:pPr>
        <w:spacing w:after="200" w:line="360" w:lineRule="auto"/>
        <w:jc w:val="both"/>
      </w:pPr>
      <w:r>
        <w:t xml:space="preserve">Maslow’s Hierarchy of Needs (1943) is a framework I find genuinely useful in practice, even if I do not always refer to it by name at the time. When I am managing a situation where a service user’s basic physical needs nutrition, warmth, personal </w:t>
      </w:r>
      <w:r w:rsidR="00732080">
        <w:t xml:space="preserve">hygiene </w:t>
      </w:r>
      <w:proofErr w:type="gramStart"/>
      <w:r w:rsidR="00732080">
        <w:t>are</w:t>
      </w:r>
      <w:proofErr w:type="gramEnd"/>
      <w:r>
        <w:t xml:space="preserve"> not being met, I know that addressing those </w:t>
      </w:r>
      <w:r w:rsidR="00732080">
        <w:t>must</w:t>
      </w:r>
      <w:r>
        <w:t xml:space="preserve"> come first. But I also know that once those needs are stable, the people we support often have much wider needs around connection, dignity and a sense of control over their own lives, and good person-centred care </w:t>
      </w:r>
      <w:r w:rsidR="00732080">
        <w:t>must</w:t>
      </w:r>
      <w:r>
        <w:t xml:space="preserve"> address those too.</w:t>
      </w:r>
    </w:p>
    <w:p w14:paraId="487ECF93" w14:textId="77777777" w:rsidR="00707310" w:rsidRDefault="00000000">
      <w:pPr>
        <w:spacing w:after="200" w:line="360" w:lineRule="auto"/>
        <w:jc w:val="both"/>
      </w:pPr>
      <w:r>
        <w:t>One area where I know I could do better is in formally documenting person-centred goals and reviewing them regularly. In a busy service, care plans can sometimes become static documents that do not reflect how a person’s needs or wishes have changed over time. I am currently working on improving how my team conducts reviews so that the service user’s voice is genuinely at the centre of every update, rather than reviews becoming a tick-box exercise.</w:t>
      </w:r>
    </w:p>
    <w:p w14:paraId="43EE1F2E" w14:textId="77777777" w:rsidR="00707310" w:rsidRDefault="00000000">
      <w:pPr>
        <w:pStyle w:val="Heading2"/>
      </w:pPr>
      <w:r>
        <w:t>Partnership Working in My Role</w:t>
      </w:r>
    </w:p>
    <w:p w14:paraId="212F0D51" w14:textId="17613779" w:rsidR="00707310" w:rsidRDefault="00000000">
      <w:pPr>
        <w:spacing w:after="200" w:line="360" w:lineRule="auto"/>
        <w:jc w:val="both"/>
      </w:pPr>
      <w:r>
        <w:t xml:space="preserve">Partnership working is something I engage with regularly, but it is also the area I find most complex. My role involves coordinating with district nurses, GPs, social workers, occupational therapists and family members on a regular basis. When it works well, it is incredibly </w:t>
      </w:r>
      <w:r w:rsidR="00732080">
        <w:t>effective information</w:t>
      </w:r>
      <w:r>
        <w:t xml:space="preserve"> is shared, risks are managed, and the person being supported gets a much more coherent package of care. The Health and Care Act 2022 has reinforced the importance of this kind of integrated working at a national level, and I can see the ambition behind it.</w:t>
      </w:r>
    </w:p>
    <w:p w14:paraId="251E9B98" w14:textId="3D34ADF8" w:rsidR="00707310" w:rsidRDefault="00000000">
      <w:pPr>
        <w:spacing w:after="200" w:line="360" w:lineRule="auto"/>
        <w:jc w:val="both"/>
      </w:pPr>
      <w:r>
        <w:t xml:space="preserve">In practice though, communication between agencies does not always flow as smoothly as it should. I have experienced situations where important clinical information has not been passed on to my team in time, or where a hospital discharge has happened without adequate notice, leaving us scrambling to put support in place quickly. This is not a criticism of individual professionals – everyone is under </w:t>
      </w:r>
      <w:r w:rsidR="00732080">
        <w:t>pressure,</w:t>
      </w:r>
      <w:r>
        <w:t xml:space="preserve"> but it does highlight a system-level gap that the move towards Integrated Care Systems is trying to address (Health and Care Act 2022).</w:t>
      </w:r>
    </w:p>
    <w:p w14:paraId="2243CE6B" w14:textId="2902E567" w:rsidR="00707310" w:rsidRDefault="00000000">
      <w:pPr>
        <w:spacing w:after="200" w:line="360" w:lineRule="auto"/>
        <w:jc w:val="both"/>
      </w:pPr>
      <w:r>
        <w:t>A strength I have developed in this area is building and maintaining good working relationships with the professionals and agencies I work with most regularly. I make a point of being proactive in communicating with social workers and healthcare staff rather than waiting for information to come to me. However, I recognise that I could do more to advocate for my team in multiagency meetings and to ensure that the domiciliary care perspective is properly represented in wider planning discussions. This is something I want to develop further, and I have identified attending more integrated care network meetings as a concrete step I can take.</w:t>
      </w:r>
    </w:p>
    <w:p w14:paraId="1E529B31" w14:textId="77777777" w:rsidR="00707310" w:rsidRDefault="00000000">
      <w:pPr>
        <w:pStyle w:val="Heading2"/>
      </w:pPr>
      <w:r>
        <w:lastRenderedPageBreak/>
        <w:t>Ethics in My Role</w:t>
      </w:r>
    </w:p>
    <w:p w14:paraId="621862BE" w14:textId="77777777" w:rsidR="00707310" w:rsidRDefault="00000000">
      <w:pPr>
        <w:spacing w:after="200" w:line="360" w:lineRule="auto"/>
        <w:jc w:val="both"/>
      </w:pPr>
      <w:r>
        <w:t>Ethics comes up constantly in domiciliary care management, often in situations that do not have straightforward answers. Managing safeguarding concerns, supporting people who make decisions that others consider unwise, balancing a family’s anxiety with a service user’s right to take risks – these are real, everyday ethical challenges. My Level 4 qualification in Health and Social Care gave me a much stronger theoretical grounding in ethical frameworks, and I have found Beauchamp and Childress’s (2019) four principles of autonomy, beneficence, non-maleficence and justice a useful lens for thinking through difficult situations.</w:t>
      </w:r>
    </w:p>
    <w:p w14:paraId="5C90F8D9" w14:textId="246A9E12" w:rsidR="00707310" w:rsidRDefault="00000000">
      <w:pPr>
        <w:spacing w:after="200" w:line="360" w:lineRule="auto"/>
        <w:jc w:val="both"/>
      </w:pPr>
      <w:r>
        <w:t>One specific area where I have had to develop my ethical thinking is around risk. There is sometimes a tension in domiciliary care between a service user’s right to take risks in their own home – which is their legal right as a competent adult and the understandable concerns of family members or the organisation about liability. I have had to learn to have honest conversations with families about this, explaining that our role is to support people to live as independently as possible, not to eliminate all risk from their lives. The Care Act 2014 is helpful here because it explicitly places wellbeing, including the person’s own views about their wellbeing, at the centre of care and support decisions.</w:t>
      </w:r>
    </w:p>
    <w:p w14:paraId="40A79744" w14:textId="77777777" w:rsidR="00707310" w:rsidRDefault="00000000">
      <w:pPr>
        <w:spacing w:after="200" w:line="360" w:lineRule="auto"/>
        <w:jc w:val="both"/>
      </w:pPr>
      <w:r>
        <w:t>In terms of areas for improvement, I am aware that ethical decision-making under pressure can sometimes default to risk-aversion rather than genuine person-centredness. When something goes wrong or nearly goes wrong, the instinct can be to add more restrictions or oversight rather than to ask whether the person’s own wishes and rights are still being upheld. I want to be more consistent in returning to ethical principles when I am managing difficult situations rather than defaulting to what feels safest from an organisational perspective.</w:t>
      </w:r>
    </w:p>
    <w:p w14:paraId="7862DDE5" w14:textId="77777777" w:rsidR="00707310" w:rsidRDefault="00000000">
      <w:pPr>
        <w:pStyle w:val="Heading2"/>
      </w:pPr>
      <w:r>
        <w:t>My Development Plan</w:t>
      </w:r>
    </w:p>
    <w:p w14:paraId="03E7A45D" w14:textId="5496352C" w:rsidR="00707310" w:rsidRDefault="00000000">
      <w:pPr>
        <w:spacing w:after="200" w:line="360" w:lineRule="auto"/>
        <w:jc w:val="both"/>
      </w:pPr>
      <w:r>
        <w:t xml:space="preserve">Looking ahead, I have identified three specific actions to develop my practice. First, I plan to complete further training in the Mental Capacity Act 2005 and best </w:t>
      </w:r>
      <w:r w:rsidR="00732080">
        <w:t>interests’</w:t>
      </w:r>
      <w:r>
        <w:t xml:space="preserve"> decision-making, as this underpins so much of the ethical work in domiciliary care and is something Robert’s case study has highlighted for me as an area requiring careful attention. Second, I want to strengthen my team’s approach to person</w:t>
      </w:r>
      <w:r w:rsidR="00732080">
        <w:t xml:space="preserve"> </w:t>
      </w:r>
      <w:r>
        <w:t>centred care planning by introducing more structured review processes that genuinely involve service users in shaping their own plans, including exploring the use of accessible formats for people with communication needs. Third, I intend to take a more active role in integrated care and partnership working at a local level, including attending relevant network meetings and building stronger links with health colleagues.</w:t>
      </w:r>
    </w:p>
    <w:p w14:paraId="68993529" w14:textId="37D48A01" w:rsidR="00707310" w:rsidRDefault="00000000">
      <w:pPr>
        <w:spacing w:after="200" w:line="360" w:lineRule="auto"/>
        <w:jc w:val="both"/>
      </w:pPr>
      <w:r>
        <w:t xml:space="preserve">Reflecting on my practice through the lens of these three principles has reinforced for me that being a good manager in health and social care is not just about running an efficient </w:t>
      </w:r>
      <w:r w:rsidR="00732080">
        <w:t xml:space="preserve">service </w:t>
      </w:r>
      <w:r w:rsidR="00732080">
        <w:lastRenderedPageBreak/>
        <w:t>it</w:t>
      </w:r>
      <w:r>
        <w:t xml:space="preserve"> is about constantly asking whether the people we support are truly at the centre of what we do, whether we are working effectively with others to meet their needs, and whether we are making decisions in a way that is ethical and defensible. I find that a genuinely motivating standard to work towards.</w:t>
      </w:r>
    </w:p>
    <w:p w14:paraId="58995AA2" w14:textId="77777777" w:rsidR="00707310" w:rsidRDefault="00000000">
      <w:pPr>
        <w:pStyle w:val="Heading1"/>
      </w:pPr>
      <w:r>
        <w:t>Reference List</w:t>
      </w:r>
    </w:p>
    <w:p w14:paraId="0E36D28B" w14:textId="2182AB55" w:rsidR="00707310" w:rsidRDefault="00000000">
      <w:pPr>
        <w:spacing w:after="160" w:line="360" w:lineRule="auto"/>
        <w:ind w:left="720" w:hanging="720"/>
        <w:jc w:val="both"/>
      </w:pPr>
      <w:r>
        <w:t>Beauchamp, T.L. and Childress, J.F. (2019) Principles of Biomedical Ethics. 8th. Oxford: Oxford University Press.</w:t>
      </w:r>
    </w:p>
    <w:p w14:paraId="6837E23B" w14:textId="565DCAA8" w:rsidR="00707310" w:rsidRDefault="00000000">
      <w:pPr>
        <w:spacing w:after="160" w:line="360" w:lineRule="auto"/>
        <w:ind w:left="720" w:hanging="720"/>
        <w:jc w:val="both"/>
      </w:pPr>
      <w:r>
        <w:t>CareAct2014.Available at: https://www.legislation.gov.uk/ukpga/2014/23/contents (Accessed: 16 June 2026).</w:t>
      </w:r>
    </w:p>
    <w:p w14:paraId="42EED311" w14:textId="2568CD68" w:rsidR="00707310" w:rsidRDefault="00000000">
      <w:pPr>
        <w:spacing w:after="160" w:line="360" w:lineRule="auto"/>
        <w:ind w:left="720" w:hanging="720"/>
        <w:jc w:val="both"/>
      </w:pPr>
      <w:proofErr w:type="spellStart"/>
      <w:r>
        <w:t>HealthandCare</w:t>
      </w:r>
      <w:proofErr w:type="spellEnd"/>
      <w:r>
        <w:t xml:space="preserve"> Act 2022. Available at: https://www.legislation.gov.uk/ukpga/2022/31/contents (Accessed: 16 June 2026).</w:t>
      </w:r>
    </w:p>
    <w:p w14:paraId="5F2400A6" w14:textId="77777777" w:rsidR="00707310" w:rsidRDefault="00000000">
      <w:pPr>
        <w:spacing w:after="160" w:line="360" w:lineRule="auto"/>
        <w:ind w:left="720" w:hanging="720"/>
        <w:jc w:val="both"/>
      </w:pPr>
      <w:r>
        <w:t>Maslow, A.H. (1943) ‘A theory of human motivation’, Psychological Review, 50(4), pp. 370–396.</w:t>
      </w:r>
    </w:p>
    <w:p w14:paraId="0339D978" w14:textId="77777777" w:rsidR="00707310" w:rsidRDefault="00000000">
      <w:pPr>
        <w:spacing w:after="160" w:line="360" w:lineRule="auto"/>
        <w:ind w:left="720" w:hanging="720"/>
        <w:jc w:val="both"/>
      </w:pPr>
      <w:r>
        <w:t>Mental Capacity Act 2005. Available at: https://www.legislation.gov.uk/ukpga/2005/9/contents (Accessed: 16 June 2026).</w:t>
      </w:r>
    </w:p>
    <w:p w14:paraId="5D58790E" w14:textId="55519EEB" w:rsidR="00707310" w:rsidRDefault="00000000">
      <w:pPr>
        <w:spacing w:after="160" w:line="360" w:lineRule="auto"/>
        <w:ind w:left="720" w:hanging="720"/>
        <w:jc w:val="both"/>
      </w:pPr>
      <w:proofErr w:type="spellStart"/>
      <w:proofErr w:type="gramStart"/>
      <w:r>
        <w:t>NHSEngland</w:t>
      </w:r>
      <w:proofErr w:type="spellEnd"/>
      <w:r>
        <w:t>(2024)</w:t>
      </w:r>
      <w:proofErr w:type="spellStart"/>
      <w:r>
        <w:t>LearningDisabilityandAutism.Availableat</w:t>
      </w:r>
      <w:proofErr w:type="spellEnd"/>
      <w:proofErr w:type="gramEnd"/>
      <w:r>
        <w:t>: https://www.england.nhs.uk/learning-disabilities/ (Accessed: 16 June 2026).</w:t>
      </w:r>
    </w:p>
    <w:p w14:paraId="2628EB3A" w14:textId="77777777" w:rsidR="00707310" w:rsidRDefault="00000000">
      <w:pPr>
        <w:spacing w:after="160" w:line="360" w:lineRule="auto"/>
        <w:ind w:left="720" w:hanging="720"/>
        <w:jc w:val="both"/>
      </w:pPr>
      <w:r>
        <w:t>Social Care Wales (2022) Code of Professional Practice for Social Care. Cardiff: Social Care Wales. Available at: https://socialcare.wales/resources-guidance/information-and-learning-hub/code-of-professional-practice-for-social-care (Accessed: 16 June 2026).</w:t>
      </w:r>
    </w:p>
    <w:p w14:paraId="0AD4D216" w14:textId="32E0A361" w:rsidR="00707310" w:rsidRDefault="00000000">
      <w:pPr>
        <w:spacing w:after="160" w:line="360" w:lineRule="auto"/>
        <w:ind w:left="720" w:hanging="720"/>
        <w:jc w:val="both"/>
      </w:pPr>
      <w:proofErr w:type="spellStart"/>
      <w:proofErr w:type="gramStart"/>
      <w:r>
        <w:t>TheKing’sFund</w:t>
      </w:r>
      <w:proofErr w:type="spellEnd"/>
      <w:r>
        <w:t>(2023)Person</w:t>
      </w:r>
      <w:proofErr w:type="gramEnd"/>
      <w:r>
        <w:t>-</w:t>
      </w:r>
      <w:proofErr w:type="spellStart"/>
      <w:r>
        <w:t>CentredCare.Availableat</w:t>
      </w:r>
      <w:proofErr w:type="spellEnd"/>
      <w:r>
        <w:t>: https://www.kingsfund.org.uk/topics/person-centred-care (Accessed: 16 June 2026).</w:t>
      </w:r>
    </w:p>
    <w:sectPr w:rsidR="00707310">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6B1"/>
    <w:multiLevelType w:val="hybridMultilevel"/>
    <w:tmpl w:val="330CB352"/>
    <w:lvl w:ilvl="0" w:tplc="CBD8CAC4">
      <w:start w:val="1"/>
      <w:numFmt w:val="bullet"/>
      <w:lvlText w:val="●"/>
      <w:lvlJc w:val="left"/>
      <w:pPr>
        <w:ind w:left="720" w:hanging="360"/>
      </w:pPr>
    </w:lvl>
    <w:lvl w:ilvl="1" w:tplc="346ED770">
      <w:start w:val="1"/>
      <w:numFmt w:val="bullet"/>
      <w:lvlText w:val="○"/>
      <w:lvlJc w:val="left"/>
      <w:pPr>
        <w:ind w:left="1440" w:hanging="360"/>
      </w:pPr>
    </w:lvl>
    <w:lvl w:ilvl="2" w:tplc="76368DE8">
      <w:start w:val="1"/>
      <w:numFmt w:val="bullet"/>
      <w:lvlText w:val="■"/>
      <w:lvlJc w:val="left"/>
      <w:pPr>
        <w:ind w:left="2160" w:hanging="360"/>
      </w:pPr>
    </w:lvl>
    <w:lvl w:ilvl="3" w:tplc="76DEBB5E">
      <w:start w:val="1"/>
      <w:numFmt w:val="bullet"/>
      <w:lvlText w:val="●"/>
      <w:lvlJc w:val="left"/>
      <w:pPr>
        <w:ind w:left="2880" w:hanging="360"/>
      </w:pPr>
    </w:lvl>
    <w:lvl w:ilvl="4" w:tplc="A47CBF8C">
      <w:start w:val="1"/>
      <w:numFmt w:val="bullet"/>
      <w:lvlText w:val="○"/>
      <w:lvlJc w:val="left"/>
      <w:pPr>
        <w:ind w:left="3600" w:hanging="360"/>
      </w:pPr>
    </w:lvl>
    <w:lvl w:ilvl="5" w:tplc="ED2091B2">
      <w:start w:val="1"/>
      <w:numFmt w:val="bullet"/>
      <w:lvlText w:val="■"/>
      <w:lvlJc w:val="left"/>
      <w:pPr>
        <w:ind w:left="4320" w:hanging="360"/>
      </w:pPr>
    </w:lvl>
    <w:lvl w:ilvl="6" w:tplc="CB5E835C">
      <w:start w:val="1"/>
      <w:numFmt w:val="bullet"/>
      <w:lvlText w:val="●"/>
      <w:lvlJc w:val="left"/>
      <w:pPr>
        <w:ind w:left="5040" w:hanging="360"/>
      </w:pPr>
    </w:lvl>
    <w:lvl w:ilvl="7" w:tplc="C026FC3E">
      <w:start w:val="1"/>
      <w:numFmt w:val="bullet"/>
      <w:lvlText w:val="●"/>
      <w:lvlJc w:val="left"/>
      <w:pPr>
        <w:ind w:left="5760" w:hanging="360"/>
      </w:pPr>
    </w:lvl>
    <w:lvl w:ilvl="8" w:tplc="88549B14">
      <w:start w:val="1"/>
      <w:numFmt w:val="bullet"/>
      <w:lvlText w:val="●"/>
      <w:lvlJc w:val="left"/>
      <w:pPr>
        <w:ind w:left="6480" w:hanging="360"/>
      </w:pPr>
    </w:lvl>
  </w:abstractNum>
  <w:num w:numId="1" w16cid:durableId="9709409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10"/>
    <w:rsid w:val="00707310"/>
    <w:rsid w:val="00732080"/>
    <w:rsid w:val="00C57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87D94"/>
  <w15:docId w15:val="{8EB673DD-69C3-482A-8101-B757109FF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000000"/>
      <w:sz w:val="24"/>
      <w:szCs w:val="24"/>
    </w:rPr>
  </w:style>
  <w:style w:type="paragraph" w:styleId="Heading2">
    <w:name w:val="heading 2"/>
    <w:uiPriority w:val="9"/>
    <w:unhideWhenUsed/>
    <w:qFormat/>
    <w:pPr>
      <w:spacing w:before="200" w:after="100"/>
      <w:outlineLvl w:val="1"/>
    </w:pPr>
    <w:rPr>
      <w:b/>
      <w:bCs/>
      <w:color w:val="000000"/>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732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course/view.php?id=8034" TargetMode="External"/><Relationship Id="rId5" Type="http://schemas.openxmlformats.org/officeDocument/2006/relationships/hyperlink" Target="mailto:%324%33%32%32%37%36@%73%74u%64%65%6e%74.u%77%74%73d%2ea%63.%75%6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2414</Words>
  <Characters>13765</Characters>
  <Application>Microsoft Office Word</Application>
  <DocSecurity>0</DocSecurity>
  <Lines>114</Lines>
  <Paragraphs>32</Paragraphs>
  <ScaleCrop>false</ScaleCrop>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Sabah Tahir</cp:lastModifiedBy>
  <cp:revision>2</cp:revision>
  <dcterms:created xsi:type="dcterms:W3CDTF">2026-06-29T10:50:00Z</dcterms:created>
  <dcterms:modified xsi:type="dcterms:W3CDTF">2026-06-29T10:50:00Z</dcterms:modified>
</cp:coreProperties>
</file>