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7D3F5" w14:textId="3ED943BB" w:rsidR="004C5E08" w:rsidRDefault="004C5E08" w:rsidP="004C41BE">
      <w:pPr>
        <w:pStyle w:val="Normal1"/>
        <w:spacing w:line="480" w:lineRule="auto"/>
        <w:rPr>
          <w:rFonts w:ascii="Times New Roman" w:eastAsia="Times New Roman" w:hAnsi="Times New Roman" w:cs="Times New Roman"/>
          <w:b/>
          <w:sz w:val="32"/>
          <w:szCs w:val="32"/>
        </w:rPr>
      </w:pPr>
    </w:p>
    <w:p w14:paraId="4A3B1706"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57EF23C9"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0C3CB15C"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0F6CDA03"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5DF4526C"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010ACEF5" w14:textId="77777777" w:rsidR="004C5E08" w:rsidRDefault="004C5E08">
      <w:pPr>
        <w:pStyle w:val="Normal1"/>
        <w:spacing w:line="480" w:lineRule="auto"/>
        <w:jc w:val="center"/>
        <w:rPr>
          <w:rFonts w:ascii="Times New Roman" w:eastAsia="Times New Roman" w:hAnsi="Times New Roman" w:cs="Times New Roman"/>
          <w:b/>
          <w:sz w:val="32"/>
          <w:szCs w:val="32"/>
        </w:rPr>
      </w:pPr>
    </w:p>
    <w:p w14:paraId="16B238B1" w14:textId="77777777" w:rsidR="004C5E08" w:rsidRDefault="001C51D3">
      <w:pPr>
        <w:pStyle w:val="Normal1"/>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Accounting for Business</w:t>
      </w:r>
    </w:p>
    <w:p w14:paraId="4E358DCE" w14:textId="4AB40CD6" w:rsidR="004C5E08" w:rsidRDefault="001C51D3">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4C41BE">
        <w:rPr>
          <w:rFonts w:ascii="Times New Roman" w:eastAsia="Times New Roman" w:hAnsi="Times New Roman" w:cs="Times New Roman"/>
          <w:sz w:val="24"/>
          <w:szCs w:val="24"/>
        </w:rPr>
        <w:t xml:space="preserve"> Sahil sharma </w:t>
      </w:r>
    </w:p>
    <w:p w14:paraId="778E0351" w14:textId="1F2EAB34" w:rsidR="004C5E08" w:rsidRDefault="001C51D3">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4C41BE">
        <w:rPr>
          <w:rFonts w:ascii="Times New Roman" w:eastAsia="Times New Roman" w:hAnsi="Times New Roman" w:cs="Times New Roman"/>
          <w:sz w:val="24"/>
          <w:szCs w:val="24"/>
        </w:rPr>
        <w:t xml:space="preserve"> 2322287</w:t>
      </w:r>
    </w:p>
    <w:p w14:paraId="1E223D1A" w14:textId="77777777" w:rsidR="004C5E08" w:rsidRDefault="001C51D3">
      <w:pPr>
        <w:pStyle w:val="Normal1"/>
        <w:spacing w:line="480" w:lineRule="auto"/>
        <w:jc w:val="center"/>
        <w:rPr>
          <w:rFonts w:ascii="Times New Roman" w:eastAsia="Times New Roman" w:hAnsi="Times New Roman" w:cs="Times New Roman"/>
          <w:b/>
          <w:sz w:val="24"/>
          <w:szCs w:val="24"/>
        </w:rPr>
      </w:pPr>
      <w:r>
        <w:br w:type="page"/>
      </w:r>
    </w:p>
    <w:p w14:paraId="228EDFE5"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5E3018AD" w14:textId="77777777" w:rsidR="004C5E08" w:rsidRDefault="004C5E08">
      <w:pPr>
        <w:pStyle w:val="Normal1"/>
        <w:spacing w:line="480" w:lineRule="auto"/>
        <w:jc w:val="center"/>
        <w:rPr>
          <w:rFonts w:ascii="Times New Roman" w:eastAsia="Times New Roman" w:hAnsi="Times New Roman" w:cs="Times New Roman"/>
          <w:sz w:val="24"/>
          <w:szCs w:val="24"/>
        </w:rPr>
      </w:pPr>
    </w:p>
    <w:sdt>
      <w:sdtPr>
        <w:id w:val="1956274889"/>
        <w:docPartObj>
          <w:docPartGallery w:val="Table of Contents"/>
          <w:docPartUnique/>
        </w:docPartObj>
      </w:sdtPr>
      <w:sdtEndPr/>
      <w:sdtContent>
        <w:p w14:paraId="762F7F6F" w14:textId="77777777" w:rsidR="004C5E08" w:rsidRDefault="001C51D3">
          <w:pPr>
            <w:pStyle w:val="Normal1"/>
            <w:tabs>
              <w:tab w:val="right" w:pos="9025"/>
            </w:tabs>
            <w:spacing w:before="80" w:line="48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2gmt985bv11o">
            <w:r>
              <w:rPr>
                <w:rFonts w:ascii="Times New Roman" w:eastAsia="Times New Roman" w:hAnsi="Times New Roman" w:cs="Times New Roman"/>
                <w:b/>
                <w:sz w:val="24"/>
                <w:szCs w:val="24"/>
              </w:rPr>
              <w:t>1. Introduction</w:t>
            </w:r>
          </w:hyperlink>
          <w:r>
            <w:rPr>
              <w:rFonts w:ascii="Times New Roman" w:eastAsia="Times New Roman" w:hAnsi="Times New Roman" w:cs="Times New Roman"/>
              <w:b/>
              <w:sz w:val="24"/>
              <w:szCs w:val="24"/>
            </w:rPr>
            <w:tab/>
          </w:r>
          <w:r>
            <w:fldChar w:fldCharType="begin"/>
          </w:r>
          <w:r>
            <w:instrText xml:space="preserve"> PAGEREF _2gmt985bv11o \h </w:instrText>
          </w:r>
          <w:r>
            <w:fldChar w:fldCharType="separate"/>
          </w:r>
          <w:r>
            <w:rPr>
              <w:rFonts w:ascii="Times New Roman" w:eastAsia="Times New Roman" w:hAnsi="Times New Roman" w:cs="Times New Roman"/>
              <w:b/>
              <w:sz w:val="24"/>
              <w:szCs w:val="24"/>
            </w:rPr>
            <w:t>2</w:t>
          </w:r>
          <w:r>
            <w:fldChar w:fldCharType="end"/>
          </w:r>
        </w:p>
        <w:p w14:paraId="1738B652" w14:textId="77777777" w:rsidR="004C5E08" w:rsidRDefault="0058647B">
          <w:pPr>
            <w:pStyle w:val="Normal1"/>
            <w:tabs>
              <w:tab w:val="right" w:pos="9025"/>
            </w:tabs>
            <w:spacing w:before="60" w:line="480" w:lineRule="auto"/>
            <w:ind w:left="360"/>
            <w:rPr>
              <w:rFonts w:ascii="Times New Roman" w:eastAsia="Times New Roman" w:hAnsi="Times New Roman" w:cs="Times New Roman"/>
              <w:sz w:val="24"/>
              <w:szCs w:val="24"/>
            </w:rPr>
          </w:pPr>
          <w:hyperlink w:anchor="_ycgacj799fdt">
            <w:r w:rsidR="001C51D3">
              <w:rPr>
                <w:rFonts w:ascii="Times New Roman" w:eastAsia="Times New Roman" w:hAnsi="Times New Roman" w:cs="Times New Roman"/>
                <w:sz w:val="24"/>
                <w:szCs w:val="24"/>
              </w:rPr>
              <w:t>1.1 Financial statement analysis and ratios used</w:t>
            </w:r>
          </w:hyperlink>
          <w:r w:rsidR="001C51D3">
            <w:rPr>
              <w:rFonts w:ascii="Times New Roman" w:eastAsia="Times New Roman" w:hAnsi="Times New Roman" w:cs="Times New Roman"/>
              <w:sz w:val="24"/>
              <w:szCs w:val="24"/>
            </w:rPr>
            <w:tab/>
          </w:r>
          <w:r w:rsidR="001C51D3">
            <w:fldChar w:fldCharType="begin"/>
          </w:r>
          <w:r w:rsidR="001C51D3">
            <w:instrText xml:space="preserve"> PAGEREF _ycgacj799fdt \h </w:instrText>
          </w:r>
          <w:r w:rsidR="001C51D3">
            <w:fldChar w:fldCharType="separate"/>
          </w:r>
          <w:r w:rsidR="001C51D3">
            <w:rPr>
              <w:rFonts w:ascii="Times New Roman" w:eastAsia="Times New Roman" w:hAnsi="Times New Roman" w:cs="Times New Roman"/>
              <w:sz w:val="24"/>
              <w:szCs w:val="24"/>
            </w:rPr>
            <w:t>2</w:t>
          </w:r>
          <w:r w:rsidR="001C51D3">
            <w:fldChar w:fldCharType="end"/>
          </w:r>
        </w:p>
        <w:p w14:paraId="75B717F7" w14:textId="77777777" w:rsidR="004C5E08" w:rsidRDefault="0058647B">
          <w:pPr>
            <w:pStyle w:val="Normal1"/>
            <w:tabs>
              <w:tab w:val="right" w:pos="9025"/>
            </w:tabs>
            <w:spacing w:before="200" w:line="480" w:lineRule="auto"/>
            <w:rPr>
              <w:rFonts w:ascii="Times New Roman" w:eastAsia="Times New Roman" w:hAnsi="Times New Roman" w:cs="Times New Roman"/>
              <w:sz w:val="24"/>
              <w:szCs w:val="24"/>
            </w:rPr>
          </w:pPr>
          <w:hyperlink w:anchor="_xuktct8tufyj">
            <w:r w:rsidR="001C51D3">
              <w:rPr>
                <w:rFonts w:ascii="Times New Roman" w:eastAsia="Times New Roman" w:hAnsi="Times New Roman" w:cs="Times New Roman"/>
                <w:b/>
                <w:sz w:val="24"/>
                <w:szCs w:val="24"/>
              </w:rPr>
              <w:t>2. Analysis of Profitability and Investment Ratio</w:t>
            </w:r>
          </w:hyperlink>
          <w:r w:rsidR="001C51D3">
            <w:rPr>
              <w:rFonts w:ascii="Times New Roman" w:eastAsia="Times New Roman" w:hAnsi="Times New Roman" w:cs="Times New Roman"/>
              <w:b/>
              <w:sz w:val="24"/>
              <w:szCs w:val="24"/>
            </w:rPr>
            <w:tab/>
          </w:r>
          <w:r w:rsidR="001C51D3">
            <w:fldChar w:fldCharType="begin"/>
          </w:r>
          <w:r w:rsidR="001C51D3">
            <w:instrText xml:space="preserve"> PAGEREF _xuktct8tufyj \h </w:instrText>
          </w:r>
          <w:r w:rsidR="001C51D3">
            <w:fldChar w:fldCharType="separate"/>
          </w:r>
          <w:r w:rsidR="001C51D3">
            <w:rPr>
              <w:rFonts w:ascii="Times New Roman" w:eastAsia="Times New Roman" w:hAnsi="Times New Roman" w:cs="Times New Roman"/>
              <w:b/>
              <w:sz w:val="24"/>
              <w:szCs w:val="24"/>
            </w:rPr>
            <w:t>3</w:t>
          </w:r>
          <w:r w:rsidR="001C51D3">
            <w:fldChar w:fldCharType="end"/>
          </w:r>
        </w:p>
        <w:p w14:paraId="0C1F5712" w14:textId="77777777" w:rsidR="004C5E08" w:rsidRDefault="0058647B">
          <w:pPr>
            <w:pStyle w:val="Normal1"/>
            <w:tabs>
              <w:tab w:val="right" w:pos="9025"/>
            </w:tabs>
            <w:spacing w:before="60" w:line="480" w:lineRule="auto"/>
            <w:ind w:left="360"/>
            <w:rPr>
              <w:rFonts w:ascii="Times New Roman" w:eastAsia="Times New Roman" w:hAnsi="Times New Roman" w:cs="Times New Roman"/>
              <w:sz w:val="24"/>
              <w:szCs w:val="24"/>
            </w:rPr>
          </w:pPr>
          <w:hyperlink w:anchor="_rmlitkdhi5mk">
            <w:r w:rsidR="001C51D3">
              <w:rPr>
                <w:rFonts w:ascii="Times New Roman" w:eastAsia="Times New Roman" w:hAnsi="Times New Roman" w:cs="Times New Roman"/>
                <w:sz w:val="24"/>
                <w:szCs w:val="24"/>
              </w:rPr>
              <w:t>2.1 Profitability Ratios</w:t>
            </w:r>
          </w:hyperlink>
          <w:r w:rsidR="001C51D3">
            <w:rPr>
              <w:rFonts w:ascii="Times New Roman" w:eastAsia="Times New Roman" w:hAnsi="Times New Roman" w:cs="Times New Roman"/>
              <w:sz w:val="24"/>
              <w:szCs w:val="24"/>
            </w:rPr>
            <w:tab/>
          </w:r>
          <w:r w:rsidR="001C51D3">
            <w:fldChar w:fldCharType="begin"/>
          </w:r>
          <w:r w:rsidR="001C51D3">
            <w:instrText xml:space="preserve"> PAGEREF _rmlitkdhi5mk \h </w:instrText>
          </w:r>
          <w:r w:rsidR="001C51D3">
            <w:fldChar w:fldCharType="separate"/>
          </w:r>
          <w:r w:rsidR="001C51D3">
            <w:rPr>
              <w:rFonts w:ascii="Times New Roman" w:eastAsia="Times New Roman" w:hAnsi="Times New Roman" w:cs="Times New Roman"/>
              <w:sz w:val="24"/>
              <w:szCs w:val="24"/>
            </w:rPr>
            <w:t>3</w:t>
          </w:r>
          <w:r w:rsidR="001C51D3">
            <w:fldChar w:fldCharType="end"/>
          </w:r>
        </w:p>
        <w:p w14:paraId="295BF63A" w14:textId="77777777" w:rsidR="004C5E08" w:rsidRDefault="0058647B">
          <w:pPr>
            <w:pStyle w:val="Normal1"/>
            <w:tabs>
              <w:tab w:val="right" w:pos="9025"/>
            </w:tabs>
            <w:spacing w:before="60" w:line="480" w:lineRule="auto"/>
            <w:ind w:left="720"/>
            <w:rPr>
              <w:rFonts w:ascii="Times New Roman" w:eastAsia="Times New Roman" w:hAnsi="Times New Roman" w:cs="Times New Roman"/>
              <w:sz w:val="24"/>
              <w:szCs w:val="24"/>
            </w:rPr>
          </w:pPr>
          <w:hyperlink w:anchor="_keig7nyess13">
            <w:r w:rsidR="001C51D3">
              <w:rPr>
                <w:rFonts w:ascii="Times New Roman" w:eastAsia="Times New Roman" w:hAnsi="Times New Roman" w:cs="Times New Roman"/>
                <w:sz w:val="24"/>
                <w:szCs w:val="24"/>
              </w:rPr>
              <w:t>2.1.1Gross Profit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_keig7nyess13 \h </w:instrText>
          </w:r>
          <w:r w:rsidR="001C51D3">
            <w:fldChar w:fldCharType="separate"/>
          </w:r>
          <w:r w:rsidR="001C51D3">
            <w:rPr>
              <w:rFonts w:ascii="Times New Roman" w:eastAsia="Times New Roman" w:hAnsi="Times New Roman" w:cs="Times New Roman"/>
              <w:sz w:val="24"/>
              <w:szCs w:val="24"/>
            </w:rPr>
            <w:t>3</w:t>
          </w:r>
          <w:r w:rsidR="001C51D3">
            <w:fldChar w:fldCharType="end"/>
          </w:r>
        </w:p>
        <w:p w14:paraId="4801DABF" w14:textId="77777777" w:rsidR="004C5E08" w:rsidRDefault="0058647B">
          <w:pPr>
            <w:pStyle w:val="Normal1"/>
            <w:tabs>
              <w:tab w:val="right" w:pos="9025"/>
            </w:tabs>
            <w:spacing w:before="60" w:line="480" w:lineRule="auto"/>
            <w:ind w:left="720"/>
            <w:rPr>
              <w:rFonts w:ascii="Times New Roman" w:eastAsia="Times New Roman" w:hAnsi="Times New Roman" w:cs="Times New Roman"/>
              <w:sz w:val="24"/>
              <w:szCs w:val="24"/>
            </w:rPr>
          </w:pPr>
          <w:hyperlink w:anchor="_wjnsx73moa3t">
            <w:r w:rsidR="001C51D3">
              <w:rPr>
                <w:rFonts w:ascii="Times New Roman" w:eastAsia="Times New Roman" w:hAnsi="Times New Roman" w:cs="Times New Roman"/>
                <w:sz w:val="24"/>
                <w:szCs w:val="24"/>
              </w:rPr>
              <w:t>2.1.2 Operating profit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_wjnsx73moa3t \h </w:instrText>
          </w:r>
          <w:r w:rsidR="001C51D3">
            <w:fldChar w:fldCharType="separate"/>
          </w:r>
          <w:r w:rsidR="001C51D3">
            <w:rPr>
              <w:rFonts w:ascii="Times New Roman" w:eastAsia="Times New Roman" w:hAnsi="Times New Roman" w:cs="Times New Roman"/>
              <w:sz w:val="24"/>
              <w:szCs w:val="24"/>
            </w:rPr>
            <w:t>3</w:t>
          </w:r>
          <w:r w:rsidR="001C51D3">
            <w:fldChar w:fldCharType="end"/>
          </w:r>
        </w:p>
        <w:p w14:paraId="0A31BCC3" w14:textId="77777777" w:rsidR="004C5E08" w:rsidRDefault="0058647B">
          <w:pPr>
            <w:pStyle w:val="Normal1"/>
            <w:tabs>
              <w:tab w:val="right" w:pos="9025"/>
            </w:tabs>
            <w:spacing w:before="60" w:line="480" w:lineRule="auto"/>
            <w:ind w:left="720"/>
            <w:rPr>
              <w:rFonts w:ascii="Times New Roman" w:eastAsia="Times New Roman" w:hAnsi="Times New Roman" w:cs="Times New Roman"/>
              <w:sz w:val="24"/>
              <w:szCs w:val="24"/>
            </w:rPr>
          </w:pPr>
          <w:hyperlink w:anchor="_ddjj9z23j3vy">
            <w:r w:rsidR="001C51D3">
              <w:rPr>
                <w:rFonts w:ascii="Times New Roman" w:eastAsia="Times New Roman" w:hAnsi="Times New Roman" w:cs="Times New Roman"/>
                <w:sz w:val="24"/>
                <w:szCs w:val="24"/>
              </w:rPr>
              <w:t>2.1.3 Net profit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_ddjj9z23j3vy \h </w:instrText>
          </w:r>
          <w:r w:rsidR="001C51D3">
            <w:fldChar w:fldCharType="separate"/>
          </w:r>
          <w:r w:rsidR="001C51D3">
            <w:rPr>
              <w:rFonts w:ascii="Times New Roman" w:eastAsia="Times New Roman" w:hAnsi="Times New Roman" w:cs="Times New Roman"/>
              <w:sz w:val="24"/>
              <w:szCs w:val="24"/>
            </w:rPr>
            <w:t>4</w:t>
          </w:r>
          <w:r w:rsidR="001C51D3">
            <w:fldChar w:fldCharType="end"/>
          </w:r>
        </w:p>
        <w:p w14:paraId="3123437B" w14:textId="77777777" w:rsidR="004C5E08" w:rsidRDefault="0058647B">
          <w:pPr>
            <w:pStyle w:val="Normal1"/>
            <w:tabs>
              <w:tab w:val="right" w:pos="9025"/>
            </w:tabs>
            <w:spacing w:before="60" w:line="480" w:lineRule="auto"/>
            <w:ind w:left="360"/>
            <w:rPr>
              <w:rFonts w:ascii="Times New Roman" w:eastAsia="Times New Roman" w:hAnsi="Times New Roman" w:cs="Times New Roman"/>
              <w:sz w:val="24"/>
              <w:szCs w:val="24"/>
            </w:rPr>
          </w:pPr>
          <w:hyperlink w:anchor="_g5jmr2d2w5xr">
            <w:r w:rsidR="001C51D3">
              <w:rPr>
                <w:rFonts w:ascii="Times New Roman" w:eastAsia="Times New Roman" w:hAnsi="Times New Roman" w:cs="Times New Roman"/>
                <w:sz w:val="24"/>
                <w:szCs w:val="24"/>
              </w:rPr>
              <w:t>2.2 Investment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_g5jmr2d2w5xr \h </w:instrText>
          </w:r>
          <w:r w:rsidR="001C51D3">
            <w:fldChar w:fldCharType="separate"/>
          </w:r>
          <w:r w:rsidR="001C51D3">
            <w:rPr>
              <w:rFonts w:ascii="Times New Roman" w:eastAsia="Times New Roman" w:hAnsi="Times New Roman" w:cs="Times New Roman"/>
              <w:sz w:val="24"/>
              <w:szCs w:val="24"/>
            </w:rPr>
            <w:t>5</w:t>
          </w:r>
          <w:r w:rsidR="001C51D3">
            <w:fldChar w:fldCharType="end"/>
          </w:r>
        </w:p>
        <w:p w14:paraId="30E099D4" w14:textId="77777777" w:rsidR="004C5E08" w:rsidRDefault="0058647B">
          <w:pPr>
            <w:pStyle w:val="Normal1"/>
            <w:tabs>
              <w:tab w:val="right" w:pos="9025"/>
            </w:tabs>
            <w:spacing w:before="60" w:line="480" w:lineRule="auto"/>
            <w:ind w:left="720"/>
            <w:rPr>
              <w:rFonts w:ascii="Times New Roman" w:eastAsia="Times New Roman" w:hAnsi="Times New Roman" w:cs="Times New Roman"/>
              <w:sz w:val="24"/>
              <w:szCs w:val="24"/>
            </w:rPr>
          </w:pPr>
          <w:hyperlink w:anchor="_sde1welfx87f">
            <w:r w:rsidR="001C51D3">
              <w:rPr>
                <w:rFonts w:ascii="Times New Roman" w:eastAsia="Times New Roman" w:hAnsi="Times New Roman" w:cs="Times New Roman"/>
                <w:sz w:val="24"/>
                <w:szCs w:val="24"/>
              </w:rPr>
              <w:t>2.2.1 Return on equity</w:t>
            </w:r>
          </w:hyperlink>
          <w:r w:rsidR="001C51D3">
            <w:rPr>
              <w:rFonts w:ascii="Times New Roman" w:eastAsia="Times New Roman" w:hAnsi="Times New Roman" w:cs="Times New Roman"/>
              <w:sz w:val="24"/>
              <w:szCs w:val="24"/>
            </w:rPr>
            <w:tab/>
          </w:r>
          <w:r w:rsidR="001C51D3">
            <w:fldChar w:fldCharType="begin"/>
          </w:r>
          <w:r w:rsidR="001C51D3">
            <w:instrText xml:space="preserve"> PAGEREF _sde1welfx87f \h </w:instrText>
          </w:r>
          <w:r w:rsidR="001C51D3">
            <w:fldChar w:fldCharType="separate"/>
          </w:r>
          <w:r w:rsidR="001C51D3">
            <w:rPr>
              <w:rFonts w:ascii="Times New Roman" w:eastAsia="Times New Roman" w:hAnsi="Times New Roman" w:cs="Times New Roman"/>
              <w:sz w:val="24"/>
              <w:szCs w:val="24"/>
            </w:rPr>
            <w:t>5</w:t>
          </w:r>
          <w:r w:rsidR="001C51D3">
            <w:fldChar w:fldCharType="end"/>
          </w:r>
        </w:p>
        <w:p w14:paraId="337A332E" w14:textId="77777777" w:rsidR="004C5E08" w:rsidRDefault="0058647B">
          <w:pPr>
            <w:pStyle w:val="Normal1"/>
            <w:tabs>
              <w:tab w:val="right" w:pos="9025"/>
            </w:tabs>
            <w:spacing w:before="200" w:line="480" w:lineRule="auto"/>
            <w:rPr>
              <w:rFonts w:ascii="Times New Roman" w:eastAsia="Times New Roman" w:hAnsi="Times New Roman" w:cs="Times New Roman"/>
              <w:sz w:val="24"/>
              <w:szCs w:val="24"/>
            </w:rPr>
          </w:pPr>
          <w:hyperlink w:anchor="_jmtwv3cuinm1">
            <w:r w:rsidR="001C51D3">
              <w:rPr>
                <w:rFonts w:ascii="Times New Roman" w:eastAsia="Times New Roman" w:hAnsi="Times New Roman" w:cs="Times New Roman"/>
                <w:b/>
                <w:sz w:val="24"/>
                <w:szCs w:val="24"/>
              </w:rPr>
              <w:t>3. Analysis of Equity and Solvency</w:t>
            </w:r>
          </w:hyperlink>
          <w:r w:rsidR="001C51D3">
            <w:rPr>
              <w:rFonts w:ascii="Times New Roman" w:eastAsia="Times New Roman" w:hAnsi="Times New Roman" w:cs="Times New Roman"/>
              <w:b/>
              <w:sz w:val="24"/>
              <w:szCs w:val="24"/>
            </w:rPr>
            <w:tab/>
          </w:r>
          <w:r w:rsidR="001C51D3">
            <w:fldChar w:fldCharType="begin"/>
          </w:r>
          <w:r w:rsidR="001C51D3">
            <w:instrText xml:space="preserve"> PAGEREF _jmtwv3cuinm1 \h </w:instrText>
          </w:r>
          <w:r w:rsidR="001C51D3">
            <w:fldChar w:fldCharType="separate"/>
          </w:r>
          <w:r w:rsidR="001C51D3">
            <w:rPr>
              <w:rFonts w:ascii="Times New Roman" w:eastAsia="Times New Roman" w:hAnsi="Times New Roman" w:cs="Times New Roman"/>
              <w:b/>
              <w:sz w:val="24"/>
              <w:szCs w:val="24"/>
            </w:rPr>
            <w:t>6</w:t>
          </w:r>
          <w:r w:rsidR="001C51D3">
            <w:fldChar w:fldCharType="end"/>
          </w:r>
        </w:p>
        <w:p w14:paraId="720A4B64" w14:textId="77777777" w:rsidR="004C5E08" w:rsidRDefault="0058647B">
          <w:pPr>
            <w:pStyle w:val="Normal1"/>
            <w:tabs>
              <w:tab w:val="right" w:pos="9025"/>
            </w:tabs>
            <w:spacing w:before="60" w:line="480" w:lineRule="auto"/>
            <w:ind w:left="360"/>
            <w:rPr>
              <w:rFonts w:ascii="Times New Roman" w:eastAsia="Times New Roman" w:hAnsi="Times New Roman" w:cs="Times New Roman"/>
              <w:sz w:val="24"/>
              <w:szCs w:val="24"/>
            </w:rPr>
          </w:pPr>
          <w:hyperlink w:anchor="_qwk4tdkq5z9h">
            <w:r w:rsidR="001C51D3">
              <w:rPr>
                <w:rFonts w:ascii="Times New Roman" w:eastAsia="Times New Roman" w:hAnsi="Times New Roman" w:cs="Times New Roman"/>
                <w:sz w:val="24"/>
                <w:szCs w:val="24"/>
              </w:rPr>
              <w:t>3.1 Equity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_qwk4tdkq5z9h \h </w:instrText>
          </w:r>
          <w:r w:rsidR="001C51D3">
            <w:fldChar w:fldCharType="separate"/>
          </w:r>
          <w:r w:rsidR="001C51D3">
            <w:rPr>
              <w:rFonts w:ascii="Times New Roman" w:eastAsia="Times New Roman" w:hAnsi="Times New Roman" w:cs="Times New Roman"/>
              <w:sz w:val="24"/>
              <w:szCs w:val="24"/>
            </w:rPr>
            <w:t>6</w:t>
          </w:r>
          <w:r w:rsidR="001C51D3">
            <w:fldChar w:fldCharType="end"/>
          </w:r>
        </w:p>
        <w:p w14:paraId="0FFB39CF" w14:textId="77777777" w:rsidR="004C5E08" w:rsidRDefault="0058647B">
          <w:pPr>
            <w:pStyle w:val="Normal1"/>
            <w:tabs>
              <w:tab w:val="right" w:pos="9025"/>
            </w:tabs>
            <w:spacing w:before="60" w:line="480" w:lineRule="auto"/>
            <w:ind w:left="360"/>
            <w:rPr>
              <w:rFonts w:ascii="Times New Roman" w:eastAsia="Times New Roman" w:hAnsi="Times New Roman" w:cs="Times New Roman"/>
              <w:sz w:val="24"/>
              <w:szCs w:val="24"/>
            </w:rPr>
          </w:pPr>
          <w:hyperlink w:anchor="_gtyf21pjshtu">
            <w:r w:rsidR="001C51D3">
              <w:rPr>
                <w:rFonts w:ascii="Times New Roman" w:eastAsia="Times New Roman" w:hAnsi="Times New Roman" w:cs="Times New Roman"/>
                <w:sz w:val="24"/>
                <w:szCs w:val="24"/>
              </w:rPr>
              <w:t>3.2 Solvency Ratio</w:t>
            </w:r>
          </w:hyperlink>
          <w:r w:rsidR="001C51D3">
            <w:rPr>
              <w:rFonts w:ascii="Times New Roman" w:eastAsia="Times New Roman" w:hAnsi="Times New Roman" w:cs="Times New Roman"/>
              <w:sz w:val="24"/>
              <w:szCs w:val="24"/>
            </w:rPr>
            <w:tab/>
          </w:r>
          <w:r w:rsidR="001C51D3">
            <w:fldChar w:fldCharType="begin"/>
          </w:r>
          <w:r w:rsidR="001C51D3">
            <w:instrText xml:space="preserve"> PAGEREF _gtyf21pjshtu \h </w:instrText>
          </w:r>
          <w:r w:rsidR="001C51D3">
            <w:fldChar w:fldCharType="separate"/>
          </w:r>
          <w:r w:rsidR="001C51D3">
            <w:rPr>
              <w:rFonts w:ascii="Times New Roman" w:eastAsia="Times New Roman" w:hAnsi="Times New Roman" w:cs="Times New Roman"/>
              <w:sz w:val="24"/>
              <w:szCs w:val="24"/>
            </w:rPr>
            <w:t>7</w:t>
          </w:r>
          <w:r w:rsidR="001C51D3">
            <w:fldChar w:fldCharType="end"/>
          </w:r>
        </w:p>
        <w:p w14:paraId="33E5850E" w14:textId="77777777" w:rsidR="004C5E08" w:rsidRDefault="0058647B">
          <w:pPr>
            <w:pStyle w:val="Normal1"/>
            <w:tabs>
              <w:tab w:val="right" w:pos="9025"/>
            </w:tabs>
            <w:spacing w:before="200" w:line="480" w:lineRule="auto"/>
            <w:rPr>
              <w:rFonts w:ascii="Times New Roman" w:eastAsia="Times New Roman" w:hAnsi="Times New Roman" w:cs="Times New Roman"/>
              <w:sz w:val="24"/>
              <w:szCs w:val="24"/>
            </w:rPr>
          </w:pPr>
          <w:hyperlink w:anchor="_6i313n3jntb9">
            <w:r w:rsidR="001C51D3">
              <w:rPr>
                <w:rFonts w:ascii="Times New Roman" w:eastAsia="Times New Roman" w:hAnsi="Times New Roman" w:cs="Times New Roman"/>
                <w:b/>
                <w:sz w:val="24"/>
                <w:szCs w:val="24"/>
              </w:rPr>
              <w:t>Reference</w:t>
            </w:r>
          </w:hyperlink>
          <w:r w:rsidR="001C51D3">
            <w:rPr>
              <w:rFonts w:ascii="Times New Roman" w:eastAsia="Times New Roman" w:hAnsi="Times New Roman" w:cs="Times New Roman"/>
              <w:b/>
              <w:sz w:val="24"/>
              <w:szCs w:val="24"/>
            </w:rPr>
            <w:tab/>
          </w:r>
          <w:r w:rsidR="001C51D3">
            <w:fldChar w:fldCharType="begin"/>
          </w:r>
          <w:r w:rsidR="001C51D3">
            <w:instrText xml:space="preserve"> PAGEREF _6i313n3jntb9 \h </w:instrText>
          </w:r>
          <w:r w:rsidR="001C51D3">
            <w:fldChar w:fldCharType="separate"/>
          </w:r>
          <w:r w:rsidR="001C51D3">
            <w:rPr>
              <w:rFonts w:ascii="Times New Roman" w:eastAsia="Times New Roman" w:hAnsi="Times New Roman" w:cs="Times New Roman"/>
              <w:b/>
              <w:sz w:val="24"/>
              <w:szCs w:val="24"/>
            </w:rPr>
            <w:t>11</w:t>
          </w:r>
          <w:r w:rsidR="001C51D3">
            <w:fldChar w:fldCharType="end"/>
          </w:r>
        </w:p>
        <w:p w14:paraId="072E2F2C" w14:textId="77777777" w:rsidR="004C5E08" w:rsidRDefault="0058647B">
          <w:pPr>
            <w:pStyle w:val="Normal1"/>
            <w:tabs>
              <w:tab w:val="right" w:pos="9025"/>
            </w:tabs>
            <w:spacing w:before="200" w:after="80" w:line="480" w:lineRule="auto"/>
            <w:rPr>
              <w:rFonts w:ascii="Times New Roman" w:eastAsia="Times New Roman" w:hAnsi="Times New Roman" w:cs="Times New Roman"/>
              <w:sz w:val="24"/>
              <w:szCs w:val="24"/>
            </w:rPr>
          </w:pPr>
          <w:hyperlink w:anchor="_x41noikgeqm7">
            <w:r w:rsidR="001C51D3">
              <w:rPr>
                <w:rFonts w:ascii="Times New Roman" w:eastAsia="Times New Roman" w:hAnsi="Times New Roman" w:cs="Times New Roman"/>
                <w:b/>
                <w:sz w:val="24"/>
                <w:szCs w:val="24"/>
              </w:rPr>
              <w:t>Appendix</w:t>
            </w:r>
          </w:hyperlink>
          <w:r w:rsidR="001C51D3">
            <w:rPr>
              <w:rFonts w:ascii="Times New Roman" w:eastAsia="Times New Roman" w:hAnsi="Times New Roman" w:cs="Times New Roman"/>
              <w:b/>
              <w:sz w:val="24"/>
              <w:szCs w:val="24"/>
            </w:rPr>
            <w:tab/>
          </w:r>
          <w:r w:rsidR="001C51D3">
            <w:fldChar w:fldCharType="begin"/>
          </w:r>
          <w:r w:rsidR="001C51D3">
            <w:instrText xml:space="preserve"> PAGEREF _x41noikgeqm7 \h </w:instrText>
          </w:r>
          <w:r w:rsidR="001C51D3">
            <w:fldChar w:fldCharType="separate"/>
          </w:r>
          <w:r w:rsidR="001C51D3">
            <w:rPr>
              <w:rFonts w:ascii="Times New Roman" w:eastAsia="Times New Roman" w:hAnsi="Times New Roman" w:cs="Times New Roman"/>
              <w:b/>
              <w:sz w:val="24"/>
              <w:szCs w:val="24"/>
            </w:rPr>
            <w:t>13</w:t>
          </w:r>
          <w:r w:rsidR="001C51D3">
            <w:fldChar w:fldCharType="end"/>
          </w:r>
          <w:r w:rsidR="001C51D3">
            <w:fldChar w:fldCharType="end"/>
          </w:r>
        </w:p>
      </w:sdtContent>
    </w:sdt>
    <w:p w14:paraId="11D47099" w14:textId="77777777" w:rsidR="004C5E08" w:rsidRDefault="004C5E08">
      <w:pPr>
        <w:pStyle w:val="Normal1"/>
        <w:spacing w:line="480" w:lineRule="auto"/>
        <w:rPr>
          <w:rFonts w:ascii="Times New Roman" w:eastAsia="Times New Roman" w:hAnsi="Times New Roman" w:cs="Times New Roman"/>
          <w:sz w:val="24"/>
          <w:szCs w:val="24"/>
        </w:rPr>
      </w:pPr>
    </w:p>
    <w:p w14:paraId="1DF0473F" w14:textId="77777777" w:rsidR="004C5E08" w:rsidRDefault="001C51D3">
      <w:pPr>
        <w:pStyle w:val="Normal1"/>
        <w:jc w:val="center"/>
      </w:pPr>
      <w:r>
        <w:br w:type="page"/>
      </w:r>
    </w:p>
    <w:p w14:paraId="25E9EF11" w14:textId="77777777" w:rsidR="004C5E08" w:rsidRDefault="001C51D3">
      <w:pPr>
        <w:pStyle w:val="Heading1"/>
      </w:pPr>
      <w:bookmarkStart w:id="0" w:name="_2gmt985bv11o" w:colFirst="0" w:colLast="0"/>
      <w:bookmarkEnd w:id="0"/>
      <w:r>
        <w:lastRenderedPageBreak/>
        <w:t xml:space="preserve">1. Introduction </w:t>
      </w:r>
    </w:p>
    <w:p w14:paraId="1A8514FA"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Vega Salmon was established in 2004 as a Danish salmon processor. But at present, there are parts of the Danish equity fund Maj Invest Holding A/S. The company generates revenue mainly from the processing, selling and marketing of high-quality fish and seafood products. The company sells their product in Germany and Denmark (Vega-salmon.DK,  n.d). The company sells salmon, halibut and trout in the wholesale market by processing these products in various ways, such as marinated, smoked, fresh and frozen. At present total of 235 people are employed in Vega Salmon A/s. The headquarters of the company is situated in Denmark (Vega-salmon.DK,  n.d).                </w:t>
      </w:r>
    </w:p>
    <w:p w14:paraId="7E827E54" w14:textId="77777777" w:rsidR="004C5E08" w:rsidRDefault="001C51D3">
      <w:pPr>
        <w:pStyle w:val="Heading2"/>
        <w:jc w:val="both"/>
      </w:pPr>
      <w:bookmarkStart w:id="1" w:name="_ycgacj799fdt" w:colFirst="0" w:colLast="0"/>
      <w:bookmarkEnd w:id="1"/>
      <w:r>
        <w:t xml:space="preserve">1.1 Financial statement analysis and ratios used </w:t>
      </w:r>
    </w:p>
    <w:p w14:paraId="6F354F9A"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Vega Salmon A/s company's source of capital is equity capital. The company incurred operating expenses through debt financing. The shareholder fund of the company in 2020 was DKK67.038 million, but the  2021 capital fund was reduced to DKK65.318 million because the company transferred some portion of their capital fund to translation and hedging reserve (Vega salmon n.d.). The company took short-term loans in 2020 from a financial institution for approximately DKK3 million; for these reasons, short-term loans increased to DKK19.01 million as compared to previous years. Also, the company will take a long-term loan of DKK42 million in 2021 to mitigate its operating expenses  (Vega-salmon.DK,  n.d). The company incurred expenses to assets construction of DKK1.7 million in 2021. The company revenue has decreased for the last five years. In 2018 revenue of the company was DKK1482.63 million, but in 2019, revenue decreased to DKK1170.59 (Vega salmon n.d.). In 2020 revenue decreased to DKK1086.70 million. In 2021 sales revenue decreased to DKK1070.92 million as compared to previous years. This report calculated various profitability and investment ratios to better understand the performance of the company. This ratio includes gross profit ratio, operating ratio, net profit ratio and price earning ratio. Also, calculate the interest coverage ratio, debt to assets ratio and debt to assets ratio (Vega salmon n.d.).             </w:t>
      </w:r>
    </w:p>
    <w:p w14:paraId="6B3BC725" w14:textId="77777777" w:rsidR="004C5E08" w:rsidRDefault="001C51D3">
      <w:pPr>
        <w:pStyle w:val="Heading1"/>
      </w:pPr>
      <w:bookmarkStart w:id="2" w:name="_xuktct8tufyj" w:colFirst="0" w:colLast="0"/>
      <w:bookmarkEnd w:id="2"/>
      <w:r>
        <w:t xml:space="preserve">2. Analysis of Profitability and Investment Ratio </w:t>
      </w:r>
    </w:p>
    <w:p w14:paraId="6F53CE8D" w14:textId="77777777" w:rsidR="004C5E08" w:rsidRDefault="001C51D3">
      <w:pPr>
        <w:pStyle w:val="Heading2"/>
        <w:jc w:val="both"/>
      </w:pPr>
      <w:bookmarkStart w:id="3" w:name="_rmlitkdhi5mk" w:colFirst="0" w:colLast="0"/>
      <w:bookmarkEnd w:id="3"/>
      <w:r>
        <w:t>2.1 Profitability Ratios</w:t>
      </w:r>
    </w:p>
    <w:p w14:paraId="7D27D7A7" w14:textId="77777777" w:rsidR="004C5E08" w:rsidRDefault="001C51D3">
      <w:pPr>
        <w:pStyle w:val="Heading3"/>
      </w:pPr>
      <w:bookmarkStart w:id="4" w:name="_keig7nyess13" w:colFirst="0" w:colLast="0"/>
      <w:bookmarkEnd w:id="4"/>
      <w:r>
        <w:t>2.1.1Gross Profit Ratio</w:t>
      </w:r>
    </w:p>
    <w:p w14:paraId="7C89192D"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gross profit ratio of the company increased in  2021 by 2 per cent as compared to the previous year, 2020 and by 3 per cent as compared to following the previous year, 2019. The sales volume of the company has increased as compared to the last two years, but the sales revenue has decreased because of the lower average fish prices (</w:t>
      </w:r>
      <w:r>
        <w:rPr>
          <w:rFonts w:ascii="Times New Roman" w:eastAsia="Times New Roman" w:hAnsi="Times New Roman" w:cs="Times New Roman"/>
          <w:color w:val="222222"/>
          <w:sz w:val="24"/>
          <w:szCs w:val="24"/>
          <w:highlight w:val="white"/>
        </w:rPr>
        <w:t>Husain and Sunardi, 2020)</w:t>
      </w:r>
      <w:r>
        <w:rPr>
          <w:rFonts w:ascii="Times New Roman" w:eastAsia="Times New Roman" w:hAnsi="Times New Roman" w:cs="Times New Roman"/>
          <w:sz w:val="24"/>
          <w:szCs w:val="24"/>
        </w:rPr>
        <w:t>. In 2020 sales volume was 17 tons, but in 2021 sales volume increased to 19 tons. Gross profit ratio increases due to the raw material cost of processing food decreasing in 2021 as compared to the previous year (</w:t>
      </w:r>
      <w:r>
        <w:rPr>
          <w:rFonts w:ascii="Times New Roman" w:eastAsia="Times New Roman" w:hAnsi="Times New Roman" w:cs="Times New Roman"/>
          <w:color w:val="222222"/>
          <w:sz w:val="24"/>
          <w:szCs w:val="24"/>
          <w:highlight w:val="white"/>
        </w:rPr>
        <w:t>WIDAGDO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3297C8C3"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119068C" wp14:editId="381CEBD9">
            <wp:extent cx="5731200" cy="27432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6"/>
                    <a:stretch>
                      <a:fillRect/>
                    </a:stretch>
                  </pic:blipFill>
                  <pic:spPr>
                    <a:xfrm>
                      <a:off x="0" y="0"/>
                      <a:ext cx="5731200" cy="27432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b/>
          <w:sz w:val="24"/>
          <w:szCs w:val="24"/>
        </w:rPr>
        <w:t xml:space="preserve"> Diagram 1: Gross profit Ratio</w:t>
      </w:r>
    </w:p>
    <w:p w14:paraId="03FDAC99" w14:textId="77777777" w:rsidR="004C5E08" w:rsidRDefault="001C51D3">
      <w:pPr>
        <w:pStyle w:val="Heading3"/>
      </w:pPr>
      <w:bookmarkStart w:id="5" w:name="_wjnsx73moa3t" w:colFirst="0" w:colLast="0"/>
      <w:bookmarkEnd w:id="5"/>
      <w:r>
        <w:t>2.1.2 Operating profit Ratio</w:t>
      </w:r>
    </w:p>
    <w:p w14:paraId="35D30F32"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incurred an operating loss for the last two years. In 2019 and 2020 operating loss of the company was -0.9 and -0.4 per cent. It is because covid 19 pandemic has affected business for the last two years. Due to covid 19 pandemic, the company fails operates normally. But in 2021, the company earned a positive operating profit because the company's raw material and other expenses were reduced as compared to previous years (</w:t>
      </w:r>
      <w:r>
        <w:rPr>
          <w:rFonts w:ascii="Times New Roman" w:eastAsia="Times New Roman" w:hAnsi="Times New Roman" w:cs="Times New Roman"/>
          <w:color w:val="222222"/>
          <w:sz w:val="24"/>
          <w:szCs w:val="24"/>
          <w:highlight w:val="white"/>
        </w:rPr>
        <w:t>Sari and Sedana, 2020)</w:t>
      </w:r>
      <w:r>
        <w:rPr>
          <w:rFonts w:ascii="Times New Roman" w:eastAsia="Times New Roman" w:hAnsi="Times New Roman" w:cs="Times New Roman"/>
          <w:sz w:val="24"/>
          <w:szCs w:val="24"/>
        </w:rPr>
        <w:t xml:space="preserve">. The company also can earn a healthy operating profit because staff cost increases to DKK78.45 as compared to previous years.  </w:t>
      </w:r>
    </w:p>
    <w:p w14:paraId="7CFAD20B" w14:textId="77777777" w:rsidR="004C5E08" w:rsidRDefault="001C51D3">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890A625" wp14:editId="7042B53A">
            <wp:extent cx="5731200" cy="34417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5731200" cy="3441700"/>
                    </a:xfrm>
                    <a:prstGeom prst="rect">
                      <a:avLst/>
                    </a:prstGeom>
                    <a:ln w="25400">
                      <a:solidFill>
                        <a:srgbClr val="000000"/>
                      </a:solidFill>
                      <a:prstDash val="solid"/>
                    </a:ln>
                  </pic:spPr>
                </pic:pic>
              </a:graphicData>
            </a:graphic>
          </wp:inline>
        </w:drawing>
      </w:r>
    </w:p>
    <w:p w14:paraId="3D58EAE1"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2: Operating Profit ratio</w:t>
      </w:r>
    </w:p>
    <w:p w14:paraId="17378F62" w14:textId="77777777" w:rsidR="004C5E08" w:rsidRDefault="001C51D3">
      <w:pPr>
        <w:pStyle w:val="Heading3"/>
      </w:pPr>
      <w:bookmarkStart w:id="6" w:name="_ddjj9z23j3vy" w:colFirst="0" w:colLast="0"/>
      <w:bookmarkEnd w:id="6"/>
      <w:r>
        <w:t>2.1.3 Net profit Ratio</w:t>
      </w:r>
    </w:p>
    <w:p w14:paraId="49846DAE"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net profit company decreased in 2021 as compared to previous years. In 2021 the company earned an interest income of DKK1.033, but in 2021 the company earned an interest income of DKK389. The company's financial income includes interest income, net gains on receivables, payables regarding transactions denominated in foreign currencies, amortisation of financial income and receiving a refund from income tax  (</w:t>
      </w:r>
      <w:r>
        <w:rPr>
          <w:rFonts w:ascii="Times New Roman" w:eastAsia="Times New Roman" w:hAnsi="Times New Roman" w:cs="Times New Roman"/>
          <w:color w:val="222222"/>
          <w:sz w:val="24"/>
          <w:szCs w:val="24"/>
          <w:highlight w:val="white"/>
        </w:rPr>
        <w:t>Husain and Sunardi, 2020)</w:t>
      </w:r>
      <w:r>
        <w:rPr>
          <w:rFonts w:ascii="Times New Roman" w:eastAsia="Times New Roman" w:hAnsi="Times New Roman" w:cs="Times New Roman"/>
          <w:sz w:val="24"/>
          <w:szCs w:val="24"/>
        </w:rPr>
        <w:t xml:space="preserve">. In the year 2021 financial expenses of the company increased by DKK1 million because this year, the company took additional loans from financial institutions.  </w:t>
      </w:r>
    </w:p>
    <w:p w14:paraId="78708632"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A2F5F77" wp14:editId="166E3991">
            <wp:extent cx="5731200" cy="344170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8"/>
                    <a:stretch>
                      <a:fillRect/>
                    </a:stretch>
                  </pic:blipFill>
                  <pic:spPr>
                    <a:xfrm>
                      <a:off x="0" y="0"/>
                      <a:ext cx="5731200" cy="3441700"/>
                    </a:xfrm>
                    <a:prstGeom prst="rect">
                      <a:avLst/>
                    </a:prstGeom>
                    <a:ln w="25400">
                      <a:solidFill>
                        <a:srgbClr val="000000"/>
                      </a:solidFill>
                      <a:prstDash val="solid"/>
                    </a:ln>
                  </pic:spPr>
                </pic:pic>
              </a:graphicData>
            </a:graphic>
          </wp:inline>
        </w:drawing>
      </w:r>
    </w:p>
    <w:p w14:paraId="0FD93224"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3: Net Profit ratio</w:t>
      </w:r>
    </w:p>
    <w:p w14:paraId="1A6539DD" w14:textId="77777777" w:rsidR="004C5E08" w:rsidRDefault="001C51D3">
      <w:pPr>
        <w:pStyle w:val="Heading2"/>
        <w:jc w:val="both"/>
      </w:pPr>
      <w:bookmarkStart w:id="7" w:name="_g5jmr2d2w5xr" w:colFirst="0" w:colLast="0"/>
      <w:bookmarkEnd w:id="7"/>
      <w:r>
        <w:t>2.2 Investment Ratio</w:t>
      </w:r>
    </w:p>
    <w:p w14:paraId="3869A243" w14:textId="77777777" w:rsidR="004C5E08" w:rsidRDefault="001C51D3">
      <w:pPr>
        <w:pStyle w:val="Heading3"/>
      </w:pPr>
      <w:bookmarkStart w:id="8" w:name="_sde1welfx87f" w:colFirst="0" w:colLast="0"/>
      <w:bookmarkEnd w:id="8"/>
      <w:r>
        <w:t>2.2.1 Return on equity</w:t>
      </w:r>
    </w:p>
    <w:p w14:paraId="4782A90D"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Return on equity of the company decreases in 2021 as compared to the two previous years. It is because the company's income reduced in 2021 as compared to other previous years. Return on equity defines how efficiently the company is using its equity financing to generate profit. The company is not using its equity finance to generate profits  (</w:t>
      </w:r>
      <w:r>
        <w:rPr>
          <w:rFonts w:ascii="Times New Roman" w:eastAsia="Times New Roman" w:hAnsi="Times New Roman" w:cs="Times New Roman"/>
          <w:color w:val="222222"/>
          <w:sz w:val="24"/>
          <w:szCs w:val="24"/>
          <w:highlight w:val="white"/>
        </w:rPr>
        <w:t>Husain and Sunardi, 2020)</w:t>
      </w:r>
      <w:r>
        <w:rPr>
          <w:rFonts w:ascii="Times New Roman" w:eastAsia="Times New Roman" w:hAnsi="Times New Roman" w:cs="Times New Roman"/>
          <w:sz w:val="24"/>
          <w:szCs w:val="24"/>
        </w:rPr>
        <w:t xml:space="preserve">. Earning per share defines companies ability to refund its shareholders. The company is providing DKK-45.75, -0.37 and -0.48 to its shareholders in 2021,2020 and 2019, respectively. Earnings per share increased in 2020 because the loss of the company decreased, and also the company used additional shares in 2020 (Vega salmon n.d.). </w:t>
      </w:r>
    </w:p>
    <w:p w14:paraId="7A9C20D9" w14:textId="77777777" w:rsidR="004C5E08" w:rsidRDefault="001C51D3">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A32148" wp14:editId="16408413">
            <wp:extent cx="4895850" cy="298132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a:stretch>
                      <a:fillRect/>
                    </a:stretch>
                  </pic:blipFill>
                  <pic:spPr>
                    <a:xfrm>
                      <a:off x="0" y="0"/>
                      <a:ext cx="4895850" cy="2981325"/>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52A52FD3" w14:textId="77777777" w:rsidR="004C5E08" w:rsidRDefault="001C51D3">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Diagram 4:Return on Equity</w:t>
      </w:r>
    </w:p>
    <w:p w14:paraId="26288965" w14:textId="77777777" w:rsidR="004C5E08" w:rsidRDefault="001C51D3">
      <w:pPr>
        <w:pStyle w:val="Heading1"/>
      </w:pPr>
      <w:bookmarkStart w:id="9" w:name="_jmtwv3cuinm1" w:colFirst="0" w:colLast="0"/>
      <w:bookmarkEnd w:id="9"/>
      <w:r>
        <w:t xml:space="preserve">3. Analysis of Equity and Solvency </w:t>
      </w:r>
    </w:p>
    <w:p w14:paraId="7C2BB610" w14:textId="77777777" w:rsidR="004C5E08" w:rsidRDefault="001C51D3">
      <w:pPr>
        <w:pStyle w:val="Heading2"/>
        <w:jc w:val="both"/>
      </w:pPr>
      <w:bookmarkStart w:id="10" w:name="_qwk4tdkq5z9h" w:colFirst="0" w:colLast="0"/>
      <w:bookmarkEnd w:id="10"/>
      <w:r>
        <w:t>3.1 Equity Ratio</w:t>
      </w:r>
    </w:p>
    <w:p w14:paraId="33F483DE" w14:textId="77777777" w:rsidR="004C5E08" w:rsidRDefault="001C51D3">
      <w:pPr>
        <w:pStyle w:val="Normal1"/>
        <w:spacing w:line="48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equity ratio of the company measures the financial metric. Financial metrics define the amount of leverage used by the company. The equity ratio of the company defines that the company is using 22 per cent of its equity finance to mitigate its short-term and long-term obligation and debt (</w:t>
      </w:r>
      <w:r>
        <w:rPr>
          <w:rFonts w:ascii="Times New Roman" w:eastAsia="Times New Roman" w:hAnsi="Times New Roman" w:cs="Times New Roman"/>
          <w:color w:val="222222"/>
          <w:sz w:val="24"/>
          <w:szCs w:val="24"/>
          <w:highlight w:val="white"/>
        </w:rPr>
        <w:t>Baraja and Yosya, 2019)</w:t>
      </w:r>
      <w:r>
        <w:rPr>
          <w:rFonts w:ascii="Times New Roman" w:eastAsia="Times New Roman" w:hAnsi="Times New Roman" w:cs="Times New Roman"/>
          <w:sz w:val="24"/>
          <w:szCs w:val="24"/>
          <w:highlight w:val="white"/>
        </w:rPr>
        <w:t>. The company will get benefits if the company use only equity finance. The company do not need to repay its loan and interest expenses. The company faces problems if the company do not earn profit in a particular period. If the company have less credit score, then the company will not get easy debt finance from the market; for this reason, equity finance is preferable to debt financing. With equity financing, the company will create informal partnerships with more knowledgeable or experienced individuals or organisations (</w:t>
      </w:r>
      <w:r>
        <w:rPr>
          <w:rFonts w:ascii="Times New Roman" w:eastAsia="Times New Roman" w:hAnsi="Times New Roman" w:cs="Times New Roman"/>
          <w:color w:val="222222"/>
          <w:sz w:val="24"/>
          <w:szCs w:val="24"/>
          <w:highlight w:val="white"/>
        </w:rPr>
        <w:t>Mazzorana-Kremer, 2019)</w:t>
      </w:r>
      <w:r>
        <w:rPr>
          <w:rFonts w:ascii="Times New Roman" w:eastAsia="Times New Roman" w:hAnsi="Times New Roman" w:cs="Times New Roman"/>
          <w:sz w:val="24"/>
          <w:szCs w:val="24"/>
          <w:highlight w:val="white"/>
        </w:rPr>
        <w:t>. They will help get potentially benefit from their business network and their knowledge. There is also a drawback to using equity finance. The company will lose full or part of the operational control. The equity investor of the company expects a desirable profit. It is because trade-off means the organisation should provide value to those from whom the company receives benefits. Also, ownership sharing creates conflict due to different visions, different ways of running a business and management styles (</w:t>
      </w:r>
      <w:r>
        <w:rPr>
          <w:rFonts w:ascii="Times New Roman" w:eastAsia="Times New Roman" w:hAnsi="Times New Roman" w:cs="Times New Roman"/>
          <w:color w:val="222222"/>
          <w:sz w:val="24"/>
          <w:szCs w:val="24"/>
          <w:highlight w:val="white"/>
        </w:rPr>
        <w:t>Tetřevová and Svědík, 2018)</w:t>
      </w:r>
      <w:r>
        <w:rPr>
          <w:rFonts w:ascii="Times New Roman" w:eastAsia="Times New Roman" w:hAnsi="Times New Roman" w:cs="Times New Roman"/>
          <w:sz w:val="24"/>
          <w:szCs w:val="24"/>
          <w:highlight w:val="white"/>
        </w:rPr>
        <w:t xml:space="preserve">.    </w:t>
      </w:r>
    </w:p>
    <w:p w14:paraId="46739F75"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179A3A" wp14:editId="58848E4B">
            <wp:extent cx="5731200" cy="34417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0"/>
                    <a:stretch>
                      <a:fillRect/>
                    </a:stretch>
                  </pic:blipFill>
                  <pic:spPr>
                    <a:xfrm>
                      <a:off x="0" y="0"/>
                      <a:ext cx="5731200" cy="3441700"/>
                    </a:xfrm>
                    <a:prstGeom prst="rect">
                      <a:avLst/>
                    </a:prstGeom>
                  </pic:spPr>
                </pic:pic>
              </a:graphicData>
            </a:graphic>
          </wp:inline>
        </w:drawing>
      </w:r>
    </w:p>
    <w:p w14:paraId="5CB9341A"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4: Equity Ratio</w:t>
      </w:r>
    </w:p>
    <w:p w14:paraId="4810B92A" w14:textId="77777777" w:rsidR="004C5E08" w:rsidRDefault="001C51D3">
      <w:pPr>
        <w:pStyle w:val="Heading2"/>
      </w:pPr>
      <w:bookmarkStart w:id="11" w:name="_gtyf21pjshtu" w:colFirst="0" w:colLast="0"/>
      <w:bookmarkEnd w:id="11"/>
      <w:r>
        <w:t>3.2 Solvency Ratio</w:t>
      </w:r>
    </w:p>
    <w:p w14:paraId="449C536E"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debt-to-equity ratio of the company increased in 2021 as compared to the previous year. It is because the company's debt increased in 2021. In 2020 debt of the company 0nly DKK16 million also the company issues additional equity shares. For these reason debt to equity ratio was less as compared to 2021. The current ratio of the company defines the ability of the company to mitigate its short-term obligation from liquid assets </w:t>
      </w:r>
      <w:r>
        <w:rPr>
          <w:rFonts w:ascii="Times New Roman" w:eastAsia="Times New Roman" w:hAnsi="Times New Roman" w:cs="Times New Roman"/>
          <w:sz w:val="24"/>
          <w:szCs w:val="24"/>
          <w:highlight w:val="white"/>
        </w:rPr>
        <w:t>(</w:t>
      </w:r>
      <w:r>
        <w:rPr>
          <w:rFonts w:ascii="Times New Roman" w:eastAsia="Times New Roman" w:hAnsi="Times New Roman" w:cs="Times New Roman"/>
          <w:color w:val="222222"/>
          <w:sz w:val="24"/>
          <w:szCs w:val="24"/>
          <w:highlight w:val="white"/>
        </w:rPr>
        <w:t>Baraja and Yosya, 2019)</w:t>
      </w:r>
      <w:r>
        <w:rPr>
          <w:rFonts w:ascii="Times New Roman" w:eastAsia="Times New Roman" w:hAnsi="Times New Roman" w:cs="Times New Roman"/>
          <w:sz w:val="24"/>
          <w:szCs w:val="24"/>
        </w:rPr>
        <w:t>. In 2021 current ratio improved as compared to previous years because collect credit sales from debtors. Also, the company received an income tax refund in 2021, which was due in 2020. There are certain advantages of debt financing. The company do not need to share its ownership (</w:t>
      </w:r>
      <w:r>
        <w:rPr>
          <w:rFonts w:ascii="Times New Roman" w:eastAsia="Times New Roman" w:hAnsi="Times New Roman" w:cs="Times New Roman"/>
          <w:color w:val="222222"/>
          <w:sz w:val="24"/>
          <w:szCs w:val="24"/>
          <w:highlight w:val="white"/>
        </w:rPr>
        <w:t xml:space="preserve">Ignasiak-Szulc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Therefore no conflict will arise between the different partners. The company will get interest benefits during tax computation. The company can easily create a budget if the company is aware of the principal and interest expenses of debt financing. </w:t>
      </w:r>
      <w:r>
        <w:rPr>
          <w:rFonts w:ascii="Times New Roman" w:eastAsia="Times New Roman" w:hAnsi="Times New Roman" w:cs="Times New Roman"/>
          <w:sz w:val="24"/>
          <w:szCs w:val="24"/>
          <w:highlight w:val="white"/>
        </w:rPr>
        <w:t>But the company have to provide collateral to the lender; The company will have to put some business assets at potential risk. Also, there is a possibility of bankruptcy if the company fails to repay its debts  (</w:t>
      </w:r>
      <w:r>
        <w:rPr>
          <w:rFonts w:ascii="Times New Roman" w:eastAsia="Times New Roman" w:hAnsi="Times New Roman" w:cs="Times New Roman"/>
          <w:color w:val="222222"/>
          <w:sz w:val="24"/>
          <w:szCs w:val="24"/>
          <w:highlight w:val="white"/>
        </w:rPr>
        <w:t>Tetřevová and Svědík, 2018)</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    </w:t>
      </w:r>
    </w:p>
    <w:p w14:paraId="3C396E44"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053AA4F" wp14:editId="54B99B73">
            <wp:extent cx="5731200" cy="26924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1"/>
                    <a:stretch>
                      <a:fillRect/>
                    </a:stretch>
                  </pic:blipFill>
                  <pic:spPr>
                    <a:xfrm>
                      <a:off x="0" y="0"/>
                      <a:ext cx="5731200" cy="2692400"/>
                    </a:xfrm>
                    <a:prstGeom prst="rect">
                      <a:avLst/>
                    </a:prstGeom>
                  </pic:spPr>
                </pic:pic>
              </a:graphicData>
            </a:graphic>
          </wp:inline>
        </w:drawing>
      </w:r>
    </w:p>
    <w:p w14:paraId="0247EF3D"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5: Debt to equity</w:t>
      </w:r>
    </w:p>
    <w:p w14:paraId="1CB1A40B"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F8D6344" wp14:editId="1E261567">
            <wp:extent cx="5731200" cy="34417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2"/>
                    <a:stretch>
                      <a:fillRect/>
                    </a:stretch>
                  </pic:blipFill>
                  <pic:spPr>
                    <a:xfrm>
                      <a:off x="0" y="0"/>
                      <a:ext cx="5731200" cy="3441700"/>
                    </a:xfrm>
                    <a:prstGeom prst="rect">
                      <a:avLst/>
                    </a:prstGeom>
                  </pic:spPr>
                </pic:pic>
              </a:graphicData>
            </a:graphic>
          </wp:inline>
        </w:drawing>
      </w:r>
    </w:p>
    <w:p w14:paraId="65EF0C45"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6: Debt to assets</w:t>
      </w:r>
    </w:p>
    <w:p w14:paraId="1EB68E7B"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60FC0E6" wp14:editId="1567FF0A">
            <wp:extent cx="5731200" cy="34417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5731200" cy="3441700"/>
                    </a:xfrm>
                    <a:prstGeom prst="rect">
                      <a:avLst/>
                    </a:prstGeom>
                  </pic:spPr>
                </pic:pic>
              </a:graphicData>
            </a:graphic>
          </wp:inline>
        </w:drawing>
      </w:r>
    </w:p>
    <w:p w14:paraId="5C84CF3C" w14:textId="77777777" w:rsidR="004C5E08" w:rsidRDefault="001C51D3">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Diagram 7: Current Ratio</w:t>
      </w:r>
    </w:p>
    <w:p w14:paraId="6E0F26BB"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 Recommendation </w:t>
      </w:r>
    </w:p>
    <w:p w14:paraId="564DD063" w14:textId="77777777" w:rsidR="004C5E08" w:rsidRDefault="001C51D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not generating enough profit for the last four years. Net profit ratio of the company -91, -1,-1, 1 and 56 per cent in 2021, 2020, 2019, 2018 and 2017, respectively. Also, the company's return on equity for 2021, 2020 and 2019 is -15, -14 and -28 per cent (Vega salmon, n.d). On the basis of the above ratio and Return, it is recommended that the company's financial performance is not good for the last three years. From the investor's perspective, it is not a good company to invest in. The company's financial performance effects due to covid 19 pandemic. But the company's long-term goal is to deliver product quality product in an accurate time. The company focuses more on food safety and reducing its product price to get a competitive advantage. The company use considerable resources to develop a high-quality product. Through this development, the company can offer diversified and good quality products (Vega salmon, n.d). The company also focuses on the development of environmentally friendly product packaging. An investor can invest in this company after considering its long-term goals of the company. It is because the company can create huge customers based on its future policy.               </w:t>
      </w:r>
    </w:p>
    <w:p w14:paraId="02405AEF"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 Conclusion </w:t>
      </w:r>
    </w:p>
    <w:p w14:paraId="79ED24B0"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report provides a small background of Vega Salmon A/s. The company sells salmon, halibut and trout in the wholesale market by processing these products in various ways, such as marinated, smoked, fresh and frozen. This report also analyses profitability ratios such as Gross profit, net profit, and operating. Discuss the benefits and drawbacks of equity financing and debt financing. </w:t>
      </w:r>
      <w:r>
        <w:rPr>
          <w:rFonts w:ascii="Times New Roman" w:eastAsia="Times New Roman" w:hAnsi="Times New Roman" w:cs="Times New Roman"/>
          <w:sz w:val="24"/>
          <w:szCs w:val="24"/>
          <w:highlight w:val="white"/>
        </w:rPr>
        <w:t xml:space="preserve">The company do not need to repay its loan and interest expenses. The company faces problems if the company do not earn profit in a particular period. Also, provide recommendations related to investment in the company. </w:t>
      </w:r>
      <w:r>
        <w:br w:type="page"/>
      </w:r>
    </w:p>
    <w:p w14:paraId="19A5780B" w14:textId="77777777" w:rsidR="004C5E08" w:rsidRDefault="001C51D3">
      <w:pPr>
        <w:pStyle w:val="Heading1"/>
      </w:pPr>
      <w:bookmarkStart w:id="12" w:name="_6i313n3jntb9" w:colFirst="0" w:colLast="0"/>
      <w:bookmarkEnd w:id="12"/>
      <w:r>
        <w:t xml:space="preserve">Reference </w:t>
      </w:r>
    </w:p>
    <w:p w14:paraId="2FFF7717"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Baraja, L. and Yosya, E.A., 2019. Analysis the impact of liquidity, profitability, activity and solvency ratio on change in earnings. </w:t>
      </w:r>
      <w:r w:rsidRPr="00FC22A2">
        <w:rPr>
          <w:rFonts w:ascii="Times New Roman" w:eastAsia="Times New Roman" w:hAnsi="Times New Roman" w:cs="Times New Roman"/>
          <w:i/>
          <w:color w:val="000000" w:themeColor="text1"/>
          <w:sz w:val="24"/>
          <w:szCs w:val="24"/>
          <w:highlight w:val="white"/>
        </w:rPr>
        <w:t>Indonesian Management and Accounting Research</w:t>
      </w:r>
      <w:r w:rsidRPr="00FC22A2">
        <w:rPr>
          <w:rFonts w:ascii="Times New Roman" w:eastAsia="Times New Roman" w:hAnsi="Times New Roman" w:cs="Times New Roman"/>
          <w:color w:val="000000" w:themeColor="text1"/>
          <w:sz w:val="24"/>
          <w:szCs w:val="24"/>
          <w:highlight w:val="white"/>
        </w:rPr>
        <w:t xml:space="preserve">, </w:t>
      </w:r>
      <w:r w:rsidRPr="00FC22A2">
        <w:rPr>
          <w:rFonts w:ascii="Times New Roman" w:eastAsia="Times New Roman" w:hAnsi="Times New Roman" w:cs="Times New Roman"/>
          <w:i/>
          <w:color w:val="000000" w:themeColor="text1"/>
          <w:sz w:val="24"/>
          <w:szCs w:val="24"/>
          <w:highlight w:val="white"/>
        </w:rPr>
        <w:t>17</w:t>
      </w:r>
      <w:r w:rsidRPr="00FC22A2">
        <w:rPr>
          <w:rFonts w:ascii="Times New Roman" w:eastAsia="Times New Roman" w:hAnsi="Times New Roman" w:cs="Times New Roman"/>
          <w:color w:val="000000" w:themeColor="text1"/>
          <w:sz w:val="24"/>
          <w:szCs w:val="24"/>
          <w:highlight w:val="white"/>
        </w:rPr>
        <w:t xml:space="preserve">(1), pp.1-17. </w:t>
      </w:r>
      <w:hyperlink r:id="rId14">
        <w:r w:rsidRPr="00FC22A2">
          <w:rPr>
            <w:rFonts w:ascii="Times New Roman" w:eastAsia="Times New Roman" w:hAnsi="Times New Roman" w:cs="Times New Roman"/>
            <w:color w:val="000000" w:themeColor="text1"/>
            <w:sz w:val="24"/>
            <w:szCs w:val="24"/>
            <w:highlight w:val="white"/>
            <w:u w:val="single"/>
          </w:rPr>
          <w:t>https://scholar.archive.org/work/ulnxyxeoczeuhcnx4vvjgd3v7y/access/wayback/https://www.trijurnal.lemlit.trisakti.ac.id/imar/article/download/4663/pdf_1</w:t>
        </w:r>
      </w:hyperlink>
      <w:r w:rsidRPr="00FC22A2">
        <w:rPr>
          <w:rFonts w:ascii="Times New Roman" w:eastAsia="Times New Roman" w:hAnsi="Times New Roman" w:cs="Times New Roman"/>
          <w:color w:val="000000" w:themeColor="text1"/>
          <w:sz w:val="24"/>
          <w:szCs w:val="24"/>
          <w:highlight w:val="white"/>
        </w:rPr>
        <w:t xml:space="preserve"> </w:t>
      </w:r>
    </w:p>
    <w:p w14:paraId="768876C8"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Husain, T. and Sunardi, N., 2020. Firm's Value Prediction Based on Profitability Ratios and Dividend Policy. Finance &amp; Economics Review, 2(2), pp.13-26. </w:t>
      </w:r>
      <w:hyperlink r:id="rId15">
        <w:r w:rsidRPr="00FC22A2">
          <w:rPr>
            <w:rFonts w:ascii="Times New Roman" w:eastAsia="Times New Roman" w:hAnsi="Times New Roman" w:cs="Times New Roman"/>
            <w:color w:val="000000" w:themeColor="text1"/>
            <w:sz w:val="24"/>
            <w:szCs w:val="24"/>
            <w:highlight w:val="white"/>
            <w:u w:val="single"/>
          </w:rPr>
          <w:t>http://www.riiopenjournals.com/index.php/finance-economics-review/article/download/102/53</w:t>
        </w:r>
      </w:hyperlink>
      <w:r w:rsidRPr="00FC22A2">
        <w:rPr>
          <w:rFonts w:ascii="Times New Roman" w:eastAsia="Times New Roman" w:hAnsi="Times New Roman" w:cs="Times New Roman"/>
          <w:color w:val="000000" w:themeColor="text1"/>
          <w:sz w:val="24"/>
          <w:szCs w:val="24"/>
          <w:highlight w:val="white"/>
        </w:rPr>
        <w:t xml:space="preserve"> </w:t>
      </w:r>
    </w:p>
    <w:p w14:paraId="6C41D728"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Ignasiak-Szulc, A., Juščius, V. and Bogatova, J., 2018. Economic evaluation model of seaports’ performance outlining competitive advantages and disadvantages. </w:t>
      </w:r>
      <w:r w:rsidRPr="00FC22A2">
        <w:rPr>
          <w:rFonts w:ascii="Times New Roman" w:eastAsia="Times New Roman" w:hAnsi="Times New Roman" w:cs="Times New Roman"/>
          <w:i/>
          <w:color w:val="000000" w:themeColor="text1"/>
          <w:sz w:val="24"/>
          <w:szCs w:val="24"/>
          <w:highlight w:val="white"/>
        </w:rPr>
        <w:t>Engineering Economics</w:t>
      </w:r>
      <w:r w:rsidRPr="00FC22A2">
        <w:rPr>
          <w:rFonts w:ascii="Times New Roman" w:eastAsia="Times New Roman" w:hAnsi="Times New Roman" w:cs="Times New Roman"/>
          <w:color w:val="000000" w:themeColor="text1"/>
          <w:sz w:val="24"/>
          <w:szCs w:val="24"/>
          <w:highlight w:val="white"/>
        </w:rPr>
        <w:t xml:space="preserve">, </w:t>
      </w:r>
      <w:r w:rsidRPr="00FC22A2">
        <w:rPr>
          <w:rFonts w:ascii="Times New Roman" w:eastAsia="Times New Roman" w:hAnsi="Times New Roman" w:cs="Times New Roman"/>
          <w:i/>
          <w:color w:val="000000" w:themeColor="text1"/>
          <w:sz w:val="24"/>
          <w:szCs w:val="24"/>
          <w:highlight w:val="white"/>
        </w:rPr>
        <w:t>29</w:t>
      </w:r>
      <w:r w:rsidRPr="00FC22A2">
        <w:rPr>
          <w:rFonts w:ascii="Times New Roman" w:eastAsia="Times New Roman" w:hAnsi="Times New Roman" w:cs="Times New Roman"/>
          <w:color w:val="000000" w:themeColor="text1"/>
          <w:sz w:val="24"/>
          <w:szCs w:val="24"/>
          <w:highlight w:val="white"/>
        </w:rPr>
        <w:t xml:space="preserve">(5), pp.571-579. </w:t>
      </w:r>
      <w:hyperlink r:id="rId16">
        <w:r w:rsidRPr="00FC22A2">
          <w:rPr>
            <w:rFonts w:ascii="Times New Roman" w:eastAsia="Times New Roman" w:hAnsi="Times New Roman" w:cs="Times New Roman"/>
            <w:color w:val="000000" w:themeColor="text1"/>
            <w:sz w:val="24"/>
            <w:szCs w:val="24"/>
            <w:highlight w:val="white"/>
            <w:u w:val="single"/>
          </w:rPr>
          <w:t>https://www.inzeko.ktu.lt/index.php/EE/article/download/21363/9722</w:t>
        </w:r>
      </w:hyperlink>
      <w:r w:rsidRPr="00FC22A2">
        <w:rPr>
          <w:rFonts w:ascii="Times New Roman" w:eastAsia="Times New Roman" w:hAnsi="Times New Roman" w:cs="Times New Roman"/>
          <w:color w:val="000000" w:themeColor="text1"/>
          <w:sz w:val="24"/>
          <w:szCs w:val="24"/>
          <w:highlight w:val="white"/>
        </w:rPr>
        <w:t xml:space="preserve"> </w:t>
      </w:r>
    </w:p>
    <w:p w14:paraId="34E80727"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Mazzorana-Kremer, F., 2019. Blockchain-based equity and STOs: Towards a liquid market for SME financing?. </w:t>
      </w:r>
      <w:r w:rsidRPr="00FC22A2">
        <w:rPr>
          <w:rFonts w:ascii="Times New Roman" w:eastAsia="Times New Roman" w:hAnsi="Times New Roman" w:cs="Times New Roman"/>
          <w:i/>
          <w:color w:val="000000" w:themeColor="text1"/>
          <w:sz w:val="24"/>
          <w:szCs w:val="24"/>
          <w:highlight w:val="white"/>
        </w:rPr>
        <w:t>Theoretical Economics Letters</w:t>
      </w:r>
      <w:r w:rsidRPr="00FC22A2">
        <w:rPr>
          <w:rFonts w:ascii="Times New Roman" w:eastAsia="Times New Roman" w:hAnsi="Times New Roman" w:cs="Times New Roman"/>
          <w:color w:val="000000" w:themeColor="text1"/>
          <w:sz w:val="24"/>
          <w:szCs w:val="24"/>
          <w:highlight w:val="white"/>
        </w:rPr>
        <w:t xml:space="preserve">, </w:t>
      </w:r>
      <w:r w:rsidRPr="00FC22A2">
        <w:rPr>
          <w:rFonts w:ascii="Times New Roman" w:eastAsia="Times New Roman" w:hAnsi="Times New Roman" w:cs="Times New Roman"/>
          <w:i/>
          <w:color w:val="000000" w:themeColor="text1"/>
          <w:sz w:val="24"/>
          <w:szCs w:val="24"/>
          <w:highlight w:val="white"/>
        </w:rPr>
        <w:t>9</w:t>
      </w:r>
      <w:r w:rsidRPr="00FC22A2">
        <w:rPr>
          <w:rFonts w:ascii="Times New Roman" w:eastAsia="Times New Roman" w:hAnsi="Times New Roman" w:cs="Times New Roman"/>
          <w:color w:val="000000" w:themeColor="text1"/>
          <w:sz w:val="24"/>
          <w:szCs w:val="24"/>
          <w:highlight w:val="white"/>
        </w:rPr>
        <w:t xml:space="preserve">(5), pp.1534-1552. </w:t>
      </w:r>
      <w:hyperlink r:id="rId17">
        <w:r w:rsidRPr="00FC22A2">
          <w:rPr>
            <w:rFonts w:ascii="Times New Roman" w:eastAsia="Times New Roman" w:hAnsi="Times New Roman" w:cs="Times New Roman"/>
            <w:color w:val="000000" w:themeColor="text1"/>
            <w:sz w:val="24"/>
            <w:szCs w:val="24"/>
            <w:highlight w:val="white"/>
            <w:u w:val="single"/>
          </w:rPr>
          <w:t>https://www.scirp.org/journal/paperinformation.aspx?paperid=93164</w:t>
        </w:r>
      </w:hyperlink>
      <w:r w:rsidRPr="00FC22A2">
        <w:rPr>
          <w:rFonts w:ascii="Times New Roman" w:eastAsia="Times New Roman" w:hAnsi="Times New Roman" w:cs="Times New Roman"/>
          <w:color w:val="000000" w:themeColor="text1"/>
          <w:sz w:val="24"/>
          <w:szCs w:val="24"/>
          <w:highlight w:val="white"/>
        </w:rPr>
        <w:t xml:space="preserve"> </w:t>
      </w:r>
    </w:p>
    <w:p w14:paraId="4467331E"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Sari, I.A.G.D.M. and Sedana, I.B.P., 2020. Profitability and liquidity on firm value and capital structure as intervening variable. International research journal of management, IT and Social Sciences, 7(1), pp.116-127. </w:t>
      </w:r>
      <w:hyperlink r:id="rId18">
        <w:r w:rsidRPr="00FC22A2">
          <w:rPr>
            <w:rFonts w:ascii="Times New Roman" w:eastAsia="Times New Roman" w:hAnsi="Times New Roman" w:cs="Times New Roman"/>
            <w:color w:val="000000" w:themeColor="text1"/>
            <w:sz w:val="24"/>
            <w:szCs w:val="24"/>
            <w:highlight w:val="white"/>
            <w:u w:val="single"/>
          </w:rPr>
          <w:t>https://pdfs.semanticscholar.org/bf85/59e8e712953aad19ce6b08d3415602005989.pdf</w:t>
        </w:r>
      </w:hyperlink>
      <w:r w:rsidRPr="00FC22A2">
        <w:rPr>
          <w:rFonts w:ascii="Times New Roman" w:eastAsia="Times New Roman" w:hAnsi="Times New Roman" w:cs="Times New Roman"/>
          <w:color w:val="000000" w:themeColor="text1"/>
          <w:sz w:val="24"/>
          <w:szCs w:val="24"/>
          <w:highlight w:val="white"/>
        </w:rPr>
        <w:t xml:space="preserve"> </w:t>
      </w:r>
    </w:p>
    <w:p w14:paraId="4620D878"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Tetřevová, L. and Svědík, J., 2018. Mezzanine financing instruments in comparison to the classic financing sources. </w:t>
      </w:r>
      <w:r w:rsidRPr="00FC22A2">
        <w:rPr>
          <w:rFonts w:ascii="Times New Roman" w:eastAsia="Times New Roman" w:hAnsi="Times New Roman" w:cs="Times New Roman"/>
          <w:i/>
          <w:color w:val="000000" w:themeColor="text1"/>
          <w:sz w:val="24"/>
          <w:szCs w:val="24"/>
          <w:highlight w:val="white"/>
        </w:rPr>
        <w:t>Business, Management and Education, volume 16, issue: 1</w:t>
      </w:r>
      <w:r w:rsidRPr="00FC22A2">
        <w:rPr>
          <w:rFonts w:ascii="Times New Roman" w:eastAsia="Times New Roman" w:hAnsi="Times New Roman" w:cs="Times New Roman"/>
          <w:color w:val="000000" w:themeColor="text1"/>
          <w:sz w:val="24"/>
          <w:szCs w:val="24"/>
          <w:highlight w:val="white"/>
        </w:rPr>
        <w:t xml:space="preserve">. </w:t>
      </w:r>
      <w:hyperlink r:id="rId19">
        <w:r w:rsidRPr="00FC22A2">
          <w:rPr>
            <w:rFonts w:ascii="Times New Roman" w:eastAsia="Times New Roman" w:hAnsi="Times New Roman" w:cs="Times New Roman"/>
            <w:color w:val="000000" w:themeColor="text1"/>
            <w:sz w:val="24"/>
            <w:szCs w:val="24"/>
            <w:highlight w:val="white"/>
            <w:u w:val="single"/>
          </w:rPr>
          <w:t>https://dk.upce.cz/bitstream/handle/10195/72569/2205-Article_Text-9994-1-10-20180810.pdf?sequence=1&amp;isAllowed=y</w:t>
        </w:r>
      </w:hyperlink>
      <w:r w:rsidRPr="00FC22A2">
        <w:rPr>
          <w:rFonts w:ascii="Times New Roman" w:eastAsia="Times New Roman" w:hAnsi="Times New Roman" w:cs="Times New Roman"/>
          <w:color w:val="000000" w:themeColor="text1"/>
          <w:sz w:val="24"/>
          <w:szCs w:val="24"/>
          <w:highlight w:val="white"/>
        </w:rPr>
        <w:t xml:space="preserve"> </w:t>
      </w:r>
    </w:p>
    <w:p w14:paraId="751D53E0"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rPr>
      </w:pPr>
      <w:r w:rsidRPr="00FC22A2">
        <w:rPr>
          <w:rFonts w:ascii="Times New Roman" w:eastAsia="Times New Roman" w:hAnsi="Times New Roman" w:cs="Times New Roman"/>
          <w:color w:val="000000" w:themeColor="text1"/>
          <w:sz w:val="24"/>
          <w:szCs w:val="24"/>
        </w:rPr>
        <w:t xml:space="preserve">Vega salmon n.d. - taking salmon to the next level - closer to nature (no date). Available at: https://vega-salmon.dk/media/1438/koncern-regnskab-vega-sea.pdf (Accessed: November 7, 2022). </w:t>
      </w:r>
    </w:p>
    <w:p w14:paraId="0127A1E1"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rPr>
      </w:pPr>
      <w:r w:rsidRPr="00FC22A2">
        <w:rPr>
          <w:rFonts w:ascii="Times New Roman" w:eastAsia="Times New Roman" w:hAnsi="Times New Roman" w:cs="Times New Roman"/>
          <w:color w:val="000000" w:themeColor="text1"/>
          <w:sz w:val="24"/>
          <w:szCs w:val="24"/>
        </w:rPr>
        <w:t>Vega-salmon.DK  n.d. Taking salmon to the next level closer to nature (no date) Vega Salmon - Taking salmon to the next level - Closer to nature. Available at: https://vega-salmon.dk/ (Accessed: November 7, 2022).</w:t>
      </w:r>
    </w:p>
    <w:p w14:paraId="6879DE9F" w14:textId="77777777" w:rsidR="00FC22A2" w:rsidRPr="00FC22A2" w:rsidRDefault="00FC22A2">
      <w:pPr>
        <w:pStyle w:val="Normal1"/>
        <w:spacing w:before="240" w:after="240" w:line="480" w:lineRule="auto"/>
        <w:jc w:val="both"/>
        <w:rPr>
          <w:rFonts w:ascii="Times New Roman" w:eastAsia="Times New Roman" w:hAnsi="Times New Roman" w:cs="Times New Roman"/>
          <w:color w:val="000000" w:themeColor="text1"/>
          <w:sz w:val="24"/>
          <w:szCs w:val="24"/>
          <w:highlight w:val="white"/>
        </w:rPr>
      </w:pPr>
      <w:r w:rsidRPr="00FC22A2">
        <w:rPr>
          <w:rFonts w:ascii="Times New Roman" w:eastAsia="Times New Roman" w:hAnsi="Times New Roman" w:cs="Times New Roman"/>
          <w:color w:val="000000" w:themeColor="text1"/>
          <w:sz w:val="24"/>
          <w:szCs w:val="24"/>
          <w:highlight w:val="white"/>
        </w:rPr>
        <w:t xml:space="preserve">WIDAGDO, B., Jihadi, M., BACHITAR, Y., SAFITRI, O.E. and SINGH, S.K., 2020. Financial Ratio, Macro Economy, and Investment Risk on Sharia Stock Return. The Journal of Asian Finance, Economics and Business, 7(12), pp.919-926. </w:t>
      </w:r>
      <w:hyperlink r:id="rId20">
        <w:r w:rsidRPr="00FC22A2">
          <w:rPr>
            <w:rFonts w:ascii="Times New Roman" w:eastAsia="Times New Roman" w:hAnsi="Times New Roman" w:cs="Times New Roman"/>
            <w:color w:val="000000" w:themeColor="text1"/>
            <w:sz w:val="24"/>
            <w:szCs w:val="24"/>
            <w:highlight w:val="white"/>
            <w:u w:val="single"/>
          </w:rPr>
          <w:t>https://www.koreascience.or.kr/article/JAKO202034651879480.pdf</w:t>
        </w:r>
      </w:hyperlink>
      <w:r w:rsidRPr="00FC22A2">
        <w:rPr>
          <w:rFonts w:ascii="Times New Roman" w:eastAsia="Times New Roman" w:hAnsi="Times New Roman" w:cs="Times New Roman"/>
          <w:color w:val="000000" w:themeColor="text1"/>
          <w:sz w:val="24"/>
          <w:szCs w:val="24"/>
          <w:highlight w:val="white"/>
        </w:rPr>
        <w:t xml:space="preserve"> </w:t>
      </w:r>
    </w:p>
    <w:p w14:paraId="16355394" w14:textId="77777777" w:rsidR="004C5E08" w:rsidRDefault="001C51D3">
      <w:pPr>
        <w:pStyle w:val="Normal1"/>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16D41A74" w14:textId="77777777" w:rsidR="004C5E08" w:rsidRDefault="001C51D3">
      <w:pPr>
        <w:pStyle w:val="Normal1"/>
        <w:spacing w:line="480" w:lineRule="auto"/>
        <w:jc w:val="both"/>
        <w:rPr>
          <w:rFonts w:ascii="Times New Roman" w:eastAsia="Times New Roman" w:hAnsi="Times New Roman" w:cs="Times New Roman"/>
          <w:b/>
          <w:sz w:val="24"/>
          <w:szCs w:val="24"/>
        </w:rPr>
      </w:pPr>
      <w:r>
        <w:br w:type="page"/>
      </w:r>
    </w:p>
    <w:p w14:paraId="620784C4" w14:textId="77777777" w:rsidR="004C5E08" w:rsidRDefault="001C51D3">
      <w:pPr>
        <w:pStyle w:val="Heading1"/>
      </w:pPr>
      <w:bookmarkStart w:id="13" w:name="_x41noikgeqm7" w:colFirst="0" w:colLast="0"/>
      <w:bookmarkEnd w:id="13"/>
      <w:r>
        <w:t>Appendix</w:t>
      </w:r>
    </w:p>
    <w:p w14:paraId="557D4EFC"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Profitability Ratio</w:t>
      </w:r>
    </w:p>
    <w:tbl>
      <w:tblPr>
        <w:tblStyle w:val="Table1"/>
        <w:tblW w:w="70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00"/>
        <w:gridCol w:w="1130"/>
        <w:gridCol w:w="1130"/>
        <w:gridCol w:w="1235"/>
        <w:gridCol w:w="1310"/>
        <w:gridCol w:w="1130"/>
      </w:tblGrid>
      <w:tr w:rsidR="004C5E08" w14:paraId="74C120CE" w14:textId="77777777">
        <w:trPr>
          <w:trHeight w:val="770"/>
        </w:trPr>
        <w:tc>
          <w:tcPr>
            <w:tcW w:w="223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4BF61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Gross profit ratio =</w:t>
            </w:r>
          </w:p>
        </w:tc>
        <w:tc>
          <w:tcPr>
            <w:tcW w:w="2365"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42C69F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Gross profit</w:t>
            </w:r>
          </w:p>
        </w:tc>
        <w:tc>
          <w:tcPr>
            <w:tcW w:w="1310" w:type="dxa"/>
            <w:vMerge w:val="restart"/>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6EAA0A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w:t>
            </w:r>
          </w:p>
        </w:tc>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2229BD6"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67134A66"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014644A"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95842A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2365" w:type="dxa"/>
            <w:gridSpan w:val="2"/>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A00C27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Sales </w:t>
            </w:r>
          </w:p>
        </w:tc>
        <w:tc>
          <w:tcPr>
            <w:tcW w:w="1310" w:type="dxa"/>
            <w:vMerge/>
            <w:tcBorders>
              <w:top w:val="single" w:sz="4" w:space="0" w:color="000000"/>
              <w:left w:val="single" w:sz="4" w:space="0" w:color="808080"/>
              <w:bottom w:val="single" w:sz="4" w:space="0" w:color="000000"/>
              <w:right w:val="single" w:sz="4" w:space="0" w:color="000000"/>
            </w:tcBorders>
            <w:shd w:val="clear" w:color="auto" w:fill="auto"/>
            <w:tcMar>
              <w:top w:w="100" w:type="dxa"/>
              <w:left w:w="100" w:type="dxa"/>
              <w:bottom w:w="100" w:type="dxa"/>
              <w:right w:w="100" w:type="dxa"/>
            </w:tcMar>
          </w:tcPr>
          <w:p w14:paraId="3A32823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EB95589"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76BA51F7"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A1A1EE4"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72009F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32BFDBB"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9B1F26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31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AAE5DC6"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E50397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3F926FC7"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4E75D99"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AFEB3F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849D39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4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347BDD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(104.09/1070.92)*100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24AEDD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r>
      <w:tr w:rsidR="004C5E08" w14:paraId="7490B4B9"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FD6F1A4"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2401244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ADA8466"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4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C162283"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(85.12/1086.7)*100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836ACD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r>
      <w:tr w:rsidR="004C5E08" w14:paraId="2609ACAE"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E72258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2C1588E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132B57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4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167F65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(78.53/1170.59)*100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C61265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p>
        </w:tc>
      </w:tr>
      <w:tr w:rsidR="004C5E08" w14:paraId="0DDBC247"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C326274"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3F7F4C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2018</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A763AB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4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4B6DF03"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(122.77/1482.63)*100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69644D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w:t>
            </w:r>
          </w:p>
        </w:tc>
      </w:tr>
      <w:tr w:rsidR="004C5E08" w14:paraId="36DF3563" w14:textId="77777777">
        <w:trPr>
          <w:trHeight w:val="500"/>
        </w:trPr>
        <w:tc>
          <w:tcPr>
            <w:tcW w:w="110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2B8CCE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469A5D3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2017</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AF7CF6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4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FDC0E2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(126.89/1433.56)*100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8191FA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9%</w:t>
            </w:r>
          </w:p>
        </w:tc>
      </w:tr>
    </w:tbl>
    <w:p w14:paraId="2C0FDEE6" w14:textId="77777777" w:rsidR="004C5E08" w:rsidRDefault="004C5E08">
      <w:pPr>
        <w:pStyle w:val="Normal1"/>
        <w:spacing w:line="480" w:lineRule="auto"/>
        <w:jc w:val="both"/>
        <w:rPr>
          <w:rFonts w:ascii="Times New Roman" w:eastAsia="Times New Roman" w:hAnsi="Times New Roman" w:cs="Times New Roman"/>
          <w:b/>
          <w:sz w:val="24"/>
          <w:szCs w:val="24"/>
        </w:rPr>
      </w:pPr>
    </w:p>
    <w:tbl>
      <w:tblPr>
        <w:tblStyle w:val="Table2"/>
        <w:tblW w:w="70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15"/>
        <w:gridCol w:w="1145"/>
        <w:gridCol w:w="1130"/>
        <w:gridCol w:w="1205"/>
        <w:gridCol w:w="1295"/>
        <w:gridCol w:w="1145"/>
      </w:tblGrid>
      <w:tr w:rsidR="004C5E08" w14:paraId="1C1068BB" w14:textId="77777777">
        <w:trPr>
          <w:trHeight w:val="500"/>
        </w:trPr>
        <w:tc>
          <w:tcPr>
            <w:tcW w:w="226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E6DF6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Operating Ratio</w:t>
            </w:r>
          </w:p>
        </w:tc>
        <w:tc>
          <w:tcPr>
            <w:tcW w:w="2335"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F15D8B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Operating profit</w:t>
            </w:r>
          </w:p>
        </w:tc>
        <w:tc>
          <w:tcPr>
            <w:tcW w:w="1295" w:type="dxa"/>
            <w:vMerge w:val="restart"/>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28FF5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D77782"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59C5D8D1"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C8E91BF"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447A0EA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2335" w:type="dxa"/>
            <w:gridSpan w:val="2"/>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98FD97C"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w:t>
            </w:r>
          </w:p>
        </w:tc>
        <w:tc>
          <w:tcPr>
            <w:tcW w:w="1295" w:type="dxa"/>
            <w:vMerge/>
            <w:tcBorders>
              <w:top w:val="single" w:sz="4" w:space="0" w:color="000000"/>
              <w:left w:val="single" w:sz="4" w:space="0" w:color="808080"/>
              <w:bottom w:val="single" w:sz="4" w:space="0" w:color="000000"/>
              <w:right w:val="single" w:sz="4" w:space="0" w:color="000000"/>
            </w:tcBorders>
            <w:shd w:val="clear" w:color="auto" w:fill="auto"/>
            <w:tcMar>
              <w:top w:w="100" w:type="dxa"/>
              <w:left w:w="100" w:type="dxa"/>
              <w:bottom w:w="100" w:type="dxa"/>
              <w:right w:w="100" w:type="dxa"/>
            </w:tcMar>
          </w:tcPr>
          <w:p w14:paraId="3E9716DB"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45549AD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3F4738CB"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1B9D2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C697342"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4776F6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0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4F8FC95"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95"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EFED53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14781B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29028B96"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A5AA74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2CF247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FB7618C"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0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925E9D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(8.23/1070.92)*100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E88968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0.8%</w:t>
            </w:r>
          </w:p>
        </w:tc>
      </w:tr>
      <w:tr w:rsidR="004C5E08" w14:paraId="5DA53555"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1B1C039"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B28368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0C0C17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0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DCBE0B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(-4.8/1086.7)*100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17842B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-0.4%</w:t>
            </w:r>
          </w:p>
        </w:tc>
      </w:tr>
      <w:tr w:rsidR="004C5E08" w14:paraId="32CB4933"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5FBF49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4DE22DB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901043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0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70CD043"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(-10.19/1170.59)*100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19E590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-0.9%</w:t>
            </w:r>
          </w:p>
        </w:tc>
      </w:tr>
      <w:tr w:rsidR="004C5E08" w14:paraId="6A6A5C0E"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BC3FE9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690A129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2018</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2785AC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0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E3FBDB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(-2.98/1482.63)*100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E5EEB0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w:t>
            </w:r>
          </w:p>
        </w:tc>
      </w:tr>
      <w:tr w:rsidR="004C5E08" w14:paraId="322D0DD6" w14:textId="77777777">
        <w:trPr>
          <w:trHeight w:val="500"/>
        </w:trPr>
        <w:tc>
          <w:tcPr>
            <w:tcW w:w="11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D5A64FF"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FE1514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2017</w:t>
            </w:r>
          </w:p>
        </w:tc>
        <w:tc>
          <w:tcPr>
            <w:tcW w:w="113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1F88F1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50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7969EA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(-16.38/1433.56)*100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8514E1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r>
    </w:tbl>
    <w:p w14:paraId="0578A9E8" w14:textId="77777777" w:rsidR="004C5E08" w:rsidRDefault="004C5E08">
      <w:pPr>
        <w:pStyle w:val="Normal1"/>
        <w:spacing w:line="480" w:lineRule="auto"/>
        <w:jc w:val="both"/>
        <w:rPr>
          <w:rFonts w:ascii="Times New Roman" w:eastAsia="Times New Roman" w:hAnsi="Times New Roman" w:cs="Times New Roman"/>
          <w:b/>
          <w:sz w:val="24"/>
          <w:szCs w:val="24"/>
        </w:rPr>
      </w:pPr>
    </w:p>
    <w:tbl>
      <w:tblPr>
        <w:tblStyle w:val="Table3"/>
        <w:tblW w:w="70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30"/>
        <w:gridCol w:w="1145"/>
        <w:gridCol w:w="1145"/>
        <w:gridCol w:w="1205"/>
        <w:gridCol w:w="1280"/>
        <w:gridCol w:w="1145"/>
      </w:tblGrid>
      <w:tr w:rsidR="004C5E08" w14:paraId="4F49D942" w14:textId="77777777">
        <w:trPr>
          <w:trHeight w:val="500"/>
        </w:trPr>
        <w:tc>
          <w:tcPr>
            <w:tcW w:w="2275"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AD09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profit Ratio</w:t>
            </w:r>
          </w:p>
        </w:tc>
        <w:tc>
          <w:tcPr>
            <w:tcW w:w="2350"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CC2251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Net profit </w:t>
            </w:r>
          </w:p>
        </w:tc>
        <w:tc>
          <w:tcPr>
            <w:tcW w:w="1280" w:type="dxa"/>
            <w:vMerge w:val="restart"/>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F1618E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DC66628"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23A9C663"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F2092D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FAD2D98"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2350" w:type="dxa"/>
            <w:gridSpan w:val="2"/>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1BB1FF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w:t>
            </w:r>
          </w:p>
        </w:tc>
        <w:tc>
          <w:tcPr>
            <w:tcW w:w="1280" w:type="dxa"/>
            <w:vMerge/>
            <w:tcBorders>
              <w:top w:val="single" w:sz="4" w:space="0" w:color="000000"/>
              <w:left w:val="single" w:sz="4" w:space="0" w:color="808080"/>
              <w:bottom w:val="single" w:sz="4" w:space="0" w:color="000000"/>
              <w:right w:val="single" w:sz="4" w:space="0" w:color="000000"/>
            </w:tcBorders>
            <w:shd w:val="clear" w:color="auto" w:fill="auto"/>
            <w:tcMar>
              <w:top w:w="100" w:type="dxa"/>
              <w:left w:w="100" w:type="dxa"/>
              <w:bottom w:w="100" w:type="dxa"/>
              <w:right w:w="100" w:type="dxa"/>
            </w:tcMar>
          </w:tcPr>
          <w:p w14:paraId="72C661C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FA1223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0EF1D193"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32C7ED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D0B8EE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F76B4C5"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0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801DCE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8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A83927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497645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44FCB094"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E01B80F"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2FF187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F5AD21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48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A39B68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(-974/1070.92)*100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31C6FE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-91%</w:t>
            </w:r>
          </w:p>
        </w:tc>
      </w:tr>
      <w:tr w:rsidR="004C5E08" w14:paraId="68E0AF81"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D0EED3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0AE38F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6CBE5C6"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48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73A9D7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(-9.14/1086.7)*100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EB6E0F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r>
      <w:tr w:rsidR="004C5E08" w14:paraId="2F0386CE"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EB9D0EB"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9906DD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4D17F03"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48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4023D46"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(-11.83/1170.59)*100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4F5A68F"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r>
      <w:tr w:rsidR="004C5E08" w14:paraId="4E9CAA15"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55751EC"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1EE905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2018</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8244FF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48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41D9CD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(17.69/1482.63)*100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F15B3B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w:t>
            </w:r>
          </w:p>
        </w:tc>
      </w:tr>
      <w:tr w:rsidR="004C5E08" w14:paraId="1528D024" w14:textId="77777777">
        <w:trPr>
          <w:trHeight w:val="500"/>
        </w:trPr>
        <w:tc>
          <w:tcPr>
            <w:tcW w:w="113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B35B45A"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45"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654E0E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2017</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144A94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48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21FCF5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(808/1433.56)*100</w:t>
            </w:r>
          </w:p>
        </w:tc>
        <w:tc>
          <w:tcPr>
            <w:tcW w:w="114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961B9FC"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56%</w:t>
            </w:r>
          </w:p>
        </w:tc>
      </w:tr>
    </w:tbl>
    <w:p w14:paraId="59C5B584"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2 Investment ratio</w:t>
      </w:r>
    </w:p>
    <w:tbl>
      <w:tblPr>
        <w:tblStyle w:val="Table4"/>
        <w:tblW w:w="70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gridCol w:w="1160"/>
        <w:gridCol w:w="1160"/>
        <w:gridCol w:w="1160"/>
        <w:gridCol w:w="1235"/>
        <w:gridCol w:w="1160"/>
      </w:tblGrid>
      <w:tr w:rsidR="004C5E08" w14:paraId="2CC07F48" w14:textId="77777777">
        <w:trPr>
          <w:trHeight w:val="500"/>
        </w:trPr>
        <w:tc>
          <w:tcPr>
            <w:tcW w:w="23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D16AE3"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Return on equity =</w:t>
            </w:r>
          </w:p>
        </w:tc>
        <w:tc>
          <w:tcPr>
            <w:tcW w:w="2320"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CFE4973"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Income</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254A974"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4F59777" w14:textId="77777777" w:rsidR="004C5E08" w:rsidRDefault="004C5E08">
            <w:pPr>
              <w:pStyle w:val="Normal1"/>
              <w:widowControl w:val="0"/>
              <w:rPr>
                <w:rFonts w:ascii="Times New Roman" w:eastAsia="Times New Roman" w:hAnsi="Times New Roman" w:cs="Times New Roman"/>
                <w:b/>
                <w:sz w:val="24"/>
                <w:szCs w:val="24"/>
              </w:rPr>
            </w:pPr>
          </w:p>
        </w:tc>
      </w:tr>
      <w:tr w:rsidR="004C5E08" w14:paraId="4412A7BA"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FDFB8D5"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4C2AEC0" w14:textId="77777777" w:rsidR="004C5E08" w:rsidRDefault="004C5E08">
            <w:pPr>
              <w:pStyle w:val="Normal1"/>
              <w:widowControl w:val="0"/>
              <w:rPr>
                <w:rFonts w:ascii="Times New Roman" w:eastAsia="Times New Roman" w:hAnsi="Times New Roman" w:cs="Times New Roman"/>
                <w:b/>
                <w:sz w:val="24"/>
                <w:szCs w:val="24"/>
              </w:rPr>
            </w:pPr>
          </w:p>
        </w:tc>
        <w:tc>
          <w:tcPr>
            <w:tcW w:w="2320" w:type="dxa"/>
            <w:gridSpan w:val="2"/>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BB6E0D3"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Shareholder Equity</w:t>
            </w:r>
          </w:p>
        </w:tc>
        <w:tc>
          <w:tcPr>
            <w:tcW w:w="1235"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1DC0034"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000A6FA" w14:textId="77777777" w:rsidR="004C5E08" w:rsidRDefault="004C5E08">
            <w:pPr>
              <w:pStyle w:val="Normal1"/>
              <w:widowControl w:val="0"/>
              <w:rPr>
                <w:rFonts w:ascii="Times New Roman" w:eastAsia="Times New Roman" w:hAnsi="Times New Roman" w:cs="Times New Roman"/>
                <w:b/>
                <w:sz w:val="24"/>
                <w:szCs w:val="24"/>
              </w:rPr>
            </w:pPr>
          </w:p>
        </w:tc>
      </w:tr>
      <w:tr w:rsidR="004C5E08" w14:paraId="0E5613F8"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B95B6C"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3F4F156"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6DB456F"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503A151" w14:textId="77777777" w:rsidR="004C5E08" w:rsidRDefault="004C5E08">
            <w:pPr>
              <w:pStyle w:val="Normal1"/>
              <w:widowControl w:val="0"/>
              <w:rPr>
                <w:rFonts w:ascii="Times New Roman" w:eastAsia="Times New Roman" w:hAnsi="Times New Roman" w:cs="Times New Roman"/>
                <w:b/>
                <w:sz w:val="24"/>
                <w:szCs w:val="24"/>
              </w:rPr>
            </w:pP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7509325"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929A971" w14:textId="77777777" w:rsidR="004C5E08" w:rsidRDefault="004C5E08">
            <w:pPr>
              <w:pStyle w:val="Normal1"/>
              <w:widowControl w:val="0"/>
              <w:rPr>
                <w:rFonts w:ascii="Times New Roman" w:eastAsia="Times New Roman" w:hAnsi="Times New Roman" w:cs="Times New Roman"/>
                <w:b/>
                <w:sz w:val="24"/>
                <w:szCs w:val="24"/>
              </w:rPr>
            </w:pPr>
          </w:p>
        </w:tc>
      </w:tr>
      <w:tr w:rsidR="004C5E08" w14:paraId="44F1EDF1"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748C240"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D50CAB8"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F7DDAE4"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A436C2B"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(-974/65.32)</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7997388"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-14.9112</w:t>
            </w:r>
          </w:p>
        </w:tc>
      </w:tr>
      <w:tr w:rsidR="004C5E08" w14:paraId="1D0C068B"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041FF9C"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4EF7BAF8"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0CC97E2"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3EB8023"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(-9.14/67.03)</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C9F79AF"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-0.13636</w:t>
            </w:r>
          </w:p>
        </w:tc>
      </w:tr>
      <w:tr w:rsidR="004C5E08" w14:paraId="1AE136BD"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63BF69"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AB312D6"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2E66099"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B14CB03"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(-11.83/42.17)</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7BD0E7A"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-0.28053</w:t>
            </w:r>
          </w:p>
        </w:tc>
      </w:tr>
    </w:tbl>
    <w:p w14:paraId="4CFDB106" w14:textId="77777777" w:rsidR="004C5E08" w:rsidRDefault="004C5E08">
      <w:pPr>
        <w:pStyle w:val="Normal1"/>
        <w:spacing w:line="480" w:lineRule="auto"/>
        <w:jc w:val="both"/>
        <w:rPr>
          <w:rFonts w:ascii="Times New Roman" w:eastAsia="Times New Roman" w:hAnsi="Times New Roman" w:cs="Times New Roman"/>
          <w:b/>
          <w:sz w:val="24"/>
          <w:szCs w:val="24"/>
        </w:rPr>
      </w:pPr>
    </w:p>
    <w:tbl>
      <w:tblPr>
        <w:tblStyle w:val="Table5"/>
        <w:tblW w:w="807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gridCol w:w="1160"/>
        <w:gridCol w:w="1160"/>
        <w:gridCol w:w="2195"/>
        <w:gridCol w:w="1235"/>
        <w:gridCol w:w="1160"/>
      </w:tblGrid>
      <w:tr w:rsidR="004C5E08" w14:paraId="00359152" w14:textId="77777777">
        <w:trPr>
          <w:trHeight w:val="500"/>
        </w:trPr>
        <w:tc>
          <w:tcPr>
            <w:tcW w:w="23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7D0E25"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Earning per share =</w:t>
            </w:r>
          </w:p>
        </w:tc>
        <w:tc>
          <w:tcPr>
            <w:tcW w:w="3355"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794688C"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Net income</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37BAB29"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A6217BD" w14:textId="77777777" w:rsidR="004C5E08" w:rsidRDefault="004C5E08">
            <w:pPr>
              <w:pStyle w:val="Normal1"/>
              <w:widowControl w:val="0"/>
              <w:rPr>
                <w:rFonts w:ascii="Times New Roman" w:eastAsia="Times New Roman" w:hAnsi="Times New Roman" w:cs="Times New Roman"/>
                <w:b/>
                <w:sz w:val="24"/>
                <w:szCs w:val="24"/>
              </w:rPr>
            </w:pPr>
          </w:p>
        </w:tc>
      </w:tr>
      <w:tr w:rsidR="004C5E08" w14:paraId="38900E42"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2149A3B"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B6DA00E" w14:textId="77777777" w:rsidR="004C5E08" w:rsidRDefault="004C5E08">
            <w:pPr>
              <w:pStyle w:val="Normal1"/>
              <w:widowControl w:val="0"/>
              <w:rPr>
                <w:rFonts w:ascii="Times New Roman" w:eastAsia="Times New Roman" w:hAnsi="Times New Roman" w:cs="Times New Roman"/>
                <w:b/>
                <w:sz w:val="24"/>
                <w:szCs w:val="24"/>
              </w:rPr>
            </w:pPr>
          </w:p>
        </w:tc>
        <w:tc>
          <w:tcPr>
            <w:tcW w:w="4590" w:type="dxa"/>
            <w:gridSpan w:val="3"/>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7A1FA0D"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share outstanding</w:t>
            </w: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C028AB4" w14:textId="77777777" w:rsidR="004C5E08" w:rsidRDefault="004C5E08">
            <w:pPr>
              <w:pStyle w:val="Normal1"/>
              <w:widowControl w:val="0"/>
              <w:rPr>
                <w:rFonts w:ascii="Times New Roman" w:eastAsia="Times New Roman" w:hAnsi="Times New Roman" w:cs="Times New Roman"/>
                <w:b/>
                <w:sz w:val="24"/>
                <w:szCs w:val="24"/>
              </w:rPr>
            </w:pPr>
          </w:p>
        </w:tc>
      </w:tr>
      <w:tr w:rsidR="004C5E08" w14:paraId="7241E180"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97FBEFD"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4CEAE8E"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80B2B5F"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343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F8B8E50"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(-974/24.58)</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7DF72C0"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-45.7492</w:t>
            </w:r>
          </w:p>
        </w:tc>
      </w:tr>
      <w:tr w:rsidR="004C5E08" w14:paraId="7653C081"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474DCB7"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2444400"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FF1A6F1"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343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49E379B"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(-9.14/24.58)</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4C7F6CC"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-0.37185</w:t>
            </w:r>
          </w:p>
        </w:tc>
      </w:tr>
      <w:tr w:rsidR="004C5E08" w14:paraId="491F9D84"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60D1140"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E5B6572"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34F8BCC"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3430"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DB2F298"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(-11.83/21.29)</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51170C2"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-0.48129</w:t>
            </w:r>
          </w:p>
        </w:tc>
      </w:tr>
    </w:tbl>
    <w:p w14:paraId="5CEA9F07" w14:textId="77777777" w:rsidR="004C5E08" w:rsidRDefault="004C5E08">
      <w:pPr>
        <w:pStyle w:val="Normal1"/>
        <w:spacing w:line="480" w:lineRule="auto"/>
        <w:jc w:val="both"/>
        <w:rPr>
          <w:rFonts w:ascii="Times New Roman" w:eastAsia="Times New Roman" w:hAnsi="Times New Roman" w:cs="Times New Roman"/>
          <w:b/>
          <w:sz w:val="24"/>
          <w:szCs w:val="24"/>
        </w:rPr>
      </w:pPr>
    </w:p>
    <w:p w14:paraId="2FE3B3B9" w14:textId="77777777" w:rsidR="004C5E08" w:rsidRDefault="001C51D3">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3 Equity and solvency ratio</w:t>
      </w:r>
    </w:p>
    <w:tbl>
      <w:tblPr>
        <w:tblStyle w:val="Table6"/>
        <w:tblW w:w="81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gridCol w:w="1160"/>
        <w:gridCol w:w="1160"/>
        <w:gridCol w:w="1160"/>
        <w:gridCol w:w="1235"/>
        <w:gridCol w:w="1160"/>
        <w:gridCol w:w="1160"/>
      </w:tblGrid>
      <w:tr w:rsidR="004C5E08" w14:paraId="6D3FCDD1" w14:textId="77777777">
        <w:trPr>
          <w:trHeight w:val="500"/>
        </w:trPr>
        <w:tc>
          <w:tcPr>
            <w:tcW w:w="23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72946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Equity ratio</w:t>
            </w:r>
          </w:p>
        </w:tc>
        <w:tc>
          <w:tcPr>
            <w:tcW w:w="3555" w:type="dxa"/>
            <w:gridSpan w:val="3"/>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FB4F9B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Equity</w:t>
            </w:r>
          </w:p>
        </w:tc>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CDD568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24C1EA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7E93A1AA"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3C7C822"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625587E8"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3555" w:type="dxa"/>
            <w:gridSpan w:val="3"/>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64BBB0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equity and liability</w:t>
            </w: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252DD07"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FF61515"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210F1836"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0ADEB3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2B24C17F"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C1FE0E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E04EDDB"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E25AF32"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6BED35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1BDFFE6"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0BFBDA06"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B209A9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CD898C9"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C6A146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C9CEABD"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AE6274E"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(65.31/287.44)*100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A7EC29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0.227213</w:t>
            </w:r>
          </w:p>
        </w:tc>
      </w:tr>
      <w:tr w:rsidR="004C5E08" w14:paraId="0F51B563"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7E7D060"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331D58E"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9DA8AE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00F32A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2172B1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(67.04/320.83)*100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DDD56A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0.208958</w:t>
            </w:r>
          </w:p>
        </w:tc>
      </w:tr>
      <w:tr w:rsidR="004C5E08" w14:paraId="18C0D30D"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CA84858"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6EEC2657"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487D7A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2019</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A69323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0B7DD9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(42.18/284.26)*100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8BBD400"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0.148385</w:t>
            </w:r>
          </w:p>
        </w:tc>
      </w:tr>
      <w:tr w:rsidR="004C5E08" w14:paraId="07E68B1F"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86D6567"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7D7E56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0896B9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2018</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2F1C718"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06F9686"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(69.86/331.60)*100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3EE4C01"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0.210676</w:t>
            </w:r>
          </w:p>
        </w:tc>
      </w:tr>
      <w:tr w:rsidR="004C5E08" w14:paraId="3E1EC705"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273E60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234D46A2"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69B7A6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2017</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5B2F10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CD52A7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(83.49/347.07)*100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8CB664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0.240557</w:t>
            </w:r>
          </w:p>
        </w:tc>
      </w:tr>
    </w:tbl>
    <w:p w14:paraId="3DC5EAE0" w14:textId="77777777" w:rsidR="004C5E08" w:rsidRDefault="004C5E08">
      <w:pPr>
        <w:pStyle w:val="Normal1"/>
        <w:spacing w:line="480" w:lineRule="auto"/>
        <w:jc w:val="both"/>
        <w:rPr>
          <w:rFonts w:ascii="Times New Roman" w:eastAsia="Times New Roman" w:hAnsi="Times New Roman" w:cs="Times New Roman"/>
          <w:b/>
          <w:sz w:val="24"/>
          <w:szCs w:val="24"/>
        </w:rPr>
      </w:pPr>
    </w:p>
    <w:tbl>
      <w:tblPr>
        <w:tblStyle w:val="Table7"/>
        <w:tblW w:w="70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gridCol w:w="1160"/>
        <w:gridCol w:w="1160"/>
        <w:gridCol w:w="1160"/>
        <w:gridCol w:w="1235"/>
        <w:gridCol w:w="1160"/>
      </w:tblGrid>
      <w:tr w:rsidR="004C5E08" w14:paraId="0DE3F3B7" w14:textId="77777777">
        <w:trPr>
          <w:trHeight w:val="500"/>
        </w:trPr>
        <w:tc>
          <w:tcPr>
            <w:tcW w:w="23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D067F7"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Debt to assets</w:t>
            </w:r>
          </w:p>
        </w:tc>
        <w:tc>
          <w:tcPr>
            <w:tcW w:w="4715" w:type="dxa"/>
            <w:gridSpan w:val="4"/>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23171B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debt/ total assets</w:t>
            </w:r>
          </w:p>
        </w:tc>
      </w:tr>
      <w:tr w:rsidR="004C5E08" w14:paraId="262C8EE7"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D09677A"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6CD3B5C5"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0F1298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ED3B7C1"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235"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B3D1D0F"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290C043"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r>
      <w:tr w:rsidR="004C5E08" w14:paraId="147544E0"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72EF1D"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524BF20B"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69166EA"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325ED7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(61/287.44)</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113822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0.212218</w:t>
            </w:r>
          </w:p>
        </w:tc>
      </w:tr>
      <w:tr w:rsidR="004C5E08" w14:paraId="5E922E88"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E00117" w14:textId="77777777" w:rsidR="004C5E08" w:rsidRDefault="004C5E08">
            <w:pPr>
              <w:pStyle w:val="Normal1"/>
              <w:widowControl w:val="0"/>
              <w:pBdr>
                <w:top w:val="nil"/>
                <w:left w:val="nil"/>
                <w:bottom w:val="nil"/>
                <w:right w:val="nil"/>
                <w:between w:val="nil"/>
              </w:pBdr>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3996C6A4"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84F6202"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86FDE29"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(16/320.83)</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6AAB945" w14:textId="77777777" w:rsidR="004C5E08" w:rsidRDefault="001C51D3">
            <w:pPr>
              <w:pStyle w:val="Normal1"/>
              <w:widowControl w:val="0"/>
              <w:pBdr>
                <w:top w:val="nil"/>
                <w:left w:val="nil"/>
                <w:bottom w:val="nil"/>
                <w:right w:val="nil"/>
                <w:between w:val="nil"/>
              </w:pBdr>
              <w:rPr>
                <w:rFonts w:ascii="Times New Roman" w:eastAsia="Times New Roman" w:hAnsi="Times New Roman" w:cs="Times New Roman"/>
                <w:b/>
                <w:sz w:val="24"/>
                <w:szCs w:val="24"/>
              </w:rPr>
            </w:pPr>
            <w:r>
              <w:rPr>
                <w:rFonts w:ascii="Times New Roman" w:eastAsia="Times New Roman" w:hAnsi="Times New Roman" w:cs="Times New Roman"/>
                <w:b/>
                <w:sz w:val="24"/>
                <w:szCs w:val="24"/>
              </w:rPr>
              <w:t>0.049871</w:t>
            </w:r>
          </w:p>
        </w:tc>
      </w:tr>
    </w:tbl>
    <w:p w14:paraId="29100687" w14:textId="77777777" w:rsidR="004C5E08" w:rsidRDefault="004C5E08">
      <w:pPr>
        <w:pStyle w:val="Normal1"/>
        <w:spacing w:line="480" w:lineRule="auto"/>
        <w:jc w:val="both"/>
        <w:rPr>
          <w:rFonts w:ascii="Times New Roman" w:eastAsia="Times New Roman" w:hAnsi="Times New Roman" w:cs="Times New Roman"/>
          <w:b/>
          <w:sz w:val="24"/>
          <w:szCs w:val="24"/>
        </w:rPr>
      </w:pPr>
    </w:p>
    <w:tbl>
      <w:tblPr>
        <w:tblStyle w:val="Table8"/>
        <w:tblW w:w="71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160"/>
        <w:gridCol w:w="1160"/>
        <w:gridCol w:w="1160"/>
        <w:gridCol w:w="1160"/>
        <w:gridCol w:w="1235"/>
        <w:gridCol w:w="1235"/>
      </w:tblGrid>
      <w:tr w:rsidR="004C5E08" w14:paraId="5F8CC9C2" w14:textId="77777777">
        <w:trPr>
          <w:trHeight w:val="500"/>
        </w:trPr>
        <w:tc>
          <w:tcPr>
            <w:tcW w:w="2320" w:type="dxa"/>
            <w:gridSpan w:val="2"/>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D72AD4"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Current Ratio </w:t>
            </w:r>
          </w:p>
        </w:tc>
        <w:tc>
          <w:tcPr>
            <w:tcW w:w="2320" w:type="dxa"/>
            <w:gridSpan w:val="2"/>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792F349"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Current Assets </w:t>
            </w: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B8C236B" w14:textId="77777777" w:rsidR="004C5E08" w:rsidRDefault="004C5E08">
            <w:pPr>
              <w:pStyle w:val="Normal1"/>
              <w:widowControl w:val="0"/>
              <w:rPr>
                <w:rFonts w:ascii="Times New Roman" w:eastAsia="Times New Roman" w:hAnsi="Times New Roman" w:cs="Times New Roman"/>
                <w:b/>
                <w:sz w:val="24"/>
                <w:szCs w:val="24"/>
              </w:rPr>
            </w:pPr>
          </w:p>
        </w:tc>
        <w:tc>
          <w:tcPr>
            <w:tcW w:w="12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3788EE" w14:textId="77777777" w:rsidR="004C5E08" w:rsidRDefault="004C5E08">
            <w:pPr>
              <w:pStyle w:val="Normal1"/>
              <w:widowControl w:val="0"/>
              <w:rPr>
                <w:rFonts w:ascii="Times New Roman" w:eastAsia="Times New Roman" w:hAnsi="Times New Roman" w:cs="Times New Roman"/>
                <w:b/>
                <w:sz w:val="24"/>
                <w:szCs w:val="24"/>
              </w:rPr>
            </w:pPr>
          </w:p>
        </w:tc>
      </w:tr>
      <w:tr w:rsidR="004C5E08" w14:paraId="7C37A48F"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724F344"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00000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F953EBD" w14:textId="77777777" w:rsidR="004C5E08" w:rsidRDefault="004C5E08">
            <w:pPr>
              <w:pStyle w:val="Normal1"/>
              <w:widowControl w:val="0"/>
              <w:rPr>
                <w:rFonts w:ascii="Times New Roman" w:eastAsia="Times New Roman" w:hAnsi="Times New Roman" w:cs="Times New Roman"/>
                <w:b/>
                <w:sz w:val="24"/>
                <w:szCs w:val="24"/>
              </w:rPr>
            </w:pPr>
          </w:p>
        </w:tc>
        <w:tc>
          <w:tcPr>
            <w:tcW w:w="2320" w:type="dxa"/>
            <w:gridSpan w:val="2"/>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3B9493A1"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Liability</w:t>
            </w:r>
          </w:p>
        </w:tc>
        <w:tc>
          <w:tcPr>
            <w:tcW w:w="1235"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DF05F74" w14:textId="77777777" w:rsidR="004C5E08" w:rsidRDefault="004C5E08">
            <w:pPr>
              <w:pStyle w:val="Normal1"/>
              <w:widowControl w:val="0"/>
              <w:rPr>
                <w:rFonts w:ascii="Times New Roman" w:eastAsia="Times New Roman" w:hAnsi="Times New Roman" w:cs="Times New Roman"/>
                <w:b/>
                <w:sz w:val="24"/>
                <w:szCs w:val="24"/>
              </w:rPr>
            </w:pPr>
          </w:p>
        </w:tc>
        <w:tc>
          <w:tcPr>
            <w:tcW w:w="1235" w:type="dxa"/>
            <w:tcBorders>
              <w:top w:val="single" w:sz="4" w:space="0" w:color="00000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198AC86C" w14:textId="77777777" w:rsidR="004C5E08" w:rsidRDefault="004C5E08">
            <w:pPr>
              <w:pStyle w:val="Normal1"/>
              <w:widowControl w:val="0"/>
              <w:rPr>
                <w:rFonts w:ascii="Times New Roman" w:eastAsia="Times New Roman" w:hAnsi="Times New Roman" w:cs="Times New Roman"/>
                <w:b/>
                <w:sz w:val="24"/>
                <w:szCs w:val="24"/>
              </w:rPr>
            </w:pPr>
          </w:p>
        </w:tc>
      </w:tr>
      <w:tr w:rsidR="004C5E08" w14:paraId="0300BC5E"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DB0ED2B"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07878821"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757E170D"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01474F5A" w14:textId="77777777" w:rsidR="004C5E08" w:rsidRDefault="004C5E08">
            <w:pPr>
              <w:pStyle w:val="Normal1"/>
              <w:widowControl w:val="0"/>
              <w:rPr>
                <w:rFonts w:ascii="Times New Roman" w:eastAsia="Times New Roman" w:hAnsi="Times New Roman" w:cs="Times New Roman"/>
                <w:b/>
                <w:sz w:val="24"/>
                <w:szCs w:val="24"/>
              </w:rPr>
            </w:pP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7BBEC77" w14:textId="77777777" w:rsidR="004C5E08" w:rsidRDefault="004C5E08">
            <w:pPr>
              <w:pStyle w:val="Normal1"/>
              <w:widowControl w:val="0"/>
              <w:rPr>
                <w:rFonts w:ascii="Times New Roman" w:eastAsia="Times New Roman" w:hAnsi="Times New Roman" w:cs="Times New Roman"/>
                <w:b/>
                <w:sz w:val="24"/>
                <w:szCs w:val="24"/>
              </w:rPr>
            </w:pP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F6B509E" w14:textId="77777777" w:rsidR="004C5E08" w:rsidRDefault="004C5E08">
            <w:pPr>
              <w:pStyle w:val="Normal1"/>
              <w:widowControl w:val="0"/>
              <w:rPr>
                <w:rFonts w:ascii="Times New Roman" w:eastAsia="Times New Roman" w:hAnsi="Times New Roman" w:cs="Times New Roman"/>
                <w:b/>
                <w:sz w:val="24"/>
                <w:szCs w:val="24"/>
              </w:rPr>
            </w:pPr>
          </w:p>
        </w:tc>
      </w:tr>
      <w:tr w:rsidR="004C5E08" w14:paraId="3C3BDC58"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E4720DD"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19C49967"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2021</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63DCA1A"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2B7F1E70"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(488/163.49)</w:t>
            </w: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46BF841B"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2.984892</w:t>
            </w:r>
          </w:p>
        </w:tc>
      </w:tr>
      <w:tr w:rsidR="004C5E08" w14:paraId="58AB2F04" w14:textId="77777777">
        <w:trPr>
          <w:trHeight w:val="500"/>
        </w:trPr>
        <w:tc>
          <w:tcPr>
            <w:tcW w:w="11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F810252" w14:textId="77777777" w:rsidR="004C5E08" w:rsidRDefault="004C5E08">
            <w:pPr>
              <w:pStyle w:val="Normal1"/>
              <w:widowControl w:val="0"/>
              <w:rPr>
                <w:rFonts w:ascii="Times New Roman" w:eastAsia="Times New Roman" w:hAnsi="Times New Roman" w:cs="Times New Roman"/>
                <w:b/>
                <w:sz w:val="24"/>
                <w:szCs w:val="24"/>
              </w:rPr>
            </w:pPr>
          </w:p>
        </w:tc>
        <w:tc>
          <w:tcPr>
            <w:tcW w:w="1160" w:type="dxa"/>
            <w:tcBorders>
              <w:top w:val="single" w:sz="4" w:space="0" w:color="808080"/>
              <w:left w:val="single" w:sz="4" w:space="0" w:color="000000"/>
              <w:bottom w:val="single" w:sz="4" w:space="0" w:color="808080"/>
              <w:right w:val="single" w:sz="4" w:space="0" w:color="808080"/>
            </w:tcBorders>
            <w:shd w:val="clear" w:color="auto" w:fill="auto"/>
            <w:tcMar>
              <w:top w:w="100" w:type="dxa"/>
              <w:left w:w="100" w:type="dxa"/>
              <w:bottom w:w="100" w:type="dxa"/>
              <w:right w:w="100" w:type="dxa"/>
            </w:tcMar>
          </w:tcPr>
          <w:p w14:paraId="7342E245"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2020</w:t>
            </w:r>
          </w:p>
        </w:tc>
        <w:tc>
          <w:tcPr>
            <w:tcW w:w="1160"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7EF7324"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c>
          <w:tcPr>
            <w:tcW w:w="2395" w:type="dxa"/>
            <w:gridSpan w:val="2"/>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68211281"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(164/235.55)</w:t>
            </w:r>
          </w:p>
        </w:tc>
        <w:tc>
          <w:tcPr>
            <w:tcW w:w="1235" w:type="dxa"/>
            <w:tcBorders>
              <w:top w:val="single" w:sz="4" w:space="0" w:color="808080"/>
              <w:left w:val="single" w:sz="4" w:space="0" w:color="808080"/>
              <w:bottom w:val="single" w:sz="4" w:space="0" w:color="808080"/>
              <w:right w:val="single" w:sz="4" w:space="0" w:color="808080"/>
            </w:tcBorders>
            <w:shd w:val="clear" w:color="auto" w:fill="auto"/>
            <w:tcMar>
              <w:top w:w="100" w:type="dxa"/>
              <w:left w:w="100" w:type="dxa"/>
              <w:bottom w:w="100" w:type="dxa"/>
              <w:right w:w="100" w:type="dxa"/>
            </w:tcMar>
          </w:tcPr>
          <w:p w14:paraId="57CFC451" w14:textId="77777777" w:rsidR="004C5E08" w:rsidRDefault="001C51D3">
            <w:pPr>
              <w:pStyle w:val="Normal1"/>
              <w:widowControl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0.696243</w:t>
            </w:r>
          </w:p>
        </w:tc>
      </w:tr>
    </w:tbl>
    <w:p w14:paraId="3A379341" w14:textId="77777777" w:rsidR="004C5E08" w:rsidRDefault="004C5E08">
      <w:pPr>
        <w:pStyle w:val="Normal1"/>
        <w:spacing w:line="480" w:lineRule="auto"/>
        <w:jc w:val="both"/>
        <w:rPr>
          <w:rFonts w:ascii="Times New Roman" w:eastAsia="Times New Roman" w:hAnsi="Times New Roman" w:cs="Times New Roman"/>
          <w:b/>
          <w:sz w:val="24"/>
          <w:szCs w:val="24"/>
        </w:rPr>
      </w:pPr>
    </w:p>
    <w:sectPr w:rsidR="004C5E08" w:rsidSect="00FC22A2">
      <w:head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3B65B" w14:textId="77777777" w:rsidR="00991590" w:rsidRDefault="00991590">
      <w:pPr>
        <w:spacing w:line="240" w:lineRule="auto"/>
      </w:pPr>
      <w:r>
        <w:separator/>
      </w:r>
    </w:p>
  </w:endnote>
  <w:endnote w:type="continuationSeparator" w:id="0">
    <w:p w14:paraId="308D2784" w14:textId="77777777" w:rsidR="00991590" w:rsidRDefault="009915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4946D" w14:textId="77777777" w:rsidR="00991590" w:rsidRDefault="00991590">
      <w:pPr>
        <w:spacing w:line="240" w:lineRule="auto"/>
      </w:pPr>
      <w:r>
        <w:separator/>
      </w:r>
    </w:p>
  </w:footnote>
  <w:footnote w:type="continuationSeparator" w:id="0">
    <w:p w14:paraId="507B26D9" w14:textId="77777777" w:rsidR="00991590" w:rsidRDefault="009915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D1974" w14:textId="77777777" w:rsidR="004C5E08" w:rsidRDefault="001C51D3">
    <w:pPr>
      <w:pStyle w:val="Normal1"/>
      <w:jc w:val="right"/>
    </w:pPr>
    <w:r>
      <w:fldChar w:fldCharType="begin"/>
    </w:r>
    <w:r>
      <w:instrText>PAGE</w:instrText>
    </w:r>
    <w:r>
      <w:fldChar w:fldCharType="separate"/>
    </w:r>
    <w:r w:rsidR="00FC22A2">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E08"/>
    <w:rsid w:val="001C51D3"/>
    <w:rsid w:val="002D048B"/>
    <w:rsid w:val="004C41BE"/>
    <w:rsid w:val="004C5E08"/>
    <w:rsid w:val="00866A75"/>
    <w:rsid w:val="00991590"/>
    <w:rsid w:val="00CE3763"/>
    <w:rsid w:val="00FC22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7C3F2"/>
  <w15:docId w15:val="{B356C7A5-47AC-4482-86A6-F5CF66E60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480" w:lineRule="auto"/>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line="48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table" w:customStyle="1" w:styleId="Table7">
    <w:name w:val="Table7"/>
    <w:basedOn w:val="TableNormal1"/>
    <w:tblPr>
      <w:tblStyleRowBandSize w:val="1"/>
      <w:tblStyleColBandSize w:val="1"/>
      <w:tblCellMar>
        <w:top w:w="100" w:type="dxa"/>
        <w:left w:w="100" w:type="dxa"/>
        <w:bottom w:w="100" w:type="dxa"/>
        <w:right w:w="100" w:type="dxa"/>
      </w:tblCellMar>
    </w:tblPr>
  </w:style>
  <w:style w:type="table" w:customStyle="1" w:styleId="Table8">
    <w:name w:val="Table8"/>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pdfs.semanticscholar.org/bf85/59e8e712953aad19ce6b08d3415602005989.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cirp.org/journal/paperinformation.aspx?paperid=93164" TargetMode="External"/><Relationship Id="rId2" Type="http://schemas.openxmlformats.org/officeDocument/2006/relationships/settings" Target="settings.xml"/><Relationship Id="rId16" Type="http://schemas.openxmlformats.org/officeDocument/2006/relationships/hyperlink" Target="https://www.inzeko.ktu.lt/index.php/EE/article/download/21363/9722" TargetMode="External"/><Relationship Id="rId20" Type="http://schemas.openxmlformats.org/officeDocument/2006/relationships/hyperlink" Target="https://www.koreascience.or.kr/article/JAKO202034651879480.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www.riiopenjournals.com/index.php/finance-economics-review/article/download/102/53"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dk.upce.cz/bitstream/handle/10195/72569/2205-Article_Text-9994-1-10-20180810.pdf?sequence=1&amp;isAllowed=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scholar.archive.org/work/ulnxyxeoczeuhcnx4vvjgd3v7y/access/wayback/https://www.trijurnal.lemlit.trisakti.ac.id/imar/article/download/4663/pdf_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2370</Words>
  <Characters>13511</Characters>
  <Application>Microsoft Office Word</Application>
  <DocSecurity>0</DocSecurity>
  <Lines>112</Lines>
  <Paragraphs>31</Paragraphs>
  <ScaleCrop>false</ScaleCrop>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Sahil sharma</cp:lastModifiedBy>
  <cp:revision>2</cp:revision>
  <dcterms:created xsi:type="dcterms:W3CDTF">2024-03-26T15:36:00Z</dcterms:created>
  <dcterms:modified xsi:type="dcterms:W3CDTF">2024-03-26T15:36:00Z</dcterms:modified>
</cp:coreProperties>
</file>