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right"/>
        <w:rPr>
          <w:rFonts w:ascii="Arial" w:hAnsi="Arial" w:cs="Arial" w:eastAsia="Arial"/>
          <w:b/>
          <w:color w:val="auto"/>
          <w:spacing w:val="0"/>
          <w:position w:val="0"/>
          <w:sz w:val="28"/>
          <w:shd w:fill="auto" w:val="clear"/>
        </w:rPr>
      </w:pPr>
      <w:r>
        <w:object w:dxaOrig="2855" w:dyaOrig="1154">
          <v:rect xmlns:o="urn:schemas-microsoft-com:office:office" xmlns:v="urn:schemas-microsoft-com:vml" id="rectole0000000000" style="width:142.750000pt;height:57.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color w:val="auto"/>
          <w:spacing w:val="0"/>
          <w:position w:val="0"/>
          <w:sz w:val="20"/>
          <w:shd w:fill="auto" w:val="clear"/>
        </w:rPr>
        <w:t xml:space="preserve"> </w:t>
        <w:br/>
      </w:r>
      <w:r>
        <w:rPr>
          <w:rFonts w:ascii="Arial" w:hAnsi="Arial" w:cs="Arial" w:eastAsia="Arial"/>
          <w:b/>
          <w:color w:val="auto"/>
          <w:spacing w:val="0"/>
          <w:position w:val="0"/>
          <w:sz w:val="28"/>
          <w:shd w:fill="auto" w:val="clear"/>
        </w:rPr>
        <w:t xml:space="preserve">APPENDIX GA36b</w:t>
      </w:r>
    </w:p>
    <w:p>
      <w:pPr>
        <w:spacing w:before="0" w:after="0" w:line="240"/>
        <w:ind w:right="0" w:left="0" w:firstLine="0"/>
        <w:jc w:val="left"/>
        <w:rPr>
          <w:rFonts w:ascii="Arial" w:hAnsi="Arial" w:cs="Arial" w:eastAsia="Arial"/>
          <w:color w:val="auto"/>
          <w:spacing w:val="0"/>
          <w:position w:val="0"/>
          <w:sz w:val="20"/>
          <w:shd w:fill="auto" w:val="clear"/>
        </w:rPr>
      </w:pPr>
    </w:p>
    <w:tbl>
      <w:tblPr>
        <w:tblInd w:w="392" w:type="dxa"/>
      </w:tblPr>
      <w:tblGrid>
        <w:gridCol w:w="9793"/>
      </w:tblGrid>
      <w:tr>
        <w:trPr>
          <w:trHeight w:val="1" w:hRule="atLeast"/>
          <w:jc w:val="left"/>
        </w:trPr>
        <w:tc>
          <w:tcPr>
            <w:tcW w:w="9793" w:type="dxa"/>
            <w:tcBorders>
              <w:top w:val="single" w:color="000000" w:sz="4"/>
              <w:left w:val="single" w:color="000000" w:sz="4"/>
              <w:bottom w:val="single" w:color="000000" w:sz="4"/>
              <w:right w:val="single" w:color="000000" w:sz="4"/>
            </w:tcBorders>
            <w:shd w:color="auto" w:fill="c0c0c0" w:val="clear"/>
            <w:tcMar>
              <w:left w:w="108" w:type="dxa"/>
              <w:right w:w="108" w:type="dxa"/>
            </w:tcMar>
            <w:vAlign w:val="top"/>
          </w:tcPr>
          <w:p>
            <w:pPr>
              <w:keepNext w:val="true"/>
              <w:spacing w:before="120" w:after="120" w:line="240"/>
              <w:ind w:right="0" w:left="0" w:firstLine="0"/>
              <w:jc w:val="center"/>
              <w:rPr>
                <w:color w:val="auto"/>
                <w:spacing w:val="0"/>
                <w:position w:val="0"/>
              </w:rPr>
            </w:pPr>
            <w:r>
              <w:rPr>
                <w:rFonts w:ascii="Arial" w:hAnsi="Arial" w:cs="Arial" w:eastAsia="Arial"/>
                <w:b/>
                <w:color w:val="auto"/>
                <w:spacing w:val="0"/>
                <w:position w:val="0"/>
                <w:sz w:val="40"/>
                <w:shd w:fill="auto" w:val="clear"/>
              </w:rPr>
              <w:t xml:space="preserve">LEVEL 5 ASSESSMENT SPECIFICATION </w:t>
            </w:r>
          </w:p>
        </w:tc>
      </w:tr>
    </w:tbl>
    <w:p>
      <w:pPr>
        <w:spacing w:before="0" w:after="0" w:line="240"/>
        <w:ind w:right="0" w:left="0" w:firstLine="0"/>
        <w:jc w:val="center"/>
        <w:rPr>
          <w:rFonts w:ascii="Arial" w:hAnsi="Arial" w:cs="Arial" w:eastAsia="Arial"/>
          <w:b/>
          <w:i/>
          <w:color w:val="auto"/>
          <w:spacing w:val="0"/>
          <w:position w:val="0"/>
          <w:sz w:val="32"/>
          <w:shd w:fill="auto" w:val="clear"/>
        </w:rPr>
      </w:pPr>
    </w:p>
    <w:tbl>
      <w:tblPr>
        <w:tblInd w:w="392" w:type="dxa"/>
      </w:tblPr>
      <w:tblGrid>
        <w:gridCol w:w="2093"/>
        <w:gridCol w:w="3293"/>
        <w:gridCol w:w="2268"/>
        <w:gridCol w:w="2268"/>
      </w:tblGrid>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Student name: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     </w:t>
            </w:r>
            <w:r>
              <w:rPr>
                <w:rFonts w:ascii="Arial" w:hAnsi="Arial" w:cs="Arial" w:eastAsia="Arial"/>
                <w:b/>
                <w:color w:val="auto"/>
                <w:spacing w:val="0"/>
                <w:position w:val="0"/>
                <w:sz w:val="22"/>
                <w:shd w:fill="auto" w:val="clear"/>
              </w:rPr>
              <w:t xml:space="preserve">James Barrett</w:t>
            </w:r>
          </w:p>
        </w:tc>
        <w:tc>
          <w:tcPr>
            <w:tcW w:w="226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Student ID number:</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1816016</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Programme:</w:t>
            </w:r>
          </w:p>
        </w:tc>
        <w:tc>
          <w:tcPr>
            <w:tcW w:w="782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7668" w:leader="none"/>
                <w:tab w:val="left" w:pos="8236" w:leader="none"/>
                <w:tab w:val="left" w:pos="9088" w:leader="none"/>
              </w:tabs>
              <w:spacing w:before="120" w:after="120" w:line="240"/>
              <w:ind w:right="-1800" w:left="0" w:firstLine="0"/>
              <w:jc w:val="both"/>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PCDA Cohort 1:19</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Module:</w:t>
            </w:r>
          </w:p>
        </w:tc>
        <w:tc>
          <w:tcPr>
            <w:tcW w:w="7829"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Operational Policing Practice 2 </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Module code: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BMPP5002D</w:t>
            </w:r>
          </w:p>
        </w:tc>
        <w:tc>
          <w:tcPr>
            <w:tcW w:w="226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keepNext w:val="true"/>
              <w:spacing w:before="0" w:after="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Contribution to Overall Module Assessment (%):</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50%</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Lecturer: </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Mark Jordan </w:t>
            </w:r>
          </w:p>
        </w:tc>
        <w:tc>
          <w:tcPr>
            <w:tcW w:w="226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Internal Verifier:</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Assignment Title: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Assignment 2</w:t>
            </w:r>
          </w:p>
        </w:tc>
        <w:tc>
          <w:tcPr>
            <w:tcW w:w="2268"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Word count (or equivalent):</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4000 Words</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Submission deadline:</w:t>
            </w:r>
          </w:p>
        </w:tc>
        <w:tc>
          <w:tcPr>
            <w:tcW w:w="32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11</w:t>
            </w:r>
            <w:r>
              <w:rPr>
                <w:rFonts w:ascii="Arial" w:hAnsi="Arial" w:cs="Arial" w:eastAsia="Arial"/>
                <w:b/>
                <w:color w:val="auto"/>
                <w:spacing w:val="0"/>
                <w:position w:val="0"/>
                <w:sz w:val="22"/>
                <w:shd w:fill="auto" w:val="clear"/>
                <w:vertAlign w:val="superscript"/>
              </w:rPr>
              <w:t xml:space="preserve">th</w:t>
            </w:r>
            <w:r>
              <w:rPr>
                <w:rFonts w:ascii="Arial" w:hAnsi="Arial" w:cs="Arial" w:eastAsia="Arial"/>
                <w:b/>
                <w:color w:val="auto"/>
                <w:spacing w:val="0"/>
                <w:position w:val="0"/>
                <w:sz w:val="22"/>
                <w:shd w:fill="auto" w:val="clear"/>
              </w:rPr>
              <w:t xml:space="preserve"> January 2021</w:t>
            </w:r>
          </w:p>
        </w:tc>
        <w:tc>
          <w:tcPr>
            <w:tcW w:w="2268" w:type="dxa"/>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120" w:after="12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Return date of provisional marks &amp; written feedback:</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b/>
          <w:color w:val="auto"/>
          <w:spacing w:val="0"/>
          <w:position w:val="0"/>
          <w:sz w:val="20"/>
          <w:shd w:fill="auto" w:val="clear"/>
        </w:rPr>
      </w:pPr>
    </w:p>
    <w:tbl>
      <w:tblPr>
        <w:tblInd w:w="392" w:type="dxa"/>
      </w:tblPr>
      <w:tblGrid>
        <w:gridCol w:w="9781"/>
      </w:tblGrid>
      <w:tr>
        <w:trPr>
          <w:trHeight w:val="1" w:hRule="atLeast"/>
          <w:jc w:val="left"/>
        </w:trPr>
        <w:tc>
          <w:tcPr>
            <w:tcW w:w="9781" w:type="dxa"/>
            <w:tcBorders>
              <w:top w:val="single" w:color="000000" w:sz="4"/>
              <w:left w:val="single" w:color="000000" w:sz="4"/>
              <w:bottom w:val="single" w:color="000000" w:sz="4"/>
              <w:right w:val="single" w:color="000000" w:sz="4"/>
            </w:tcBorders>
            <w:shd w:color="auto" w:fill="c0c0c0"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 </w:t>
            </w:r>
          </w:p>
          <w:p>
            <w:pPr>
              <w:spacing w:before="0" w:after="0" w:line="240"/>
              <w:ind w:right="0" w:left="0" w:firstLine="0"/>
              <w:jc w:val="center"/>
              <w:rPr>
                <w:color w:val="auto"/>
                <w:spacing w:val="0"/>
                <w:position w:val="0"/>
              </w:rPr>
            </w:pPr>
            <w:r>
              <w:rPr>
                <w:rFonts w:ascii="Arial" w:hAnsi="Arial" w:cs="Arial" w:eastAsia="Arial"/>
                <w:b/>
                <w:color w:val="auto"/>
                <w:spacing w:val="0"/>
                <w:position w:val="0"/>
                <w:sz w:val="40"/>
                <w:shd w:fill="auto" w:val="clear"/>
              </w:rPr>
              <w:t xml:space="preserve">TASK DESCRIPTION</w:t>
            </w:r>
          </w:p>
        </w:tc>
      </w:tr>
    </w:tbl>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426" w:firstLine="0"/>
        <w:jc w:val="left"/>
        <w:rPr>
          <w:rFonts w:ascii="Arial" w:hAnsi="Arial" w:cs="Arial" w:eastAsia="Arial"/>
          <w:color w:val="auto"/>
          <w:spacing w:val="0"/>
          <w:position w:val="0"/>
          <w:sz w:val="24"/>
          <w:shd w:fill="auto" w:val="clear"/>
        </w:rPr>
      </w:pPr>
    </w:p>
    <w:p>
      <w:pPr>
        <w:spacing w:before="0" w:after="0" w:line="240"/>
        <w:ind w:right="0" w:left="426" w:firstLine="0"/>
        <w:jc w:val="left"/>
        <w:rPr>
          <w:rFonts w:ascii="Arial" w:hAnsi="Arial" w:cs="Arial" w:eastAsia="Arial"/>
          <w:color w:val="auto"/>
          <w:spacing w:val="0"/>
          <w:position w:val="0"/>
          <w:sz w:val="24"/>
          <w:shd w:fill="auto" w:val="clear"/>
        </w:rPr>
      </w:pPr>
    </w:p>
    <w:p>
      <w:pPr>
        <w:spacing w:before="0" w:after="0" w:line="240"/>
        <w:ind w:right="0" w:left="426"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Students are required to complete a 1000-word essay under the following title:</w:t>
      </w:r>
    </w:p>
    <w:p>
      <w:pPr>
        <w:spacing w:before="0" w:after="0" w:line="240"/>
        <w:ind w:right="0" w:left="426" w:firstLine="0"/>
        <w:jc w:val="left"/>
        <w:rPr>
          <w:rFonts w:ascii="Arial" w:hAnsi="Arial" w:cs="Arial" w:eastAsia="Arial"/>
          <w:b/>
          <w:color w:val="auto"/>
          <w:spacing w:val="0"/>
          <w:position w:val="0"/>
          <w:sz w:val="24"/>
          <w:shd w:fill="auto" w:val="clear"/>
        </w:rPr>
      </w:pPr>
    </w:p>
    <w:p>
      <w:pPr>
        <w:spacing w:before="240" w:after="0" w:line="240"/>
        <w:ind w:right="0" w:left="426"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Analyse why key incidents/events have had a damaging effect on the willingness of communities to engage with the police.</w:t>
      </w:r>
    </w:p>
    <w:p>
      <w:pPr>
        <w:spacing w:before="240" w:after="0" w:line="240"/>
        <w:ind w:right="0" w:left="426"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Evaluate the role of community policing in fostering and maintaining community cohesion and understand and apply key principles of effective community engagement.</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this essay, I will be analysing why key incidents and events have had a damaging effect on the willingness of communities to engage with the police. To analyse this I will be discussing previous incidents where a failure in the police's response has had an impact on the community, such as the case involving Fiona Pilkington. I will also be evaluating the role of community policing in fostering and maintaining community cohesion, whilst looking to understand and apply the key principles of effective community engagement.</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story of Fiona Pilkington is a tragic one and one which changed community policing forever. Fiona Pilkington was the mother of Frankie Pilkington who suffered from severe learning disabilities. The family was targeted by youths in the local neighborhood in Leicestershire where they were subjected to years of anti-social behavior and torture. Fiona asked for help many times but nobody listened. Following a failing, in police response, Fiona took it upon herself to drive herself and her daughter in their car to a secluded lay-by. Fiona then doused the rear passenger seat of the vehicle with petrol and set the car ablaze with them both inside.</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be looking primarily at this story to analyse why an event such as this may have a damaging effect on the willingness of the community to engage with the police. Fiona Pilkington complained to the police on 27 separate occasions between 2004 and 2007 in relation to the abuse that the family was receiving. Following the death of the Pilkingtons, the case was reviewed by the Independent Office of Police Complaints (IOPC) that found "that Leicestershire police had repeatedly missed opportunities to identify the Pilkingtons as vulnerable, failing to link individual reports of anti-social behavior as part of a wider campaign of harassment." (Ten years after the death of Fiona Pilkington, have the police got better at tackling hate crime?, 2021). Another finding of a review showed that each time the Pilkingtons reported an issue to the police it was dealt with in isolation. This clearly would not help to show a clear picture of the bigger issues at hand. But, Fiona was not the only person to contact the police in this matter. The police were also informed by other family members, members of parliament, and neighbors. Yet still, nothing was done to stop the ongoing abuse received by the family. Ultimately, Fiona Pilkington did everything right, she informed the Police multiple times yet nothing was done. The result of this was the tragic death of a mother and daughter who thought that there was nothing else that could be done. This was a clear display that Fiona completely lost faith in the police service and thought that she could not turn to them for help anymore. But, she was also not the only one affected. The family and neighbors that also contacted the police would now also have a feeling that the police would not listen to them in the future. Incidents like this can have a hugely damaging effect on communities' willingness to engage with the police as they have all witnessed no action being taken, therefore, they would be highly unlikely to ever contact the police in the future.</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Community policing in the modern day is vital to maintaining community cohesion. South Wales police's vision is "To be the best at understanding and responding to our communities." (Our vision, values and ethics, 2021). To be able to achieve this the police need to make a clear on-going dialog between the public and the police. The College of Policing states "Overall, the police collaborating with the public for the purposes of problem-solving can reduce perceived disorder and increase trust and perceived legitimacy in the police." (Engaging communities | College of Policing, 2021). This has been taken from evidence collected from systematic reviews carried out. Forces in the UK have increased community engagement with the use of Police Community Support Officers whose role is to patrol the communities on foot and engage with the members of the public to build that community cohesion and trust.  South Wales Police hold community PACT meetings which is a meeting held by the council along with local citizens that live in the area. PCSO's attend these meetings with the council. These meetings give the local residents a chance to voice their opinions and any problems that they are facing in the area. This in turn allows the local police force to amend their patrols and engagement tactics to be completely tailored for the needs of the community. The other side to the meetings is that the police are given a chance to tell the local residents of the problems they are facing and what sorts of crime are taking place in the area and how they are being tackled. This allows the police to be completely transparent with the public which caused the public to become more trusting in the police, which as I have discussed above is vital in the public being willing to engage with the police.</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clear that for a police service to be effective it relies on the public to engage and be willing to communicate and support them. It is clear that incidents in the past such as Fiona Pilkington completely changed the way in which communities are policed and forces across the UK are now making a targeted approach to community policing whilst trying to increase the trust of the communities that they police. However, people will always remember the failings of the police and these incidents will forever leave a damaging effect on the communities.  It is imperative that police forces continue to build trust within the communities and make them feel like they can come to the police for help in times of need.</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Word Count: 966</w:t>
      </w:r>
    </w:p>
    <w:p>
      <w:pPr>
        <w:spacing w:before="240" w:after="0" w:line="240"/>
        <w:ind w:right="0" w:left="426" w:firstLine="0"/>
        <w:jc w:val="both"/>
        <w:rPr>
          <w:rFonts w:ascii="Arial" w:hAnsi="Arial" w:cs="Arial" w:eastAsia="Arial"/>
          <w:b/>
          <w:color w:val="auto"/>
          <w:spacing w:val="0"/>
          <w:position w:val="0"/>
          <w:sz w:val="22"/>
          <w:shd w:fill="auto" w:val="clear"/>
        </w:rPr>
      </w:pPr>
    </w:p>
    <w:p>
      <w:pPr>
        <w:spacing w:before="24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426" w:firstLine="0"/>
        <w:jc w:val="left"/>
        <w:rPr>
          <w:rFonts w:ascii="Arial" w:hAnsi="Arial" w:cs="Arial" w:eastAsia="Arial"/>
          <w:b/>
          <w:color w:val="auto"/>
          <w:spacing w:val="0"/>
          <w:position w:val="0"/>
          <w:sz w:val="24"/>
          <w:shd w:fill="auto" w:val="clear"/>
        </w:rPr>
      </w:pPr>
    </w:p>
    <w:p>
      <w:pPr>
        <w:spacing w:before="0" w:after="0" w:line="240"/>
        <w:ind w:right="0" w:left="426"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2"/>
          <w:shd w:fill="auto" w:val="clear"/>
        </w:rPr>
        <w:t xml:space="preserve">Students are required to complete a 1000-word essay under the following title:</w:t>
      </w:r>
    </w:p>
    <w:p>
      <w:pPr>
        <w:spacing w:before="0" w:after="0" w:line="240"/>
        <w:ind w:right="0" w:left="0" w:firstLine="0"/>
        <w:jc w:val="left"/>
        <w:rPr>
          <w:rFonts w:ascii="Arial" w:hAnsi="Arial" w:cs="Arial" w:eastAsia="Arial"/>
          <w:b/>
          <w:color w:val="auto"/>
          <w:spacing w:val="0"/>
          <w:position w:val="0"/>
          <w:sz w:val="24"/>
          <w:shd w:fill="auto" w:val="clear"/>
        </w:rPr>
      </w:pPr>
    </w:p>
    <w:p>
      <w:pPr>
        <w:spacing w:before="240" w:after="0" w:line="240"/>
        <w:ind w:right="0" w:left="426"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2"/>
          <w:shd w:fill="auto" w:val="clear"/>
        </w:rPr>
        <w:t xml:space="preserve">Assess the strengths and weakness of different policing models in relation to crime/victimisation and the public and explore crime prevention theories initiates and strategies</w:t>
      </w:r>
    </w:p>
    <w:p>
      <w:pPr>
        <w:spacing w:before="240" w:after="0" w:line="240"/>
        <w:ind w:right="0" w:left="426"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Explain and employ analytical products provided by intelligence specialists during the course of an investigation</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During this essay, I will be assessing the strengths and weaknesses of different policing models in relation to crime and victimisation. I will also be exploring different crime prevention theories, initiatives, and strategies. Throughout the essay, I will be looking to explain and employ analytical products provided by intelligence specialists during the course of an investigation.</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of the most recent policing strategies encompasses problem-orientated policing. This can also be known as problem-solving policing and it is an approach to policing that identifies a specific problem through analysis and then creates a tailored response to best deal with that problem. This is widely used in community policing which in itself is a fairly new concept. Throughout the course of these problem-solving investigations, analytical data can prove to be invaluable when deciding the best strategy/intervention for the issue. The first model that I will discuss is the 'SARA Model'. This is an acronym that stands for Scanning, Analysis, Response, and Assessment. The idea of the SARA model is to provide a framework for crime investigations to allow targeted crime prevention to take place. The scanning element of the model allows for officers to identify what the problem is and what the consequences on the community could be. The analysis covers the research of that specific problem. For example, if officers are investigating Anti-Social Behaviour in a specific location they can use historic data stored on police computers to analyse the extent of the issue and if there have been previous incidents with the same victims, thus identifying vulnerable or repeat victims. The response element will allow officers to brainstorm ideas for intervention and what could work and what may not be so effective. They can use data from similar incidents in different areas to try the same ideas or work with partner agencies to form and targeted plan. The final stage of the model is assessment, this allows time to determine whether the implemented plan was successful. It also allows time for quantitative and qualitative data to be collected and to identify any new strategies needed to augment the original plan. The strengths of this model are that there is a specific framework that makes it easy for officers and investigators to follow. It allows time for a problem to be fully understood, in turn allowing for the most appropriate and successful strategy and outcome. The model has proven its worth in policing and is still used to this day by community policing teams within South Wales Police and other forces not only within the UK but worldwide. However, some critics will state that the model has weaknesses in certain areas. Stating that at times the model can oversimplify the process and that the analysis and assessment stages are the most difficult to implement. Critics also suggest that the model is "too loose and flexible (Read &amp; Tilley, 2000; Ekblom, 2002, 2011)" and can undermine partnership and collaboration. (Nwoko, 2021). These weaknesses may have a negative impact on certain areas such as repeat victimisation. Whilst the model may have a very positive effect on the outcome of the crime it may fail to identify victims of repeat crime or vulnerable victims that would require extra support or help from partner agencies. Therefore, this could be seen as a hugely negative side effect of this model. A review published by the College of Policing showed that a meta-analysis review found problem-orientated policing led to a 33.8% reduction in crime and disorder. However, it also stated "One primary study showed a statistically significant increase in victimisation" (problem-orientated policing NEW, 2021), thus confirming my earlier thesis.</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further model called the Problem Analysis Triangle (PAT) has also been created and may alleviate some of the issues highlighted above if used in conjunction with the SARA model. The PAT has three simple elements. Offender, Victim, and Location. As evidenced above the SARA model can be an effective means of identifying and dissolving a specific issue, but can clearly miss some deeper elements, such as the needs of the victim. The PAT can highlight these issues when used in conjunction. The first part is the offender. Often overlooked, the offender is the main source of the problem. Partner agencies can offer offenders support and help to break the cycle of offending, early on, to prevent re-offending in the future. The second part of the triangle looks at the victim. This is key to any investigation as it will allow investigators to identify vulnerable and repeat victims through the use of analytical data collated from previous investigations. These victims may require further support and help for outside agencies as the impact of the crimes on them may be far greater. "repeat victimisation refers to those who are victims of the same type of crime more than once" (Repeat violent victimisation: evidence review - gov.scot, 2021). Repeat victims can be located through the use of analytical data throughout the course of an investigation and can prove invaluable to the progression and successful outcome of an investigation. The final part of the triangle is the location. Identifying the area where the crimes are taking place may help to prevent crimes. For example, if anti-social behavior is predominantly taking place in a dark park then working with the local council the add lights and cameras to the park may deter persons from committing crimes in that area. This is also known as target hardening. The main idea of the triangle is that a crime can only be committed with all three elements of the triangle being in place. If you remove just a single element the crime cannot be committed.</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clear from my research that these models can be effective in the prevention and disruption of crime, however, they also have many strengths and weaknesses. But when used together they can become highly effective in not just the prevention of crime but also the identification of repeat victimisation and the employment or partner agencies to prevent crime and support victims.</w:t>
      </w:r>
    </w:p>
    <w:p>
      <w:pPr>
        <w:spacing w:before="240" w:after="0" w:line="240"/>
        <w:ind w:right="0" w:left="426"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Word Count: 1,002</w:t>
      </w:r>
    </w:p>
    <w:p>
      <w:pPr>
        <w:spacing w:before="0" w:after="0" w:line="240"/>
        <w:ind w:right="0" w:left="426" w:firstLine="0"/>
        <w:jc w:val="left"/>
        <w:rPr>
          <w:rFonts w:ascii="Arial" w:hAnsi="Arial" w:cs="Arial" w:eastAsia="Arial"/>
          <w:b/>
          <w:color w:val="auto"/>
          <w:spacing w:val="0"/>
          <w:position w:val="0"/>
          <w:sz w:val="24"/>
          <w:shd w:fill="auto" w:val="clear"/>
        </w:rPr>
      </w:pPr>
    </w:p>
    <w:p>
      <w:pPr>
        <w:spacing w:before="0" w:after="0" w:line="240"/>
        <w:ind w:right="0" w:left="426" w:firstLine="0"/>
        <w:jc w:val="center"/>
        <w:rPr>
          <w:rFonts w:ascii="Arial" w:hAnsi="Arial" w:cs="Arial" w:eastAsia="Arial"/>
          <w:b/>
          <w:color w:val="auto"/>
          <w:spacing w:val="0"/>
          <w:position w:val="0"/>
          <w:sz w:val="24"/>
          <w:shd w:fill="auto" w:val="clear"/>
        </w:rPr>
      </w:pPr>
    </w:p>
    <w:p>
      <w:pPr>
        <w:spacing w:before="0" w:after="0" w:line="240"/>
        <w:ind w:right="0" w:left="426" w:firstLine="0"/>
        <w:jc w:val="left"/>
        <w:rPr>
          <w:rFonts w:ascii="Arial" w:hAnsi="Arial" w:cs="Arial" w:eastAsia="Arial"/>
          <w:b/>
          <w:color w:val="auto"/>
          <w:spacing w:val="0"/>
          <w:position w:val="0"/>
          <w:sz w:val="24"/>
          <w:shd w:fill="auto" w:val="clear"/>
        </w:rPr>
      </w:pPr>
    </w:p>
    <w:p>
      <w:pPr>
        <w:spacing w:before="0" w:after="0" w:line="240"/>
        <w:ind w:right="0" w:left="426"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Students are required to complete a 1000-word essay under the following title:</w:t>
      </w:r>
    </w:p>
    <w:p>
      <w:pPr>
        <w:spacing w:before="0" w:after="0" w:line="240"/>
        <w:ind w:right="0" w:left="426" w:firstLine="0"/>
        <w:jc w:val="left"/>
        <w:rPr>
          <w:rFonts w:ascii="Arial" w:hAnsi="Arial" w:cs="Arial" w:eastAsia="Arial"/>
          <w:b/>
          <w:color w:val="auto"/>
          <w:spacing w:val="0"/>
          <w:position w:val="0"/>
          <w:sz w:val="24"/>
          <w:shd w:fill="auto" w:val="clear"/>
        </w:rPr>
      </w:pPr>
    </w:p>
    <w:p>
      <w:pPr>
        <w:spacing w:before="0" w:after="0" w:line="240"/>
        <w:ind w:right="0" w:left="426"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pPr>
        <w:spacing w:before="0" w:after="0" w:line="240"/>
        <w:ind w:right="0" w:left="426" w:firstLine="0"/>
        <w:jc w:val="left"/>
        <w:rPr>
          <w:rFonts w:ascii="Arial" w:hAnsi="Arial" w:cs="Arial" w:eastAsia="Arial"/>
          <w:b/>
          <w:color w:val="auto"/>
          <w:spacing w:val="0"/>
          <w:position w:val="0"/>
          <w:sz w:val="22"/>
          <w:shd w:fill="auto" w:val="clear"/>
        </w:rPr>
      </w:pPr>
    </w:p>
    <w:p>
      <w:pPr>
        <w:spacing w:before="0" w:after="0" w:line="240"/>
        <w:ind w:right="0" w:left="426"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this essay, I will be critically reviewing key issues relating to the complexity and challenges of operational policing. I will also be reviewing examples of critical and major incidents and analysing the role of the police within a joint emergency services operation to establish 'best practice'. Policing in the 21st Century comes with many complex challenges from being understaffed to facing new types of crimes such as internet fraud and cybercrime.</w:t>
      </w:r>
    </w:p>
    <w:p>
      <w:pPr>
        <w:spacing w:before="0" w:after="0" w:line="240"/>
        <w:ind w:right="0" w:left="426" w:firstLine="0"/>
        <w:jc w:val="left"/>
        <w:rPr>
          <w:rFonts w:ascii="Arial" w:hAnsi="Arial" w:cs="Arial" w:eastAsia="Arial"/>
          <w:color w:val="auto"/>
          <w:spacing w:val="0"/>
          <w:position w:val="0"/>
          <w:sz w:val="22"/>
          <w:shd w:fill="auto" w:val="clear"/>
        </w:rPr>
      </w:pPr>
    </w:p>
    <w:p>
      <w:pPr>
        <w:spacing w:before="0" w:after="0" w:line="240"/>
        <w:ind w:right="0" w:left="426"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2018 saw the lowest number of police officers within the United Kingdom since 1981. "Between March 2010 and March 2018, police forces in England and Wales lost 21,732 officers - a drop of 15%, according to Home Office figures." (Have police numbers dropped?, 2021). Police Community Support Officers have also seen almost a 40% reduction in numbers in the same time period. This came as a result of budget cuts by the government. But what effect did this have on the police forces around the UK? In 2017 in Hartlepool PC Mick Johnson was stabbed in the arm during a knife attack which left him with PTSD following the incident. PC Johnson said that he was working alone that day due to staff shortages. "A Police Federation of England and Wales (PFEW) survey found nearly 90% of officers say they are under-staffed." (Police shortages: 'Working alone left me with PTSD', 2021). This coupled with the rise in knife crime within the UK poses a serious complex challenge for officers working alone. 2019 saw a rise of 7% in the number of offences involving a sharp or bladed article, with over 45,000 offences being recorded involving a knife. (Crime in England and Wales - Office for National Statistics, 2021).</w:t>
      </w:r>
    </w:p>
    <w:p>
      <w:pPr>
        <w:spacing w:before="0" w:after="0" w:line="240"/>
        <w:ind w:right="0" w:left="426" w:firstLine="0"/>
        <w:jc w:val="left"/>
        <w:rPr>
          <w:rFonts w:ascii="Arial" w:hAnsi="Arial" w:cs="Arial" w:eastAsia="Arial"/>
          <w:color w:val="auto"/>
          <w:spacing w:val="0"/>
          <w:position w:val="0"/>
          <w:sz w:val="22"/>
          <w:shd w:fill="auto" w:val="clear"/>
        </w:rPr>
      </w:pPr>
    </w:p>
    <w:p>
      <w:pPr>
        <w:spacing w:before="0" w:after="0" w:line="240"/>
        <w:ind w:right="0" w:left="426"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However, according to statistical data, knife crime in the UK is not the main challenge facing the police. Data suggests that there has been a rise in the number of complex, serious, and organised crime. This includes offences such as human trafficking and drug smuggling. "the number of referrals for child sex abuse images in the UK increased ten-fold (997%) between 2012 and 2018 to 113,948. This may reflect a wider shift in criminal activity towards the internet and away from more traditional ‘street’ crime." (StackPath, 2021). The biggest difficulty in dealing with this complex issue is how the crimes are committed. Organised crime often runs across county borders as large scale gangs distribute drugs across the UK. This provides a seriously complex challenge as forces now have to monitor and share more information to detect crime crossing their borders.</w:t>
      </w:r>
    </w:p>
    <w:p>
      <w:pPr>
        <w:spacing w:before="0" w:after="0" w:line="240"/>
        <w:ind w:right="0" w:left="426" w:firstLine="0"/>
        <w:jc w:val="left"/>
        <w:rPr>
          <w:rFonts w:ascii="Arial" w:hAnsi="Arial" w:cs="Arial" w:eastAsia="Arial"/>
          <w:color w:val="auto"/>
          <w:spacing w:val="0"/>
          <w:position w:val="0"/>
          <w:sz w:val="22"/>
          <w:shd w:fill="auto" w:val="clear"/>
        </w:rPr>
      </w:pPr>
    </w:p>
    <w:p>
      <w:pPr>
        <w:spacing w:before="0" w:after="0" w:line="240"/>
        <w:ind w:right="0" w:left="426"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But it is not just crime that poses new challenges to the police service. The National Health Service has also seen cuts, both to funding and staffing placing increased strain on their resources. However, due to this the police have seen a direct increase in the number of mental health-related calls. "The number of such incidents reported by 36 of the UK’s police forces***** went up by 28% between 2014 and 2018, from 385,206 to 494,159.[42] There was also a 13% increase in the number of individuals the police took to a place of safety under the Mental Health Act". (Police, 2021). Police officers are often left to look after these people in place of better-trained professionals. This can also take up to 12 hours of a police officer's day. Three hours longer than the standard response officers' shift. With the increased strain of police cuts, this is further reducing the number of officers on the streets of the UK, and further reducing the morale and welfare of the officers.</w:t>
      </w:r>
    </w:p>
    <w:p>
      <w:pPr>
        <w:spacing w:before="0" w:after="0" w:line="240"/>
        <w:ind w:right="0" w:left="426" w:firstLine="0"/>
        <w:jc w:val="left"/>
        <w:rPr>
          <w:rFonts w:ascii="Arial" w:hAnsi="Arial" w:cs="Arial" w:eastAsia="Arial"/>
          <w:color w:val="auto"/>
          <w:spacing w:val="0"/>
          <w:position w:val="0"/>
          <w:sz w:val="22"/>
          <w:shd w:fill="auto" w:val="clear"/>
        </w:rPr>
      </w:pPr>
    </w:p>
    <w:p>
      <w:pPr>
        <w:spacing w:before="0" w:after="0" w:line="240"/>
        <w:ind w:right="0" w:left="426"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Emergency services across the UK have also faced recent criticism due to the lack of interoperability between emergency services when responding to and dealing with incidents. 'JESIP' or the Joint Emergency Services Interoperability Principles, was created and provides agreed practices to improve the way that the ambulance, fire, and police services work together whilst responding to incidents. The five principles of JESIP are co-location, communication, coordination, a joint understanding of risk, and shared situational awareness. JESIP has also developed many training techniques and shared ideas, one of these being a mnemonic used by all services when attending a major incident to help support shared situational awareness. Some of the main roles of the police at a joint emergency service operation is to save and prevent further loss of life, secure the scene and evidence, investigate any criminal offences, and to provide traffic management as stated by the College of Policing. (Supporting material, 2021).</w:t>
      </w:r>
    </w:p>
    <w:p>
      <w:pPr>
        <w:spacing w:before="0" w:after="0" w:line="240"/>
        <w:ind w:right="0" w:left="426" w:firstLine="0"/>
        <w:jc w:val="left"/>
        <w:rPr>
          <w:rFonts w:ascii="Arial" w:hAnsi="Arial" w:cs="Arial" w:eastAsia="Arial"/>
          <w:color w:val="auto"/>
          <w:spacing w:val="0"/>
          <w:position w:val="0"/>
          <w:sz w:val="22"/>
          <w:shd w:fill="auto" w:val="clear"/>
        </w:rPr>
      </w:pPr>
    </w:p>
    <w:p>
      <w:pPr>
        <w:spacing w:before="0" w:after="0" w:line="240"/>
        <w:ind w:right="0" w:left="426"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conclusion, it is clear to see that the modern police of today face some difficult and complex challenges as highlighted above. Crimes involving weapons mean officers need to develop new tactics and control measures such as taser training. Complex internet crime means that forces need to adapt and develop new teams and strategies with the expertise and technology to investigate and tackle the crimes. Cross border organised crime, means that forces need to work together and find new ways to disrupt and detect crime coming across force boundaries, by using information and intelligence and working together. Finally, joint emergency services operations mean that officers will need to be trained and readily available to deal with major and critical incidents. From the research and evidence above it is clear to see that in order to successfully deal with these complex issues facing the police it requires the most important thing of all, police officers. More importantly, they are fit, healthy, and well of mind. The biggest challenge facing police officers today is the number of officers on the streets of the United Kingdom.</w:t>
      </w:r>
    </w:p>
    <w:p>
      <w:pPr>
        <w:spacing w:before="0" w:after="0" w:line="240"/>
        <w:ind w:right="0" w:left="426" w:firstLine="0"/>
        <w:jc w:val="left"/>
        <w:rPr>
          <w:rFonts w:ascii="Arial" w:hAnsi="Arial" w:cs="Arial" w:eastAsia="Arial"/>
          <w:color w:val="auto"/>
          <w:spacing w:val="0"/>
          <w:position w:val="0"/>
          <w:sz w:val="22"/>
          <w:shd w:fill="auto" w:val="clear"/>
        </w:rPr>
      </w:pPr>
    </w:p>
    <w:p>
      <w:pPr>
        <w:spacing w:before="0" w:after="0" w:line="240"/>
        <w:ind w:right="0" w:left="426" w:firstLine="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Word Count: 926</w:t>
      </w:r>
    </w:p>
    <w:p>
      <w:pPr>
        <w:spacing w:before="0" w:after="0" w:line="240"/>
        <w:ind w:right="0" w:left="426" w:firstLine="0"/>
        <w:jc w:val="center"/>
        <w:rPr>
          <w:rFonts w:ascii="Arial" w:hAnsi="Arial" w:cs="Arial" w:eastAsia="Arial"/>
          <w:b/>
          <w:color w:val="auto"/>
          <w:spacing w:val="0"/>
          <w:position w:val="0"/>
          <w:sz w:val="24"/>
          <w:shd w:fill="auto" w:val="clear"/>
        </w:rPr>
      </w:pPr>
    </w:p>
    <w:p>
      <w:pPr>
        <w:spacing w:before="0" w:after="0" w:line="240"/>
        <w:ind w:right="0" w:left="426"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2"/>
          <w:shd w:fill="auto" w:val="clear"/>
        </w:rPr>
        <w:t xml:space="preserve">Students are required to complete a 1000-word essay under the following title:</w:t>
      </w:r>
    </w:p>
    <w:p>
      <w:pPr>
        <w:spacing w:before="240" w:after="0" w:line="240"/>
        <w:ind w:right="0" w:left="426"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Analyse the potential links between terrorism and other forms of criminality and discuss how policing the roads assist in counter terrorism investigation</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this essay, I will be analysing the potential links between terrorism and other forms of criminality. I will also be discussing how policing the roads can assist in counter-terrorist investigations. Terrorism offences are mostly specific and not like more common offences that the general public see and face in their day to day lives and seeing links between terrorism and other forms of criminality can be somewhat difficult and hidden. However, terrorist groups often commit many offences in the need to support their movements and objectives, such as human trafficking, drug smuggling and kidnapping for ransom. Terrorism needs some form of funding to be able to operate and most groups are drawn to such activities as drug and gun smuggling to fund their efforts. This can be directly linked to organised crime within the UK where drug dealing and supply is a key issue. There is also a link with the persons involved in both terrorism and organised crime. The UK organised crime groups often use children and vulnerable people to commit their crimes as they are easy to influence and control. The same goes for terrorism, as groups use propaganda and radicalisation to target the most vulnerable people to enlist to their cause. Roads policing can also provide a critical resource in the fight against terrorism during investigations. As with organised crime groups within the UK, terrorism will also use the main arterial routes through the UK, mainly being roads, to smuggle persons, drugs, and weapons throughout the country. Targeting these routes can provide early intervention and detection against terrorism within the United Kingdom.</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first link that we see between terrorism and Organised Crime is within the very definitions of what they are. Organised crime groups can be described as a collaboration of at least three people that are suspected of committing serious criminal offences and have as their objective the pursuit of power or profit. Terrorism is defined as "the conduct of premeditated violent acts or the threat of violence that is perpetrated by members of an organised group." (Europe's Crime-Terror Nexus 2021). A further link between the groups is seen in the crimes committed. Organised crime groups in the UK are known for smuggling and supplying drugs throughout the UK. Some groups are also known for creating and distributing false documentation. These groups can then work in tandem with the terrorist groups to provide a means to access the UK or other parts of the world un-detected. But terrorist groups also need the means to fund their exploits. Terrorist groups such as 'Al-Shabaab' are well known for drug smuggling throughout the world and groups such as 'Al-Qaeda' for smuggling diamonds and drugs. These groups do this as a means of funding for weapons, vehicles, travel, and propaganda. "In 2013, cocaine to the value of $1.25 billion was reported to have been trafficked through West Africa to Europe amid rising concern over the possibility of Al-Qaida in the Islamic Maghreb's (AQIM) increased involvement in the drug trade" (Organized Crime Module 16 Key Issues: Terrorism and drug trafficking, 2021). The organised crime-terrorism nexus thesis states that there is cooperative collusion between organised crime and terrorism. It is suggested that this may be illustrated by arms for drug deals and the payment of tribute or taxes to terrorist groups by organised criminal groups for moving contraband through their territory. (Williams, 1998).</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further link between the groups is through the people they use and the crime of human trafficking. Organised crime groups within the UK also known as county lines will target vulnerable young persons and exploit them to carry out drug deals and drug smuggling throughout the UK as they are less targeted by UK police forces. Terrorist groups such as "Boko Haram (Nigeria) and Al-Shabaab (Somalia) have been documented trafficking children into soldier/fighter roles, as well as using them to carry out suicide bombings." (Organized Crime Module 16 Key Issues: Trafficking in persons and terrorism, 2021). The clear link is that both groups target and exploit children to carry out their work as they are easier to persuade and radicalise.</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Roads policing in the UK is a key preventative measure for counter-terrorism as car travel is the main form of transport within the UK. A three-year strategy in 2018 set out by the NPCC created countering terrorism through roads policing as one of four priorities. (Road policing, 2021). Proactive road policing can lead to the effective disruption of criminal activity and along with it terrorist activity. Officers can target vehicles known for criminal exploits through the use of intelligence and sources such as automatic number plate recognition systems. Routine stops of target or suspicious vehicles could reduce crime and prevent terrorist organisations from developing a foothold within the communities of the UK. As previously evidenced, terrorist groups have many links with organised crime groups and will commit very similar offences as a means of funding. All of the offences mentioned above, such as drug smuggling and human trafficking involve moving an 'object' from one place to another. Therefore, effective policing on the roads of the UK can disrupt these crimes and detect criminal and terrorist behavior, furthermore, helping to develop intelligence on terrorist activity for current, ongoing investigations.</w:t>
      </w:r>
    </w:p>
    <w:p>
      <w:pPr>
        <w:spacing w:before="240" w:after="0" w:line="240"/>
        <w:ind w:right="0" w:left="426"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Whilst the end goal of both groups remain very different they both still seek power or profit in some form or another. But there is also a very clear nexus between them in the means in which they carry out their operations. Both groups commit very similar criminal offences and activities as a means of creating funds. Furthermore, both groups target, exploit, and use young and vulnerable people in aid to their criminal activities. It is clear the way in which terrorist groups operate needs to be identified and understood so that early intervention and prevention can be implemented.</w:t>
      </w:r>
    </w:p>
    <w:p>
      <w:pPr>
        <w:spacing w:before="240" w:after="0" w:line="240"/>
        <w:ind w:right="0" w:left="426"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Word Count: 972</w:t>
      </w:r>
    </w:p>
    <w:p>
      <w:pPr>
        <w:spacing w:before="240" w:after="0" w:line="240"/>
        <w:ind w:right="0" w:left="426" w:firstLine="0"/>
        <w:jc w:val="both"/>
        <w:rPr>
          <w:rFonts w:ascii="Arial" w:hAnsi="Arial" w:cs="Arial" w:eastAsia="Arial"/>
          <w:b/>
          <w:color w:val="auto"/>
          <w:spacing w:val="0"/>
          <w:position w:val="0"/>
          <w:sz w:val="22"/>
          <w:shd w:fill="auto" w:val="clear"/>
        </w:rPr>
      </w:pPr>
    </w:p>
    <w:p>
      <w:pPr>
        <w:spacing w:before="240" w:after="0" w:line="240"/>
        <w:ind w:right="0" w:left="426" w:firstLine="0"/>
        <w:jc w:val="both"/>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Bibliography</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Independent. 2021. Ten Years After The Death Of Fiona Pilkington, Have The Police Got Better At Tackling Hate Crime?. [online] Available at: &lt;</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https://www.independent.co.uk/news/long_reads/fiona-pilkington-frankie-pilkington-suicide-learning-disabilities-bullying-hate-crime-a8004526.html</w:t>
        </w:r>
      </w:hyperlink>
      <w:r>
        <w:rPr>
          <w:rFonts w:ascii="Arial" w:hAnsi="Arial" w:cs="Arial" w:eastAsia="Arial"/>
          <w:color w:val="auto"/>
          <w:spacing w:val="0"/>
          <w:position w:val="0"/>
          <w:sz w:val="22"/>
          <w:shd w:fill="auto" w:val="clear"/>
        </w:rPr>
        <w:t xml:space="preserve">&gt; [Accessed 7 January 2021].</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Beta.south-wales.police.uk. 2021. Our Vision, Values And Ethics. [online] Available at: &lt;</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https://beta.south-wales.police.uk/police-forces/south-wales-police/areas/about-us/about-us/our-vision-values-and-ethics/</w:t>
        </w:r>
      </w:hyperlink>
      <w:r>
        <w:rPr>
          <w:rFonts w:ascii="Arial" w:hAnsi="Arial" w:cs="Arial" w:eastAsia="Arial"/>
          <w:color w:val="auto"/>
          <w:spacing w:val="0"/>
          <w:position w:val="0"/>
          <w:sz w:val="22"/>
          <w:shd w:fill="auto" w:val="clear"/>
        </w:rPr>
        <w:t xml:space="preserve">&gt; [Accessed 7 January 2021].</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College.police.uk. 2021. Engaging Communities | College Of Policing. [online] Available at: &lt;</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https://www.college.police.uk/What-we-do/Standards/Guidelines/Neighbourhood-Policing/Pages/engaging-communities.aspx</w:t>
        </w:r>
      </w:hyperlink>
      <w:r>
        <w:rPr>
          <w:rFonts w:ascii="Arial" w:hAnsi="Arial" w:cs="Arial" w:eastAsia="Arial"/>
          <w:color w:val="auto"/>
          <w:spacing w:val="0"/>
          <w:position w:val="0"/>
          <w:sz w:val="22"/>
          <w:shd w:fill="auto" w:val="clear"/>
        </w:rPr>
        <w:t xml:space="preserve">&gt; [Accessed 7 January 2021].</w:t>
      </w:r>
    </w:p>
    <w:p>
      <w:pPr>
        <w:spacing w:before="240" w:after="0" w:line="240"/>
        <w:ind w:right="0" w:left="426"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Europarl.europa.eu. 2021. [online] Available at: &lt;</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https://www.europarl.europa.eu/RegData/etudes/etudes/join/2012/462503/IPOL-LIBE_ET(2012)462503_EN.pdf</w:t>
        </w:r>
      </w:hyperlink>
      <w:r>
        <w:rPr>
          <w:rFonts w:ascii="Arial" w:hAnsi="Arial" w:cs="Arial" w:eastAsia="Arial"/>
          <w:color w:val="auto"/>
          <w:spacing w:val="0"/>
          <w:position w:val="0"/>
          <w:sz w:val="22"/>
          <w:shd w:fill="auto" w:val="clear"/>
        </w:rPr>
        <w:t xml:space="preserve">&gt; [Accessed 9 January 2021].</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Unodc.org. 2021. Organized Crime Module 16 Key Issues: Terrorism And Drug Trafficking. [online] Available at: &lt;</w:t>
      </w:r>
      <w:hyperlink xmlns:r="http://schemas.openxmlformats.org/officeDocument/2006/relationships" r:id="docRId6">
        <w:r>
          <w:rPr>
            <w:rFonts w:ascii="Arial" w:hAnsi="Arial" w:cs="Arial" w:eastAsia="Arial"/>
            <w:color w:val="0000FF"/>
            <w:spacing w:val="0"/>
            <w:position w:val="0"/>
            <w:sz w:val="22"/>
            <w:u w:val="single"/>
            <w:shd w:fill="auto" w:val="clear"/>
          </w:rPr>
          <w:t xml:space="preserve">https://www.unodc.org/e4j/en/organized-crime/module-16/key-issues/terrorism-and-drug-trafficking.html</w:t>
        </w:r>
      </w:hyperlink>
      <w:r>
        <w:rPr>
          <w:rFonts w:ascii="Arial" w:hAnsi="Arial" w:cs="Arial" w:eastAsia="Arial"/>
          <w:color w:val="auto"/>
          <w:spacing w:val="0"/>
          <w:position w:val="0"/>
          <w:sz w:val="22"/>
          <w:shd w:fill="auto" w:val="clear"/>
        </w:rPr>
        <w:t xml:space="preserve">&gt; [Accessed 9 January 2021].</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Williams, P. (1998). "Terrorism and Organized Crime: Convergence, Nexus or Transformation?" in Jervas ed. Report on Terrorism, Swedish Defence Research Establishment [Accessed 9 January 2021].</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Unodc.org. 2021. Organized Crime Module 16 Key Issues: Trafficking In Persons And Terrorism. [online] Available at: &lt;</w:t>
      </w:r>
      <w:hyperlink xmlns:r="http://schemas.openxmlformats.org/officeDocument/2006/relationships" r:id="docRId7">
        <w:r>
          <w:rPr>
            <w:rFonts w:ascii="Arial" w:hAnsi="Arial" w:cs="Arial" w:eastAsia="Arial"/>
            <w:color w:val="0000FF"/>
            <w:spacing w:val="0"/>
            <w:position w:val="0"/>
            <w:sz w:val="22"/>
            <w:u w:val="single"/>
            <w:shd w:fill="auto" w:val="clear"/>
          </w:rPr>
          <w:t xml:space="preserve">https://www.unodc.org/e4j/en/organized-crime/module-16/key-issues/trafficking-in-persons-and-terrorism.html</w:t>
        </w:r>
      </w:hyperlink>
      <w:r>
        <w:rPr>
          <w:rFonts w:ascii="Arial" w:hAnsi="Arial" w:cs="Arial" w:eastAsia="Arial"/>
          <w:color w:val="auto"/>
          <w:spacing w:val="0"/>
          <w:position w:val="0"/>
          <w:sz w:val="22"/>
          <w:shd w:fill="auto" w:val="clear"/>
        </w:rPr>
        <w:t xml:space="preserve">&gt; [Accessed 9 January 2021].</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App.college.police.uk. 2021. Road Policing. [online] Available at: &lt;</w:t>
      </w:r>
      <w:hyperlink xmlns:r="http://schemas.openxmlformats.org/officeDocument/2006/relationships" r:id="docRId8">
        <w:r>
          <w:rPr>
            <w:rFonts w:ascii="Arial" w:hAnsi="Arial" w:cs="Arial" w:eastAsia="Arial"/>
            <w:color w:val="0000FF"/>
            <w:spacing w:val="0"/>
            <w:position w:val="0"/>
            <w:sz w:val="22"/>
            <w:u w:val="single"/>
            <w:shd w:fill="auto" w:val="clear"/>
          </w:rPr>
          <w:t xml:space="preserve">https://www.app.college.police.uk/app-content/road-policing-2/</w:t>
        </w:r>
      </w:hyperlink>
      <w:r>
        <w:rPr>
          <w:rFonts w:ascii="Arial" w:hAnsi="Arial" w:cs="Arial" w:eastAsia="Arial"/>
          <w:color w:val="auto"/>
          <w:spacing w:val="0"/>
          <w:position w:val="0"/>
          <w:sz w:val="22"/>
          <w:shd w:fill="auto" w:val="clear"/>
        </w:rPr>
        <w:t xml:space="preserve">&gt; [Accessed 9 January 2021].</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Nwoko, S., 2021. Revitalizing Problem-Oriented Policing Through SWOT Analysis Concepts. [online] Ebpsociety.org. Available at: &lt;</w:t>
      </w:r>
      <w:hyperlink xmlns:r="http://schemas.openxmlformats.org/officeDocument/2006/relationships" r:id="docRId9">
        <w:r>
          <w:rPr>
            <w:rFonts w:ascii="Arial" w:hAnsi="Arial" w:cs="Arial" w:eastAsia="Arial"/>
            <w:color w:val="0000FF"/>
            <w:spacing w:val="0"/>
            <w:position w:val="0"/>
            <w:sz w:val="22"/>
            <w:u w:val="single"/>
            <w:shd w:fill="auto" w:val="clear"/>
          </w:rPr>
          <w:t xml:space="preserve">https://www.ebpsociety.org/blog/education/252-swot-analysis-police</w:t>
        </w:r>
      </w:hyperlink>
      <w:r>
        <w:rPr>
          <w:rFonts w:ascii="Arial" w:hAnsi="Arial" w:cs="Arial" w:eastAsia="Arial"/>
          <w:color w:val="auto"/>
          <w:spacing w:val="0"/>
          <w:position w:val="0"/>
          <w:sz w:val="22"/>
          <w:shd w:fill="auto" w:val="clear"/>
        </w:rPr>
        <w:t xml:space="preserve">&gt; [Accessed 10 January 2021].</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Whatworks.college.police.uk. 2021. Problem-Orientated Policing NEW. [online] Available at: &lt;</w:t>
      </w:r>
      <w:hyperlink xmlns:r="http://schemas.openxmlformats.org/officeDocument/2006/relationships" r:id="docRId10">
        <w:r>
          <w:rPr>
            <w:rFonts w:ascii="Arial" w:hAnsi="Arial" w:cs="Arial" w:eastAsia="Arial"/>
            <w:color w:val="0000FF"/>
            <w:spacing w:val="0"/>
            <w:position w:val="0"/>
            <w:sz w:val="22"/>
            <w:u w:val="single"/>
            <w:shd w:fill="auto" w:val="clear"/>
          </w:rPr>
          <w:t xml:space="preserve">https://whatworks.college.police.uk/toolkit/Pages/Intervention.aspx?InterventionID=47</w:t>
        </w:r>
      </w:hyperlink>
      <w:r>
        <w:rPr>
          <w:rFonts w:ascii="Arial" w:hAnsi="Arial" w:cs="Arial" w:eastAsia="Arial"/>
          <w:color w:val="auto"/>
          <w:spacing w:val="0"/>
          <w:position w:val="0"/>
          <w:sz w:val="22"/>
          <w:shd w:fill="auto" w:val="clear"/>
        </w:rPr>
        <w:t xml:space="preserve">&gt; [Accessed 10 January 2021].</w:t>
      </w:r>
    </w:p>
    <w:p>
      <w:pPr>
        <w:spacing w:before="240" w:after="0" w:line="240"/>
        <w:ind w:right="0" w:left="426"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Gov.scot. 2021. Repeat Violent Victimisation: Evidence Review - Gov.Scot. [online] Available at: &lt;</w:t>
      </w:r>
      <w:hyperlink xmlns:r="http://schemas.openxmlformats.org/officeDocument/2006/relationships" r:id="docRId11">
        <w:r>
          <w:rPr>
            <w:rFonts w:ascii="Arial" w:hAnsi="Arial" w:cs="Arial" w:eastAsia="Arial"/>
            <w:color w:val="0000FF"/>
            <w:spacing w:val="0"/>
            <w:position w:val="0"/>
            <w:sz w:val="22"/>
            <w:u w:val="single"/>
            <w:shd w:fill="auto" w:val="clear"/>
          </w:rPr>
          <w:t xml:space="preserve">https://www.gov.scot/publications/repeat-violent-victimisation-rapid-evidence-review/pages/4/#:~:text=As%20above%20discussed%2C%20repeat%20victimisation,(Scottish%20Government%2C%202019).</w:t>
        </w:r>
      </w:hyperlink>
      <w:r>
        <w:rPr>
          <w:rFonts w:ascii="Arial" w:hAnsi="Arial" w:cs="Arial" w:eastAsia="Arial"/>
          <w:color w:val="auto"/>
          <w:spacing w:val="0"/>
          <w:position w:val="0"/>
          <w:sz w:val="22"/>
          <w:shd w:fill="auto" w:val="clear"/>
        </w:rPr>
        <w:t xml:space="preserve">&gt; [Accessed 10 January 2021].</w:t>
      </w:r>
    </w:p>
    <w:p>
      <w:pPr>
        <w:spacing w:before="240" w:after="0" w:line="240"/>
        <w:ind w:right="0" w:left="426"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BBC News. 2021. Have Police Numbers Dropped?. [online] Available at: &lt;</w:t>
      </w:r>
      <w:hyperlink xmlns:r="http://schemas.openxmlformats.org/officeDocument/2006/relationships" r:id="docRId12">
        <w:r>
          <w:rPr>
            <w:rFonts w:ascii="Arial" w:hAnsi="Arial" w:cs="Arial" w:eastAsia="Arial"/>
            <w:color w:val="0000FF"/>
            <w:spacing w:val="0"/>
            <w:position w:val="0"/>
            <w:sz w:val="24"/>
            <w:u w:val="single"/>
            <w:shd w:fill="auto" w:val="clear"/>
          </w:rPr>
          <w:t xml:space="preserve">https://www.bbc.co.uk/news/uk-47225797#:~:text=Between%20March%202010%20and%20March,of%20police%20officers%20since%201981.</w:t>
        </w:r>
      </w:hyperlink>
      <w:r>
        <w:rPr>
          <w:rFonts w:ascii="Arial" w:hAnsi="Arial" w:cs="Arial" w:eastAsia="Arial"/>
          <w:color w:val="auto"/>
          <w:spacing w:val="0"/>
          <w:position w:val="0"/>
          <w:sz w:val="24"/>
          <w:shd w:fill="auto" w:val="clear"/>
        </w:rPr>
        <w:t xml:space="preserve">&gt; [Accessed 10 January 2021].</w:t>
      </w:r>
    </w:p>
    <w:p>
      <w:pPr>
        <w:spacing w:before="240" w:after="0" w:line="240"/>
        <w:ind w:right="0" w:left="426"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Ons.gov.uk. 2021. Crime In England And Wales - Office For National Statistics. [online] Available at: &lt;</w:t>
      </w:r>
      <w:hyperlink xmlns:r="http://schemas.openxmlformats.org/officeDocument/2006/relationships" r:id="docRId13">
        <w:r>
          <w:rPr>
            <w:rFonts w:ascii="Arial" w:hAnsi="Arial" w:cs="Arial" w:eastAsia="Arial"/>
            <w:color w:val="0000FF"/>
            <w:spacing w:val="0"/>
            <w:position w:val="0"/>
            <w:sz w:val="24"/>
            <w:u w:val="single"/>
            <w:shd w:fill="auto" w:val="clear"/>
          </w:rPr>
          <w:t xml:space="preserve">https://www.ons.gov.uk/peoplepopulationandcommunity/crimeandjustice/bulletins/crimeinenglandandwales/yearendingdecember2019</w:t>
        </w:r>
      </w:hyperlink>
      <w:r>
        <w:rPr>
          <w:rFonts w:ascii="Arial" w:hAnsi="Arial" w:cs="Arial" w:eastAsia="Arial"/>
          <w:color w:val="auto"/>
          <w:spacing w:val="0"/>
          <w:position w:val="0"/>
          <w:sz w:val="24"/>
          <w:shd w:fill="auto" w:val="clear"/>
        </w:rPr>
        <w:t xml:space="preserve">&gt; [Accessed 10 January 2021].</w:t>
      </w:r>
    </w:p>
    <w:p>
      <w:pPr>
        <w:spacing w:before="240" w:after="0" w:line="240"/>
        <w:ind w:right="0" w:left="426"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BBC News. 2021. Police Shortages: 'Working Alone Left Me With PTSD'. [online] Available at: &lt;</w:t>
      </w:r>
      <w:hyperlink xmlns:r="http://schemas.openxmlformats.org/officeDocument/2006/relationships" r:id="docRId14">
        <w:r>
          <w:rPr>
            <w:rFonts w:ascii="Arial" w:hAnsi="Arial" w:cs="Arial" w:eastAsia="Arial"/>
            <w:color w:val="0000FF"/>
            <w:spacing w:val="0"/>
            <w:position w:val="0"/>
            <w:sz w:val="24"/>
            <w:u w:val="single"/>
            <w:shd w:fill="auto" w:val="clear"/>
          </w:rPr>
          <w:t xml:space="preserve">https://www.bbc.co.uk/news/uk-47212662</w:t>
        </w:r>
      </w:hyperlink>
      <w:r>
        <w:rPr>
          <w:rFonts w:ascii="Arial" w:hAnsi="Arial" w:cs="Arial" w:eastAsia="Arial"/>
          <w:color w:val="auto"/>
          <w:spacing w:val="0"/>
          <w:position w:val="0"/>
          <w:sz w:val="24"/>
          <w:shd w:fill="auto" w:val="clear"/>
        </w:rPr>
        <w:t xml:space="preserve">&gt; [Accessed 10 January 2021].</w:t>
      </w:r>
    </w:p>
    <w:p>
      <w:pPr>
        <w:spacing w:before="240" w:after="0" w:line="240"/>
        <w:ind w:right="0" w:left="426"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Instituteforgovernment.org.uk. 2021. Stackpath. [online] Available at: &lt;</w:t>
      </w:r>
      <w:hyperlink xmlns:r="http://schemas.openxmlformats.org/officeDocument/2006/relationships" r:id="docRId15">
        <w:r>
          <w:rPr>
            <w:rFonts w:ascii="Arial" w:hAnsi="Arial" w:cs="Arial" w:eastAsia="Arial"/>
            <w:color w:val="0000FF"/>
            <w:spacing w:val="0"/>
            <w:position w:val="0"/>
            <w:sz w:val="24"/>
            <w:u w:val="single"/>
            <w:shd w:fill="auto" w:val="clear"/>
          </w:rPr>
          <w:t xml:space="preserve">https://www.instituteforgovernment.org.uk/blog/knife-crime-not-main-challenge-faced-police-forces</w:t>
        </w:r>
      </w:hyperlink>
      <w:r>
        <w:rPr>
          <w:rFonts w:ascii="Arial" w:hAnsi="Arial" w:cs="Arial" w:eastAsia="Arial"/>
          <w:color w:val="auto"/>
          <w:spacing w:val="0"/>
          <w:position w:val="0"/>
          <w:sz w:val="24"/>
          <w:shd w:fill="auto" w:val="clear"/>
        </w:rPr>
        <w:t xml:space="preserve">&gt; [Accessed 10 January 2021].</w:t>
      </w:r>
    </w:p>
    <w:p>
      <w:pPr>
        <w:spacing w:before="240" w:after="0" w:line="240"/>
        <w:ind w:right="0" w:left="426"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Institute for Government. 2021. Police. [online] Available at: &lt;</w:t>
      </w:r>
      <w:hyperlink xmlns:r="http://schemas.openxmlformats.org/officeDocument/2006/relationships" r:id="docRId16">
        <w:r>
          <w:rPr>
            <w:rFonts w:ascii="Arial" w:hAnsi="Arial" w:cs="Arial" w:eastAsia="Arial"/>
            <w:color w:val="0000FF"/>
            <w:spacing w:val="0"/>
            <w:position w:val="0"/>
            <w:sz w:val="24"/>
            <w:u w:val="single"/>
            <w:shd w:fill="auto" w:val="clear"/>
          </w:rPr>
          <w:t xml:space="preserve">https://www.instituteforgovernment.org.uk/publication/performance-tracker-2019/police</w:t>
        </w:r>
      </w:hyperlink>
      <w:r>
        <w:rPr>
          <w:rFonts w:ascii="Arial" w:hAnsi="Arial" w:cs="Arial" w:eastAsia="Arial"/>
          <w:color w:val="auto"/>
          <w:spacing w:val="0"/>
          <w:position w:val="0"/>
          <w:sz w:val="24"/>
          <w:shd w:fill="auto" w:val="clear"/>
        </w:rPr>
        <w:t xml:space="preserve">&gt; [Accessed 10 January 2021].</w:t>
      </w:r>
    </w:p>
    <w:p>
      <w:pPr>
        <w:spacing w:before="240" w:after="0" w:line="240"/>
        <w:ind w:right="0" w:left="426"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App.college.police.uk. 2021. Supporting Material. [online] Available at: &lt;</w:t>
      </w:r>
      <w:hyperlink xmlns:r="http://schemas.openxmlformats.org/officeDocument/2006/relationships" r:id="docRId17">
        <w:r>
          <w:rPr>
            <w:rFonts w:ascii="Arial" w:hAnsi="Arial" w:cs="Arial" w:eastAsia="Arial"/>
            <w:color w:val="0000FF"/>
            <w:spacing w:val="0"/>
            <w:position w:val="0"/>
            <w:sz w:val="24"/>
            <w:u w:val="single"/>
            <w:shd w:fill="auto" w:val="clear"/>
          </w:rPr>
          <w:t xml:space="preserve">https://www.app.college.police.uk/app-content/civil-emergencies/civil-contingencies/supporting-material/#checklist-1-police-role-in-major-incidents</w:t>
        </w:r>
      </w:hyperlink>
      <w:r>
        <w:rPr>
          <w:rFonts w:ascii="Arial" w:hAnsi="Arial" w:cs="Arial" w:eastAsia="Arial"/>
          <w:color w:val="auto"/>
          <w:spacing w:val="0"/>
          <w:position w:val="0"/>
          <w:sz w:val="24"/>
          <w:shd w:fill="auto" w:val="clear"/>
        </w:rPr>
        <w:t xml:space="preserve">&gt; [Accessed 10 January 2021].</w:t>
      </w:r>
    </w:p>
    <w:p>
      <w:pPr>
        <w:spacing w:before="0" w:after="0" w:line="240"/>
        <w:ind w:right="0" w:left="426" w:firstLine="0"/>
        <w:jc w:val="center"/>
        <w:rPr>
          <w:rFonts w:ascii="Arial" w:hAnsi="Arial" w:cs="Arial" w:eastAsia="Arial"/>
          <w:b/>
          <w:color w:val="auto"/>
          <w:spacing w:val="0"/>
          <w:position w:val="0"/>
          <w:sz w:val="24"/>
          <w:shd w:fill="auto" w:val="clear"/>
        </w:rPr>
      </w:pPr>
    </w:p>
    <w:p>
      <w:pPr>
        <w:spacing w:before="0" w:after="0" w:line="240"/>
        <w:ind w:right="0" w:left="426" w:firstLine="0"/>
        <w:jc w:val="center"/>
        <w:rPr>
          <w:rFonts w:ascii="Arial" w:hAnsi="Arial" w:cs="Arial" w:eastAsia="Arial"/>
          <w:b/>
          <w:color w:val="auto"/>
          <w:spacing w:val="0"/>
          <w:position w:val="0"/>
          <w:sz w:val="24"/>
          <w:shd w:fill="auto" w:val="clear"/>
        </w:rPr>
      </w:pPr>
    </w:p>
    <w:p>
      <w:pPr>
        <w:spacing w:before="0" w:after="0" w:line="240"/>
        <w:ind w:right="0" w:left="426" w:firstLine="0"/>
        <w:jc w:val="center"/>
        <w:rPr>
          <w:rFonts w:ascii="Arial" w:hAnsi="Arial" w:cs="Arial" w:eastAsia="Arial"/>
          <w:b/>
          <w:color w:val="auto"/>
          <w:spacing w:val="0"/>
          <w:position w:val="0"/>
          <w:sz w:val="24"/>
          <w:shd w:fill="auto" w:val="clear"/>
        </w:rPr>
      </w:pPr>
    </w:p>
    <w:p>
      <w:pPr>
        <w:spacing w:before="0" w:after="0" w:line="240"/>
        <w:ind w:right="0" w:left="426" w:firstLine="0"/>
        <w:jc w:val="center"/>
        <w:rPr>
          <w:rFonts w:ascii="Arial" w:hAnsi="Arial" w:cs="Arial" w:eastAsia="Arial"/>
          <w:b/>
          <w:color w:val="auto"/>
          <w:spacing w:val="0"/>
          <w:position w:val="0"/>
          <w:sz w:val="24"/>
          <w:shd w:fill="auto" w:val="clear"/>
        </w:rPr>
      </w:pPr>
    </w:p>
    <w:p>
      <w:pPr>
        <w:spacing w:before="0" w:after="0" w:line="240"/>
        <w:ind w:right="0" w:left="426" w:firstLine="0"/>
        <w:jc w:val="center"/>
        <w:rPr>
          <w:rFonts w:ascii="Arial" w:hAnsi="Arial" w:cs="Arial" w:eastAsia="Arial"/>
          <w:b/>
          <w:color w:val="auto"/>
          <w:spacing w:val="0"/>
          <w:position w:val="0"/>
          <w:sz w:val="24"/>
          <w:shd w:fill="auto" w:val="clear"/>
        </w:rPr>
      </w:pPr>
    </w:p>
    <w:p>
      <w:pPr>
        <w:spacing w:before="0" w:after="0" w:line="240"/>
        <w:ind w:right="0" w:left="426" w:firstLine="0"/>
        <w:jc w:val="center"/>
        <w:rPr>
          <w:rFonts w:ascii="Arial" w:hAnsi="Arial" w:cs="Arial" w:eastAsia="Arial"/>
          <w:b/>
          <w:color w:val="auto"/>
          <w:spacing w:val="0"/>
          <w:position w:val="0"/>
          <w:sz w:val="24"/>
          <w:shd w:fill="auto" w:val="clear"/>
        </w:rPr>
      </w:pPr>
    </w:p>
    <w:p>
      <w:pPr>
        <w:spacing w:before="0" w:after="0" w:line="240"/>
        <w:ind w:right="0" w:left="426" w:firstLine="0"/>
        <w:jc w:val="center"/>
        <w:rPr>
          <w:rFonts w:ascii="Arial" w:hAnsi="Arial" w:cs="Arial" w:eastAsia="Arial"/>
          <w:b/>
          <w:color w:val="auto"/>
          <w:spacing w:val="0"/>
          <w:position w:val="0"/>
          <w:sz w:val="24"/>
          <w:shd w:fill="auto" w:val="clear"/>
        </w:rPr>
      </w:pPr>
    </w:p>
    <w:p>
      <w:pPr>
        <w:spacing w:before="0" w:after="0" w:line="240"/>
        <w:ind w:right="0" w:left="426" w:firstLine="0"/>
        <w:jc w:val="center"/>
        <w:rPr>
          <w:rFonts w:ascii="Arial" w:hAnsi="Arial" w:cs="Arial" w:eastAsia="Arial"/>
          <w:b/>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app.college.police.uk/app-content/civil-emergencies/civil-contingencies/supporting-material/#checklist-1-police-role-in-major-incidents" Id="docRId17" Type="http://schemas.openxmlformats.org/officeDocument/2006/relationships/hyperlink" /><Relationship TargetMode="External" Target="https://www.unodc.org/e4j/en/organized-crime/module-16/key-issues/trafficking-in-persons-and-terrorism.html" Id="docRId7" Type="http://schemas.openxmlformats.org/officeDocument/2006/relationships/hyperlink" /><Relationship TargetMode="External" Target="https://whatworks.college.police.uk/toolkit/Pages/Intervention.aspx?InterventionID=47" Id="docRId10" Type="http://schemas.openxmlformats.org/officeDocument/2006/relationships/hyperlink" /><Relationship TargetMode="External" Target="https://www.bbc.co.uk/news/uk-47212662" Id="docRId14" Type="http://schemas.openxmlformats.org/officeDocument/2006/relationships/hyperlink" /><Relationship Target="numbering.xml" Id="docRId18" Type="http://schemas.openxmlformats.org/officeDocument/2006/relationships/numbering" /><Relationship TargetMode="External" Target="https://www.independent.co.uk/news/long_reads/fiona-pilkington-frankie-pilkington-suicide-learning-disabilities-bullying-hate-crime-a8004526.html" Id="docRId2" Type="http://schemas.openxmlformats.org/officeDocument/2006/relationships/hyperlink" /><Relationship TargetMode="External" Target="https://www.unodc.org/e4j/en/organized-crime/module-16/key-issues/terrorism-and-drug-trafficking.html" Id="docRId6" Type="http://schemas.openxmlformats.org/officeDocument/2006/relationships/hyperlink" /><Relationship Target="media/image0.wmf" Id="docRId1" Type="http://schemas.openxmlformats.org/officeDocument/2006/relationships/image" /><Relationship TargetMode="External" Target="https://www.gov.scot/publications/repeat-violent-victimisation-rapid-evidence-review/pages/4/#:~:text=As%20above%20discussed%2C%20repeat%20victimisation,(Scottish%20Government%2C%202019)." Id="docRId11" Type="http://schemas.openxmlformats.org/officeDocument/2006/relationships/hyperlink" /><Relationship TargetMode="External" Target="https://www.instituteforgovernment.org.uk/blog/knife-crime-not-main-challenge-faced-police-forces" Id="docRId15" Type="http://schemas.openxmlformats.org/officeDocument/2006/relationships/hyperlink" /><Relationship Target="styles.xml" Id="docRId19" Type="http://schemas.openxmlformats.org/officeDocument/2006/relationships/styles" /><Relationship TargetMode="External" Target="https://www.europarl.europa.eu/RegData/etudes/etudes/join/2012/462503/IPOL-LIBE_ET(2012)462503_EN.pdf" Id="docRId5" Type="http://schemas.openxmlformats.org/officeDocument/2006/relationships/hyperlink" /><Relationship TargetMode="External" Target="https://www.ebpsociety.org/blog/education/252-swot-analysis-police" Id="docRId9" Type="http://schemas.openxmlformats.org/officeDocument/2006/relationships/hyperlink" /><Relationship Target="embeddings/oleObject0.bin" Id="docRId0" Type="http://schemas.openxmlformats.org/officeDocument/2006/relationships/oleObject" /><Relationship TargetMode="External" Target="https://www.bbc.co.uk/news/uk-47225797#:~:text=Between%20March%202010%20and%20March,of%20police%20officers%20since%201981." Id="docRId12" Type="http://schemas.openxmlformats.org/officeDocument/2006/relationships/hyperlink" /><Relationship TargetMode="External" Target="https://www.instituteforgovernment.org.uk/publication/performance-tracker-2019/police" Id="docRId16" Type="http://schemas.openxmlformats.org/officeDocument/2006/relationships/hyperlink" /><Relationship TargetMode="External" Target="https://www.college.police.uk/What-we-do/Standards/Guidelines/Neighbourhood-Policing/Pages/engaging-communities.aspx" Id="docRId4" Type="http://schemas.openxmlformats.org/officeDocument/2006/relationships/hyperlink" /><Relationship TargetMode="External" Target="https://www.app.college.police.uk/app-content/road-policing-2/" Id="docRId8" Type="http://schemas.openxmlformats.org/officeDocument/2006/relationships/hyperlink" /><Relationship TargetMode="External" Target="https://www.ons.gov.uk/peoplepopulationandcommunity/crimeandjustice/bulletins/crimeinenglandandwales/yearendingdecember2019" Id="docRId13" Type="http://schemas.openxmlformats.org/officeDocument/2006/relationships/hyperlink" /><Relationship TargetMode="External" Target="https://beta.south-wales.police.uk/police-forces/south-wales-police/areas/about-us/about-us/our-vision-values-and-ethics/" Id="docRId3" Type="http://schemas.openxmlformats.org/officeDocument/2006/relationships/hyperlink" /></Relationships>
</file>