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6093172" w:displacedByCustomXml="next"/>
    <w:sdt>
      <w:sdtPr>
        <w:rPr>
          <w:rFonts w:ascii="Arial" w:eastAsiaTheme="minorHAnsi" w:hAnsi="Arial" w:cs="Arial"/>
          <w:color w:val="4472C4" w:themeColor="accent1"/>
          <w:spacing w:val="0"/>
          <w:kern w:val="0"/>
          <w:sz w:val="22"/>
          <w:szCs w:val="22"/>
        </w:rPr>
        <w:id w:val="-818965165"/>
        <w:docPartObj>
          <w:docPartGallery w:val="Cover Pages"/>
          <w:docPartUnique/>
        </w:docPartObj>
      </w:sdtPr>
      <w:sdtEndPr>
        <w:rPr>
          <w:b/>
          <w:bCs/>
          <w:noProof/>
          <w:color w:val="auto"/>
        </w:rPr>
      </w:sdtEndPr>
      <w:sdtContent>
        <w:p w14:paraId="75BD51B5" w14:textId="77777777" w:rsidR="00B77A87" w:rsidRPr="00EF7FC8" w:rsidRDefault="00B77A87" w:rsidP="00297C8E">
          <w:pPr>
            <w:pStyle w:val="Title"/>
            <w:spacing w:line="360" w:lineRule="auto"/>
            <w:rPr>
              <w:rFonts w:ascii="Arial" w:hAnsi="Arial" w:cs="Arial"/>
              <w:color w:val="4472C4" w:themeColor="accent1"/>
              <w:sz w:val="32"/>
              <w:szCs w:val="32"/>
            </w:rPr>
          </w:pPr>
        </w:p>
        <w:p w14:paraId="1032A2F6" w14:textId="00B7258A" w:rsidR="00B77A87" w:rsidRPr="00EF7FC8" w:rsidRDefault="00297C8E" w:rsidP="00210939">
          <w:pPr>
            <w:pStyle w:val="Title"/>
            <w:spacing w:line="360" w:lineRule="auto"/>
            <w:jc w:val="center"/>
            <w:rPr>
              <w:rFonts w:ascii="Arial" w:hAnsi="Arial" w:cs="Arial"/>
              <w:b/>
              <w:bCs/>
              <w:color w:val="4472C4" w:themeColor="accent1"/>
              <w:sz w:val="40"/>
              <w:szCs w:val="40"/>
            </w:rPr>
          </w:pPr>
          <w:r w:rsidRPr="00EF7FC8">
            <w:rPr>
              <w:rFonts w:ascii="Arial" w:eastAsia="Arial" w:hAnsi="Arial" w:cs="Arial"/>
              <w:b/>
              <w:bCs/>
              <w:sz w:val="40"/>
              <w:szCs w:val="40"/>
            </w:rPr>
            <w:t>Component 2</w:t>
          </w:r>
          <w:r w:rsidRPr="00EF7FC8">
            <w:rPr>
              <w:rFonts w:ascii="Arial" w:hAnsi="Arial" w:cs="Arial"/>
              <w:b/>
              <w:bCs/>
              <w:sz w:val="40"/>
              <w:szCs w:val="40"/>
            </w:rPr>
            <w:t xml:space="preserve"> </w:t>
          </w:r>
          <w:r w:rsidRPr="00EF7FC8">
            <w:rPr>
              <w:rFonts w:ascii="Arial" w:eastAsia="Arial" w:hAnsi="Arial" w:cs="Arial"/>
              <w:b/>
              <w:bCs/>
              <w:sz w:val="40"/>
              <w:szCs w:val="40"/>
            </w:rPr>
            <w:t>Analytical Report</w:t>
          </w:r>
        </w:p>
        <w:p w14:paraId="35C2F9A6" w14:textId="77777777" w:rsidR="00297C8E" w:rsidRPr="00EF7FC8" w:rsidRDefault="00297C8E" w:rsidP="00210939">
          <w:pPr>
            <w:pStyle w:val="Title"/>
            <w:spacing w:line="360" w:lineRule="auto"/>
            <w:jc w:val="center"/>
            <w:rPr>
              <w:rFonts w:ascii="Arial" w:hAnsi="Arial" w:cs="Arial"/>
              <w:sz w:val="32"/>
              <w:szCs w:val="32"/>
            </w:rPr>
          </w:pPr>
        </w:p>
        <w:p w14:paraId="511D18CB" w14:textId="6E9D7A7C" w:rsidR="00B77A87" w:rsidRPr="00EF7FC8" w:rsidRDefault="00210939" w:rsidP="00210939">
          <w:pPr>
            <w:pStyle w:val="Title"/>
            <w:spacing w:line="360" w:lineRule="auto"/>
            <w:jc w:val="center"/>
            <w:rPr>
              <w:rFonts w:ascii="Arial" w:hAnsi="Arial" w:cs="Arial"/>
              <w:color w:val="4472C4" w:themeColor="accent1"/>
              <w:sz w:val="32"/>
              <w:szCs w:val="32"/>
            </w:rPr>
          </w:pPr>
          <w:r w:rsidRPr="00EF7FC8">
            <w:rPr>
              <w:rFonts w:ascii="Arial" w:hAnsi="Arial" w:cs="Arial"/>
              <w:b/>
              <w:bCs/>
              <w:sz w:val="32"/>
              <w:szCs w:val="32"/>
            </w:rPr>
            <w:t>Gender Inequality and Women’s Health in the United Kingdom</w:t>
          </w:r>
        </w:p>
        <w:p w14:paraId="78478506" w14:textId="77777777" w:rsidR="00B77A87" w:rsidRPr="00EF7FC8" w:rsidRDefault="00B77A87" w:rsidP="00297C8E">
          <w:pPr>
            <w:pStyle w:val="Title"/>
            <w:spacing w:line="360" w:lineRule="auto"/>
            <w:rPr>
              <w:rFonts w:ascii="Arial" w:hAnsi="Arial" w:cs="Arial"/>
              <w:color w:val="4472C4" w:themeColor="accent1"/>
              <w:sz w:val="32"/>
              <w:szCs w:val="32"/>
            </w:rPr>
          </w:pPr>
        </w:p>
        <w:p w14:paraId="746001E8" w14:textId="77777777" w:rsidR="00B77A87" w:rsidRPr="00EF7FC8" w:rsidRDefault="00B77A87" w:rsidP="00297C8E">
          <w:pPr>
            <w:pStyle w:val="Title"/>
            <w:spacing w:line="360" w:lineRule="auto"/>
            <w:rPr>
              <w:rFonts w:ascii="Arial" w:hAnsi="Arial" w:cs="Arial"/>
              <w:color w:val="4472C4" w:themeColor="accent1"/>
              <w:sz w:val="32"/>
              <w:szCs w:val="32"/>
            </w:rPr>
          </w:pPr>
        </w:p>
        <w:p w14:paraId="75460885" w14:textId="2D032C76" w:rsidR="00B77A87" w:rsidRPr="00EF7FC8" w:rsidRDefault="00B77A87" w:rsidP="00297C8E">
          <w:pPr>
            <w:pStyle w:val="Title"/>
            <w:spacing w:line="360" w:lineRule="auto"/>
            <w:jc w:val="center"/>
            <w:rPr>
              <w:rFonts w:ascii="Arial" w:hAnsi="Arial" w:cs="Arial"/>
              <w:sz w:val="32"/>
              <w:szCs w:val="32"/>
              <w:lang w:val="nl-NL"/>
            </w:rPr>
          </w:pPr>
          <w:r w:rsidRPr="00EF7FC8">
            <w:rPr>
              <w:rFonts w:ascii="Arial" w:hAnsi="Arial" w:cs="Arial"/>
              <w:sz w:val="32"/>
              <w:szCs w:val="32"/>
              <w:lang w:val="nl-NL"/>
            </w:rPr>
            <w:t>Student Name: Freeda Zeb</w:t>
          </w:r>
        </w:p>
        <w:p w14:paraId="1AC1DCBE" w14:textId="21393A01" w:rsidR="00B77A87" w:rsidRPr="00EF7FC8" w:rsidRDefault="00B77A87" w:rsidP="00297C8E">
          <w:pPr>
            <w:spacing w:line="360" w:lineRule="auto"/>
            <w:jc w:val="center"/>
            <w:rPr>
              <w:rFonts w:ascii="Arial" w:hAnsi="Arial" w:cs="Arial"/>
              <w:sz w:val="32"/>
              <w:szCs w:val="32"/>
              <w:lang w:val="nl-NL"/>
            </w:rPr>
          </w:pPr>
          <w:r w:rsidRPr="00EF7FC8">
            <w:rPr>
              <w:rFonts w:ascii="Arial" w:hAnsi="Arial" w:cs="Arial"/>
              <w:sz w:val="32"/>
              <w:szCs w:val="32"/>
              <w:lang w:val="nl-NL"/>
            </w:rPr>
            <w:t>Student ID: 2126497</w:t>
          </w:r>
        </w:p>
        <w:p w14:paraId="1A3E1368" w14:textId="77777777" w:rsidR="00B77A87" w:rsidRPr="00EF7FC8" w:rsidRDefault="00B77A87" w:rsidP="00297C8E">
          <w:pPr>
            <w:pStyle w:val="Title"/>
            <w:spacing w:line="360" w:lineRule="auto"/>
            <w:jc w:val="center"/>
            <w:rPr>
              <w:rFonts w:ascii="Arial" w:eastAsia="Arial" w:hAnsi="Arial" w:cs="Arial"/>
              <w:sz w:val="32"/>
              <w:szCs w:val="32"/>
            </w:rPr>
          </w:pPr>
          <w:r w:rsidRPr="00EF7FC8">
            <w:rPr>
              <w:rFonts w:ascii="Arial" w:hAnsi="Arial" w:cs="Arial"/>
              <w:sz w:val="32"/>
              <w:szCs w:val="32"/>
            </w:rPr>
            <w:t xml:space="preserve">Module: </w:t>
          </w:r>
          <w:r w:rsidRPr="00EF7FC8">
            <w:rPr>
              <w:rFonts w:ascii="Arial" w:eastAsia="Arial" w:hAnsi="Arial" w:cs="Arial"/>
              <w:sz w:val="32"/>
              <w:szCs w:val="32"/>
            </w:rPr>
            <w:t>Social Epidemiology and Public Health Development</w:t>
          </w:r>
        </w:p>
        <w:p w14:paraId="6BEB74B8" w14:textId="2EACDDDE" w:rsidR="00B77A87" w:rsidRPr="00EF7FC8" w:rsidRDefault="00B77A87" w:rsidP="00297C8E">
          <w:pPr>
            <w:pStyle w:val="NoSpacing"/>
            <w:spacing w:before="1540" w:after="240" w:line="360" w:lineRule="auto"/>
            <w:rPr>
              <w:rFonts w:ascii="Arial" w:hAnsi="Arial" w:cs="Arial"/>
              <w:color w:val="4472C4" w:themeColor="accent1"/>
              <w:lang w:val="en-GB"/>
            </w:rPr>
          </w:pPr>
        </w:p>
        <w:p w14:paraId="611FCD3C" w14:textId="6F8E4D85" w:rsidR="00B77A87" w:rsidRPr="00EF7FC8" w:rsidRDefault="00B77A87" w:rsidP="00297C8E">
          <w:pPr>
            <w:spacing w:line="360" w:lineRule="auto"/>
            <w:rPr>
              <w:rFonts w:ascii="Arial" w:hAnsi="Arial" w:cs="Arial"/>
              <w:b/>
              <w:bCs/>
              <w:noProof/>
              <w:sz w:val="22"/>
              <w:szCs w:val="22"/>
            </w:rPr>
          </w:pPr>
          <w:r w:rsidRPr="00EF7FC8">
            <w:rPr>
              <w:rFonts w:ascii="Arial" w:hAnsi="Arial" w:cs="Arial"/>
              <w:b/>
              <w:bCs/>
              <w:noProof/>
              <w:sz w:val="22"/>
              <w:szCs w:val="22"/>
            </w:rPr>
            <w:br w:type="page"/>
          </w:r>
        </w:p>
      </w:sdtContent>
    </w:sdt>
    <w:sdt>
      <w:sdtPr>
        <w:rPr>
          <w:rFonts w:ascii="Arial" w:eastAsiaTheme="minorHAnsi" w:hAnsi="Arial" w:cs="Arial"/>
          <w:color w:val="auto"/>
          <w:sz w:val="22"/>
          <w:szCs w:val="22"/>
          <w:lang w:val="en-GB"/>
          <w14:ligatures w14:val="standardContextual"/>
        </w:rPr>
        <w:id w:val="-131327165"/>
        <w:docPartObj>
          <w:docPartGallery w:val="Table of Contents"/>
          <w:docPartUnique/>
        </w:docPartObj>
      </w:sdtPr>
      <w:sdtEndPr>
        <w:rPr>
          <w:b/>
          <w:bCs/>
          <w:noProof/>
        </w:rPr>
      </w:sdtEndPr>
      <w:sdtContent>
        <w:p w14:paraId="5B0D305A" w14:textId="2B05DF0C" w:rsidR="00B77A87" w:rsidRPr="00EF7FC8" w:rsidRDefault="007D4B39" w:rsidP="007D4B39">
          <w:pPr>
            <w:pStyle w:val="TOCHeading"/>
            <w:spacing w:line="360" w:lineRule="auto"/>
            <w:jc w:val="center"/>
            <w:rPr>
              <w:rFonts w:ascii="Arial" w:hAnsi="Arial" w:cs="Arial"/>
              <w:b/>
              <w:bCs/>
              <w:color w:val="auto"/>
              <w:sz w:val="24"/>
              <w:szCs w:val="24"/>
              <w:lang w:val="en-GB"/>
            </w:rPr>
          </w:pPr>
          <w:r w:rsidRPr="00EF7FC8">
            <w:rPr>
              <w:rFonts w:ascii="Arial" w:hAnsi="Arial" w:cs="Arial"/>
              <w:b/>
              <w:bCs/>
              <w:color w:val="auto"/>
              <w:sz w:val="24"/>
              <w:szCs w:val="24"/>
              <w:lang w:val="en-GB"/>
            </w:rPr>
            <w:t xml:space="preserve">Table of </w:t>
          </w:r>
          <w:r w:rsidR="00B77A87" w:rsidRPr="00EF7FC8">
            <w:rPr>
              <w:rFonts w:ascii="Arial" w:hAnsi="Arial" w:cs="Arial"/>
              <w:b/>
              <w:bCs/>
              <w:color w:val="auto"/>
              <w:sz w:val="24"/>
              <w:szCs w:val="24"/>
              <w:lang w:val="en-GB"/>
            </w:rPr>
            <w:t>Contents</w:t>
          </w:r>
        </w:p>
        <w:p w14:paraId="48213AA1" w14:textId="77777777" w:rsidR="007D4B39" w:rsidRPr="00EF7FC8" w:rsidRDefault="007D4B39" w:rsidP="007D4B39">
          <w:pPr>
            <w:rPr>
              <w:rFonts w:ascii="Arial" w:hAnsi="Arial" w:cs="Arial"/>
            </w:rPr>
          </w:pPr>
        </w:p>
        <w:p w14:paraId="0706A7D8" w14:textId="4DB0E37B" w:rsidR="0094136A" w:rsidRPr="00EF7FC8" w:rsidRDefault="00B77A87">
          <w:pPr>
            <w:pStyle w:val="TOC1"/>
            <w:tabs>
              <w:tab w:val="right" w:leader="dot" w:pos="9350"/>
            </w:tabs>
            <w:rPr>
              <w:rFonts w:ascii="Arial" w:eastAsiaTheme="minorEastAsia" w:hAnsi="Arial" w:cs="Arial"/>
              <w:noProof/>
              <w:kern w:val="2"/>
              <w:lang w:eastAsia="en-GB"/>
            </w:rPr>
          </w:pPr>
          <w:r w:rsidRPr="00EF7FC8">
            <w:rPr>
              <w:rFonts w:ascii="Arial" w:hAnsi="Arial" w:cs="Arial"/>
              <w:sz w:val="22"/>
              <w:szCs w:val="22"/>
            </w:rPr>
            <w:fldChar w:fldCharType="begin"/>
          </w:r>
          <w:r w:rsidRPr="00EF7FC8">
            <w:rPr>
              <w:rFonts w:ascii="Arial" w:hAnsi="Arial" w:cs="Arial"/>
              <w:sz w:val="22"/>
              <w:szCs w:val="22"/>
            </w:rPr>
            <w:instrText xml:space="preserve"> TOC \o "1-3" \h \z \u </w:instrText>
          </w:r>
          <w:r w:rsidRPr="00EF7FC8">
            <w:rPr>
              <w:rFonts w:ascii="Arial" w:hAnsi="Arial" w:cs="Arial"/>
              <w:sz w:val="22"/>
              <w:szCs w:val="22"/>
            </w:rPr>
            <w:fldChar w:fldCharType="separate"/>
          </w:r>
          <w:hyperlink w:anchor="_Toc236146653" w:history="1">
            <w:r w:rsidR="0094136A" w:rsidRPr="00EF7FC8">
              <w:rPr>
                <w:rStyle w:val="Hyperlink"/>
                <w:rFonts w:ascii="Arial" w:hAnsi="Arial" w:cs="Arial"/>
                <w:b/>
                <w:bCs/>
                <w:noProof/>
              </w:rPr>
              <w:t>Task 1 Social Epidemiological Analysis</w:t>
            </w:r>
            <w:r w:rsidR="0094136A" w:rsidRPr="00EF7FC8">
              <w:rPr>
                <w:rFonts w:ascii="Arial" w:hAnsi="Arial" w:cs="Arial"/>
                <w:noProof/>
                <w:webHidden/>
              </w:rPr>
              <w:tab/>
            </w:r>
            <w:r w:rsidR="0094136A" w:rsidRPr="00EF7FC8">
              <w:rPr>
                <w:rFonts w:ascii="Arial" w:hAnsi="Arial" w:cs="Arial"/>
                <w:noProof/>
                <w:webHidden/>
              </w:rPr>
              <w:fldChar w:fldCharType="begin"/>
            </w:r>
            <w:r w:rsidR="0094136A" w:rsidRPr="00EF7FC8">
              <w:rPr>
                <w:rFonts w:ascii="Arial" w:hAnsi="Arial" w:cs="Arial"/>
                <w:noProof/>
                <w:webHidden/>
              </w:rPr>
              <w:instrText xml:space="preserve"> PAGEREF _Toc236146653 \h </w:instrText>
            </w:r>
            <w:r w:rsidR="0094136A" w:rsidRPr="00EF7FC8">
              <w:rPr>
                <w:rFonts w:ascii="Arial" w:hAnsi="Arial" w:cs="Arial"/>
                <w:noProof/>
                <w:webHidden/>
              </w:rPr>
            </w:r>
            <w:r w:rsidR="0094136A" w:rsidRPr="00EF7FC8">
              <w:rPr>
                <w:rFonts w:ascii="Arial" w:hAnsi="Arial" w:cs="Arial"/>
                <w:noProof/>
                <w:webHidden/>
              </w:rPr>
              <w:fldChar w:fldCharType="separate"/>
            </w:r>
            <w:r w:rsidR="0094136A" w:rsidRPr="00EF7FC8">
              <w:rPr>
                <w:rFonts w:ascii="Arial" w:hAnsi="Arial" w:cs="Arial"/>
                <w:noProof/>
                <w:webHidden/>
              </w:rPr>
              <w:t>2</w:t>
            </w:r>
            <w:r w:rsidR="0094136A" w:rsidRPr="00EF7FC8">
              <w:rPr>
                <w:rFonts w:ascii="Arial" w:hAnsi="Arial" w:cs="Arial"/>
                <w:noProof/>
                <w:webHidden/>
              </w:rPr>
              <w:fldChar w:fldCharType="end"/>
            </w:r>
          </w:hyperlink>
        </w:p>
        <w:p w14:paraId="2561B142" w14:textId="102E37C4" w:rsidR="0094136A" w:rsidRPr="00EF7FC8" w:rsidRDefault="0094136A">
          <w:pPr>
            <w:pStyle w:val="TOC1"/>
            <w:tabs>
              <w:tab w:val="left" w:pos="480"/>
              <w:tab w:val="right" w:leader="dot" w:pos="9350"/>
            </w:tabs>
            <w:rPr>
              <w:rFonts w:ascii="Arial" w:eastAsiaTheme="minorEastAsia" w:hAnsi="Arial" w:cs="Arial"/>
              <w:noProof/>
              <w:kern w:val="2"/>
              <w:lang w:eastAsia="en-GB"/>
            </w:rPr>
          </w:pPr>
          <w:hyperlink w:anchor="_Toc236146654" w:history="1">
            <w:r w:rsidRPr="00EF7FC8">
              <w:rPr>
                <w:rStyle w:val="Hyperlink"/>
                <w:rFonts w:ascii="Arial" w:hAnsi="Arial" w:cs="Arial"/>
                <w:b/>
                <w:bCs/>
                <w:noProof/>
              </w:rPr>
              <w:t>1.</w:t>
            </w:r>
            <w:r w:rsidRPr="00EF7FC8">
              <w:rPr>
                <w:rFonts w:ascii="Arial" w:eastAsiaTheme="minorEastAsia" w:hAnsi="Arial" w:cs="Arial"/>
                <w:noProof/>
                <w:kern w:val="2"/>
                <w:lang w:eastAsia="en-GB"/>
              </w:rPr>
              <w:tab/>
            </w:r>
            <w:r w:rsidRPr="00EF7FC8">
              <w:rPr>
                <w:rStyle w:val="Hyperlink"/>
                <w:rFonts w:ascii="Arial" w:hAnsi="Arial" w:cs="Arial"/>
                <w:b/>
                <w:bCs/>
                <w:noProof/>
              </w:rPr>
              <w:t>Introduction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_Toc236146654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2</w:t>
            </w:r>
            <w:r w:rsidRPr="00EF7FC8">
              <w:rPr>
                <w:rFonts w:ascii="Arial" w:hAnsi="Arial" w:cs="Arial"/>
                <w:noProof/>
                <w:webHidden/>
              </w:rPr>
              <w:fldChar w:fldCharType="end"/>
            </w:r>
          </w:hyperlink>
        </w:p>
        <w:p w14:paraId="2FD9F5C3" w14:textId="162D44CC" w:rsidR="0094136A" w:rsidRPr="00EF7FC8" w:rsidRDefault="0094136A">
          <w:pPr>
            <w:pStyle w:val="TOC1"/>
            <w:tabs>
              <w:tab w:val="left" w:pos="480"/>
              <w:tab w:val="right" w:leader="dot" w:pos="9350"/>
            </w:tabs>
            <w:rPr>
              <w:rFonts w:ascii="Arial" w:eastAsiaTheme="minorEastAsia" w:hAnsi="Arial" w:cs="Arial"/>
              <w:noProof/>
              <w:kern w:val="2"/>
              <w:lang w:eastAsia="en-GB"/>
            </w:rPr>
          </w:pPr>
          <w:hyperlink w:anchor="_Toc236146655" w:history="1">
            <w:r w:rsidRPr="00EF7FC8">
              <w:rPr>
                <w:rStyle w:val="Hyperlink"/>
                <w:rFonts w:ascii="Arial" w:hAnsi="Arial" w:cs="Arial"/>
                <w:b/>
                <w:bCs/>
                <w:noProof/>
              </w:rPr>
              <w:t>2.</w:t>
            </w:r>
            <w:r w:rsidRPr="00EF7FC8">
              <w:rPr>
                <w:rFonts w:ascii="Arial" w:eastAsiaTheme="minorEastAsia" w:hAnsi="Arial" w:cs="Arial"/>
                <w:noProof/>
                <w:kern w:val="2"/>
                <w:lang w:eastAsia="en-GB"/>
              </w:rPr>
              <w:tab/>
            </w:r>
            <w:r w:rsidRPr="00EF7FC8">
              <w:rPr>
                <w:rStyle w:val="Hyperlink"/>
                <w:rFonts w:ascii="Arial" w:hAnsi="Arial" w:cs="Arial"/>
                <w:b/>
                <w:bCs/>
                <w:noProof/>
              </w:rPr>
              <w:t>Contextual Background and Underlying Factors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_Toc236146655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2</w:t>
            </w:r>
            <w:r w:rsidRPr="00EF7FC8">
              <w:rPr>
                <w:rFonts w:ascii="Arial" w:hAnsi="Arial" w:cs="Arial"/>
                <w:noProof/>
                <w:webHidden/>
              </w:rPr>
              <w:fldChar w:fldCharType="end"/>
            </w:r>
          </w:hyperlink>
        </w:p>
        <w:p w14:paraId="57B609F0" w14:textId="77B23755"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56" w:history="1">
            <w:r w:rsidRPr="00EF7FC8">
              <w:rPr>
                <w:rStyle w:val="Hyperlink"/>
                <w:rFonts w:ascii="Arial" w:hAnsi="Arial" w:cs="Arial"/>
                <w:b/>
                <w:bCs/>
                <w:noProof/>
              </w:rPr>
              <w:t>2.1.</w:t>
            </w:r>
            <w:r w:rsidRPr="00EF7FC8">
              <w:rPr>
                <w:rFonts w:ascii="Arial" w:eastAsiaTheme="minorEastAsia" w:hAnsi="Arial" w:cs="Arial"/>
                <w:noProof/>
                <w:kern w:val="2"/>
                <w:lang w:eastAsia="en-GB"/>
              </w:rPr>
              <w:tab/>
            </w:r>
            <w:r w:rsidRPr="00EF7FC8">
              <w:rPr>
                <w:rStyle w:val="Hyperlink"/>
                <w:rFonts w:ascii="Arial" w:hAnsi="Arial" w:cs="Arial"/>
                <w:b/>
                <w:bCs/>
                <w:noProof/>
              </w:rPr>
              <w:t>Maternal Mortality</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_Toc236146656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2</w:t>
            </w:r>
            <w:r w:rsidRPr="00EF7FC8">
              <w:rPr>
                <w:rFonts w:ascii="Arial" w:hAnsi="Arial" w:cs="Arial"/>
                <w:noProof/>
                <w:webHidden/>
              </w:rPr>
              <w:fldChar w:fldCharType="end"/>
            </w:r>
          </w:hyperlink>
        </w:p>
        <w:p w14:paraId="7DA81CB1" w14:textId="5AFD1B04"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57" w:history="1">
            <w:r w:rsidRPr="00EF7FC8">
              <w:rPr>
                <w:rStyle w:val="Hyperlink"/>
                <w:rFonts w:ascii="Arial" w:hAnsi="Arial" w:cs="Arial"/>
                <w:b/>
                <w:bCs/>
                <w:noProof/>
              </w:rPr>
              <w:t>2.2.</w:t>
            </w:r>
            <w:r w:rsidRPr="00EF7FC8">
              <w:rPr>
                <w:rFonts w:ascii="Arial" w:eastAsiaTheme="minorEastAsia" w:hAnsi="Arial" w:cs="Arial"/>
                <w:noProof/>
                <w:kern w:val="2"/>
                <w:lang w:eastAsia="en-GB"/>
              </w:rPr>
              <w:tab/>
            </w:r>
            <w:r w:rsidRPr="00EF7FC8">
              <w:rPr>
                <w:rStyle w:val="Hyperlink"/>
                <w:rFonts w:ascii="Arial" w:hAnsi="Arial" w:cs="Arial"/>
                <w:b/>
                <w:bCs/>
                <w:noProof/>
              </w:rPr>
              <w:t>Mental Illness in Women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_Toc236146657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3</w:t>
            </w:r>
            <w:r w:rsidRPr="00EF7FC8">
              <w:rPr>
                <w:rFonts w:ascii="Arial" w:hAnsi="Arial" w:cs="Arial"/>
                <w:noProof/>
                <w:webHidden/>
              </w:rPr>
              <w:fldChar w:fldCharType="end"/>
            </w:r>
          </w:hyperlink>
        </w:p>
        <w:p w14:paraId="3561B0B5" w14:textId="15940BBE"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58" w:history="1">
            <w:r w:rsidR="00D97825" w:rsidRPr="00EF7FC8">
              <w:rPr>
                <w:rStyle w:val="Hyperlink"/>
                <w:rFonts w:ascii="Arial" w:hAnsi="Arial" w:cs="Arial"/>
                <w:b/>
                <w:bCs/>
                <w:noProof/>
              </w:rPr>
              <w:t>2.3.</w:t>
            </w:r>
            <w:r w:rsidR="00D97825" w:rsidRPr="00EF7FC8">
              <w:rPr>
                <w:rStyle w:val="Hyperlink"/>
                <w:rFonts w:ascii="Arial" w:hAnsi="Arial" w:cs="Arial"/>
                <w:b/>
                <w:bCs/>
                <w:noProof/>
              </w:rPr>
              <w:tab/>
              <w:t>Cardiovascular Disease in Women</w:t>
            </w:r>
            <w:r w:rsidR="00D97825" w:rsidRPr="00EF7FC8">
              <w:rPr>
                <w:rStyle w:val="Hyperlink"/>
                <w:rFonts w:ascii="Arial" w:hAnsi="Arial" w:cs="Arial"/>
                <w:b/>
                <w:bCs/>
                <w:noProof/>
              </w:rPr>
              <w:tab/>
              <w:t>3</w:t>
            </w:r>
          </w:hyperlink>
        </w:p>
        <w:p w14:paraId="7FC4D3B6" w14:textId="57161E3C"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59" w:history="1">
            <w:r w:rsidRPr="00EF7FC8">
              <w:rPr>
                <w:rStyle w:val="Hyperlink"/>
                <w:rFonts w:ascii="Arial" w:hAnsi="Arial" w:cs="Arial"/>
                <w:b/>
                <w:bCs/>
                <w:noProof/>
              </w:rPr>
              <w:t>2.4.</w:t>
            </w:r>
            <w:r w:rsidRPr="00EF7FC8">
              <w:rPr>
                <w:rFonts w:ascii="Arial" w:eastAsiaTheme="minorEastAsia" w:hAnsi="Arial" w:cs="Arial"/>
                <w:noProof/>
                <w:kern w:val="2"/>
                <w:lang w:eastAsia="en-GB"/>
              </w:rPr>
              <w:tab/>
            </w:r>
            <w:r w:rsidRPr="00EF7FC8">
              <w:rPr>
                <w:rStyle w:val="Hyperlink"/>
                <w:rFonts w:ascii="Arial" w:hAnsi="Arial" w:cs="Arial"/>
                <w:b/>
                <w:bCs/>
                <w:noProof/>
              </w:rPr>
              <w:t>Poverty in Women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_Toc236146659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3</w:t>
            </w:r>
            <w:r w:rsidRPr="00EF7FC8">
              <w:rPr>
                <w:rFonts w:ascii="Arial" w:hAnsi="Arial" w:cs="Arial"/>
                <w:noProof/>
                <w:webHidden/>
              </w:rPr>
              <w:fldChar w:fldCharType="end"/>
            </w:r>
          </w:hyperlink>
        </w:p>
        <w:p w14:paraId="3CFAE3A7" w14:textId="47F4CE35"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60" w:history="1">
            <w:r w:rsidRPr="00EF7FC8">
              <w:rPr>
                <w:rStyle w:val="Hyperlink"/>
                <w:rFonts w:ascii="Arial" w:hAnsi="Arial" w:cs="Arial"/>
                <w:b/>
                <w:bCs/>
                <w:noProof/>
              </w:rPr>
              <w:t>2.5.</w:t>
            </w:r>
            <w:r w:rsidRPr="00EF7FC8">
              <w:rPr>
                <w:rFonts w:ascii="Arial" w:eastAsiaTheme="minorEastAsia" w:hAnsi="Arial" w:cs="Arial"/>
                <w:noProof/>
                <w:kern w:val="2"/>
                <w:lang w:eastAsia="en-GB"/>
              </w:rPr>
              <w:tab/>
            </w:r>
            <w:r w:rsidRPr="00EF7FC8">
              <w:rPr>
                <w:rStyle w:val="Hyperlink"/>
                <w:rFonts w:ascii="Arial" w:hAnsi="Arial" w:cs="Arial"/>
                <w:b/>
                <w:bCs/>
                <w:noProof/>
              </w:rPr>
              <w:t>Housing in Women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_Toc236146660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4</w:t>
            </w:r>
            <w:r w:rsidRPr="00EF7FC8">
              <w:rPr>
                <w:rFonts w:ascii="Arial" w:hAnsi="Arial" w:cs="Arial"/>
                <w:noProof/>
                <w:webHidden/>
              </w:rPr>
              <w:fldChar w:fldCharType="end"/>
            </w:r>
          </w:hyperlink>
        </w:p>
        <w:p w14:paraId="7FFC654A" w14:textId="7470AE5F" w:rsidR="0094136A" w:rsidRPr="00EF7FC8" w:rsidRDefault="0094136A">
          <w:pPr>
            <w:pStyle w:val="TOC1"/>
            <w:tabs>
              <w:tab w:val="left" w:pos="720"/>
              <w:tab w:val="right" w:leader="dot" w:pos="9350"/>
            </w:tabs>
            <w:rPr>
              <w:rFonts w:ascii="Arial" w:eastAsiaTheme="minorEastAsia" w:hAnsi="Arial" w:cs="Arial"/>
              <w:noProof/>
              <w:kern w:val="2"/>
              <w:lang w:eastAsia="en-GB"/>
            </w:rPr>
          </w:pPr>
          <w:hyperlink w:anchor="_Toc236146661" w:history="1">
            <w:r w:rsidRPr="00EF7FC8">
              <w:rPr>
                <w:rStyle w:val="Hyperlink"/>
                <w:rFonts w:ascii="Arial" w:hAnsi="Arial" w:cs="Arial"/>
                <w:b/>
                <w:bCs/>
                <w:noProof/>
              </w:rPr>
              <w:t>2.6.</w:t>
            </w:r>
            <w:r w:rsidRPr="00EF7FC8">
              <w:rPr>
                <w:rFonts w:ascii="Arial" w:eastAsiaTheme="minorEastAsia" w:hAnsi="Arial" w:cs="Arial"/>
                <w:noProof/>
                <w:kern w:val="2"/>
                <w:lang w:eastAsia="en-GB"/>
              </w:rPr>
              <w:tab/>
            </w:r>
            <w:r w:rsidRPr="00EF7FC8">
              <w:rPr>
                <w:rStyle w:val="Hyperlink"/>
                <w:rFonts w:ascii="Arial" w:hAnsi="Arial" w:cs="Arial"/>
                <w:b/>
                <w:bCs/>
                <w:noProof/>
              </w:rPr>
              <w:t>Employment in Women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_Toc236146661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4</w:t>
            </w:r>
            <w:r w:rsidRPr="00EF7FC8">
              <w:rPr>
                <w:rFonts w:ascii="Arial" w:hAnsi="Arial" w:cs="Arial"/>
                <w:noProof/>
                <w:webHidden/>
              </w:rPr>
              <w:fldChar w:fldCharType="end"/>
            </w:r>
          </w:hyperlink>
        </w:p>
        <w:p w14:paraId="10C6D01B" w14:textId="6CAD3631" w:rsidR="0094136A" w:rsidRPr="00EF7FC8" w:rsidRDefault="0094136A">
          <w:pPr>
            <w:pStyle w:val="TOC1"/>
            <w:tabs>
              <w:tab w:val="left" w:pos="480"/>
              <w:tab w:val="right" w:leader="dot" w:pos="9350"/>
            </w:tabs>
            <w:rPr>
              <w:rFonts w:ascii="Arial" w:eastAsiaTheme="minorEastAsia" w:hAnsi="Arial" w:cs="Arial"/>
              <w:noProof/>
              <w:kern w:val="2"/>
              <w:lang w:eastAsia="en-GB"/>
            </w:rPr>
          </w:pPr>
          <w:hyperlink w:anchor="_Toc236146662" w:history="1">
            <w:r w:rsidRPr="00EF7FC8">
              <w:rPr>
                <w:rStyle w:val="Hyperlink"/>
                <w:rFonts w:ascii="Arial" w:hAnsi="Arial" w:cs="Arial"/>
                <w:b/>
                <w:bCs/>
                <w:noProof/>
              </w:rPr>
              <w:t>3.</w:t>
            </w:r>
            <w:r w:rsidRPr="00EF7FC8">
              <w:rPr>
                <w:rFonts w:ascii="Arial" w:eastAsiaTheme="minorEastAsia" w:hAnsi="Arial" w:cs="Arial"/>
                <w:noProof/>
                <w:kern w:val="2"/>
                <w:lang w:eastAsia="en-GB"/>
              </w:rPr>
              <w:tab/>
            </w:r>
            <w:r w:rsidRPr="00EF7FC8">
              <w:rPr>
                <w:rStyle w:val="Hyperlink"/>
                <w:rFonts w:ascii="Arial" w:hAnsi="Arial" w:cs="Arial"/>
                <w:b/>
                <w:bCs/>
                <w:noProof/>
              </w:rPr>
              <w:t>National Response to Reduce Gender Inequalities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_Toc236146662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4</w:t>
            </w:r>
            <w:r w:rsidRPr="00EF7FC8">
              <w:rPr>
                <w:rFonts w:ascii="Arial" w:hAnsi="Arial" w:cs="Arial"/>
                <w:noProof/>
                <w:webHidden/>
              </w:rPr>
              <w:fldChar w:fldCharType="end"/>
            </w:r>
          </w:hyperlink>
        </w:p>
        <w:p w14:paraId="362A57FA" w14:textId="740E0550" w:rsidR="0094136A" w:rsidRPr="00EF7FC8" w:rsidRDefault="0094136A">
          <w:pPr>
            <w:pStyle w:val="TOC1"/>
            <w:tabs>
              <w:tab w:val="left" w:pos="480"/>
              <w:tab w:val="right" w:leader="dot" w:pos="9350"/>
            </w:tabs>
            <w:rPr>
              <w:rFonts w:ascii="Arial" w:eastAsiaTheme="minorEastAsia" w:hAnsi="Arial" w:cs="Arial"/>
              <w:noProof/>
              <w:kern w:val="2"/>
              <w:lang w:eastAsia="en-GB"/>
            </w:rPr>
          </w:pPr>
          <w:hyperlink w:anchor="_Toc236146663" w:history="1">
            <w:r w:rsidRPr="00EF7FC8">
              <w:rPr>
                <w:rStyle w:val="Hyperlink"/>
                <w:rFonts w:ascii="Arial" w:hAnsi="Arial" w:cs="Arial"/>
                <w:b/>
                <w:bCs/>
                <w:noProof/>
              </w:rPr>
              <w:t>4.</w:t>
            </w:r>
            <w:r w:rsidRPr="00EF7FC8">
              <w:rPr>
                <w:rFonts w:ascii="Arial" w:eastAsiaTheme="minorEastAsia" w:hAnsi="Arial" w:cs="Arial"/>
                <w:noProof/>
                <w:kern w:val="2"/>
                <w:lang w:eastAsia="en-GB"/>
              </w:rPr>
              <w:tab/>
            </w:r>
            <w:r w:rsidRPr="00EF7FC8">
              <w:rPr>
                <w:rStyle w:val="Hyperlink"/>
                <w:rFonts w:ascii="Arial" w:hAnsi="Arial" w:cs="Arial"/>
                <w:b/>
                <w:bCs/>
                <w:noProof/>
              </w:rPr>
              <w:t>Organisational Support</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_Toc236146663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5</w:t>
            </w:r>
            <w:r w:rsidRPr="00EF7FC8">
              <w:rPr>
                <w:rFonts w:ascii="Arial" w:hAnsi="Arial" w:cs="Arial"/>
                <w:noProof/>
                <w:webHidden/>
              </w:rPr>
              <w:fldChar w:fldCharType="end"/>
            </w:r>
          </w:hyperlink>
        </w:p>
        <w:p w14:paraId="117DE631" w14:textId="5BF5FDD3" w:rsidR="0094136A" w:rsidRPr="00EF7FC8" w:rsidRDefault="0094136A">
          <w:pPr>
            <w:pStyle w:val="TOC1"/>
            <w:tabs>
              <w:tab w:val="left" w:pos="480"/>
              <w:tab w:val="right" w:leader="dot" w:pos="9350"/>
            </w:tabs>
            <w:rPr>
              <w:rFonts w:ascii="Arial" w:eastAsiaTheme="minorEastAsia" w:hAnsi="Arial" w:cs="Arial"/>
              <w:noProof/>
              <w:kern w:val="2"/>
              <w:lang w:eastAsia="en-GB"/>
            </w:rPr>
          </w:pPr>
          <w:hyperlink w:anchor="_Toc236146664" w:history="1">
            <w:r w:rsidRPr="00EF7FC8">
              <w:rPr>
                <w:rStyle w:val="Hyperlink"/>
                <w:rFonts w:ascii="Arial" w:hAnsi="Arial" w:cs="Arial"/>
                <w:b/>
                <w:bCs/>
                <w:noProof/>
              </w:rPr>
              <w:t>5.</w:t>
            </w:r>
            <w:r w:rsidRPr="00EF7FC8">
              <w:rPr>
                <w:rFonts w:ascii="Arial" w:eastAsiaTheme="minorEastAsia" w:hAnsi="Arial" w:cs="Arial"/>
                <w:noProof/>
                <w:kern w:val="2"/>
                <w:lang w:eastAsia="en-GB"/>
              </w:rPr>
              <w:tab/>
            </w:r>
            <w:r w:rsidRPr="00EF7FC8">
              <w:rPr>
                <w:rStyle w:val="Hyperlink"/>
                <w:rFonts w:ascii="Arial" w:hAnsi="Arial" w:cs="Arial"/>
                <w:b/>
                <w:bCs/>
                <w:noProof/>
              </w:rPr>
              <w:t>Conclusion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_Toc236146664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5</w:t>
            </w:r>
            <w:r w:rsidRPr="00EF7FC8">
              <w:rPr>
                <w:rFonts w:ascii="Arial" w:hAnsi="Arial" w:cs="Arial"/>
                <w:noProof/>
                <w:webHidden/>
              </w:rPr>
              <w:fldChar w:fldCharType="end"/>
            </w:r>
          </w:hyperlink>
        </w:p>
        <w:p w14:paraId="25F4AD82" w14:textId="2B5C5E66" w:rsidR="0094136A" w:rsidRPr="00EF7FC8" w:rsidRDefault="0094136A">
          <w:pPr>
            <w:pStyle w:val="TOC1"/>
            <w:tabs>
              <w:tab w:val="right" w:leader="dot" w:pos="9350"/>
            </w:tabs>
            <w:rPr>
              <w:rFonts w:ascii="Arial" w:eastAsiaTheme="minorEastAsia" w:hAnsi="Arial" w:cs="Arial"/>
              <w:noProof/>
              <w:kern w:val="2"/>
              <w:lang w:eastAsia="en-GB"/>
            </w:rPr>
          </w:pPr>
          <w:hyperlink w:anchor="_Toc236146665" w:history="1">
            <w:r w:rsidRPr="00EF7FC8">
              <w:rPr>
                <w:rStyle w:val="Hyperlink"/>
                <w:rFonts w:ascii="Arial" w:hAnsi="Arial" w:cs="Arial"/>
                <w:b/>
                <w:bCs/>
                <w:noProof/>
              </w:rPr>
              <w:t>Task 2: Type 2 Diabetes in Greater Manchester: An Epidemiological Analysis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_Toc236146665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6</w:t>
            </w:r>
            <w:r w:rsidRPr="00EF7FC8">
              <w:rPr>
                <w:rFonts w:ascii="Arial" w:hAnsi="Arial" w:cs="Arial"/>
                <w:noProof/>
                <w:webHidden/>
              </w:rPr>
              <w:fldChar w:fldCharType="end"/>
            </w:r>
          </w:hyperlink>
        </w:p>
        <w:p w14:paraId="36B1278C" w14:textId="7D03D187" w:rsidR="0094136A" w:rsidRPr="00EF7FC8" w:rsidRDefault="0094136A">
          <w:pPr>
            <w:pStyle w:val="TOC1"/>
            <w:tabs>
              <w:tab w:val="right" w:leader="dot" w:pos="9350"/>
            </w:tabs>
            <w:rPr>
              <w:rFonts w:ascii="Arial" w:eastAsiaTheme="minorEastAsia" w:hAnsi="Arial" w:cs="Arial"/>
              <w:noProof/>
              <w:kern w:val="2"/>
              <w:lang w:eastAsia="en-GB"/>
            </w:rPr>
          </w:pPr>
          <w:hyperlink w:anchor="_Toc236146666" w:history="1">
            <w:r w:rsidRPr="00EF7FC8">
              <w:rPr>
                <w:rStyle w:val="Hyperlink"/>
                <w:rFonts w:ascii="Arial" w:hAnsi="Arial" w:cs="Arial"/>
                <w:b/>
                <w:bCs/>
                <w:noProof/>
              </w:rPr>
              <w:t>2. Introduction: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_Toc236146666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6</w:t>
            </w:r>
            <w:r w:rsidRPr="00EF7FC8">
              <w:rPr>
                <w:rFonts w:ascii="Arial" w:hAnsi="Arial" w:cs="Arial"/>
                <w:noProof/>
                <w:webHidden/>
              </w:rPr>
              <w:fldChar w:fldCharType="end"/>
            </w:r>
          </w:hyperlink>
        </w:p>
        <w:p w14:paraId="4546FF19" w14:textId="4DD4E398" w:rsidR="0094136A" w:rsidRPr="00EF7FC8" w:rsidRDefault="0094136A">
          <w:pPr>
            <w:pStyle w:val="TOC1"/>
            <w:tabs>
              <w:tab w:val="right" w:leader="dot" w:pos="9350"/>
            </w:tabs>
            <w:rPr>
              <w:rFonts w:ascii="Arial" w:eastAsiaTheme="minorEastAsia" w:hAnsi="Arial" w:cs="Arial"/>
              <w:noProof/>
              <w:kern w:val="2"/>
              <w:lang w:eastAsia="en-GB"/>
            </w:rPr>
          </w:pPr>
          <w:hyperlink w:anchor="_Toc236146667" w:history="1">
            <w:r w:rsidRPr="00EF7FC8">
              <w:rPr>
                <w:rStyle w:val="Hyperlink"/>
                <w:rFonts w:ascii="Arial" w:hAnsi="Arial" w:cs="Arial"/>
                <w:b/>
                <w:bCs/>
                <w:noProof/>
              </w:rPr>
              <w:t>2.1. Public Health Measures Using 3Ps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_Toc236146667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7</w:t>
            </w:r>
            <w:r w:rsidRPr="00EF7FC8">
              <w:rPr>
                <w:rFonts w:ascii="Arial" w:hAnsi="Arial" w:cs="Arial"/>
                <w:noProof/>
                <w:webHidden/>
              </w:rPr>
              <w:fldChar w:fldCharType="end"/>
            </w:r>
          </w:hyperlink>
        </w:p>
        <w:p w14:paraId="4FB548BC" w14:textId="68304BC3" w:rsidR="0094136A" w:rsidRPr="00EF7FC8" w:rsidRDefault="0094136A">
          <w:pPr>
            <w:pStyle w:val="TOC1"/>
            <w:tabs>
              <w:tab w:val="right" w:leader="dot" w:pos="9350"/>
            </w:tabs>
            <w:rPr>
              <w:rFonts w:ascii="Arial" w:eastAsiaTheme="minorEastAsia" w:hAnsi="Arial" w:cs="Arial"/>
              <w:noProof/>
              <w:kern w:val="2"/>
              <w:lang w:eastAsia="en-GB"/>
            </w:rPr>
          </w:pPr>
          <w:hyperlink w:anchor="_Toc236146668" w:history="1">
            <w:r w:rsidRPr="00EF7FC8">
              <w:rPr>
                <w:rStyle w:val="Hyperlink"/>
                <w:rFonts w:ascii="Arial" w:hAnsi="Arial" w:cs="Arial"/>
                <w:b/>
                <w:bCs/>
                <w:noProof/>
              </w:rPr>
              <w:t>2.2. Key Determinants: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_Toc236146668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7</w:t>
            </w:r>
            <w:r w:rsidRPr="00EF7FC8">
              <w:rPr>
                <w:rFonts w:ascii="Arial" w:hAnsi="Arial" w:cs="Arial"/>
                <w:noProof/>
                <w:webHidden/>
              </w:rPr>
              <w:fldChar w:fldCharType="end"/>
            </w:r>
          </w:hyperlink>
        </w:p>
        <w:p w14:paraId="78B4284A" w14:textId="25E069CB" w:rsidR="0094136A" w:rsidRPr="00EF7FC8" w:rsidRDefault="0094136A">
          <w:pPr>
            <w:pStyle w:val="TOC1"/>
            <w:tabs>
              <w:tab w:val="right" w:leader="dot" w:pos="9350"/>
            </w:tabs>
            <w:rPr>
              <w:rFonts w:ascii="Arial" w:eastAsiaTheme="minorEastAsia" w:hAnsi="Arial" w:cs="Arial"/>
              <w:noProof/>
              <w:kern w:val="2"/>
              <w:lang w:eastAsia="en-GB"/>
            </w:rPr>
          </w:pPr>
          <w:hyperlink w:anchor="_Toc236146669" w:history="1">
            <w:r w:rsidRPr="00EF7FC8">
              <w:rPr>
                <w:rStyle w:val="Hyperlink"/>
                <w:rFonts w:ascii="Arial" w:hAnsi="Arial" w:cs="Arial"/>
                <w:b/>
                <w:bCs/>
                <w:noProof/>
              </w:rPr>
              <w:t>2.3. Needs Assessment:</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_Toc236146669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8</w:t>
            </w:r>
            <w:r w:rsidRPr="00EF7FC8">
              <w:rPr>
                <w:rFonts w:ascii="Arial" w:hAnsi="Arial" w:cs="Arial"/>
                <w:noProof/>
                <w:webHidden/>
              </w:rPr>
              <w:fldChar w:fldCharType="end"/>
            </w:r>
          </w:hyperlink>
        </w:p>
        <w:p w14:paraId="327A907A" w14:textId="2604E2DC" w:rsidR="0094136A" w:rsidRPr="00EF7FC8" w:rsidRDefault="0094136A">
          <w:pPr>
            <w:pStyle w:val="TOC1"/>
            <w:tabs>
              <w:tab w:val="right" w:leader="dot" w:pos="9350"/>
            </w:tabs>
            <w:rPr>
              <w:rFonts w:ascii="Arial" w:eastAsiaTheme="minorEastAsia" w:hAnsi="Arial" w:cs="Arial"/>
              <w:noProof/>
              <w:kern w:val="2"/>
              <w:lang w:eastAsia="en-GB"/>
            </w:rPr>
          </w:pPr>
          <w:hyperlink w:anchor="_Toc236146670" w:history="1">
            <w:r w:rsidRPr="00EF7FC8">
              <w:rPr>
                <w:rStyle w:val="Hyperlink"/>
                <w:rFonts w:ascii="Arial" w:hAnsi="Arial" w:cs="Arial"/>
                <w:b/>
                <w:bCs/>
                <w:noProof/>
              </w:rPr>
              <w:t>2.4. Surveillance and Monitoring:</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_Toc236146670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8</w:t>
            </w:r>
            <w:r w:rsidRPr="00EF7FC8">
              <w:rPr>
                <w:rFonts w:ascii="Arial" w:hAnsi="Arial" w:cs="Arial"/>
                <w:noProof/>
                <w:webHidden/>
              </w:rPr>
              <w:fldChar w:fldCharType="end"/>
            </w:r>
          </w:hyperlink>
        </w:p>
        <w:p w14:paraId="230559E2" w14:textId="55C76016" w:rsidR="0094136A" w:rsidRPr="00EF7FC8" w:rsidRDefault="0094136A">
          <w:pPr>
            <w:pStyle w:val="TOC1"/>
            <w:tabs>
              <w:tab w:val="right" w:leader="dot" w:pos="9350"/>
            </w:tabs>
            <w:rPr>
              <w:rFonts w:ascii="Arial" w:eastAsiaTheme="minorEastAsia" w:hAnsi="Arial" w:cs="Arial"/>
              <w:noProof/>
              <w:kern w:val="2"/>
              <w:lang w:eastAsia="en-GB"/>
            </w:rPr>
          </w:pPr>
          <w:hyperlink w:anchor="_Toc236146671" w:history="1">
            <w:r w:rsidRPr="00EF7FC8">
              <w:rPr>
                <w:rStyle w:val="Hyperlink"/>
                <w:rFonts w:ascii="Arial" w:hAnsi="Arial" w:cs="Arial"/>
                <w:b/>
                <w:bCs/>
                <w:noProof/>
              </w:rPr>
              <w:t>2.5. Health Impact:</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_Toc236146671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9</w:t>
            </w:r>
            <w:r w:rsidRPr="00EF7FC8">
              <w:rPr>
                <w:rFonts w:ascii="Arial" w:hAnsi="Arial" w:cs="Arial"/>
                <w:noProof/>
                <w:webHidden/>
              </w:rPr>
              <w:fldChar w:fldCharType="end"/>
            </w:r>
          </w:hyperlink>
        </w:p>
        <w:p w14:paraId="1F560A78" w14:textId="02C9F8D8" w:rsidR="0094136A" w:rsidRPr="00EF7FC8" w:rsidRDefault="0094136A">
          <w:pPr>
            <w:pStyle w:val="TOC1"/>
            <w:tabs>
              <w:tab w:val="right" w:leader="dot" w:pos="9350"/>
            </w:tabs>
            <w:rPr>
              <w:rFonts w:ascii="Arial" w:eastAsiaTheme="minorEastAsia" w:hAnsi="Arial" w:cs="Arial"/>
              <w:noProof/>
              <w:kern w:val="2"/>
              <w:lang w:eastAsia="en-GB"/>
            </w:rPr>
          </w:pPr>
          <w:hyperlink w:anchor="_Toc236146672" w:history="1">
            <w:r w:rsidRPr="00EF7FC8">
              <w:rPr>
                <w:rStyle w:val="Hyperlink"/>
                <w:rFonts w:ascii="Arial" w:hAnsi="Arial" w:cs="Arial"/>
                <w:b/>
                <w:bCs/>
                <w:noProof/>
              </w:rPr>
              <w:t>2.6. Intervention and Evaluation:</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_Toc236146672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9</w:t>
            </w:r>
            <w:r w:rsidRPr="00EF7FC8">
              <w:rPr>
                <w:rFonts w:ascii="Arial" w:hAnsi="Arial" w:cs="Arial"/>
                <w:noProof/>
                <w:webHidden/>
              </w:rPr>
              <w:fldChar w:fldCharType="end"/>
            </w:r>
          </w:hyperlink>
        </w:p>
        <w:p w14:paraId="42DC6F7E" w14:textId="01E42205" w:rsidR="0094136A" w:rsidRPr="00EF7FC8" w:rsidRDefault="0094136A">
          <w:pPr>
            <w:pStyle w:val="TOC1"/>
            <w:tabs>
              <w:tab w:val="right" w:leader="dot" w:pos="9350"/>
            </w:tabs>
            <w:rPr>
              <w:rFonts w:ascii="Arial" w:eastAsiaTheme="minorEastAsia" w:hAnsi="Arial" w:cs="Arial"/>
              <w:noProof/>
              <w:kern w:val="2"/>
              <w:lang w:eastAsia="en-GB"/>
            </w:rPr>
          </w:pPr>
          <w:hyperlink w:anchor="_Toc236146673" w:history="1">
            <w:r w:rsidRPr="00EF7FC8">
              <w:rPr>
                <w:rStyle w:val="Hyperlink"/>
                <w:rFonts w:ascii="Arial" w:hAnsi="Arial" w:cs="Arial"/>
                <w:b/>
                <w:bCs/>
                <w:noProof/>
              </w:rPr>
              <w:t>2.7. Strengths and Weaknesses:</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_Toc236146673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9</w:t>
            </w:r>
            <w:r w:rsidRPr="00EF7FC8">
              <w:rPr>
                <w:rFonts w:ascii="Arial" w:hAnsi="Arial" w:cs="Arial"/>
                <w:noProof/>
                <w:webHidden/>
              </w:rPr>
              <w:fldChar w:fldCharType="end"/>
            </w:r>
          </w:hyperlink>
        </w:p>
        <w:p w14:paraId="1DADFCB5" w14:textId="364B1C27" w:rsidR="0094136A" w:rsidRPr="00EF7FC8" w:rsidRDefault="0094136A">
          <w:pPr>
            <w:pStyle w:val="TOC1"/>
            <w:tabs>
              <w:tab w:val="right" w:leader="dot" w:pos="9350"/>
            </w:tabs>
            <w:rPr>
              <w:rFonts w:ascii="Arial" w:eastAsiaTheme="minorEastAsia" w:hAnsi="Arial" w:cs="Arial"/>
              <w:noProof/>
              <w:kern w:val="2"/>
              <w:lang w:eastAsia="en-GB"/>
            </w:rPr>
          </w:pPr>
          <w:hyperlink w:anchor="_Toc236146674" w:history="1">
            <w:r w:rsidRPr="00EF7FC8">
              <w:rPr>
                <w:rStyle w:val="Hyperlink"/>
                <w:rFonts w:ascii="Arial" w:hAnsi="Arial" w:cs="Arial"/>
                <w:b/>
                <w:bCs/>
                <w:noProof/>
              </w:rPr>
              <w:t>3. References: Task 1</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_Toc236146674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11</w:t>
            </w:r>
            <w:r w:rsidRPr="00EF7FC8">
              <w:rPr>
                <w:rFonts w:ascii="Arial" w:hAnsi="Arial" w:cs="Arial"/>
                <w:noProof/>
                <w:webHidden/>
              </w:rPr>
              <w:fldChar w:fldCharType="end"/>
            </w:r>
          </w:hyperlink>
        </w:p>
        <w:p w14:paraId="36C46D9E" w14:textId="2ED4D0D1" w:rsidR="0094136A" w:rsidRPr="00EF7FC8" w:rsidRDefault="0094136A">
          <w:pPr>
            <w:pStyle w:val="TOC1"/>
            <w:tabs>
              <w:tab w:val="right" w:leader="dot" w:pos="9350"/>
            </w:tabs>
            <w:rPr>
              <w:rFonts w:ascii="Arial" w:eastAsiaTheme="minorEastAsia" w:hAnsi="Arial" w:cs="Arial"/>
              <w:noProof/>
              <w:kern w:val="2"/>
              <w:lang w:eastAsia="en-GB"/>
            </w:rPr>
          </w:pPr>
          <w:hyperlink w:anchor="_Toc236146675" w:history="1">
            <w:r w:rsidRPr="00EF7FC8">
              <w:rPr>
                <w:rStyle w:val="Hyperlink"/>
                <w:rFonts w:ascii="Arial" w:hAnsi="Arial" w:cs="Arial"/>
                <w:b/>
                <w:bCs/>
                <w:noProof/>
              </w:rPr>
              <w:t>4. References list Task 2</w:t>
            </w:r>
            <w:r w:rsidRPr="00EF7FC8">
              <w:rPr>
                <w:rFonts w:ascii="Arial" w:hAnsi="Arial" w:cs="Arial"/>
                <w:noProof/>
                <w:webHidden/>
              </w:rPr>
              <w:tab/>
            </w:r>
            <w:r w:rsidRPr="00EF7FC8">
              <w:rPr>
                <w:rFonts w:ascii="Arial" w:hAnsi="Arial" w:cs="Arial"/>
                <w:noProof/>
                <w:webHidden/>
              </w:rPr>
              <w:fldChar w:fldCharType="begin"/>
            </w:r>
            <w:r w:rsidRPr="00EF7FC8">
              <w:rPr>
                <w:rFonts w:ascii="Arial" w:hAnsi="Arial" w:cs="Arial"/>
                <w:noProof/>
                <w:webHidden/>
              </w:rPr>
              <w:instrText xml:space="preserve"> PAGEREF _Toc236146675 \h </w:instrText>
            </w:r>
            <w:r w:rsidRPr="00EF7FC8">
              <w:rPr>
                <w:rFonts w:ascii="Arial" w:hAnsi="Arial" w:cs="Arial"/>
                <w:noProof/>
                <w:webHidden/>
              </w:rPr>
            </w:r>
            <w:r w:rsidRPr="00EF7FC8">
              <w:rPr>
                <w:rFonts w:ascii="Arial" w:hAnsi="Arial" w:cs="Arial"/>
                <w:noProof/>
                <w:webHidden/>
              </w:rPr>
              <w:fldChar w:fldCharType="separate"/>
            </w:r>
            <w:r w:rsidRPr="00EF7FC8">
              <w:rPr>
                <w:rFonts w:ascii="Arial" w:hAnsi="Arial" w:cs="Arial"/>
                <w:noProof/>
                <w:webHidden/>
              </w:rPr>
              <w:t>14</w:t>
            </w:r>
            <w:r w:rsidRPr="00EF7FC8">
              <w:rPr>
                <w:rFonts w:ascii="Arial" w:hAnsi="Arial" w:cs="Arial"/>
                <w:noProof/>
                <w:webHidden/>
              </w:rPr>
              <w:fldChar w:fldCharType="end"/>
            </w:r>
          </w:hyperlink>
        </w:p>
        <w:p w14:paraId="14CFD047" w14:textId="28AE1347" w:rsidR="00B77A87" w:rsidRPr="00EF7FC8" w:rsidRDefault="00B77A87" w:rsidP="00297C8E">
          <w:pPr>
            <w:spacing w:line="360" w:lineRule="auto"/>
            <w:rPr>
              <w:rFonts w:ascii="Arial" w:hAnsi="Arial" w:cs="Arial"/>
              <w:sz w:val="22"/>
              <w:szCs w:val="22"/>
            </w:rPr>
          </w:pPr>
          <w:r w:rsidRPr="00EF7FC8">
            <w:rPr>
              <w:rFonts w:ascii="Arial" w:hAnsi="Arial" w:cs="Arial"/>
              <w:b/>
              <w:bCs/>
              <w:noProof/>
              <w:sz w:val="22"/>
              <w:szCs w:val="22"/>
            </w:rPr>
            <w:fldChar w:fldCharType="end"/>
          </w:r>
        </w:p>
      </w:sdtContent>
    </w:sdt>
    <w:p w14:paraId="59DABDA4" w14:textId="30697080" w:rsidR="00B53FE8" w:rsidRPr="00EF7FC8" w:rsidRDefault="00B77A87" w:rsidP="00297C8E">
      <w:pPr>
        <w:pStyle w:val="Heading1"/>
        <w:spacing w:line="360" w:lineRule="auto"/>
        <w:rPr>
          <w:rFonts w:ascii="Arial" w:hAnsi="Arial" w:cs="Arial"/>
          <w:b/>
          <w:bCs/>
          <w:color w:val="auto"/>
          <w:sz w:val="22"/>
          <w:szCs w:val="22"/>
        </w:rPr>
      </w:pPr>
      <w:r w:rsidRPr="00EF7FC8">
        <w:rPr>
          <w:rFonts w:ascii="Arial" w:hAnsi="Arial" w:cs="Arial"/>
          <w:b/>
          <w:bCs/>
          <w:color w:val="auto"/>
          <w:sz w:val="22"/>
          <w:szCs w:val="22"/>
        </w:rPr>
        <w:br w:type="page"/>
      </w:r>
    </w:p>
    <w:p w14:paraId="07C36B3C" w14:textId="5B79B7C9" w:rsidR="00B77A87" w:rsidRPr="00EF7FC8" w:rsidRDefault="00B77A87" w:rsidP="00EF7FC8">
      <w:pPr>
        <w:pStyle w:val="Heading1"/>
        <w:spacing w:line="360" w:lineRule="auto"/>
        <w:jc w:val="center"/>
        <w:rPr>
          <w:rFonts w:ascii="Arial" w:hAnsi="Arial" w:cs="Arial"/>
          <w:b/>
          <w:bCs/>
          <w:color w:val="auto"/>
          <w:sz w:val="28"/>
          <w:szCs w:val="28"/>
        </w:rPr>
      </w:pPr>
      <w:bookmarkStart w:id="1" w:name="_Toc236146653"/>
      <w:r w:rsidRPr="00EF7FC8">
        <w:rPr>
          <w:rFonts w:ascii="Arial" w:hAnsi="Arial" w:cs="Arial"/>
          <w:b/>
          <w:bCs/>
          <w:color w:val="auto"/>
          <w:sz w:val="28"/>
          <w:szCs w:val="28"/>
        </w:rPr>
        <w:lastRenderedPageBreak/>
        <w:t>Task 1 Social Epidemiological Analysis</w:t>
      </w:r>
      <w:bookmarkEnd w:id="1"/>
    </w:p>
    <w:p w14:paraId="04F0B74D" w14:textId="157B0863" w:rsidR="00B53FE8" w:rsidRPr="00EF7FC8" w:rsidRDefault="00B53FE8" w:rsidP="00EF7FC8">
      <w:pPr>
        <w:pStyle w:val="Heading1"/>
        <w:numPr>
          <w:ilvl w:val="0"/>
          <w:numId w:val="1"/>
        </w:numPr>
        <w:spacing w:line="360" w:lineRule="auto"/>
        <w:rPr>
          <w:rFonts w:ascii="Arial" w:hAnsi="Arial" w:cs="Arial"/>
          <w:b/>
          <w:bCs/>
          <w:color w:val="auto"/>
          <w:sz w:val="22"/>
          <w:szCs w:val="22"/>
        </w:rPr>
      </w:pPr>
      <w:bookmarkStart w:id="2" w:name="_Toc236146654"/>
      <w:r w:rsidRPr="00EF7FC8">
        <w:rPr>
          <w:rFonts w:ascii="Arial" w:hAnsi="Arial" w:cs="Arial"/>
          <w:b/>
          <w:bCs/>
          <w:color w:val="auto"/>
          <w:sz w:val="22"/>
          <w:szCs w:val="22"/>
        </w:rPr>
        <w:t>Introduction</w:t>
      </w:r>
      <w:bookmarkEnd w:id="0"/>
      <w:bookmarkEnd w:id="2"/>
    </w:p>
    <w:p w14:paraId="21B4AC9D" w14:textId="3FCDF3BC"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Health inequalities are unfair and avoidable differences in health outcomes, access to healthcare, and opportunities to achieve good health between different population groups (Williams </w:t>
      </w:r>
      <w:r w:rsidRPr="00EF7FC8">
        <w:rPr>
          <w:rFonts w:ascii="Arial" w:hAnsi="Arial" w:cs="Arial"/>
          <w:i/>
          <w:iCs/>
          <w:sz w:val="22"/>
          <w:szCs w:val="22"/>
        </w:rPr>
        <w:t>et al.</w:t>
      </w:r>
      <w:r w:rsidRPr="00EF7FC8">
        <w:rPr>
          <w:rFonts w:ascii="Arial" w:hAnsi="Arial" w:cs="Arial"/>
          <w:sz w:val="22"/>
          <w:szCs w:val="22"/>
        </w:rPr>
        <w:t>, 2022).  According to Bennett and Daly (2014), gender refers to the social roles, behaviours and expectations that society assigns to women and men.</w:t>
      </w:r>
      <w:r w:rsidR="004E416B" w:rsidRPr="00EF7FC8">
        <w:rPr>
          <w:rFonts w:ascii="Arial" w:hAnsi="Arial" w:cs="Arial"/>
          <w:sz w:val="22"/>
          <w:szCs w:val="22"/>
        </w:rPr>
        <w:t xml:space="preserve"> Health inequalities experienced by women are strongly influenced by gender inequality. </w:t>
      </w:r>
      <w:r w:rsidRPr="00EF7FC8">
        <w:rPr>
          <w:rFonts w:ascii="Arial" w:hAnsi="Arial" w:cs="Arial"/>
          <w:sz w:val="22"/>
          <w:szCs w:val="22"/>
        </w:rPr>
        <w:t xml:space="preserve"> These roles can create unequal access to resources, health care and opportunities. Gender inequality affects women’s health as it is closely linked with other social and economic inequalities such as low health literacy, language difficulties, limited decision-making power and ethnicity (WHO, 2025). This report examines the major health and social inequalities affecting women in the UK and explores national responses and organisations working to address these challenges.</w:t>
      </w:r>
    </w:p>
    <w:p w14:paraId="2B4EB9E2" w14:textId="2BFD7616" w:rsidR="00B53FE8" w:rsidRPr="00EF7FC8" w:rsidRDefault="00B53FE8" w:rsidP="00EF7FC8">
      <w:pPr>
        <w:pStyle w:val="Heading1"/>
        <w:numPr>
          <w:ilvl w:val="0"/>
          <w:numId w:val="1"/>
        </w:numPr>
        <w:spacing w:line="360" w:lineRule="auto"/>
        <w:rPr>
          <w:rFonts w:ascii="Arial" w:hAnsi="Arial" w:cs="Arial"/>
          <w:b/>
          <w:bCs/>
          <w:color w:val="auto"/>
          <w:sz w:val="22"/>
          <w:szCs w:val="22"/>
        </w:rPr>
      </w:pPr>
      <w:bookmarkStart w:id="3" w:name="_Toc236093173"/>
      <w:bookmarkStart w:id="4" w:name="_Toc236146655"/>
      <w:r w:rsidRPr="00EF7FC8">
        <w:rPr>
          <w:rFonts w:ascii="Arial" w:hAnsi="Arial" w:cs="Arial"/>
          <w:b/>
          <w:bCs/>
          <w:color w:val="auto"/>
          <w:sz w:val="22"/>
          <w:szCs w:val="22"/>
        </w:rPr>
        <w:t>Contextual Background and Underlying Factors</w:t>
      </w:r>
      <w:bookmarkEnd w:id="3"/>
      <w:bookmarkEnd w:id="4"/>
    </w:p>
    <w:p w14:paraId="063DEB72" w14:textId="578E0A49"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5" w:name="_Toc236093174"/>
      <w:bookmarkStart w:id="6" w:name="_Toc236146656"/>
      <w:r w:rsidRPr="00EF7FC8">
        <w:rPr>
          <w:rFonts w:ascii="Arial" w:hAnsi="Arial" w:cs="Arial"/>
          <w:b/>
          <w:bCs/>
          <w:color w:val="auto"/>
          <w:sz w:val="22"/>
          <w:szCs w:val="22"/>
        </w:rPr>
        <w:t>Maternal Mortality</w:t>
      </w:r>
      <w:bookmarkEnd w:id="5"/>
      <w:bookmarkEnd w:id="6"/>
    </w:p>
    <w:p w14:paraId="107E2DD0" w14:textId="03EF8349"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Maternal mortality is a major health inequality affecting women in </w:t>
      </w:r>
      <w:r w:rsidR="00D97825" w:rsidRPr="00EF7FC8">
        <w:rPr>
          <w:rFonts w:ascii="Arial" w:hAnsi="Arial" w:cs="Arial"/>
          <w:sz w:val="22"/>
          <w:szCs w:val="22"/>
        </w:rPr>
        <w:t xml:space="preserve">the </w:t>
      </w:r>
      <w:r w:rsidRPr="00EF7FC8">
        <w:rPr>
          <w:rFonts w:ascii="Arial" w:hAnsi="Arial" w:cs="Arial"/>
          <w:sz w:val="22"/>
          <w:szCs w:val="22"/>
        </w:rPr>
        <w:t>UK. MBRRACE-UK (2021) reports that</w:t>
      </w:r>
      <w:r w:rsidR="004E416B" w:rsidRPr="00EF7FC8">
        <w:rPr>
          <w:rFonts w:ascii="Arial" w:hAnsi="Arial" w:cs="Arial"/>
          <w:sz w:val="22"/>
          <w:szCs w:val="22"/>
        </w:rPr>
        <w:t xml:space="preserve"> 276 women died during pregnancy or within 42 days after the pregnancy in the UK between 2022 and 2024. </w:t>
      </w:r>
      <w:r w:rsidR="00D97825" w:rsidRPr="00EF7FC8">
        <w:rPr>
          <w:rFonts w:ascii="Arial" w:hAnsi="Arial" w:cs="Arial"/>
          <w:sz w:val="22"/>
          <w:szCs w:val="22"/>
        </w:rPr>
        <w:t>Women</w:t>
      </w:r>
      <w:r w:rsidRPr="00EF7FC8">
        <w:rPr>
          <w:rFonts w:ascii="Arial" w:hAnsi="Arial" w:cs="Arial"/>
          <w:sz w:val="22"/>
          <w:szCs w:val="22"/>
        </w:rPr>
        <w:t xml:space="preserve"> from Black ethnic groups are around three times more likely to die during pregnancy or within six weeks after birth than White women. In addition, women living in the most deprived areas have a 1.9 times higher risk of maternal death than those living in </w:t>
      </w:r>
      <w:r w:rsidR="00D97825" w:rsidRPr="00EF7FC8">
        <w:rPr>
          <w:rFonts w:ascii="Arial" w:hAnsi="Arial" w:cs="Arial"/>
          <w:sz w:val="22"/>
          <w:szCs w:val="22"/>
        </w:rPr>
        <w:t xml:space="preserve">the </w:t>
      </w:r>
      <w:r w:rsidRPr="00EF7FC8">
        <w:rPr>
          <w:rFonts w:ascii="Arial" w:hAnsi="Arial" w:cs="Arial"/>
          <w:sz w:val="22"/>
          <w:szCs w:val="22"/>
        </w:rPr>
        <w:t xml:space="preserve">least deprived areas (RCOG, 2019). </w:t>
      </w:r>
    </w:p>
    <w:p w14:paraId="53B03D48" w14:textId="0CFB0C98" w:rsidR="00B53FE8" w:rsidRPr="00EF7FC8" w:rsidRDefault="00F275C2" w:rsidP="00EF7FC8">
      <w:pPr>
        <w:spacing w:line="360" w:lineRule="auto"/>
        <w:rPr>
          <w:rFonts w:ascii="Arial" w:hAnsi="Arial" w:cs="Arial"/>
          <w:sz w:val="22"/>
          <w:szCs w:val="22"/>
        </w:rPr>
      </w:pPr>
      <w:r w:rsidRPr="00EF7FC8">
        <w:rPr>
          <w:rFonts w:ascii="Arial" w:hAnsi="Arial" w:cs="Arial"/>
          <w:sz w:val="22"/>
          <w:szCs w:val="22"/>
        </w:rPr>
        <w:t>The Marmot Review (2010)</w:t>
      </w:r>
      <w:r w:rsidR="00B53FE8" w:rsidRPr="00EF7FC8">
        <w:rPr>
          <w:rFonts w:ascii="Arial" w:hAnsi="Arial" w:cs="Arial"/>
          <w:sz w:val="22"/>
          <w:szCs w:val="22"/>
        </w:rPr>
        <w:t xml:space="preserve"> explains that </w:t>
      </w:r>
      <w:r w:rsidR="005234BF">
        <w:rPr>
          <w:rFonts w:ascii="Arial" w:hAnsi="Arial" w:cs="Arial"/>
          <w:sz w:val="22"/>
          <w:szCs w:val="22"/>
        </w:rPr>
        <w:t>wider social determinants strongly influence health</w:t>
      </w:r>
      <w:r w:rsidR="00B53FE8" w:rsidRPr="00EF7FC8">
        <w:rPr>
          <w:rFonts w:ascii="Arial" w:hAnsi="Arial" w:cs="Arial"/>
          <w:sz w:val="22"/>
          <w:szCs w:val="22"/>
        </w:rPr>
        <w:t xml:space="preserve">. The main exposures contributing to this inequality include deprivation, delayed antenatal booking, language barriers, low health literacy, discrimination and pre-existing conditions (Marmot, 2010).  Reducing this inequality and improving maternal health outcomes requires early antenatal care, continuity of midwifery services, culturally appropriate maternity care, professional interpreter services and targeted support for women living in deprived communities (Equality and Human Rights Commission, 2025). </w:t>
      </w:r>
    </w:p>
    <w:p w14:paraId="2B2BE041" w14:textId="2634764D"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7" w:name="_Toc236093175"/>
      <w:bookmarkStart w:id="8" w:name="_Toc236146657"/>
      <w:r w:rsidRPr="00EF7FC8">
        <w:rPr>
          <w:rFonts w:ascii="Arial" w:hAnsi="Arial" w:cs="Arial"/>
          <w:b/>
          <w:bCs/>
          <w:color w:val="auto"/>
          <w:sz w:val="22"/>
          <w:szCs w:val="22"/>
        </w:rPr>
        <w:lastRenderedPageBreak/>
        <w:t>Mental Illness in Women</w:t>
      </w:r>
      <w:bookmarkEnd w:id="7"/>
      <w:bookmarkEnd w:id="8"/>
      <w:r w:rsidRPr="00EF7FC8">
        <w:rPr>
          <w:rFonts w:ascii="Arial" w:hAnsi="Arial" w:cs="Arial"/>
          <w:b/>
          <w:bCs/>
          <w:color w:val="auto"/>
          <w:sz w:val="22"/>
          <w:szCs w:val="22"/>
        </w:rPr>
        <w:t xml:space="preserve"> </w:t>
      </w:r>
    </w:p>
    <w:p w14:paraId="4D46E312" w14:textId="36FA6C7C"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Women in </w:t>
      </w:r>
      <w:r w:rsidR="00D97825" w:rsidRPr="00EF7FC8">
        <w:rPr>
          <w:rFonts w:ascii="Arial" w:hAnsi="Arial" w:cs="Arial"/>
          <w:sz w:val="22"/>
          <w:szCs w:val="22"/>
        </w:rPr>
        <w:t xml:space="preserve">the </w:t>
      </w:r>
      <w:r w:rsidRPr="00EF7FC8">
        <w:rPr>
          <w:rFonts w:ascii="Arial" w:hAnsi="Arial" w:cs="Arial"/>
          <w:sz w:val="22"/>
          <w:szCs w:val="22"/>
        </w:rPr>
        <w:t xml:space="preserve">UK are more likely than men to experience common mental health conditions like anxiety and depression. According to </w:t>
      </w:r>
      <w:r w:rsidR="005234BF">
        <w:rPr>
          <w:rFonts w:ascii="Arial" w:hAnsi="Arial" w:cs="Arial"/>
          <w:sz w:val="22"/>
          <w:szCs w:val="22"/>
        </w:rPr>
        <w:t xml:space="preserve">the </w:t>
      </w:r>
      <w:r w:rsidRPr="00EF7FC8">
        <w:rPr>
          <w:rFonts w:ascii="Arial" w:hAnsi="Arial" w:cs="Arial"/>
          <w:sz w:val="22"/>
          <w:szCs w:val="22"/>
        </w:rPr>
        <w:t>Mental Health Foundation (2021), around</w:t>
      </w:r>
      <w:r w:rsidR="004E416B" w:rsidRPr="00EF7FC8">
        <w:rPr>
          <w:rFonts w:ascii="Arial" w:hAnsi="Arial" w:cs="Arial"/>
          <w:sz w:val="22"/>
          <w:szCs w:val="22"/>
        </w:rPr>
        <w:t xml:space="preserve"> one in</w:t>
      </w:r>
      <w:r w:rsidRPr="00EF7FC8">
        <w:rPr>
          <w:rFonts w:ascii="Arial" w:hAnsi="Arial" w:cs="Arial"/>
          <w:sz w:val="22"/>
          <w:szCs w:val="22"/>
        </w:rPr>
        <w:t xml:space="preserve"> five women</w:t>
      </w:r>
      <w:r w:rsidR="00DC22EA" w:rsidRPr="00EF7FC8">
        <w:rPr>
          <w:rFonts w:ascii="Arial" w:hAnsi="Arial" w:cs="Arial"/>
          <w:sz w:val="22"/>
          <w:szCs w:val="22"/>
        </w:rPr>
        <w:t xml:space="preserve"> </w:t>
      </w:r>
      <w:r w:rsidR="004E416B" w:rsidRPr="00EF7FC8">
        <w:rPr>
          <w:rFonts w:ascii="Arial" w:hAnsi="Arial" w:cs="Arial"/>
          <w:sz w:val="22"/>
          <w:szCs w:val="22"/>
        </w:rPr>
        <w:t>(24%)</w:t>
      </w:r>
      <w:r w:rsidRPr="00EF7FC8">
        <w:rPr>
          <w:rFonts w:ascii="Arial" w:hAnsi="Arial" w:cs="Arial"/>
          <w:sz w:val="22"/>
          <w:szCs w:val="22"/>
        </w:rPr>
        <w:t xml:space="preserve"> experience a common mental health proble</w:t>
      </w:r>
      <w:r w:rsidR="00DC22EA" w:rsidRPr="00EF7FC8">
        <w:rPr>
          <w:rFonts w:ascii="Arial" w:hAnsi="Arial" w:cs="Arial"/>
          <w:sz w:val="22"/>
          <w:szCs w:val="22"/>
        </w:rPr>
        <w:t xml:space="preserve">m. </w:t>
      </w:r>
      <w:r w:rsidR="00D97825" w:rsidRPr="00EF7FC8">
        <w:rPr>
          <w:rFonts w:ascii="Arial" w:hAnsi="Arial" w:cs="Arial"/>
          <w:sz w:val="22"/>
          <w:szCs w:val="22"/>
        </w:rPr>
        <w:t>This</w:t>
      </w:r>
      <w:r w:rsidR="00DC22EA" w:rsidRPr="00EF7FC8">
        <w:rPr>
          <w:rFonts w:ascii="Arial" w:hAnsi="Arial" w:cs="Arial"/>
          <w:sz w:val="22"/>
          <w:szCs w:val="22"/>
        </w:rPr>
        <w:t xml:space="preserve"> is </w:t>
      </w:r>
      <w:r w:rsidRPr="00EF7FC8">
        <w:rPr>
          <w:rFonts w:ascii="Arial" w:hAnsi="Arial" w:cs="Arial"/>
          <w:sz w:val="22"/>
          <w:szCs w:val="22"/>
        </w:rPr>
        <w:t xml:space="preserve">compared with </w:t>
      </w:r>
      <w:r w:rsidR="00DC22EA" w:rsidRPr="00EF7FC8">
        <w:rPr>
          <w:rFonts w:ascii="Arial" w:hAnsi="Arial" w:cs="Arial"/>
          <w:sz w:val="22"/>
          <w:szCs w:val="22"/>
        </w:rPr>
        <w:t>around one in seven (</w:t>
      </w:r>
      <w:r w:rsidRPr="00EF7FC8">
        <w:rPr>
          <w:rFonts w:ascii="Arial" w:hAnsi="Arial" w:cs="Arial"/>
          <w:sz w:val="22"/>
          <w:szCs w:val="22"/>
        </w:rPr>
        <w:t>15%</w:t>
      </w:r>
      <w:r w:rsidR="00DC22EA" w:rsidRPr="00EF7FC8">
        <w:rPr>
          <w:rFonts w:ascii="Arial" w:hAnsi="Arial" w:cs="Arial"/>
          <w:sz w:val="22"/>
          <w:szCs w:val="22"/>
        </w:rPr>
        <w:t>)</w:t>
      </w:r>
      <w:r w:rsidRPr="00EF7FC8">
        <w:rPr>
          <w:rFonts w:ascii="Arial" w:hAnsi="Arial" w:cs="Arial"/>
          <w:sz w:val="22"/>
          <w:szCs w:val="22"/>
        </w:rPr>
        <w:t xml:space="preserve"> of men. Women are at great risk because of social determinants including poverty, caring responsibilities, domestic abuse, workplace discrimination and social isolation. These factors increase stress and reduce wellbeing, leading to poorer mental health outcomes. Reducing these inequalities requires early access to timely and gender-sensitive mental health care</w:t>
      </w:r>
      <w:r w:rsidR="00D97825" w:rsidRPr="00EF7FC8">
        <w:rPr>
          <w:rFonts w:ascii="Arial" w:hAnsi="Arial" w:cs="Arial"/>
          <w:sz w:val="22"/>
          <w:szCs w:val="22"/>
        </w:rPr>
        <w:t>, which</w:t>
      </w:r>
      <w:r w:rsidRPr="00EF7FC8">
        <w:rPr>
          <w:rFonts w:ascii="Arial" w:hAnsi="Arial" w:cs="Arial"/>
          <w:sz w:val="22"/>
          <w:szCs w:val="22"/>
        </w:rPr>
        <w:t xml:space="preserve"> can help reduce inequalities and improve wellbeing in women (Gifford, 2025).</w:t>
      </w:r>
    </w:p>
    <w:p w14:paraId="338211FD" w14:textId="7F979AB8"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9" w:name="_Toc236093176"/>
      <w:bookmarkStart w:id="10" w:name="_Toc236146658"/>
      <w:r w:rsidRPr="00EF7FC8">
        <w:rPr>
          <w:rFonts w:ascii="Arial" w:hAnsi="Arial" w:cs="Arial"/>
          <w:b/>
          <w:bCs/>
          <w:color w:val="auto"/>
          <w:sz w:val="22"/>
          <w:szCs w:val="22"/>
        </w:rPr>
        <w:t>Cardiovascular Disease in women</w:t>
      </w:r>
      <w:bookmarkEnd w:id="9"/>
      <w:bookmarkEnd w:id="10"/>
    </w:p>
    <w:p w14:paraId="1FF8F8B2" w14:textId="10C09D08"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Cardiovascular disease (CVD) is one of the leading causes of death among women in the UK. According to </w:t>
      </w:r>
      <w:r w:rsidR="00D97825" w:rsidRPr="00EF7FC8">
        <w:rPr>
          <w:rFonts w:ascii="Arial" w:hAnsi="Arial" w:cs="Arial"/>
          <w:sz w:val="22"/>
          <w:szCs w:val="22"/>
        </w:rPr>
        <w:t xml:space="preserve">the </w:t>
      </w:r>
      <w:r w:rsidRPr="00EF7FC8">
        <w:rPr>
          <w:rFonts w:ascii="Arial" w:hAnsi="Arial" w:cs="Arial"/>
          <w:sz w:val="22"/>
          <w:szCs w:val="22"/>
        </w:rPr>
        <w:t xml:space="preserve">British Heart Foundation (2023), around 3.6 million women in </w:t>
      </w:r>
      <w:r w:rsidR="00D97825" w:rsidRPr="00EF7FC8">
        <w:rPr>
          <w:rFonts w:ascii="Arial" w:hAnsi="Arial" w:cs="Arial"/>
          <w:sz w:val="22"/>
          <w:szCs w:val="22"/>
        </w:rPr>
        <w:t xml:space="preserve">the </w:t>
      </w:r>
      <w:r w:rsidRPr="00EF7FC8">
        <w:rPr>
          <w:rFonts w:ascii="Arial" w:hAnsi="Arial" w:cs="Arial"/>
          <w:sz w:val="22"/>
          <w:szCs w:val="22"/>
        </w:rPr>
        <w:t>UK are living with a heart or circulatory disease. Gender disparities in CVD exist as women experience different biological, social and healthcare related risk factors than men.  Women are often diagnosed later than men</w:t>
      </w:r>
      <w:r w:rsidR="00D97825" w:rsidRPr="00EF7FC8">
        <w:rPr>
          <w:rFonts w:ascii="Arial" w:hAnsi="Arial" w:cs="Arial"/>
          <w:sz w:val="22"/>
          <w:szCs w:val="22"/>
        </w:rPr>
        <w:t>,</w:t>
      </w:r>
      <w:r w:rsidRPr="00EF7FC8">
        <w:rPr>
          <w:rFonts w:ascii="Arial" w:hAnsi="Arial" w:cs="Arial"/>
          <w:sz w:val="22"/>
          <w:szCs w:val="22"/>
        </w:rPr>
        <w:t xml:space="preserve"> as symptoms are overlooked or can be different. Social determinants such as poverty, smoking, obesity, physical inactivity and limited access to healthcare increase </w:t>
      </w:r>
      <w:r w:rsidR="00D97825" w:rsidRPr="00EF7FC8">
        <w:rPr>
          <w:rFonts w:ascii="Arial" w:hAnsi="Arial" w:cs="Arial"/>
          <w:sz w:val="22"/>
          <w:szCs w:val="22"/>
        </w:rPr>
        <w:t xml:space="preserve">the </w:t>
      </w:r>
      <w:r w:rsidRPr="00EF7FC8">
        <w:rPr>
          <w:rFonts w:ascii="Arial" w:hAnsi="Arial" w:cs="Arial"/>
          <w:sz w:val="22"/>
          <w:szCs w:val="22"/>
        </w:rPr>
        <w:t xml:space="preserve">risk of CVD (Betai </w:t>
      </w:r>
      <w:r w:rsidRPr="00EF7FC8">
        <w:rPr>
          <w:rFonts w:ascii="Arial" w:hAnsi="Arial" w:cs="Arial"/>
          <w:i/>
          <w:iCs/>
          <w:sz w:val="22"/>
          <w:szCs w:val="22"/>
        </w:rPr>
        <w:t>et al.</w:t>
      </w:r>
      <w:r w:rsidRPr="00EF7FC8">
        <w:rPr>
          <w:rFonts w:ascii="Arial" w:hAnsi="Arial" w:cs="Arial"/>
          <w:sz w:val="22"/>
          <w:szCs w:val="22"/>
        </w:rPr>
        <w:t xml:space="preserve">, 2024). The inequalities can be reduced through NHS Health Checks, timely diagnosis, healthier </w:t>
      </w:r>
      <w:r w:rsidR="00D97825" w:rsidRPr="00EF7FC8">
        <w:rPr>
          <w:rFonts w:ascii="Arial" w:hAnsi="Arial" w:cs="Arial"/>
          <w:sz w:val="22"/>
          <w:szCs w:val="22"/>
        </w:rPr>
        <w:t>lifestyles,</w:t>
      </w:r>
      <w:r w:rsidRPr="00EF7FC8">
        <w:rPr>
          <w:rFonts w:ascii="Arial" w:hAnsi="Arial" w:cs="Arial"/>
          <w:sz w:val="22"/>
          <w:szCs w:val="22"/>
        </w:rPr>
        <w:t xml:space="preserve"> and improved awareness of CVD in women.</w:t>
      </w:r>
    </w:p>
    <w:p w14:paraId="2D6979B7" w14:textId="2A049422"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11" w:name="_Toc236093177"/>
      <w:bookmarkStart w:id="12" w:name="_Toc236146659"/>
      <w:r w:rsidRPr="00EF7FC8">
        <w:rPr>
          <w:rFonts w:ascii="Arial" w:hAnsi="Arial" w:cs="Arial"/>
          <w:b/>
          <w:bCs/>
          <w:color w:val="auto"/>
          <w:sz w:val="22"/>
          <w:szCs w:val="22"/>
        </w:rPr>
        <w:t>Poverty in Women</w:t>
      </w:r>
      <w:bookmarkEnd w:id="11"/>
      <w:bookmarkEnd w:id="12"/>
    </w:p>
    <w:p w14:paraId="426F2C09" w14:textId="694C4F2A"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Poverty is a major social factor that contributes to the health inequalities among women in </w:t>
      </w:r>
      <w:r w:rsidR="00D97825" w:rsidRPr="00EF7FC8">
        <w:rPr>
          <w:rFonts w:ascii="Arial" w:hAnsi="Arial" w:cs="Arial"/>
          <w:sz w:val="22"/>
          <w:szCs w:val="22"/>
        </w:rPr>
        <w:t xml:space="preserve">the </w:t>
      </w:r>
      <w:r w:rsidRPr="00EF7FC8">
        <w:rPr>
          <w:rFonts w:ascii="Arial" w:hAnsi="Arial" w:cs="Arial"/>
          <w:sz w:val="22"/>
          <w:szCs w:val="22"/>
        </w:rPr>
        <w:t xml:space="preserve">UK. Gender and ethnicity can increase the risk of poverty. Poverty can make it hard to afford healthy food, good housing and healthcare. Women are experiencing poverty more than men as lone mothers, unpaid carers and older mothers (Joseph Rowntree Foundation, 2016).  Women from ethnic minorities often face greater social and economic </w:t>
      </w:r>
      <w:r w:rsidR="00D97825" w:rsidRPr="00EF7FC8">
        <w:rPr>
          <w:rFonts w:ascii="Arial" w:hAnsi="Arial" w:cs="Arial"/>
          <w:sz w:val="22"/>
          <w:szCs w:val="22"/>
        </w:rPr>
        <w:t>challenges</w:t>
      </w:r>
      <w:r w:rsidRPr="00EF7FC8">
        <w:rPr>
          <w:rFonts w:ascii="Arial" w:hAnsi="Arial" w:cs="Arial"/>
          <w:sz w:val="22"/>
          <w:szCs w:val="22"/>
        </w:rPr>
        <w:t xml:space="preserve"> than White British Women (Bennett and Daly, 2014).  In the UK</w:t>
      </w:r>
      <w:r w:rsidR="00D97825" w:rsidRPr="00EF7FC8">
        <w:rPr>
          <w:rFonts w:ascii="Arial" w:hAnsi="Arial" w:cs="Arial"/>
          <w:sz w:val="22"/>
          <w:szCs w:val="22"/>
        </w:rPr>
        <w:t>,</w:t>
      </w:r>
      <w:r w:rsidRPr="00EF7FC8">
        <w:rPr>
          <w:rFonts w:ascii="Arial" w:hAnsi="Arial" w:cs="Arial"/>
          <w:sz w:val="22"/>
          <w:szCs w:val="22"/>
        </w:rPr>
        <w:t xml:space="preserve"> 20% </w:t>
      </w:r>
      <w:r w:rsidR="00D97825" w:rsidRPr="00EF7FC8">
        <w:rPr>
          <w:rFonts w:ascii="Arial" w:hAnsi="Arial" w:cs="Arial"/>
          <w:sz w:val="22"/>
          <w:szCs w:val="22"/>
        </w:rPr>
        <w:t xml:space="preserve">of </w:t>
      </w:r>
      <w:r w:rsidRPr="00EF7FC8">
        <w:rPr>
          <w:rFonts w:ascii="Arial" w:hAnsi="Arial" w:cs="Arial"/>
          <w:sz w:val="22"/>
          <w:szCs w:val="22"/>
        </w:rPr>
        <w:t xml:space="preserve">women continue to live in poverty as compared to men.  Nearly 45% of single mothers are living in poverty (Department for Work and Pensions, 2019). The Marmot Review (2010) highlights that income, education and employment are important social determinants of health. Reducing poverty through affordable childcare, financial support and employment opportunities can help improve </w:t>
      </w:r>
      <w:r w:rsidR="00D97825" w:rsidRPr="00EF7FC8">
        <w:rPr>
          <w:rFonts w:ascii="Arial" w:hAnsi="Arial" w:cs="Arial"/>
          <w:sz w:val="22"/>
          <w:szCs w:val="22"/>
        </w:rPr>
        <w:t>women's</w:t>
      </w:r>
      <w:r w:rsidRPr="00EF7FC8">
        <w:rPr>
          <w:rFonts w:ascii="Arial" w:hAnsi="Arial" w:cs="Arial"/>
          <w:sz w:val="22"/>
          <w:szCs w:val="22"/>
        </w:rPr>
        <w:t xml:space="preserve"> quality of life and reduce inequalities.</w:t>
      </w:r>
    </w:p>
    <w:p w14:paraId="3DF924D8" w14:textId="1D167AC8"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13" w:name="_Toc236093178"/>
      <w:bookmarkStart w:id="14" w:name="_Toc236146660"/>
      <w:r w:rsidRPr="00EF7FC8">
        <w:rPr>
          <w:rFonts w:ascii="Arial" w:hAnsi="Arial" w:cs="Arial"/>
          <w:b/>
          <w:bCs/>
          <w:color w:val="auto"/>
          <w:sz w:val="22"/>
          <w:szCs w:val="22"/>
        </w:rPr>
        <w:lastRenderedPageBreak/>
        <w:t xml:space="preserve">Housing </w:t>
      </w:r>
      <w:r w:rsidR="00D97825" w:rsidRPr="00EF7FC8">
        <w:rPr>
          <w:rFonts w:ascii="Arial" w:hAnsi="Arial" w:cs="Arial"/>
          <w:b/>
          <w:bCs/>
          <w:color w:val="auto"/>
          <w:sz w:val="22"/>
          <w:szCs w:val="22"/>
        </w:rPr>
        <w:t>for</w:t>
      </w:r>
      <w:r w:rsidRPr="00EF7FC8">
        <w:rPr>
          <w:rFonts w:ascii="Arial" w:hAnsi="Arial" w:cs="Arial"/>
          <w:b/>
          <w:bCs/>
          <w:color w:val="auto"/>
          <w:sz w:val="22"/>
          <w:szCs w:val="22"/>
        </w:rPr>
        <w:t xml:space="preserve"> Women</w:t>
      </w:r>
      <w:bookmarkEnd w:id="13"/>
      <w:bookmarkEnd w:id="14"/>
    </w:p>
    <w:p w14:paraId="1A074890" w14:textId="0F9E41A7"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Safe and suitable housing is an important factor in </w:t>
      </w:r>
      <w:r w:rsidR="00D97825" w:rsidRPr="00EF7FC8">
        <w:rPr>
          <w:rFonts w:ascii="Arial" w:hAnsi="Arial" w:cs="Arial"/>
          <w:sz w:val="22"/>
          <w:szCs w:val="22"/>
        </w:rPr>
        <w:t>maintaining</w:t>
      </w:r>
      <w:r w:rsidRPr="00EF7FC8">
        <w:rPr>
          <w:rFonts w:ascii="Arial" w:hAnsi="Arial" w:cs="Arial"/>
          <w:sz w:val="22"/>
          <w:szCs w:val="22"/>
        </w:rPr>
        <w:t xml:space="preserve"> good health and wellbeing, but women in </w:t>
      </w:r>
      <w:r w:rsidR="009F4F66" w:rsidRPr="00EF7FC8">
        <w:rPr>
          <w:rFonts w:ascii="Arial" w:hAnsi="Arial" w:cs="Arial"/>
          <w:sz w:val="22"/>
          <w:szCs w:val="22"/>
        </w:rPr>
        <w:t xml:space="preserve">the </w:t>
      </w:r>
      <w:r w:rsidR="00D97825" w:rsidRPr="00EF7FC8">
        <w:rPr>
          <w:rFonts w:ascii="Arial" w:hAnsi="Arial" w:cs="Arial"/>
          <w:sz w:val="22"/>
          <w:szCs w:val="22"/>
        </w:rPr>
        <w:t>UK</w:t>
      </w:r>
      <w:r w:rsidRPr="00EF7FC8">
        <w:rPr>
          <w:rFonts w:ascii="Arial" w:hAnsi="Arial" w:cs="Arial"/>
          <w:sz w:val="22"/>
          <w:szCs w:val="22"/>
        </w:rPr>
        <w:t xml:space="preserve"> still experience housing inequalities. Discrimination, low income and unequal access to housing can leave women living in poor physical and mental Health. The United Nations states that many women and girls face insecure and unsafe housing because of inequality and discrimination (United Nations, 2026). Although around 87% of rough sleepers in England are men, many homeless women remain hidden as they stay in temporary and unsafe accommodation. Women also make up around 60% of people living in temporary accommodation (Geldard, 2023). Increasing access to affordable housing, financial support and housing services can </w:t>
      </w:r>
      <w:r w:rsidR="008C1950" w:rsidRPr="00EF7FC8">
        <w:rPr>
          <w:rFonts w:ascii="Arial" w:hAnsi="Arial" w:cs="Arial"/>
          <w:sz w:val="22"/>
          <w:szCs w:val="22"/>
        </w:rPr>
        <w:t>help</w:t>
      </w:r>
      <w:r w:rsidRPr="00EF7FC8">
        <w:rPr>
          <w:rFonts w:ascii="Arial" w:hAnsi="Arial" w:cs="Arial"/>
          <w:sz w:val="22"/>
          <w:szCs w:val="22"/>
        </w:rPr>
        <w:t xml:space="preserve"> reduce these inequalities among women.</w:t>
      </w:r>
    </w:p>
    <w:p w14:paraId="24778AD7" w14:textId="494A2160" w:rsidR="00B53FE8" w:rsidRPr="00EF7FC8" w:rsidRDefault="00B53FE8" w:rsidP="00EF7FC8">
      <w:pPr>
        <w:pStyle w:val="Heading1"/>
        <w:numPr>
          <w:ilvl w:val="1"/>
          <w:numId w:val="2"/>
        </w:numPr>
        <w:spacing w:line="360" w:lineRule="auto"/>
        <w:rPr>
          <w:rFonts w:ascii="Arial" w:hAnsi="Arial" w:cs="Arial"/>
          <w:b/>
          <w:bCs/>
          <w:color w:val="auto"/>
          <w:sz w:val="22"/>
          <w:szCs w:val="22"/>
        </w:rPr>
      </w:pPr>
      <w:bookmarkStart w:id="15" w:name="_Toc236093179"/>
      <w:bookmarkStart w:id="16" w:name="_Toc236146661"/>
      <w:r w:rsidRPr="00EF7FC8">
        <w:rPr>
          <w:rFonts w:ascii="Arial" w:hAnsi="Arial" w:cs="Arial"/>
          <w:b/>
          <w:bCs/>
          <w:color w:val="auto"/>
          <w:sz w:val="22"/>
          <w:szCs w:val="22"/>
        </w:rPr>
        <w:t xml:space="preserve">Employment </w:t>
      </w:r>
      <w:r w:rsidR="00D97825" w:rsidRPr="00EF7FC8">
        <w:rPr>
          <w:rFonts w:ascii="Arial" w:hAnsi="Arial" w:cs="Arial"/>
          <w:b/>
          <w:bCs/>
          <w:color w:val="auto"/>
          <w:sz w:val="22"/>
          <w:szCs w:val="22"/>
        </w:rPr>
        <w:t>of</w:t>
      </w:r>
      <w:r w:rsidRPr="00EF7FC8">
        <w:rPr>
          <w:rFonts w:ascii="Arial" w:hAnsi="Arial" w:cs="Arial"/>
          <w:b/>
          <w:bCs/>
          <w:color w:val="auto"/>
          <w:sz w:val="22"/>
          <w:szCs w:val="22"/>
        </w:rPr>
        <w:t xml:space="preserve"> Women</w:t>
      </w:r>
      <w:bookmarkEnd w:id="15"/>
      <w:bookmarkEnd w:id="16"/>
    </w:p>
    <w:p w14:paraId="19161B5F" w14:textId="7DBF2800"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Employment inequalities are an important social factor affecting women’s health in </w:t>
      </w:r>
      <w:r w:rsidR="005234BF">
        <w:rPr>
          <w:rFonts w:ascii="Arial" w:hAnsi="Arial" w:cs="Arial"/>
          <w:sz w:val="22"/>
          <w:szCs w:val="22"/>
        </w:rPr>
        <w:t>the UK</w:t>
      </w:r>
      <w:r w:rsidRPr="00EF7FC8">
        <w:rPr>
          <w:rFonts w:ascii="Arial" w:hAnsi="Arial" w:cs="Arial"/>
          <w:sz w:val="22"/>
          <w:szCs w:val="22"/>
        </w:rPr>
        <w:t>. Women are more likely than men to work part-time, earn lower wages and take career breaks because of caring responsibilities. Only 59% of employed women are working full time</w:t>
      </w:r>
      <w:r w:rsidR="00E86D23" w:rsidRPr="00EF7FC8">
        <w:rPr>
          <w:rFonts w:ascii="Arial" w:hAnsi="Arial" w:cs="Arial"/>
          <w:sz w:val="22"/>
          <w:szCs w:val="22"/>
        </w:rPr>
        <w:t>,</w:t>
      </w:r>
      <w:r w:rsidRPr="00EF7FC8">
        <w:rPr>
          <w:rFonts w:ascii="Arial" w:hAnsi="Arial" w:cs="Arial"/>
          <w:sz w:val="22"/>
          <w:szCs w:val="22"/>
        </w:rPr>
        <w:t xml:space="preserve"> and 69% of them are low-paid workers.  Employment inequalities are greater for Pakistani and Bangladeshi women</w:t>
      </w:r>
      <w:r w:rsidRPr="00EF7FC8">
        <w:rPr>
          <w:rFonts w:ascii="Arial" w:eastAsia="Times New Roman" w:hAnsi="Arial" w:cs="Arial"/>
          <w:sz w:val="22"/>
          <w:szCs w:val="22"/>
          <w:lang w:eastAsia="en-GB"/>
          <w14:ligatures w14:val="none"/>
        </w:rPr>
        <w:t xml:space="preserve"> </w:t>
      </w:r>
      <w:r w:rsidRPr="00EF7FC8">
        <w:rPr>
          <w:rFonts w:ascii="Arial" w:hAnsi="Arial" w:cs="Arial"/>
          <w:sz w:val="22"/>
          <w:szCs w:val="22"/>
        </w:rPr>
        <w:t>(Women Budget Group, 2020). These differences can reduce income, limit career progression and increase financial stress. Poor working conditions</w:t>
      </w:r>
      <w:r w:rsidR="00E86D23" w:rsidRPr="00EF7FC8">
        <w:rPr>
          <w:rFonts w:ascii="Arial" w:hAnsi="Arial" w:cs="Arial"/>
          <w:sz w:val="22"/>
          <w:szCs w:val="22"/>
        </w:rPr>
        <w:t xml:space="preserve"> and</w:t>
      </w:r>
      <w:r w:rsidRPr="00EF7FC8">
        <w:rPr>
          <w:rFonts w:ascii="Arial" w:hAnsi="Arial" w:cs="Arial"/>
          <w:sz w:val="22"/>
          <w:szCs w:val="22"/>
        </w:rPr>
        <w:t xml:space="preserve"> job insecurity can affect mental and physical health. Reducing these inequalities </w:t>
      </w:r>
      <w:r w:rsidR="00E86D23" w:rsidRPr="00EF7FC8">
        <w:rPr>
          <w:rFonts w:ascii="Arial" w:hAnsi="Arial" w:cs="Arial"/>
          <w:sz w:val="22"/>
          <w:szCs w:val="22"/>
        </w:rPr>
        <w:t>requires</w:t>
      </w:r>
      <w:r w:rsidRPr="00EF7FC8">
        <w:rPr>
          <w:rFonts w:ascii="Arial" w:hAnsi="Arial" w:cs="Arial"/>
          <w:sz w:val="22"/>
          <w:szCs w:val="22"/>
        </w:rPr>
        <w:t xml:space="preserve"> equal pay, flexible working opportunities and policies that support women to remain progressive (Francis-Devine and Hutton, 2024).</w:t>
      </w:r>
    </w:p>
    <w:p w14:paraId="0024C702" w14:textId="5E874396" w:rsidR="00B53FE8" w:rsidRPr="00EF7FC8" w:rsidRDefault="00B53FE8" w:rsidP="00EF7FC8">
      <w:pPr>
        <w:pStyle w:val="Heading1"/>
        <w:numPr>
          <w:ilvl w:val="0"/>
          <w:numId w:val="1"/>
        </w:numPr>
        <w:spacing w:line="360" w:lineRule="auto"/>
        <w:rPr>
          <w:rFonts w:ascii="Arial" w:hAnsi="Arial" w:cs="Arial"/>
          <w:b/>
          <w:bCs/>
          <w:color w:val="auto"/>
          <w:sz w:val="22"/>
          <w:szCs w:val="22"/>
        </w:rPr>
      </w:pPr>
      <w:bookmarkStart w:id="17" w:name="_Toc236093180"/>
      <w:bookmarkStart w:id="18" w:name="_Toc236146662"/>
      <w:r w:rsidRPr="00EF7FC8">
        <w:rPr>
          <w:rFonts w:ascii="Arial" w:hAnsi="Arial" w:cs="Arial"/>
          <w:b/>
          <w:bCs/>
          <w:color w:val="auto"/>
          <w:sz w:val="22"/>
          <w:szCs w:val="22"/>
        </w:rPr>
        <w:t>National Response to Reduce Gender Inequalities</w:t>
      </w:r>
      <w:bookmarkEnd w:id="17"/>
      <w:bookmarkEnd w:id="18"/>
    </w:p>
    <w:p w14:paraId="1DF353BF" w14:textId="31E3EECD"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The </w:t>
      </w:r>
      <w:r w:rsidR="00E86D23" w:rsidRPr="00EF7FC8">
        <w:rPr>
          <w:rFonts w:ascii="Arial" w:hAnsi="Arial" w:cs="Arial"/>
          <w:sz w:val="22"/>
          <w:szCs w:val="22"/>
        </w:rPr>
        <w:t>UK</w:t>
      </w:r>
      <w:r w:rsidRPr="00EF7FC8">
        <w:rPr>
          <w:rFonts w:ascii="Arial" w:hAnsi="Arial" w:cs="Arial"/>
          <w:sz w:val="22"/>
          <w:szCs w:val="22"/>
        </w:rPr>
        <w:t xml:space="preserve"> government has introduced several national initiatives to improve women’s mental health</w:t>
      </w:r>
      <w:r w:rsidR="00E86D23" w:rsidRPr="00EF7FC8">
        <w:rPr>
          <w:rFonts w:ascii="Arial" w:hAnsi="Arial" w:cs="Arial"/>
          <w:sz w:val="22"/>
          <w:szCs w:val="22"/>
        </w:rPr>
        <w:t>;</w:t>
      </w:r>
      <w:r w:rsidRPr="00EF7FC8">
        <w:rPr>
          <w:rFonts w:ascii="Arial" w:hAnsi="Arial" w:cs="Arial"/>
          <w:sz w:val="22"/>
          <w:szCs w:val="22"/>
        </w:rPr>
        <w:t xml:space="preserve"> one of them is </w:t>
      </w:r>
      <w:r w:rsidR="00E86D23" w:rsidRPr="00EF7FC8">
        <w:rPr>
          <w:rFonts w:ascii="Arial" w:hAnsi="Arial" w:cs="Arial"/>
          <w:sz w:val="22"/>
          <w:szCs w:val="22"/>
        </w:rPr>
        <w:t xml:space="preserve">the </w:t>
      </w:r>
      <w:r w:rsidRPr="00EF7FC8">
        <w:rPr>
          <w:rFonts w:ascii="Arial" w:hAnsi="Arial" w:cs="Arial"/>
          <w:sz w:val="22"/>
          <w:szCs w:val="22"/>
        </w:rPr>
        <w:t>Women’s Health Strategy for England (2022), which recognises that women face unique mental health challenges throughout their lives</w:t>
      </w:r>
      <w:r w:rsidR="00E86D23" w:rsidRPr="00EF7FC8">
        <w:rPr>
          <w:rFonts w:ascii="Arial" w:hAnsi="Arial" w:cs="Arial"/>
          <w:sz w:val="22"/>
          <w:szCs w:val="22"/>
        </w:rPr>
        <w:t>,</w:t>
      </w:r>
      <w:r w:rsidRPr="00EF7FC8">
        <w:rPr>
          <w:rFonts w:ascii="Arial" w:hAnsi="Arial" w:cs="Arial"/>
          <w:sz w:val="22"/>
          <w:szCs w:val="22"/>
        </w:rPr>
        <w:t xml:space="preserve"> including pregnancy, </w:t>
      </w:r>
      <w:r w:rsidR="007117FC" w:rsidRPr="00EF7FC8">
        <w:rPr>
          <w:rFonts w:ascii="Arial" w:hAnsi="Arial" w:cs="Arial"/>
          <w:sz w:val="22"/>
          <w:szCs w:val="22"/>
        </w:rPr>
        <w:t>childbirth</w:t>
      </w:r>
      <w:r w:rsidRPr="00EF7FC8">
        <w:rPr>
          <w:rFonts w:ascii="Arial" w:hAnsi="Arial" w:cs="Arial"/>
          <w:sz w:val="22"/>
          <w:szCs w:val="22"/>
        </w:rPr>
        <w:t xml:space="preserve"> and menopause</w:t>
      </w:r>
      <w:r w:rsidR="0086130A" w:rsidRPr="00EF7FC8">
        <w:rPr>
          <w:rFonts w:ascii="Arial" w:hAnsi="Arial" w:cs="Arial"/>
          <w:sz w:val="22"/>
          <w:szCs w:val="22"/>
        </w:rPr>
        <w:t xml:space="preserve"> </w:t>
      </w:r>
      <w:r w:rsidRPr="00EF7FC8">
        <w:rPr>
          <w:rFonts w:ascii="Arial" w:hAnsi="Arial" w:cs="Arial"/>
          <w:sz w:val="22"/>
          <w:szCs w:val="22"/>
        </w:rPr>
        <w:t>(Health, 2026).</w:t>
      </w:r>
      <w:r w:rsidR="00DC22EA" w:rsidRPr="00EF7FC8">
        <w:rPr>
          <w:rFonts w:ascii="Arial" w:hAnsi="Arial" w:cs="Arial"/>
          <w:sz w:val="22"/>
          <w:szCs w:val="22"/>
        </w:rPr>
        <w:t xml:space="preserve"> It targets inequalities caused by delayed diagnosis and unequal access to care. However, evidence suggests that regional variations and workforce </w:t>
      </w:r>
      <w:r w:rsidR="00E86D23" w:rsidRPr="00EF7FC8">
        <w:rPr>
          <w:rFonts w:ascii="Arial" w:hAnsi="Arial" w:cs="Arial"/>
          <w:sz w:val="22"/>
          <w:szCs w:val="22"/>
        </w:rPr>
        <w:t>shortages</w:t>
      </w:r>
      <w:r w:rsidR="00DC22EA" w:rsidRPr="00EF7FC8">
        <w:rPr>
          <w:rFonts w:ascii="Arial" w:hAnsi="Arial" w:cs="Arial"/>
          <w:sz w:val="22"/>
          <w:szCs w:val="22"/>
        </w:rPr>
        <w:t xml:space="preserve"> continue to limit implementation.</w:t>
      </w:r>
    </w:p>
    <w:p w14:paraId="5D2C10DB" w14:textId="6902E2E9" w:rsidR="00DC22EA" w:rsidRPr="00EF7FC8" w:rsidRDefault="00DC22EA" w:rsidP="00EF7FC8">
      <w:pPr>
        <w:spacing w:line="360" w:lineRule="auto"/>
        <w:rPr>
          <w:rFonts w:ascii="Arial" w:hAnsi="Arial" w:cs="Arial"/>
          <w:sz w:val="22"/>
          <w:szCs w:val="22"/>
        </w:rPr>
      </w:pPr>
      <w:r w:rsidRPr="00EF7FC8">
        <w:rPr>
          <w:rFonts w:ascii="Arial" w:hAnsi="Arial" w:cs="Arial"/>
          <w:sz w:val="22"/>
          <w:szCs w:val="22"/>
        </w:rPr>
        <w:t xml:space="preserve">Another important initiative is </w:t>
      </w:r>
      <w:r w:rsidR="00E86D23" w:rsidRPr="00EF7FC8">
        <w:rPr>
          <w:rFonts w:ascii="Arial" w:hAnsi="Arial" w:cs="Arial"/>
          <w:sz w:val="22"/>
          <w:szCs w:val="22"/>
        </w:rPr>
        <w:t xml:space="preserve">the </w:t>
      </w:r>
      <w:r w:rsidRPr="00EF7FC8">
        <w:rPr>
          <w:rFonts w:ascii="Arial" w:hAnsi="Arial" w:cs="Arial"/>
          <w:sz w:val="22"/>
          <w:szCs w:val="22"/>
        </w:rPr>
        <w:t xml:space="preserve">NHS Specialist Perinatal Mental Health Service, which </w:t>
      </w:r>
      <w:r w:rsidR="00E86D23" w:rsidRPr="00EF7FC8">
        <w:rPr>
          <w:rFonts w:ascii="Arial" w:hAnsi="Arial" w:cs="Arial"/>
          <w:sz w:val="22"/>
          <w:szCs w:val="22"/>
        </w:rPr>
        <w:t>provides</w:t>
      </w:r>
      <w:r w:rsidRPr="00EF7FC8">
        <w:rPr>
          <w:rFonts w:ascii="Arial" w:hAnsi="Arial" w:cs="Arial"/>
          <w:sz w:val="22"/>
          <w:szCs w:val="22"/>
        </w:rPr>
        <w:t xml:space="preserve"> assessment and treatment for women experiencing mental illness during pregnancy and up to five years after birth.</w:t>
      </w:r>
      <w:r w:rsidR="003372AE" w:rsidRPr="00EF7FC8">
        <w:rPr>
          <w:rFonts w:ascii="Arial" w:hAnsi="Arial" w:cs="Arial"/>
          <w:sz w:val="22"/>
          <w:szCs w:val="22"/>
        </w:rPr>
        <w:t xml:space="preserve"> In the year 2025</w:t>
      </w:r>
      <w:r w:rsidR="00E86D23" w:rsidRPr="00EF7FC8">
        <w:rPr>
          <w:rFonts w:ascii="Arial" w:hAnsi="Arial" w:cs="Arial"/>
          <w:sz w:val="22"/>
          <w:szCs w:val="22"/>
        </w:rPr>
        <w:t>,</w:t>
      </w:r>
      <w:r w:rsidR="003372AE" w:rsidRPr="00EF7FC8">
        <w:rPr>
          <w:rFonts w:ascii="Arial" w:hAnsi="Arial" w:cs="Arial"/>
          <w:sz w:val="22"/>
          <w:szCs w:val="22"/>
        </w:rPr>
        <w:t xml:space="preserve"> 66,000 women </w:t>
      </w:r>
      <w:r w:rsidR="00E86D23" w:rsidRPr="00EF7FC8">
        <w:rPr>
          <w:rFonts w:ascii="Arial" w:hAnsi="Arial" w:cs="Arial"/>
          <w:sz w:val="22"/>
          <w:szCs w:val="22"/>
        </w:rPr>
        <w:t>accessed</w:t>
      </w:r>
      <w:r w:rsidR="003372AE" w:rsidRPr="00EF7FC8">
        <w:rPr>
          <w:rFonts w:ascii="Arial" w:hAnsi="Arial" w:cs="Arial"/>
          <w:sz w:val="22"/>
          <w:szCs w:val="22"/>
        </w:rPr>
        <w:t xml:space="preserve"> support from these services. </w:t>
      </w:r>
      <w:r w:rsidR="00E86D23" w:rsidRPr="00EF7FC8">
        <w:rPr>
          <w:rFonts w:ascii="Arial" w:hAnsi="Arial" w:cs="Arial"/>
          <w:sz w:val="22"/>
          <w:szCs w:val="22"/>
        </w:rPr>
        <w:t>42 services are operating</w:t>
      </w:r>
      <w:r w:rsidR="003372AE" w:rsidRPr="00EF7FC8">
        <w:rPr>
          <w:rFonts w:ascii="Arial" w:hAnsi="Arial" w:cs="Arial"/>
          <w:sz w:val="22"/>
          <w:szCs w:val="22"/>
        </w:rPr>
        <w:t xml:space="preserve"> across the country, with a total of 20 units in England.</w:t>
      </w:r>
      <w:r w:rsidRPr="00EF7FC8">
        <w:rPr>
          <w:rFonts w:ascii="Arial" w:hAnsi="Arial" w:cs="Arial"/>
          <w:sz w:val="22"/>
          <w:szCs w:val="22"/>
        </w:rPr>
        <w:t xml:space="preserve"> These </w:t>
      </w:r>
      <w:r w:rsidRPr="00EF7FC8">
        <w:rPr>
          <w:rFonts w:ascii="Arial" w:hAnsi="Arial" w:cs="Arial"/>
          <w:sz w:val="22"/>
          <w:szCs w:val="22"/>
        </w:rPr>
        <w:lastRenderedPageBreak/>
        <w:t xml:space="preserve">services have improved access to specialist care and </w:t>
      </w:r>
      <w:r w:rsidR="00E86D23" w:rsidRPr="00EF7FC8">
        <w:rPr>
          <w:rFonts w:ascii="Arial" w:hAnsi="Arial" w:cs="Arial"/>
          <w:sz w:val="22"/>
          <w:szCs w:val="22"/>
        </w:rPr>
        <w:t>reduced the</w:t>
      </w:r>
      <w:r w:rsidRPr="00EF7FC8">
        <w:rPr>
          <w:rFonts w:ascii="Arial" w:hAnsi="Arial" w:cs="Arial"/>
          <w:sz w:val="22"/>
          <w:szCs w:val="22"/>
        </w:rPr>
        <w:t xml:space="preserve"> risk of poor mental health. </w:t>
      </w:r>
      <w:r w:rsidR="003372AE" w:rsidRPr="00EF7FC8">
        <w:rPr>
          <w:rFonts w:ascii="Arial" w:hAnsi="Arial" w:cs="Arial"/>
          <w:sz w:val="22"/>
          <w:szCs w:val="22"/>
        </w:rPr>
        <w:t xml:space="preserve">However, inequalities remain for women from ethnic minority and deprived </w:t>
      </w:r>
      <w:r w:rsidR="00E86D23" w:rsidRPr="00EF7FC8">
        <w:rPr>
          <w:rFonts w:ascii="Arial" w:hAnsi="Arial" w:cs="Arial"/>
          <w:sz w:val="22"/>
          <w:szCs w:val="22"/>
        </w:rPr>
        <w:t>communities</w:t>
      </w:r>
      <w:r w:rsidR="003372AE" w:rsidRPr="00EF7FC8">
        <w:rPr>
          <w:rFonts w:ascii="Arial" w:hAnsi="Arial" w:cs="Arial"/>
          <w:sz w:val="22"/>
          <w:szCs w:val="22"/>
        </w:rPr>
        <w:t xml:space="preserve"> who face barriers in accessing timely support (NHS England, 2018).</w:t>
      </w:r>
    </w:p>
    <w:p w14:paraId="338732A0" w14:textId="3C483683" w:rsidR="00B53FE8" w:rsidRPr="00EF7FC8" w:rsidRDefault="00B53FE8" w:rsidP="00EF7FC8">
      <w:pPr>
        <w:pStyle w:val="Heading1"/>
        <w:numPr>
          <w:ilvl w:val="0"/>
          <w:numId w:val="1"/>
        </w:numPr>
        <w:spacing w:line="360" w:lineRule="auto"/>
        <w:rPr>
          <w:rFonts w:ascii="Arial" w:hAnsi="Arial" w:cs="Arial"/>
          <w:b/>
          <w:bCs/>
          <w:color w:val="auto"/>
          <w:sz w:val="22"/>
          <w:szCs w:val="22"/>
        </w:rPr>
      </w:pPr>
      <w:bookmarkStart w:id="19" w:name="_Toc236093181"/>
      <w:bookmarkStart w:id="20" w:name="_Toc236146663"/>
      <w:r w:rsidRPr="00EF7FC8">
        <w:rPr>
          <w:rFonts w:ascii="Arial" w:hAnsi="Arial" w:cs="Arial"/>
          <w:b/>
          <w:bCs/>
          <w:color w:val="auto"/>
          <w:sz w:val="22"/>
          <w:szCs w:val="22"/>
        </w:rPr>
        <w:t>Organisational Support</w:t>
      </w:r>
      <w:bookmarkEnd w:id="19"/>
      <w:bookmarkEnd w:id="20"/>
      <w:r w:rsidRPr="00EF7FC8">
        <w:rPr>
          <w:rFonts w:ascii="Arial" w:hAnsi="Arial" w:cs="Arial"/>
          <w:b/>
          <w:bCs/>
          <w:color w:val="auto"/>
          <w:sz w:val="22"/>
          <w:szCs w:val="22"/>
        </w:rPr>
        <w:t xml:space="preserve"> </w:t>
      </w:r>
    </w:p>
    <w:p w14:paraId="64ADF1E6" w14:textId="61C73EFA"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The Fawcett Society is the Uk’s leading charity </w:t>
      </w:r>
      <w:r w:rsidR="00E86D23" w:rsidRPr="00EF7FC8">
        <w:rPr>
          <w:rFonts w:ascii="Arial" w:hAnsi="Arial" w:cs="Arial"/>
          <w:sz w:val="22"/>
          <w:szCs w:val="22"/>
        </w:rPr>
        <w:t>campaigning</w:t>
      </w:r>
      <w:r w:rsidRPr="00EF7FC8">
        <w:rPr>
          <w:rFonts w:ascii="Arial" w:hAnsi="Arial" w:cs="Arial"/>
          <w:sz w:val="22"/>
          <w:szCs w:val="22"/>
        </w:rPr>
        <w:t xml:space="preserve"> for </w:t>
      </w:r>
      <w:r w:rsidR="00E86D23" w:rsidRPr="00EF7FC8">
        <w:rPr>
          <w:rFonts w:ascii="Arial" w:hAnsi="Arial" w:cs="Arial"/>
          <w:sz w:val="22"/>
          <w:szCs w:val="22"/>
        </w:rPr>
        <w:t>women's</w:t>
      </w:r>
      <w:r w:rsidRPr="00EF7FC8">
        <w:rPr>
          <w:rFonts w:ascii="Arial" w:hAnsi="Arial" w:cs="Arial"/>
          <w:sz w:val="22"/>
          <w:szCs w:val="22"/>
        </w:rPr>
        <w:t xml:space="preserve"> rights and gender equality. It</w:t>
      </w:r>
      <w:r w:rsidR="00300A3D" w:rsidRPr="00EF7FC8">
        <w:rPr>
          <w:rFonts w:ascii="Arial" w:hAnsi="Arial" w:cs="Arial"/>
          <w:sz w:val="22"/>
          <w:szCs w:val="22"/>
        </w:rPr>
        <w:t xml:space="preserve">s wider role is </w:t>
      </w:r>
      <w:r w:rsidRPr="00EF7FC8">
        <w:rPr>
          <w:rFonts w:ascii="Arial" w:hAnsi="Arial" w:cs="Arial"/>
          <w:sz w:val="22"/>
          <w:szCs w:val="22"/>
        </w:rPr>
        <w:t xml:space="preserve">to reduce health inequalities by raising awareness of the barriers women face when accessing healthcare. Through research, public campaigns and policy advocacy, the charity encourages the government and healthcare providers to improve </w:t>
      </w:r>
      <w:r w:rsidR="00E86D23" w:rsidRPr="00EF7FC8">
        <w:rPr>
          <w:rFonts w:ascii="Arial" w:hAnsi="Arial" w:cs="Arial"/>
          <w:sz w:val="22"/>
          <w:szCs w:val="22"/>
        </w:rPr>
        <w:t>women's</w:t>
      </w:r>
      <w:r w:rsidRPr="00EF7FC8">
        <w:rPr>
          <w:rFonts w:ascii="Arial" w:hAnsi="Arial" w:cs="Arial"/>
          <w:sz w:val="22"/>
          <w:szCs w:val="22"/>
        </w:rPr>
        <w:t xml:space="preserve"> health and ensure equal treatment.</w:t>
      </w:r>
      <w:r w:rsidR="00300A3D" w:rsidRPr="00EF7FC8">
        <w:rPr>
          <w:rFonts w:ascii="Arial" w:hAnsi="Arial" w:cs="Arial"/>
          <w:sz w:val="22"/>
          <w:szCs w:val="22"/>
        </w:rPr>
        <w:t xml:space="preserve"> One of the key </w:t>
      </w:r>
      <w:r w:rsidR="004E416B" w:rsidRPr="00EF7FC8">
        <w:rPr>
          <w:rFonts w:ascii="Arial" w:hAnsi="Arial" w:cs="Arial"/>
          <w:sz w:val="22"/>
          <w:szCs w:val="22"/>
        </w:rPr>
        <w:t>campaigns</w:t>
      </w:r>
      <w:r w:rsidR="00300A3D" w:rsidRPr="00EF7FC8">
        <w:rPr>
          <w:rFonts w:ascii="Arial" w:hAnsi="Arial" w:cs="Arial"/>
          <w:sz w:val="22"/>
          <w:szCs w:val="22"/>
        </w:rPr>
        <w:t xml:space="preserve"> is The Gender Health </w:t>
      </w:r>
      <w:r w:rsidR="004E416B" w:rsidRPr="00EF7FC8">
        <w:rPr>
          <w:rFonts w:ascii="Arial" w:hAnsi="Arial" w:cs="Arial"/>
          <w:sz w:val="22"/>
          <w:szCs w:val="22"/>
        </w:rPr>
        <w:t>Gap</w:t>
      </w:r>
      <w:r w:rsidR="00E86D23" w:rsidRPr="00EF7FC8">
        <w:rPr>
          <w:rFonts w:ascii="Arial" w:hAnsi="Arial" w:cs="Arial"/>
          <w:sz w:val="22"/>
          <w:szCs w:val="22"/>
        </w:rPr>
        <w:t>,</w:t>
      </w:r>
      <w:r w:rsidR="004E416B" w:rsidRPr="00EF7FC8">
        <w:rPr>
          <w:rFonts w:ascii="Arial" w:hAnsi="Arial" w:cs="Arial"/>
          <w:sz w:val="22"/>
          <w:szCs w:val="22"/>
        </w:rPr>
        <w:t xml:space="preserve"> which</w:t>
      </w:r>
      <w:r w:rsidR="00300A3D" w:rsidRPr="00EF7FC8">
        <w:rPr>
          <w:rFonts w:ascii="Arial" w:hAnsi="Arial" w:cs="Arial"/>
          <w:sz w:val="22"/>
          <w:szCs w:val="22"/>
        </w:rPr>
        <w:t xml:space="preserve"> highlights women’s experience of unequal treatment of health care. The society also publishes research and policy recommendations to support evidence-based changes in women’s healthcare</w:t>
      </w:r>
      <w:r w:rsidR="004E416B" w:rsidRPr="00EF7FC8">
        <w:rPr>
          <w:rFonts w:ascii="Arial" w:hAnsi="Arial" w:cs="Arial"/>
          <w:sz w:val="22"/>
          <w:szCs w:val="22"/>
        </w:rPr>
        <w:t xml:space="preserve"> and wider social policy </w:t>
      </w:r>
      <w:r w:rsidRPr="00EF7FC8">
        <w:rPr>
          <w:rFonts w:ascii="Arial" w:hAnsi="Arial" w:cs="Arial"/>
          <w:sz w:val="22"/>
          <w:szCs w:val="22"/>
        </w:rPr>
        <w:t>(Fawcett Society, 2024).</w:t>
      </w:r>
    </w:p>
    <w:p w14:paraId="0025F33A" w14:textId="2BC0197E" w:rsidR="00B53FE8" w:rsidRPr="00EF7FC8" w:rsidRDefault="00B53FE8" w:rsidP="00EF7FC8">
      <w:pPr>
        <w:pStyle w:val="Heading1"/>
        <w:numPr>
          <w:ilvl w:val="0"/>
          <w:numId w:val="1"/>
        </w:numPr>
        <w:spacing w:line="360" w:lineRule="auto"/>
        <w:rPr>
          <w:rFonts w:ascii="Arial" w:hAnsi="Arial" w:cs="Arial"/>
          <w:b/>
          <w:bCs/>
          <w:color w:val="auto"/>
          <w:sz w:val="22"/>
          <w:szCs w:val="22"/>
        </w:rPr>
      </w:pPr>
      <w:bookmarkStart w:id="21" w:name="_Toc236093182"/>
      <w:bookmarkStart w:id="22" w:name="_Toc236146664"/>
      <w:r w:rsidRPr="00EF7FC8">
        <w:rPr>
          <w:rFonts w:ascii="Arial" w:hAnsi="Arial" w:cs="Arial"/>
          <w:b/>
          <w:bCs/>
          <w:color w:val="auto"/>
          <w:sz w:val="22"/>
          <w:szCs w:val="22"/>
        </w:rPr>
        <w:t>Conclusion</w:t>
      </w:r>
      <w:bookmarkEnd w:id="21"/>
      <w:bookmarkEnd w:id="22"/>
    </w:p>
    <w:p w14:paraId="4AF0B669" w14:textId="314FD316"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Gender inequality remains a major public health issue in </w:t>
      </w:r>
      <w:r w:rsidR="00E86D23" w:rsidRPr="00EF7FC8">
        <w:rPr>
          <w:rFonts w:ascii="Arial" w:hAnsi="Arial" w:cs="Arial"/>
          <w:sz w:val="22"/>
          <w:szCs w:val="22"/>
        </w:rPr>
        <w:t xml:space="preserve">the </w:t>
      </w:r>
      <w:r w:rsidRPr="00EF7FC8">
        <w:rPr>
          <w:rFonts w:ascii="Arial" w:hAnsi="Arial" w:cs="Arial"/>
          <w:sz w:val="22"/>
          <w:szCs w:val="22"/>
        </w:rPr>
        <w:t xml:space="preserve">UK. Women experience health inequalities because of biological, social and economic factors. Key issues relevant to </w:t>
      </w:r>
      <w:r w:rsidR="00E86D23" w:rsidRPr="00EF7FC8">
        <w:rPr>
          <w:rFonts w:ascii="Arial" w:hAnsi="Arial" w:cs="Arial"/>
          <w:sz w:val="22"/>
          <w:szCs w:val="22"/>
        </w:rPr>
        <w:t>these</w:t>
      </w:r>
      <w:r w:rsidRPr="00EF7FC8">
        <w:rPr>
          <w:rFonts w:ascii="Arial" w:hAnsi="Arial" w:cs="Arial"/>
          <w:sz w:val="22"/>
          <w:szCs w:val="22"/>
        </w:rPr>
        <w:t xml:space="preserve"> gender gaps are maternal mortality, mental </w:t>
      </w:r>
      <w:r w:rsidR="00653694" w:rsidRPr="00EF7FC8">
        <w:rPr>
          <w:rFonts w:ascii="Arial" w:hAnsi="Arial" w:cs="Arial"/>
          <w:sz w:val="22"/>
          <w:szCs w:val="22"/>
        </w:rPr>
        <w:t>health</w:t>
      </w:r>
      <w:r w:rsidRPr="00EF7FC8">
        <w:rPr>
          <w:rFonts w:ascii="Arial" w:hAnsi="Arial" w:cs="Arial"/>
          <w:sz w:val="22"/>
          <w:szCs w:val="22"/>
        </w:rPr>
        <w:t xml:space="preserve"> and cardiovascular disease. The social issues are poverty, housing and employment. National policies</w:t>
      </w:r>
      <w:r w:rsidR="00E86D23" w:rsidRPr="00EF7FC8">
        <w:rPr>
          <w:rFonts w:ascii="Arial" w:hAnsi="Arial" w:cs="Arial"/>
          <w:sz w:val="22"/>
          <w:szCs w:val="22"/>
        </w:rPr>
        <w:t>,</w:t>
      </w:r>
      <w:r w:rsidRPr="00EF7FC8">
        <w:rPr>
          <w:rFonts w:ascii="Arial" w:hAnsi="Arial" w:cs="Arial"/>
          <w:sz w:val="22"/>
          <w:szCs w:val="22"/>
        </w:rPr>
        <w:t xml:space="preserve"> including </w:t>
      </w:r>
      <w:r w:rsidR="00E86D23" w:rsidRPr="00EF7FC8">
        <w:rPr>
          <w:rFonts w:ascii="Arial" w:hAnsi="Arial" w:cs="Arial"/>
          <w:sz w:val="22"/>
          <w:szCs w:val="22"/>
        </w:rPr>
        <w:t>the Women's Health</w:t>
      </w:r>
      <w:r w:rsidRPr="00EF7FC8">
        <w:rPr>
          <w:rFonts w:ascii="Arial" w:hAnsi="Arial" w:cs="Arial"/>
          <w:sz w:val="22"/>
          <w:szCs w:val="22"/>
        </w:rPr>
        <w:t xml:space="preserve"> Strategy</w:t>
      </w:r>
      <w:r w:rsidR="00E86D23" w:rsidRPr="00EF7FC8">
        <w:rPr>
          <w:rFonts w:ascii="Arial" w:hAnsi="Arial" w:cs="Arial"/>
          <w:sz w:val="22"/>
          <w:szCs w:val="22"/>
        </w:rPr>
        <w:t>,</w:t>
      </w:r>
      <w:r w:rsidRPr="00EF7FC8">
        <w:rPr>
          <w:rFonts w:ascii="Arial" w:hAnsi="Arial" w:cs="Arial"/>
          <w:sz w:val="22"/>
          <w:szCs w:val="22"/>
        </w:rPr>
        <w:t xml:space="preserve"> have been </w:t>
      </w:r>
      <w:r w:rsidR="00E86D23" w:rsidRPr="00EF7FC8">
        <w:rPr>
          <w:rFonts w:ascii="Arial" w:hAnsi="Arial" w:cs="Arial"/>
          <w:sz w:val="22"/>
          <w:szCs w:val="22"/>
        </w:rPr>
        <w:t>introduced</w:t>
      </w:r>
      <w:r w:rsidRPr="00EF7FC8">
        <w:rPr>
          <w:rFonts w:ascii="Arial" w:hAnsi="Arial" w:cs="Arial"/>
          <w:sz w:val="22"/>
          <w:szCs w:val="22"/>
        </w:rPr>
        <w:t xml:space="preserve"> to reduce inequalities and improve health </w:t>
      </w:r>
      <w:r w:rsidR="00E86D23" w:rsidRPr="00EF7FC8">
        <w:rPr>
          <w:rFonts w:ascii="Arial" w:hAnsi="Arial" w:cs="Arial"/>
          <w:sz w:val="22"/>
          <w:szCs w:val="22"/>
        </w:rPr>
        <w:t>outcomes</w:t>
      </w:r>
      <w:r w:rsidRPr="00EF7FC8">
        <w:rPr>
          <w:rFonts w:ascii="Arial" w:hAnsi="Arial" w:cs="Arial"/>
          <w:sz w:val="22"/>
          <w:szCs w:val="22"/>
        </w:rPr>
        <w:t xml:space="preserve"> in women</w:t>
      </w:r>
      <w:r w:rsidR="00E86D23" w:rsidRPr="00EF7FC8">
        <w:rPr>
          <w:rFonts w:ascii="Arial" w:hAnsi="Arial" w:cs="Arial"/>
          <w:sz w:val="22"/>
          <w:szCs w:val="22"/>
        </w:rPr>
        <w:t>;</w:t>
      </w:r>
      <w:r w:rsidRPr="00EF7FC8">
        <w:rPr>
          <w:rFonts w:ascii="Arial" w:hAnsi="Arial" w:cs="Arial"/>
          <w:sz w:val="22"/>
          <w:szCs w:val="22"/>
        </w:rPr>
        <w:t xml:space="preserve"> however, gender </w:t>
      </w:r>
      <w:r w:rsidR="00E86D23" w:rsidRPr="00EF7FC8">
        <w:rPr>
          <w:rFonts w:ascii="Arial" w:hAnsi="Arial" w:cs="Arial"/>
          <w:sz w:val="22"/>
          <w:szCs w:val="22"/>
        </w:rPr>
        <w:t>gaps</w:t>
      </w:r>
      <w:r w:rsidRPr="00EF7FC8">
        <w:rPr>
          <w:rFonts w:ascii="Arial" w:hAnsi="Arial" w:cs="Arial"/>
          <w:sz w:val="22"/>
          <w:szCs w:val="22"/>
        </w:rPr>
        <w:t xml:space="preserve"> persist</w:t>
      </w:r>
      <w:r w:rsidR="00E86D23" w:rsidRPr="00EF7FC8">
        <w:rPr>
          <w:rFonts w:ascii="Arial" w:hAnsi="Arial" w:cs="Arial"/>
          <w:sz w:val="22"/>
          <w:szCs w:val="22"/>
        </w:rPr>
        <w:t>,</w:t>
      </w:r>
      <w:r w:rsidRPr="00EF7FC8">
        <w:rPr>
          <w:rFonts w:ascii="Arial" w:hAnsi="Arial" w:cs="Arial"/>
          <w:sz w:val="22"/>
          <w:szCs w:val="22"/>
        </w:rPr>
        <w:t xml:space="preserve"> and there is </w:t>
      </w:r>
      <w:r w:rsidR="00E86D23" w:rsidRPr="00EF7FC8">
        <w:rPr>
          <w:rFonts w:ascii="Arial" w:hAnsi="Arial" w:cs="Arial"/>
          <w:sz w:val="22"/>
          <w:szCs w:val="22"/>
        </w:rPr>
        <w:t xml:space="preserve">a </w:t>
      </w:r>
      <w:r w:rsidRPr="00EF7FC8">
        <w:rPr>
          <w:rFonts w:ascii="Arial" w:hAnsi="Arial" w:cs="Arial"/>
          <w:sz w:val="22"/>
          <w:szCs w:val="22"/>
        </w:rPr>
        <w:t>need for continued action to allow women equal opportunities to achieve good health.</w:t>
      </w:r>
    </w:p>
    <w:p w14:paraId="5C097E37" w14:textId="77777777" w:rsidR="0029693A" w:rsidRPr="00EF7FC8" w:rsidRDefault="0029693A" w:rsidP="00EF7FC8">
      <w:pPr>
        <w:spacing w:line="360" w:lineRule="auto"/>
        <w:rPr>
          <w:rFonts w:ascii="Arial" w:hAnsi="Arial" w:cs="Arial"/>
          <w:sz w:val="22"/>
          <w:szCs w:val="22"/>
        </w:rPr>
      </w:pPr>
    </w:p>
    <w:p w14:paraId="6CD4E79C" w14:textId="77777777" w:rsidR="0086130A" w:rsidRPr="00EF7FC8" w:rsidRDefault="0086130A" w:rsidP="00EF7FC8">
      <w:pPr>
        <w:spacing w:line="360" w:lineRule="auto"/>
        <w:rPr>
          <w:rFonts w:ascii="Arial" w:hAnsi="Arial" w:cs="Arial"/>
          <w:sz w:val="22"/>
          <w:szCs w:val="22"/>
        </w:rPr>
      </w:pPr>
    </w:p>
    <w:p w14:paraId="5B85A9C7" w14:textId="77777777" w:rsidR="0029693A" w:rsidRPr="00EF7FC8" w:rsidRDefault="0029693A" w:rsidP="00EF7FC8">
      <w:pPr>
        <w:spacing w:line="360" w:lineRule="auto"/>
        <w:rPr>
          <w:rFonts w:ascii="Arial" w:hAnsi="Arial" w:cs="Arial"/>
          <w:sz w:val="22"/>
          <w:szCs w:val="22"/>
        </w:rPr>
      </w:pPr>
    </w:p>
    <w:p w14:paraId="4BE8AE68" w14:textId="77777777" w:rsidR="0029693A" w:rsidRPr="00EF7FC8" w:rsidRDefault="0029693A" w:rsidP="00EF7FC8">
      <w:pPr>
        <w:spacing w:line="360" w:lineRule="auto"/>
        <w:rPr>
          <w:rFonts w:ascii="Arial" w:hAnsi="Arial" w:cs="Arial"/>
          <w:sz w:val="22"/>
          <w:szCs w:val="22"/>
        </w:rPr>
      </w:pPr>
    </w:p>
    <w:p w14:paraId="0F92B8C9" w14:textId="01ED6849" w:rsidR="00B53FE8" w:rsidRPr="00EF7FC8" w:rsidRDefault="00B77A87" w:rsidP="00EF7FC8">
      <w:pPr>
        <w:pStyle w:val="Heading1"/>
        <w:spacing w:line="360" w:lineRule="auto"/>
        <w:jc w:val="center"/>
        <w:rPr>
          <w:rFonts w:ascii="Arial" w:hAnsi="Arial" w:cs="Arial"/>
          <w:b/>
          <w:bCs/>
          <w:color w:val="auto"/>
          <w:sz w:val="28"/>
          <w:szCs w:val="28"/>
        </w:rPr>
      </w:pPr>
      <w:r w:rsidRPr="00EF7FC8">
        <w:rPr>
          <w:rFonts w:ascii="Arial" w:hAnsi="Arial" w:cs="Arial"/>
          <w:b/>
          <w:bCs/>
          <w:color w:val="auto"/>
          <w:sz w:val="28"/>
          <w:szCs w:val="28"/>
        </w:rPr>
        <w:lastRenderedPageBreak/>
        <w:t xml:space="preserve"> </w:t>
      </w:r>
      <w:bookmarkStart w:id="23" w:name="_Toc236146665"/>
      <w:r w:rsidR="00B53FE8" w:rsidRPr="00EF7FC8">
        <w:rPr>
          <w:rFonts w:ascii="Arial" w:hAnsi="Arial" w:cs="Arial"/>
          <w:b/>
          <w:bCs/>
          <w:color w:val="auto"/>
          <w:sz w:val="28"/>
          <w:szCs w:val="28"/>
        </w:rPr>
        <w:t>Task 2: Type 2 Diabetes in Greater Manchester: An Epidemiological Analysis</w:t>
      </w:r>
      <w:bookmarkEnd w:id="23"/>
    </w:p>
    <w:p w14:paraId="0AC7A255" w14:textId="2D3DACD6" w:rsidR="00B53FE8" w:rsidRPr="00EF7FC8" w:rsidRDefault="00B77A87" w:rsidP="00EF7FC8">
      <w:pPr>
        <w:pStyle w:val="Heading1"/>
        <w:spacing w:line="360" w:lineRule="auto"/>
        <w:rPr>
          <w:rFonts w:ascii="Arial" w:hAnsi="Arial" w:cs="Arial"/>
          <w:b/>
          <w:bCs/>
          <w:color w:val="auto"/>
          <w:sz w:val="22"/>
          <w:szCs w:val="22"/>
        </w:rPr>
      </w:pPr>
      <w:bookmarkStart w:id="24" w:name="_Toc236093183"/>
      <w:bookmarkStart w:id="25" w:name="_Toc236146666"/>
      <w:r w:rsidRPr="00EF7FC8">
        <w:rPr>
          <w:rFonts w:ascii="Arial" w:hAnsi="Arial" w:cs="Arial"/>
          <w:b/>
          <w:bCs/>
          <w:color w:val="auto"/>
          <w:sz w:val="22"/>
          <w:szCs w:val="22"/>
        </w:rPr>
        <w:t xml:space="preserve">2. </w:t>
      </w:r>
      <w:r w:rsidR="00B53FE8" w:rsidRPr="00EF7FC8">
        <w:rPr>
          <w:rFonts w:ascii="Arial" w:hAnsi="Arial" w:cs="Arial"/>
          <w:b/>
          <w:bCs/>
          <w:color w:val="auto"/>
          <w:sz w:val="22"/>
          <w:szCs w:val="22"/>
        </w:rPr>
        <w:t>Introduction:</w:t>
      </w:r>
      <w:bookmarkEnd w:id="24"/>
      <w:bookmarkEnd w:id="25"/>
      <w:r w:rsidR="00B53FE8" w:rsidRPr="00EF7FC8">
        <w:rPr>
          <w:rFonts w:ascii="Arial" w:hAnsi="Arial" w:cs="Arial"/>
          <w:b/>
          <w:bCs/>
          <w:color w:val="auto"/>
          <w:sz w:val="22"/>
          <w:szCs w:val="22"/>
        </w:rPr>
        <w:t xml:space="preserve"> </w:t>
      </w:r>
    </w:p>
    <w:p w14:paraId="27AB49E8" w14:textId="4E580844"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Type 2 diabetes mellitus(T2DM) is a long-term non communicable disease that develops when </w:t>
      </w:r>
      <w:r w:rsidR="005236CE" w:rsidRPr="00EF7FC8">
        <w:rPr>
          <w:rFonts w:ascii="Arial" w:hAnsi="Arial" w:cs="Arial"/>
          <w:sz w:val="22"/>
          <w:szCs w:val="22"/>
        </w:rPr>
        <w:t xml:space="preserve">the </w:t>
      </w:r>
      <w:r w:rsidRPr="00EF7FC8">
        <w:rPr>
          <w:rFonts w:ascii="Arial" w:hAnsi="Arial" w:cs="Arial"/>
          <w:sz w:val="22"/>
          <w:szCs w:val="22"/>
        </w:rPr>
        <w:t xml:space="preserve">body cannot use insulin effectively or produce enough insulin to regulate blood glucose levels (World Health </w:t>
      </w:r>
      <w:r w:rsidR="005236CE" w:rsidRPr="00EF7FC8">
        <w:rPr>
          <w:rFonts w:ascii="Arial" w:hAnsi="Arial" w:cs="Arial"/>
          <w:sz w:val="22"/>
          <w:szCs w:val="22"/>
        </w:rPr>
        <w:t>Organisation</w:t>
      </w:r>
      <w:r w:rsidRPr="00EF7FC8">
        <w:rPr>
          <w:rFonts w:ascii="Arial" w:hAnsi="Arial" w:cs="Arial"/>
          <w:sz w:val="22"/>
          <w:szCs w:val="22"/>
        </w:rPr>
        <w:t xml:space="preserve">, 2024). It is one of the leading causes of death among preventable diseases and is associated with serious complications like cardiovascular disease, kidney failure, blindness, nerve damage and limb amputation (Diabetes UK, 2025). </w:t>
      </w:r>
      <w:r w:rsidR="00705843" w:rsidRPr="00EF7FC8">
        <w:rPr>
          <w:rFonts w:ascii="Arial" w:hAnsi="Arial" w:cs="Arial"/>
          <w:sz w:val="22"/>
          <w:szCs w:val="22"/>
        </w:rPr>
        <w:t>The International Diabetes Federation (2024)</w:t>
      </w:r>
      <w:r w:rsidRPr="00EF7FC8">
        <w:rPr>
          <w:rFonts w:ascii="Arial" w:hAnsi="Arial" w:cs="Arial"/>
          <w:sz w:val="22"/>
          <w:szCs w:val="22"/>
        </w:rPr>
        <w:t xml:space="preserve"> estimated 537 million adults were living with diabetes worldwide in 2021, and this number is expected to increase to 783 million by 2045. In the </w:t>
      </w:r>
      <w:r w:rsidR="005236CE" w:rsidRPr="00EF7FC8">
        <w:rPr>
          <w:rFonts w:ascii="Arial" w:hAnsi="Arial" w:cs="Arial"/>
          <w:sz w:val="22"/>
          <w:szCs w:val="22"/>
        </w:rPr>
        <w:t>UK</w:t>
      </w:r>
      <w:r w:rsidRPr="00EF7FC8">
        <w:rPr>
          <w:rFonts w:ascii="Arial" w:hAnsi="Arial" w:cs="Arial"/>
          <w:sz w:val="22"/>
          <w:szCs w:val="22"/>
        </w:rPr>
        <w:t xml:space="preserve">, around 4.7 million people are </w:t>
      </w:r>
      <w:r w:rsidR="003372AE" w:rsidRPr="00EF7FC8">
        <w:rPr>
          <w:rFonts w:ascii="Arial" w:hAnsi="Arial" w:cs="Arial"/>
          <w:sz w:val="22"/>
          <w:szCs w:val="22"/>
        </w:rPr>
        <w:t xml:space="preserve">living </w:t>
      </w:r>
      <w:r w:rsidR="005236CE" w:rsidRPr="00EF7FC8">
        <w:rPr>
          <w:rFonts w:ascii="Arial" w:hAnsi="Arial" w:cs="Arial"/>
          <w:sz w:val="22"/>
          <w:szCs w:val="22"/>
        </w:rPr>
        <w:t xml:space="preserve">with diabetes, </w:t>
      </w:r>
      <w:r w:rsidR="003372AE" w:rsidRPr="00EF7FC8">
        <w:rPr>
          <w:rFonts w:ascii="Arial" w:hAnsi="Arial" w:cs="Arial"/>
          <w:sz w:val="22"/>
          <w:szCs w:val="22"/>
        </w:rPr>
        <w:t>and approximately 9 in 10 cases are Type 2 Diabetes</w:t>
      </w:r>
      <w:r w:rsidRPr="00EF7FC8">
        <w:rPr>
          <w:rFonts w:ascii="Arial" w:hAnsi="Arial" w:cs="Arial"/>
          <w:sz w:val="22"/>
          <w:szCs w:val="22"/>
        </w:rPr>
        <w:t xml:space="preserve"> (Diabetes UK, 2023). The number of people with diabetes in Greater Manchester has increased over the last four years. The prevalence rose from 7.51% </w:t>
      </w:r>
      <w:r w:rsidR="003372AE" w:rsidRPr="00EF7FC8">
        <w:rPr>
          <w:rFonts w:ascii="Arial" w:hAnsi="Arial" w:cs="Arial"/>
          <w:sz w:val="22"/>
          <w:szCs w:val="22"/>
        </w:rPr>
        <w:t>in</w:t>
      </w:r>
      <w:r w:rsidRPr="00EF7FC8">
        <w:rPr>
          <w:rFonts w:ascii="Arial" w:hAnsi="Arial" w:cs="Arial"/>
          <w:sz w:val="22"/>
          <w:szCs w:val="22"/>
        </w:rPr>
        <w:t xml:space="preserve"> 2021-2022 to 8.17% in 2024-25</w:t>
      </w:r>
      <w:r w:rsidR="00BD364E" w:rsidRPr="00EF7FC8">
        <w:rPr>
          <w:rFonts w:ascii="Arial" w:hAnsi="Arial" w:cs="Arial"/>
          <w:sz w:val="22"/>
          <w:szCs w:val="22"/>
        </w:rPr>
        <w:t>, meaning around 8 in every 100 adults in Greater Manchester are living with diabetes. T</w:t>
      </w:r>
      <w:r w:rsidRPr="00EF7FC8">
        <w:rPr>
          <w:rFonts w:ascii="Arial" w:hAnsi="Arial" w:cs="Arial"/>
          <w:sz w:val="22"/>
          <w:szCs w:val="22"/>
        </w:rPr>
        <w:t xml:space="preserve">he gap between Greater Manchester and the national average has continued to grow, showing diabetes as a major public health challenge in the region (Fig. 1 Concordance, 2026). Higher rates are reported in deprived communities and among South Asian populations, showing </w:t>
      </w:r>
      <w:r w:rsidR="005236CE" w:rsidRPr="00EF7FC8">
        <w:rPr>
          <w:rFonts w:ascii="Arial" w:hAnsi="Arial" w:cs="Arial"/>
          <w:sz w:val="22"/>
          <w:szCs w:val="22"/>
        </w:rPr>
        <w:t xml:space="preserve">the </w:t>
      </w:r>
      <w:r w:rsidRPr="00EF7FC8">
        <w:rPr>
          <w:rFonts w:ascii="Arial" w:hAnsi="Arial" w:cs="Arial"/>
          <w:sz w:val="22"/>
          <w:szCs w:val="22"/>
        </w:rPr>
        <w:t xml:space="preserve">influence of socioeconomic deprivation and ethnicity on </w:t>
      </w:r>
      <w:r w:rsidR="005236CE" w:rsidRPr="00EF7FC8">
        <w:rPr>
          <w:rFonts w:ascii="Arial" w:hAnsi="Arial" w:cs="Arial"/>
          <w:sz w:val="22"/>
          <w:szCs w:val="22"/>
        </w:rPr>
        <w:t>disease</w:t>
      </w:r>
      <w:r w:rsidRPr="00EF7FC8">
        <w:rPr>
          <w:rFonts w:ascii="Arial" w:hAnsi="Arial" w:cs="Arial"/>
          <w:sz w:val="22"/>
          <w:szCs w:val="22"/>
        </w:rPr>
        <w:t xml:space="preserve"> risk (Greater Manchester Integrated Care, 2024). This report analyses epidemiological processes used to identify, monitor and manage Type 2 diabetes in Greater Manchester and evaluates public health strategies to reduce its impact and health inequalities (British Medical Journal, 2019).</w:t>
      </w:r>
    </w:p>
    <w:p w14:paraId="713F1781" w14:textId="68328656" w:rsidR="00B53FE8" w:rsidRPr="00EF7FC8" w:rsidRDefault="00851407" w:rsidP="00EF7FC8">
      <w:pPr>
        <w:spacing w:line="360" w:lineRule="auto"/>
        <w:rPr>
          <w:rFonts w:ascii="Arial" w:hAnsi="Arial" w:cs="Arial"/>
          <w:sz w:val="22"/>
          <w:szCs w:val="22"/>
        </w:rPr>
      </w:pPr>
      <w:r w:rsidRPr="00EF7FC8">
        <w:rPr>
          <w:rFonts w:ascii="Arial" w:hAnsi="Arial" w:cs="Arial"/>
          <w:noProof/>
          <w:sz w:val="22"/>
          <w:szCs w:val="22"/>
        </w:rPr>
        <w:drawing>
          <wp:anchor distT="0" distB="0" distL="114300" distR="114300" simplePos="0" relativeHeight="251659264" behindDoc="0" locked="0" layoutInCell="1" allowOverlap="1" wp14:anchorId="494EC8C1" wp14:editId="0F397089">
            <wp:simplePos x="0" y="0"/>
            <wp:positionH relativeFrom="margin">
              <wp:align>center</wp:align>
            </wp:positionH>
            <wp:positionV relativeFrom="margin">
              <wp:posOffset>5578475</wp:posOffset>
            </wp:positionV>
            <wp:extent cx="3916045" cy="2295525"/>
            <wp:effectExtent l="0" t="0" r="8255" b="9525"/>
            <wp:wrapSquare wrapText="bothSides"/>
            <wp:docPr id="70567179" name="Picture 1" descr="The image displays a document on a computer screen, showing a chart or graph comparing diabetes prevalence rates in Greater Manchester and England, along with statistics and related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7179" name="Picture 1" descr="The image displays a document on a computer screen, showing a chart or graph comparing diabetes prevalence rates in Greater Manchester and England, along with statistics and related information.&#10;&#10;AI-generated content may be incorrect."/>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l="10128" t="27350" r="41538" b="22279"/>
                    <a:stretch>
                      <a:fillRect/>
                    </a:stretch>
                  </pic:blipFill>
                  <pic:spPr bwMode="auto">
                    <a:xfrm>
                      <a:off x="0" y="0"/>
                      <a:ext cx="3916045" cy="2295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5A1FB" w14:textId="1BAE21B9" w:rsidR="00B53FE8" w:rsidRPr="00EF7FC8" w:rsidRDefault="00B53FE8" w:rsidP="00EF7FC8">
      <w:pPr>
        <w:spacing w:line="360" w:lineRule="auto"/>
        <w:rPr>
          <w:rFonts w:ascii="Arial" w:hAnsi="Arial" w:cs="Arial"/>
          <w:sz w:val="22"/>
          <w:szCs w:val="22"/>
        </w:rPr>
      </w:pPr>
    </w:p>
    <w:p w14:paraId="67D3E63C" w14:textId="77777777" w:rsidR="00B53FE8" w:rsidRPr="00EF7FC8" w:rsidRDefault="00B53FE8" w:rsidP="00EF7FC8">
      <w:pPr>
        <w:spacing w:line="360" w:lineRule="auto"/>
        <w:rPr>
          <w:rFonts w:ascii="Arial" w:hAnsi="Arial" w:cs="Arial"/>
          <w:sz w:val="22"/>
          <w:szCs w:val="22"/>
        </w:rPr>
      </w:pPr>
    </w:p>
    <w:p w14:paraId="473473A6" w14:textId="77777777" w:rsidR="00B53FE8" w:rsidRPr="00EF7FC8" w:rsidRDefault="00B53FE8" w:rsidP="00EF7FC8">
      <w:pPr>
        <w:spacing w:line="360" w:lineRule="auto"/>
        <w:rPr>
          <w:rFonts w:ascii="Arial" w:hAnsi="Arial" w:cs="Arial"/>
          <w:sz w:val="22"/>
          <w:szCs w:val="22"/>
        </w:rPr>
      </w:pPr>
    </w:p>
    <w:p w14:paraId="424577B4" w14:textId="77777777" w:rsidR="00B53FE8" w:rsidRPr="00EF7FC8" w:rsidRDefault="00B53FE8" w:rsidP="00EF7FC8">
      <w:pPr>
        <w:spacing w:line="360" w:lineRule="auto"/>
        <w:rPr>
          <w:rFonts w:ascii="Arial" w:hAnsi="Arial" w:cs="Arial"/>
          <w:sz w:val="22"/>
          <w:szCs w:val="22"/>
        </w:rPr>
      </w:pPr>
    </w:p>
    <w:p w14:paraId="7E0E0A68" w14:textId="77777777" w:rsidR="00B53FE8" w:rsidRPr="00EF7FC8" w:rsidRDefault="00B53FE8" w:rsidP="00EF7FC8">
      <w:pPr>
        <w:spacing w:line="360" w:lineRule="auto"/>
        <w:rPr>
          <w:rFonts w:ascii="Arial" w:hAnsi="Arial" w:cs="Arial"/>
          <w:sz w:val="22"/>
          <w:szCs w:val="22"/>
        </w:rPr>
      </w:pPr>
    </w:p>
    <w:p w14:paraId="7BB225B3" w14:textId="77777777" w:rsidR="00B53FE8" w:rsidRPr="00EF7FC8" w:rsidRDefault="00B53FE8" w:rsidP="00EF7FC8">
      <w:pPr>
        <w:spacing w:line="360" w:lineRule="auto"/>
        <w:rPr>
          <w:rFonts w:ascii="Arial" w:hAnsi="Arial" w:cs="Arial"/>
          <w:sz w:val="22"/>
          <w:szCs w:val="22"/>
        </w:rPr>
      </w:pPr>
    </w:p>
    <w:p w14:paraId="3AA60BE2" w14:textId="5C88E8B9" w:rsidR="00B53FE8" w:rsidRPr="00EF7FC8" w:rsidRDefault="00B53FE8" w:rsidP="00EF7FC8">
      <w:pPr>
        <w:spacing w:line="360" w:lineRule="auto"/>
        <w:jc w:val="center"/>
        <w:rPr>
          <w:rFonts w:ascii="Arial" w:hAnsi="Arial" w:cs="Arial"/>
          <w:b/>
          <w:bCs/>
          <w:sz w:val="22"/>
          <w:szCs w:val="22"/>
        </w:rPr>
      </w:pPr>
      <w:r w:rsidRPr="00EF7FC8">
        <w:rPr>
          <w:rFonts w:ascii="Arial" w:hAnsi="Arial" w:cs="Arial"/>
          <w:b/>
          <w:bCs/>
          <w:sz w:val="22"/>
          <w:szCs w:val="22"/>
        </w:rPr>
        <w:t>Fig</w:t>
      </w:r>
      <w:r w:rsidR="008A5489" w:rsidRPr="00EF7FC8">
        <w:rPr>
          <w:rFonts w:ascii="Arial" w:hAnsi="Arial" w:cs="Arial"/>
          <w:b/>
          <w:bCs/>
          <w:sz w:val="22"/>
          <w:szCs w:val="22"/>
        </w:rPr>
        <w:t>ure</w:t>
      </w:r>
      <w:r w:rsidRPr="00EF7FC8">
        <w:rPr>
          <w:rFonts w:ascii="Arial" w:hAnsi="Arial" w:cs="Arial"/>
          <w:b/>
          <w:bCs/>
          <w:sz w:val="22"/>
          <w:szCs w:val="22"/>
        </w:rPr>
        <w:t xml:space="preserve"> 1 (Concordance, 2026)</w:t>
      </w:r>
    </w:p>
    <w:p w14:paraId="0F22BB5D" w14:textId="4EFAE5C4" w:rsidR="00B53FE8" w:rsidRPr="00EF7FC8" w:rsidRDefault="00B77A87" w:rsidP="00EF7FC8">
      <w:pPr>
        <w:pStyle w:val="Heading1"/>
        <w:spacing w:line="360" w:lineRule="auto"/>
        <w:rPr>
          <w:rFonts w:ascii="Arial" w:hAnsi="Arial" w:cs="Arial"/>
          <w:b/>
          <w:bCs/>
          <w:color w:val="auto"/>
          <w:sz w:val="22"/>
          <w:szCs w:val="22"/>
        </w:rPr>
      </w:pPr>
      <w:bookmarkStart w:id="26" w:name="_Toc236093184"/>
      <w:bookmarkStart w:id="27" w:name="_Toc236146667"/>
      <w:r w:rsidRPr="00EF7FC8">
        <w:rPr>
          <w:rFonts w:ascii="Arial" w:hAnsi="Arial" w:cs="Arial"/>
          <w:b/>
          <w:bCs/>
          <w:color w:val="auto"/>
          <w:sz w:val="22"/>
          <w:szCs w:val="22"/>
        </w:rPr>
        <w:lastRenderedPageBreak/>
        <w:t xml:space="preserve">2.1. </w:t>
      </w:r>
      <w:r w:rsidR="00B53FE8" w:rsidRPr="00EF7FC8">
        <w:rPr>
          <w:rFonts w:ascii="Arial" w:hAnsi="Arial" w:cs="Arial"/>
          <w:b/>
          <w:bCs/>
          <w:color w:val="auto"/>
          <w:sz w:val="22"/>
          <w:szCs w:val="22"/>
        </w:rPr>
        <w:t>Public Health Measures Using 3Ps</w:t>
      </w:r>
      <w:bookmarkEnd w:id="26"/>
      <w:bookmarkEnd w:id="27"/>
    </w:p>
    <w:p w14:paraId="427AA598" w14:textId="3EB0F8CD"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Greater Manchester </w:t>
      </w:r>
      <w:r w:rsidR="00BD364E" w:rsidRPr="00EF7FC8">
        <w:rPr>
          <w:rFonts w:ascii="Arial" w:hAnsi="Arial" w:cs="Arial"/>
          <w:sz w:val="22"/>
          <w:szCs w:val="22"/>
        </w:rPr>
        <w:t>applies</w:t>
      </w:r>
      <w:r w:rsidRPr="00EF7FC8">
        <w:rPr>
          <w:rFonts w:ascii="Arial" w:hAnsi="Arial" w:cs="Arial"/>
          <w:sz w:val="22"/>
          <w:szCs w:val="22"/>
        </w:rPr>
        <w:t xml:space="preserve"> the approach of </w:t>
      </w:r>
      <w:r w:rsidR="005236CE" w:rsidRPr="00EF7FC8">
        <w:rPr>
          <w:rFonts w:ascii="Arial" w:hAnsi="Arial" w:cs="Arial"/>
          <w:sz w:val="22"/>
          <w:szCs w:val="22"/>
        </w:rPr>
        <w:t xml:space="preserve">the </w:t>
      </w:r>
      <w:r w:rsidR="0086130A" w:rsidRPr="00EF7FC8">
        <w:rPr>
          <w:rFonts w:ascii="Arial" w:hAnsi="Arial" w:cs="Arial"/>
          <w:sz w:val="22"/>
          <w:szCs w:val="22"/>
        </w:rPr>
        <w:t>3</w:t>
      </w:r>
      <w:r w:rsidRPr="00EF7FC8">
        <w:rPr>
          <w:rFonts w:ascii="Arial" w:hAnsi="Arial" w:cs="Arial"/>
          <w:sz w:val="22"/>
          <w:szCs w:val="22"/>
        </w:rPr>
        <w:t xml:space="preserve">Ps of public health, prevention, protection and promotion, to reduce the burden of Type 2 Diabetes. Prevention focuses on identifying people at risk before the disease develops (NHS,2023). </w:t>
      </w:r>
      <w:r w:rsidR="00BC1070" w:rsidRPr="00EF7FC8">
        <w:rPr>
          <w:rFonts w:ascii="Arial" w:hAnsi="Arial" w:cs="Arial"/>
          <w:sz w:val="22"/>
          <w:szCs w:val="22"/>
        </w:rPr>
        <w:t>Five boroughs have prevalence rates above 9%, with Ol</w:t>
      </w:r>
      <w:r w:rsidR="0083021A" w:rsidRPr="00EF7FC8">
        <w:rPr>
          <w:rFonts w:ascii="Arial" w:hAnsi="Arial" w:cs="Arial"/>
          <w:sz w:val="22"/>
          <w:szCs w:val="22"/>
        </w:rPr>
        <w:t>d</w:t>
      </w:r>
      <w:r w:rsidR="00BC1070" w:rsidRPr="00EF7FC8">
        <w:rPr>
          <w:rFonts w:ascii="Arial" w:hAnsi="Arial" w:cs="Arial"/>
          <w:sz w:val="22"/>
          <w:szCs w:val="22"/>
        </w:rPr>
        <w:t>ha</w:t>
      </w:r>
      <w:r w:rsidR="0083021A" w:rsidRPr="00EF7FC8">
        <w:rPr>
          <w:rFonts w:ascii="Arial" w:hAnsi="Arial" w:cs="Arial"/>
          <w:sz w:val="22"/>
          <w:szCs w:val="22"/>
        </w:rPr>
        <w:t>m</w:t>
      </w:r>
      <w:r w:rsidR="00BC1070" w:rsidRPr="00EF7FC8">
        <w:rPr>
          <w:rFonts w:ascii="Arial" w:hAnsi="Arial" w:cs="Arial"/>
          <w:sz w:val="22"/>
          <w:szCs w:val="22"/>
        </w:rPr>
        <w:t xml:space="preserve"> 9.58% and Bolton9.54% showing </w:t>
      </w:r>
      <w:r w:rsidR="005236CE" w:rsidRPr="00EF7FC8">
        <w:rPr>
          <w:rFonts w:ascii="Arial" w:hAnsi="Arial" w:cs="Arial"/>
          <w:sz w:val="22"/>
          <w:szCs w:val="22"/>
        </w:rPr>
        <w:t xml:space="preserve">the </w:t>
      </w:r>
      <w:r w:rsidR="00BC1070" w:rsidRPr="00EF7FC8">
        <w:rPr>
          <w:rFonts w:ascii="Arial" w:hAnsi="Arial" w:cs="Arial"/>
          <w:sz w:val="22"/>
          <w:szCs w:val="22"/>
        </w:rPr>
        <w:t>highest burden</w:t>
      </w:r>
      <w:r w:rsidR="0083021A" w:rsidRPr="00EF7FC8">
        <w:rPr>
          <w:rFonts w:ascii="Arial" w:hAnsi="Arial" w:cs="Arial"/>
          <w:sz w:val="22"/>
          <w:szCs w:val="22"/>
        </w:rPr>
        <w:t xml:space="preserve">. This highlights </w:t>
      </w:r>
      <w:r w:rsidR="005236CE" w:rsidRPr="00EF7FC8">
        <w:rPr>
          <w:rFonts w:ascii="Arial" w:hAnsi="Arial" w:cs="Arial"/>
          <w:sz w:val="22"/>
          <w:szCs w:val="22"/>
        </w:rPr>
        <w:t xml:space="preserve">a </w:t>
      </w:r>
      <w:r w:rsidR="0083021A" w:rsidRPr="00EF7FC8">
        <w:rPr>
          <w:rFonts w:ascii="Arial" w:hAnsi="Arial" w:cs="Arial"/>
          <w:sz w:val="22"/>
          <w:szCs w:val="22"/>
        </w:rPr>
        <w:t xml:space="preserve">greater need for targeted interventions for prevention (Concordance, 2026). </w:t>
      </w:r>
      <w:r w:rsidRPr="00EF7FC8">
        <w:rPr>
          <w:rFonts w:ascii="Arial" w:hAnsi="Arial" w:cs="Arial"/>
          <w:sz w:val="22"/>
          <w:szCs w:val="22"/>
        </w:rPr>
        <w:t xml:space="preserve">The NHS Diabetes Prevention Programme supports adults with </w:t>
      </w:r>
      <w:r w:rsidR="00C72453" w:rsidRPr="00EF7FC8">
        <w:rPr>
          <w:rFonts w:ascii="Arial" w:hAnsi="Arial" w:cs="Arial"/>
          <w:sz w:val="22"/>
          <w:szCs w:val="22"/>
        </w:rPr>
        <w:t>prediabetes</w:t>
      </w:r>
      <w:r w:rsidRPr="00EF7FC8">
        <w:rPr>
          <w:rFonts w:ascii="Arial" w:hAnsi="Arial" w:cs="Arial"/>
          <w:sz w:val="22"/>
          <w:szCs w:val="22"/>
        </w:rPr>
        <w:t xml:space="preserve"> to improve their diet, increase physical activity and achieve a healthy weight (Whelan and Bell, 2022; NIHR, 2024)</w:t>
      </w:r>
      <w:r w:rsidR="00BD364E" w:rsidRPr="00EF7FC8">
        <w:rPr>
          <w:rFonts w:ascii="Arial" w:hAnsi="Arial" w:cs="Arial"/>
          <w:sz w:val="22"/>
          <w:szCs w:val="22"/>
        </w:rPr>
        <w:t>.</w:t>
      </w:r>
      <w:r w:rsidRPr="00EF7FC8">
        <w:rPr>
          <w:rFonts w:ascii="Arial" w:hAnsi="Arial" w:cs="Arial"/>
          <w:sz w:val="22"/>
          <w:szCs w:val="22"/>
        </w:rPr>
        <w:t xml:space="preserve"> The NHS Health Check programme also identifies adults aged 40-70 who are at risk of diabetes and cardiovascular disease</w:t>
      </w:r>
      <w:r w:rsidR="005236CE" w:rsidRPr="00EF7FC8">
        <w:rPr>
          <w:rFonts w:ascii="Arial" w:hAnsi="Arial" w:cs="Arial"/>
          <w:sz w:val="22"/>
          <w:szCs w:val="22"/>
        </w:rPr>
        <w:t>,</w:t>
      </w:r>
      <w:r w:rsidRPr="00EF7FC8">
        <w:rPr>
          <w:rFonts w:ascii="Arial" w:hAnsi="Arial" w:cs="Arial"/>
          <w:sz w:val="22"/>
          <w:szCs w:val="22"/>
        </w:rPr>
        <w:t xml:space="preserve"> allowing early intervention (NHS England, 2019).</w:t>
      </w:r>
    </w:p>
    <w:p w14:paraId="762F84A5" w14:textId="257EA68C"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Protection aims to</w:t>
      </w:r>
      <w:r w:rsidR="00BD364E" w:rsidRPr="00EF7FC8">
        <w:rPr>
          <w:rFonts w:ascii="Arial" w:hAnsi="Arial" w:cs="Arial"/>
          <w:sz w:val="22"/>
          <w:szCs w:val="22"/>
        </w:rPr>
        <w:t xml:space="preserve"> educate people </w:t>
      </w:r>
      <w:r w:rsidR="00E80BBA" w:rsidRPr="00EF7FC8">
        <w:rPr>
          <w:rFonts w:ascii="Arial" w:hAnsi="Arial" w:cs="Arial"/>
          <w:sz w:val="22"/>
          <w:szCs w:val="22"/>
        </w:rPr>
        <w:t>about symptom recognition, healthy lifestyle choices, managing blood pressure and cholesterol levels and</w:t>
      </w:r>
      <w:r w:rsidRPr="00EF7FC8">
        <w:rPr>
          <w:rFonts w:ascii="Arial" w:hAnsi="Arial" w:cs="Arial"/>
          <w:sz w:val="22"/>
          <w:szCs w:val="22"/>
        </w:rPr>
        <w:t xml:space="preserve"> reduce diabetes related complications through regular HbA1c monitoring, retinal screening, foot examinations and appropriate medicines.</w:t>
      </w:r>
      <w:r w:rsidR="00BC1070" w:rsidRPr="00EF7FC8">
        <w:rPr>
          <w:rFonts w:ascii="Arial" w:hAnsi="Arial" w:cs="Arial"/>
          <w:sz w:val="22"/>
          <w:szCs w:val="22"/>
        </w:rPr>
        <w:t xml:space="preserve"> The NHS Healthier You is offered to people who are </w:t>
      </w:r>
      <w:r w:rsidR="005236CE" w:rsidRPr="00EF7FC8">
        <w:rPr>
          <w:rFonts w:ascii="Arial" w:hAnsi="Arial" w:cs="Arial"/>
          <w:sz w:val="22"/>
          <w:szCs w:val="22"/>
        </w:rPr>
        <w:t xml:space="preserve">at </w:t>
      </w:r>
      <w:r w:rsidR="00BC1070" w:rsidRPr="00EF7FC8">
        <w:rPr>
          <w:rFonts w:ascii="Arial" w:hAnsi="Arial" w:cs="Arial"/>
          <w:sz w:val="22"/>
          <w:szCs w:val="22"/>
        </w:rPr>
        <w:t>high risk of having diabetes (Greater Manchester Integrated Care, 2022).</w:t>
      </w:r>
      <w:r w:rsidRPr="00EF7FC8">
        <w:rPr>
          <w:rFonts w:ascii="Arial" w:hAnsi="Arial" w:cs="Arial"/>
          <w:sz w:val="22"/>
          <w:szCs w:val="22"/>
        </w:rPr>
        <w:t xml:space="preserve"> Early diagnosis and effective treatment help </w:t>
      </w:r>
      <w:r w:rsidR="005236CE" w:rsidRPr="00EF7FC8">
        <w:rPr>
          <w:rFonts w:ascii="Arial" w:hAnsi="Arial" w:cs="Arial"/>
          <w:sz w:val="22"/>
          <w:szCs w:val="22"/>
        </w:rPr>
        <w:t>lower the</w:t>
      </w:r>
      <w:r w:rsidRPr="00EF7FC8">
        <w:rPr>
          <w:rFonts w:ascii="Arial" w:hAnsi="Arial" w:cs="Arial"/>
          <w:sz w:val="22"/>
          <w:szCs w:val="22"/>
        </w:rPr>
        <w:t xml:space="preserve"> risk of renal failure, heart attack and premature death (NIHR, 2022).</w:t>
      </w:r>
      <w:r w:rsidR="00BD364E" w:rsidRPr="00EF7FC8">
        <w:rPr>
          <w:rFonts w:ascii="Arial" w:hAnsi="Arial" w:cs="Arial"/>
          <w:sz w:val="22"/>
          <w:szCs w:val="22"/>
        </w:rPr>
        <w:t xml:space="preserve"> However, inequalities in access to routine diabetes care remain in deprived communities.</w:t>
      </w:r>
    </w:p>
    <w:p w14:paraId="18009246" w14:textId="41EF7CC0"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Health promotion encourages healthy </w:t>
      </w:r>
      <w:r w:rsidR="005236CE" w:rsidRPr="00EF7FC8">
        <w:rPr>
          <w:rFonts w:ascii="Arial" w:hAnsi="Arial" w:cs="Arial"/>
          <w:sz w:val="22"/>
          <w:szCs w:val="22"/>
        </w:rPr>
        <w:t>lifestyles</w:t>
      </w:r>
      <w:r w:rsidRPr="00EF7FC8">
        <w:rPr>
          <w:rFonts w:ascii="Arial" w:hAnsi="Arial" w:cs="Arial"/>
          <w:sz w:val="22"/>
          <w:szCs w:val="22"/>
        </w:rPr>
        <w:t xml:space="preserve"> through community education, weight management programmes and critically tailored campaigns (Naidoo and Wills, 2009). In Greater Manchester</w:t>
      </w:r>
      <w:r w:rsidR="005236CE" w:rsidRPr="00EF7FC8">
        <w:rPr>
          <w:rFonts w:ascii="Arial" w:hAnsi="Arial" w:cs="Arial"/>
          <w:sz w:val="22"/>
          <w:szCs w:val="22"/>
        </w:rPr>
        <w:t>,</w:t>
      </w:r>
      <w:r w:rsidRPr="00EF7FC8">
        <w:rPr>
          <w:rFonts w:ascii="Arial" w:hAnsi="Arial" w:cs="Arial"/>
          <w:sz w:val="22"/>
          <w:szCs w:val="22"/>
        </w:rPr>
        <w:t xml:space="preserve"> these programmes are delivered through community organisations, particularly in Oldham (OCHD, 2022; NHS, 2025). However, health education alone is unlikely to reduce diabetes unless wider issues like poverty, access to healthy food and opportunities for physical activities are also addressed. Therefore, combining behaviour interventions with action on social determinants of health plays a significant role in reducing inequalities in management and treatment of Type 2 Diabetes (Kan and Fabrigar, 2017).</w:t>
      </w:r>
    </w:p>
    <w:p w14:paraId="68F8434C" w14:textId="186F2567" w:rsidR="00B53FE8" w:rsidRPr="00EF7FC8" w:rsidRDefault="00B77A87" w:rsidP="00EF7FC8">
      <w:pPr>
        <w:pStyle w:val="Heading1"/>
        <w:spacing w:line="360" w:lineRule="auto"/>
        <w:rPr>
          <w:rFonts w:ascii="Arial" w:hAnsi="Arial" w:cs="Arial"/>
          <w:b/>
          <w:bCs/>
          <w:color w:val="auto"/>
          <w:sz w:val="22"/>
          <w:szCs w:val="22"/>
        </w:rPr>
      </w:pPr>
      <w:bookmarkStart w:id="28" w:name="_Toc236093185"/>
      <w:bookmarkStart w:id="29" w:name="_Toc236146668"/>
      <w:r w:rsidRPr="00EF7FC8">
        <w:rPr>
          <w:rFonts w:ascii="Arial" w:hAnsi="Arial" w:cs="Arial"/>
          <w:b/>
          <w:bCs/>
          <w:color w:val="auto"/>
          <w:sz w:val="22"/>
          <w:szCs w:val="22"/>
        </w:rPr>
        <w:t xml:space="preserve">2.2. </w:t>
      </w:r>
      <w:r w:rsidR="00B53FE8" w:rsidRPr="00EF7FC8">
        <w:rPr>
          <w:rFonts w:ascii="Arial" w:hAnsi="Arial" w:cs="Arial"/>
          <w:b/>
          <w:bCs/>
          <w:color w:val="auto"/>
          <w:sz w:val="22"/>
          <w:szCs w:val="22"/>
        </w:rPr>
        <w:t>Key Determinants:</w:t>
      </w:r>
      <w:bookmarkEnd w:id="28"/>
      <w:bookmarkEnd w:id="29"/>
    </w:p>
    <w:p w14:paraId="173A9979" w14:textId="21AEC6C4"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The development of Type 2 Diabetes in Greater Manchester is influenced by a combination of biological, behavioural and social factors. Obesity is the strongest modifiable risk factor because excess body fat reduces the body’s ability to use insulin effectively, increasing blood glucose levels. People living with obesity are around three times more likely to develop Type 2 diabetes than those with </w:t>
      </w:r>
      <w:r w:rsidR="005236CE" w:rsidRPr="00EF7FC8">
        <w:rPr>
          <w:rFonts w:ascii="Arial" w:hAnsi="Arial" w:cs="Arial"/>
          <w:sz w:val="22"/>
          <w:szCs w:val="22"/>
        </w:rPr>
        <w:t xml:space="preserve">a </w:t>
      </w:r>
      <w:r w:rsidRPr="00EF7FC8">
        <w:rPr>
          <w:rFonts w:ascii="Arial" w:hAnsi="Arial" w:cs="Arial"/>
          <w:sz w:val="22"/>
          <w:szCs w:val="22"/>
        </w:rPr>
        <w:t xml:space="preserve">healthy weight (Khunti </w:t>
      </w:r>
      <w:r w:rsidRPr="00EF7FC8">
        <w:rPr>
          <w:rFonts w:ascii="Arial" w:hAnsi="Arial" w:cs="Arial"/>
          <w:i/>
          <w:iCs/>
          <w:sz w:val="22"/>
          <w:szCs w:val="22"/>
        </w:rPr>
        <w:t>et al.</w:t>
      </w:r>
      <w:r w:rsidRPr="00EF7FC8">
        <w:rPr>
          <w:rFonts w:ascii="Arial" w:hAnsi="Arial" w:cs="Arial"/>
          <w:sz w:val="22"/>
          <w:szCs w:val="22"/>
        </w:rPr>
        <w:t xml:space="preserve">, 2025). The Lancet Commission cohort study of </w:t>
      </w:r>
      <w:r w:rsidRPr="00EF7FC8">
        <w:rPr>
          <w:rFonts w:ascii="Arial" w:hAnsi="Arial" w:cs="Arial"/>
          <w:sz w:val="22"/>
          <w:szCs w:val="22"/>
        </w:rPr>
        <w:lastRenderedPageBreak/>
        <w:t xml:space="preserve">54 million adults </w:t>
      </w:r>
      <w:r w:rsidR="005236CE" w:rsidRPr="00EF7FC8">
        <w:rPr>
          <w:rFonts w:ascii="Arial" w:hAnsi="Arial" w:cs="Arial"/>
          <w:sz w:val="22"/>
          <w:szCs w:val="22"/>
        </w:rPr>
        <w:t>shows</w:t>
      </w:r>
      <w:r w:rsidRPr="00EF7FC8">
        <w:rPr>
          <w:rFonts w:ascii="Arial" w:hAnsi="Arial" w:cs="Arial"/>
          <w:sz w:val="22"/>
          <w:szCs w:val="22"/>
        </w:rPr>
        <w:t xml:space="preserve"> that preventing and treating obesity should be a public health priority to reduce </w:t>
      </w:r>
      <w:r w:rsidR="005236CE" w:rsidRPr="00EF7FC8">
        <w:rPr>
          <w:rFonts w:ascii="Arial" w:hAnsi="Arial" w:cs="Arial"/>
          <w:sz w:val="22"/>
          <w:szCs w:val="22"/>
        </w:rPr>
        <w:t xml:space="preserve">the </w:t>
      </w:r>
      <w:r w:rsidRPr="00EF7FC8">
        <w:rPr>
          <w:rFonts w:ascii="Arial" w:hAnsi="Arial" w:cs="Arial"/>
          <w:sz w:val="22"/>
          <w:szCs w:val="22"/>
        </w:rPr>
        <w:t xml:space="preserve">burden of diabetes (Fletcher </w:t>
      </w:r>
      <w:r w:rsidRPr="00EF7FC8">
        <w:rPr>
          <w:rFonts w:ascii="Arial" w:hAnsi="Arial" w:cs="Arial"/>
          <w:i/>
          <w:iCs/>
          <w:sz w:val="22"/>
          <w:szCs w:val="22"/>
        </w:rPr>
        <w:t>et al.</w:t>
      </w:r>
      <w:r w:rsidRPr="00EF7FC8">
        <w:rPr>
          <w:rFonts w:ascii="Arial" w:hAnsi="Arial" w:cs="Arial"/>
          <w:sz w:val="22"/>
          <w:szCs w:val="22"/>
        </w:rPr>
        <w:t xml:space="preserve">, 2019). </w:t>
      </w:r>
    </w:p>
    <w:p w14:paraId="3E1E68C9" w14:textId="47E7D24A"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Socioeconomic deprivation also plays an important role. People living in deprived areas aften has limited access to affordable healthy food, safe places to exercise and preventive health care, making it more difficult to maintain a healthy </w:t>
      </w:r>
      <w:r w:rsidR="00D00FA2" w:rsidRPr="00EF7FC8">
        <w:rPr>
          <w:rFonts w:ascii="Arial" w:hAnsi="Arial" w:cs="Arial"/>
          <w:sz w:val="22"/>
          <w:szCs w:val="22"/>
        </w:rPr>
        <w:t>lifestyle</w:t>
      </w:r>
      <w:r w:rsidRPr="00EF7FC8">
        <w:rPr>
          <w:rFonts w:ascii="Arial" w:hAnsi="Arial" w:cs="Arial"/>
          <w:sz w:val="22"/>
          <w:szCs w:val="22"/>
        </w:rPr>
        <w:t xml:space="preserve">. The study by Ravindrarajah </w:t>
      </w:r>
      <w:r w:rsidRPr="00EF7FC8">
        <w:rPr>
          <w:rFonts w:ascii="Arial" w:hAnsi="Arial" w:cs="Arial"/>
          <w:i/>
          <w:iCs/>
          <w:sz w:val="22"/>
          <w:szCs w:val="22"/>
        </w:rPr>
        <w:t>et al.</w:t>
      </w:r>
      <w:r w:rsidRPr="00EF7FC8">
        <w:rPr>
          <w:rFonts w:ascii="Arial" w:hAnsi="Arial" w:cs="Arial"/>
          <w:sz w:val="22"/>
          <w:szCs w:val="22"/>
        </w:rPr>
        <w:t xml:space="preserve"> (2020) shows that people living in deprived areas have a greater chance of developing Diabetes. The study found that ethnicity and deprivation interact, meaning that deprivation has an even greater impact on diabetes risk among South Asian and Black populations than among White populations. South Asian Adults have </w:t>
      </w:r>
      <w:r w:rsidR="005236CE" w:rsidRPr="00EF7FC8">
        <w:rPr>
          <w:rFonts w:ascii="Arial" w:hAnsi="Arial" w:cs="Arial"/>
          <w:sz w:val="22"/>
          <w:szCs w:val="22"/>
        </w:rPr>
        <w:t xml:space="preserve">the </w:t>
      </w:r>
      <w:r w:rsidRPr="00EF7FC8">
        <w:rPr>
          <w:rFonts w:ascii="Arial" w:hAnsi="Arial" w:cs="Arial"/>
          <w:sz w:val="22"/>
          <w:szCs w:val="22"/>
        </w:rPr>
        <w:t>highest prevalence of Type 2 diabetes, 17.9%</w:t>
      </w:r>
      <w:r w:rsidR="005236CE" w:rsidRPr="00EF7FC8">
        <w:rPr>
          <w:rFonts w:ascii="Arial" w:hAnsi="Arial" w:cs="Arial"/>
          <w:sz w:val="22"/>
          <w:szCs w:val="22"/>
        </w:rPr>
        <w:t>,</w:t>
      </w:r>
      <w:r w:rsidRPr="00EF7FC8">
        <w:rPr>
          <w:rFonts w:ascii="Arial" w:hAnsi="Arial" w:cs="Arial"/>
          <w:sz w:val="22"/>
          <w:szCs w:val="22"/>
        </w:rPr>
        <w:t xml:space="preserve"> as compared to other ethnic groups in </w:t>
      </w:r>
      <w:r w:rsidR="005236CE" w:rsidRPr="00EF7FC8">
        <w:rPr>
          <w:rFonts w:ascii="Arial" w:hAnsi="Arial" w:cs="Arial"/>
          <w:sz w:val="22"/>
          <w:szCs w:val="22"/>
        </w:rPr>
        <w:t xml:space="preserve">the </w:t>
      </w:r>
      <w:r w:rsidRPr="00EF7FC8">
        <w:rPr>
          <w:rFonts w:ascii="Arial" w:hAnsi="Arial" w:cs="Arial"/>
          <w:sz w:val="22"/>
          <w:szCs w:val="22"/>
        </w:rPr>
        <w:t>UK Biobank Cohort</w:t>
      </w:r>
      <w:r w:rsidRPr="00EF7FC8">
        <w:rPr>
          <w:rFonts w:ascii="Arial" w:eastAsia="Times New Roman" w:hAnsi="Arial" w:cs="Arial"/>
          <w:sz w:val="22"/>
          <w:szCs w:val="22"/>
          <w:lang w:eastAsia="en-GB"/>
          <w14:ligatures w14:val="none"/>
        </w:rPr>
        <w:t xml:space="preserve"> </w:t>
      </w:r>
      <w:r w:rsidRPr="00EF7FC8">
        <w:rPr>
          <w:rFonts w:ascii="Arial" w:hAnsi="Arial" w:cs="Arial"/>
          <w:sz w:val="22"/>
          <w:szCs w:val="22"/>
        </w:rPr>
        <w:t xml:space="preserve">(Ravindrarajah </w:t>
      </w:r>
      <w:r w:rsidRPr="00EF7FC8">
        <w:rPr>
          <w:rFonts w:ascii="Arial" w:hAnsi="Arial" w:cs="Arial"/>
          <w:i/>
          <w:iCs/>
          <w:sz w:val="22"/>
          <w:szCs w:val="22"/>
        </w:rPr>
        <w:t>et al.</w:t>
      </w:r>
      <w:r w:rsidRPr="00EF7FC8">
        <w:rPr>
          <w:rFonts w:ascii="Arial" w:hAnsi="Arial" w:cs="Arial"/>
          <w:sz w:val="22"/>
          <w:szCs w:val="22"/>
        </w:rPr>
        <w:t xml:space="preserve">, 2020). These findings highlight that a key public health priority in Greater Manchester should be prevention s obesity and deprivation contribute hand in hand </w:t>
      </w:r>
      <w:r w:rsidR="00666D84" w:rsidRPr="00EF7FC8">
        <w:rPr>
          <w:rFonts w:ascii="Arial" w:hAnsi="Arial" w:cs="Arial"/>
          <w:sz w:val="22"/>
          <w:szCs w:val="22"/>
        </w:rPr>
        <w:t>to the</w:t>
      </w:r>
      <w:r w:rsidRPr="00EF7FC8">
        <w:rPr>
          <w:rFonts w:ascii="Arial" w:hAnsi="Arial" w:cs="Arial"/>
          <w:sz w:val="22"/>
          <w:szCs w:val="22"/>
        </w:rPr>
        <w:t xml:space="preserve"> high prevalence of diabetes.</w:t>
      </w:r>
    </w:p>
    <w:p w14:paraId="2FA6B8D8" w14:textId="3D232C25" w:rsidR="00B53FE8" w:rsidRPr="00EF7FC8" w:rsidRDefault="00B53FE8" w:rsidP="00EF7FC8">
      <w:pPr>
        <w:pStyle w:val="Heading1"/>
        <w:spacing w:line="360" w:lineRule="auto"/>
        <w:rPr>
          <w:rFonts w:ascii="Arial" w:hAnsi="Arial" w:cs="Arial"/>
          <w:b/>
          <w:bCs/>
          <w:color w:val="auto"/>
          <w:sz w:val="22"/>
          <w:szCs w:val="22"/>
        </w:rPr>
      </w:pPr>
      <w:r w:rsidRPr="00EF7FC8">
        <w:rPr>
          <w:rFonts w:ascii="Arial" w:hAnsi="Arial" w:cs="Arial"/>
          <w:b/>
          <w:bCs/>
          <w:color w:val="auto"/>
          <w:sz w:val="22"/>
          <w:szCs w:val="22"/>
        </w:rPr>
        <w:t xml:space="preserve"> </w:t>
      </w:r>
      <w:bookmarkStart w:id="30" w:name="_Toc236093186"/>
      <w:bookmarkStart w:id="31" w:name="_Toc236146669"/>
      <w:r w:rsidR="00B77A87" w:rsidRPr="00EF7FC8">
        <w:rPr>
          <w:rFonts w:ascii="Arial" w:hAnsi="Arial" w:cs="Arial"/>
          <w:b/>
          <w:bCs/>
          <w:color w:val="auto"/>
          <w:sz w:val="22"/>
          <w:szCs w:val="22"/>
        </w:rPr>
        <w:t xml:space="preserve">2.3. </w:t>
      </w:r>
      <w:r w:rsidRPr="00EF7FC8">
        <w:rPr>
          <w:rFonts w:ascii="Arial" w:hAnsi="Arial" w:cs="Arial"/>
          <w:b/>
          <w:bCs/>
          <w:color w:val="auto"/>
          <w:sz w:val="22"/>
          <w:szCs w:val="22"/>
        </w:rPr>
        <w:t>Needs Assessment:</w:t>
      </w:r>
      <w:bookmarkEnd w:id="30"/>
      <w:bookmarkEnd w:id="31"/>
    </w:p>
    <w:p w14:paraId="2A0DF76F" w14:textId="6ACDCDBA"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Using Bradshaw (1972) approach in taxonomy of needs, health professionals can identify normative needs from epidemiological data, expressed needs from GP registrations and comparative needs by comparing diabetes rates across different boroughs. This approach helps in implementing interventions that are based on proportionate universalism where everyone is supported</w:t>
      </w:r>
      <w:r w:rsidR="00666D84" w:rsidRPr="00EF7FC8">
        <w:rPr>
          <w:rFonts w:ascii="Arial" w:hAnsi="Arial" w:cs="Arial"/>
          <w:sz w:val="22"/>
          <w:szCs w:val="22"/>
        </w:rPr>
        <w:t>,</w:t>
      </w:r>
      <w:r w:rsidRPr="00EF7FC8">
        <w:rPr>
          <w:rFonts w:ascii="Arial" w:hAnsi="Arial" w:cs="Arial"/>
          <w:sz w:val="22"/>
          <w:szCs w:val="22"/>
        </w:rPr>
        <w:t xml:space="preserve"> but additional resources are directed to communities with greatest needs (Bradshaw, 1972).</w:t>
      </w:r>
      <w:r w:rsidR="00E80BBA" w:rsidRPr="00EF7FC8">
        <w:rPr>
          <w:rFonts w:ascii="Arial" w:hAnsi="Arial" w:cs="Arial"/>
          <w:sz w:val="22"/>
          <w:szCs w:val="22"/>
        </w:rPr>
        <w:t xml:space="preserve"> Normative needs are recognised by health professionals using epidemiological evidence.</w:t>
      </w:r>
      <w:r w:rsidRPr="00EF7FC8">
        <w:rPr>
          <w:rFonts w:ascii="Arial" w:hAnsi="Arial" w:cs="Arial"/>
          <w:sz w:val="22"/>
          <w:szCs w:val="22"/>
        </w:rPr>
        <w:t xml:space="preserve"> According to </w:t>
      </w:r>
      <w:r w:rsidR="00666D84" w:rsidRPr="00EF7FC8">
        <w:rPr>
          <w:rFonts w:ascii="Arial" w:hAnsi="Arial" w:cs="Arial"/>
          <w:sz w:val="22"/>
          <w:szCs w:val="22"/>
        </w:rPr>
        <w:t xml:space="preserve">a </w:t>
      </w:r>
      <w:r w:rsidRPr="00EF7FC8">
        <w:rPr>
          <w:rFonts w:ascii="Arial" w:hAnsi="Arial" w:cs="Arial"/>
          <w:sz w:val="22"/>
          <w:szCs w:val="22"/>
        </w:rPr>
        <w:t xml:space="preserve">UK cohort study of 397,853 adults with </w:t>
      </w:r>
      <w:r w:rsidR="00D00FA2" w:rsidRPr="00EF7FC8">
        <w:rPr>
          <w:rFonts w:ascii="Arial" w:hAnsi="Arial" w:cs="Arial"/>
          <w:sz w:val="22"/>
          <w:szCs w:val="22"/>
        </w:rPr>
        <w:t>prediabetic</w:t>
      </w:r>
      <w:r w:rsidRPr="00EF7FC8">
        <w:rPr>
          <w:rFonts w:ascii="Arial" w:hAnsi="Arial" w:cs="Arial"/>
          <w:sz w:val="22"/>
          <w:szCs w:val="22"/>
        </w:rPr>
        <w:t xml:space="preserve"> conditions by Gardner </w:t>
      </w:r>
      <w:r w:rsidRPr="00EF7FC8">
        <w:rPr>
          <w:rFonts w:ascii="Arial" w:hAnsi="Arial" w:cs="Arial"/>
          <w:i/>
          <w:iCs/>
          <w:sz w:val="22"/>
          <w:szCs w:val="22"/>
        </w:rPr>
        <w:t>et al.</w:t>
      </w:r>
      <w:r w:rsidRPr="00EF7FC8">
        <w:rPr>
          <w:rFonts w:ascii="Arial" w:hAnsi="Arial" w:cs="Arial"/>
          <w:sz w:val="22"/>
          <w:szCs w:val="22"/>
        </w:rPr>
        <w:t xml:space="preserve"> (2022), found that South Asian Adults, people in deprived areas and middle-aged adults </w:t>
      </w:r>
      <w:r w:rsidR="00666D84" w:rsidRPr="00EF7FC8">
        <w:rPr>
          <w:rFonts w:ascii="Arial" w:hAnsi="Arial" w:cs="Arial"/>
          <w:sz w:val="22"/>
          <w:szCs w:val="22"/>
        </w:rPr>
        <w:t>aged</w:t>
      </w:r>
      <w:r w:rsidRPr="00EF7FC8">
        <w:rPr>
          <w:rFonts w:ascii="Arial" w:hAnsi="Arial" w:cs="Arial"/>
          <w:sz w:val="22"/>
          <w:szCs w:val="22"/>
        </w:rPr>
        <w:t xml:space="preserve"> 40-64 years were more likely to progress to Type 2 diabetes than White adults or those living </w:t>
      </w:r>
      <w:r w:rsidR="00BC1070" w:rsidRPr="00EF7FC8">
        <w:rPr>
          <w:rFonts w:ascii="Arial" w:hAnsi="Arial" w:cs="Arial"/>
          <w:sz w:val="22"/>
          <w:szCs w:val="22"/>
        </w:rPr>
        <w:t>in</w:t>
      </w:r>
      <w:r w:rsidRPr="00EF7FC8">
        <w:rPr>
          <w:rFonts w:ascii="Arial" w:hAnsi="Arial" w:cs="Arial"/>
          <w:sz w:val="22"/>
          <w:szCs w:val="22"/>
        </w:rPr>
        <w:t xml:space="preserve"> less deprived areas. </w:t>
      </w:r>
      <w:r w:rsidR="00E80BBA" w:rsidRPr="00EF7FC8">
        <w:rPr>
          <w:rFonts w:ascii="Arial" w:hAnsi="Arial" w:cs="Arial"/>
          <w:sz w:val="22"/>
          <w:szCs w:val="22"/>
        </w:rPr>
        <w:t xml:space="preserve"> Felt needs reflect individual concerns about management and symptoms. Expressed needs are shown through GP registrations and NHS health check referrals. Comparative needs identify inequalities by comparing Diabetes prevalence between Greater Manchester boroughs. </w:t>
      </w:r>
    </w:p>
    <w:p w14:paraId="74DA234E" w14:textId="2A6E3C5C" w:rsidR="00B53FE8" w:rsidRPr="00EF7FC8" w:rsidRDefault="00B77A87" w:rsidP="00EF7FC8">
      <w:pPr>
        <w:pStyle w:val="Heading1"/>
        <w:spacing w:line="360" w:lineRule="auto"/>
        <w:rPr>
          <w:rFonts w:ascii="Arial" w:hAnsi="Arial" w:cs="Arial"/>
          <w:b/>
          <w:bCs/>
          <w:color w:val="auto"/>
          <w:sz w:val="22"/>
          <w:szCs w:val="22"/>
        </w:rPr>
      </w:pPr>
      <w:bookmarkStart w:id="32" w:name="_Toc236093187"/>
      <w:bookmarkStart w:id="33" w:name="_Toc236146670"/>
      <w:r w:rsidRPr="00EF7FC8">
        <w:rPr>
          <w:rFonts w:ascii="Arial" w:hAnsi="Arial" w:cs="Arial"/>
          <w:b/>
          <w:bCs/>
          <w:color w:val="auto"/>
          <w:sz w:val="22"/>
          <w:szCs w:val="22"/>
        </w:rPr>
        <w:t xml:space="preserve">2.4. </w:t>
      </w:r>
      <w:r w:rsidR="00B53FE8" w:rsidRPr="00EF7FC8">
        <w:rPr>
          <w:rFonts w:ascii="Arial" w:hAnsi="Arial" w:cs="Arial"/>
          <w:b/>
          <w:bCs/>
          <w:color w:val="auto"/>
          <w:sz w:val="22"/>
          <w:szCs w:val="22"/>
        </w:rPr>
        <w:t>Surveillance and Monitoring:</w:t>
      </w:r>
      <w:bookmarkEnd w:id="32"/>
      <w:bookmarkEnd w:id="33"/>
      <w:r w:rsidR="00B53FE8" w:rsidRPr="00EF7FC8">
        <w:rPr>
          <w:rFonts w:ascii="Arial" w:hAnsi="Arial" w:cs="Arial"/>
          <w:b/>
          <w:bCs/>
          <w:color w:val="auto"/>
          <w:sz w:val="22"/>
          <w:szCs w:val="22"/>
        </w:rPr>
        <w:t xml:space="preserve"> </w:t>
      </w:r>
    </w:p>
    <w:p w14:paraId="6F895A33" w14:textId="4B0967EB"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Public health surveillance collects and monitors information or patterns. This helps professionals identify health problems and plan effective strategies for control </w:t>
      </w:r>
      <w:r w:rsidR="00666D84" w:rsidRPr="00EF7FC8">
        <w:rPr>
          <w:rFonts w:ascii="Arial" w:hAnsi="Arial" w:cs="Arial"/>
          <w:sz w:val="22"/>
          <w:szCs w:val="22"/>
        </w:rPr>
        <w:t>and</w:t>
      </w:r>
      <w:r w:rsidRPr="00EF7FC8">
        <w:rPr>
          <w:rFonts w:ascii="Arial" w:hAnsi="Arial" w:cs="Arial"/>
          <w:sz w:val="22"/>
          <w:szCs w:val="22"/>
        </w:rPr>
        <w:t xml:space="preserve"> prevention (Orenstein and Bernier, 1990). The incidence of Type 2 Diabetes in Greater Manchester is monitored through passive, active and population surveillance. Passive surveillance relies on routine data collected </w:t>
      </w:r>
      <w:r w:rsidRPr="00EF7FC8">
        <w:rPr>
          <w:rFonts w:ascii="Arial" w:hAnsi="Arial" w:cs="Arial"/>
          <w:sz w:val="22"/>
          <w:szCs w:val="22"/>
        </w:rPr>
        <w:lastRenderedPageBreak/>
        <w:t xml:space="preserve">by GP records, which is submitted to </w:t>
      </w:r>
      <w:r w:rsidR="00666D84" w:rsidRPr="00EF7FC8">
        <w:rPr>
          <w:rFonts w:ascii="Arial" w:hAnsi="Arial" w:cs="Arial"/>
          <w:sz w:val="22"/>
          <w:szCs w:val="22"/>
        </w:rPr>
        <w:t xml:space="preserve">the </w:t>
      </w:r>
      <w:r w:rsidRPr="00EF7FC8">
        <w:rPr>
          <w:rFonts w:ascii="Arial" w:hAnsi="Arial" w:cs="Arial"/>
          <w:sz w:val="22"/>
          <w:szCs w:val="22"/>
        </w:rPr>
        <w:t>National Diabetes Audit (NDA) and the Quality and Outcomes Framework (QOF)</w:t>
      </w:r>
      <w:r w:rsidR="0083021A" w:rsidRPr="00EF7FC8">
        <w:rPr>
          <w:rFonts w:ascii="Arial" w:hAnsi="Arial" w:cs="Arial"/>
          <w:sz w:val="22"/>
          <w:szCs w:val="22"/>
        </w:rPr>
        <w:t>, Hospital Episode Statistics and mortality data</w:t>
      </w:r>
      <w:r w:rsidRPr="00EF7FC8">
        <w:rPr>
          <w:rFonts w:ascii="Arial" w:hAnsi="Arial" w:cs="Arial"/>
          <w:sz w:val="22"/>
          <w:szCs w:val="22"/>
        </w:rPr>
        <w:t xml:space="preserve"> (NHS England, 2024). These systems monitor new </w:t>
      </w:r>
      <w:r w:rsidR="00666D84" w:rsidRPr="00EF7FC8">
        <w:rPr>
          <w:rFonts w:ascii="Arial" w:hAnsi="Arial" w:cs="Arial"/>
          <w:sz w:val="22"/>
          <w:szCs w:val="22"/>
        </w:rPr>
        <w:t>diagnoses</w:t>
      </w:r>
      <w:r w:rsidRPr="00EF7FC8">
        <w:rPr>
          <w:rFonts w:ascii="Arial" w:hAnsi="Arial" w:cs="Arial"/>
          <w:sz w:val="22"/>
          <w:szCs w:val="22"/>
        </w:rPr>
        <w:t>, treatment outcomes</w:t>
      </w:r>
      <w:r w:rsidR="00666D84" w:rsidRPr="00EF7FC8">
        <w:rPr>
          <w:rFonts w:ascii="Arial" w:hAnsi="Arial" w:cs="Arial"/>
          <w:sz w:val="22"/>
          <w:szCs w:val="22"/>
        </w:rPr>
        <w:t>,</w:t>
      </w:r>
      <w:r w:rsidRPr="00EF7FC8">
        <w:rPr>
          <w:rFonts w:ascii="Arial" w:hAnsi="Arial" w:cs="Arial"/>
          <w:sz w:val="22"/>
          <w:szCs w:val="22"/>
        </w:rPr>
        <w:t xml:space="preserve"> diabetes complications</w:t>
      </w:r>
      <w:r w:rsidR="00666D84" w:rsidRPr="00EF7FC8">
        <w:rPr>
          <w:rFonts w:ascii="Arial" w:hAnsi="Arial" w:cs="Arial"/>
          <w:sz w:val="22"/>
          <w:szCs w:val="22"/>
        </w:rPr>
        <w:t>,</w:t>
      </w:r>
      <w:r w:rsidRPr="00EF7FC8">
        <w:rPr>
          <w:rFonts w:ascii="Arial" w:hAnsi="Arial" w:cs="Arial"/>
          <w:sz w:val="22"/>
          <w:szCs w:val="22"/>
        </w:rPr>
        <w:t xml:space="preserve"> HbA1c levels and support </w:t>
      </w:r>
      <w:r w:rsidR="00666D84" w:rsidRPr="00EF7FC8">
        <w:rPr>
          <w:rFonts w:ascii="Arial" w:hAnsi="Arial" w:cs="Arial"/>
          <w:sz w:val="22"/>
          <w:szCs w:val="22"/>
        </w:rPr>
        <w:t>access to</w:t>
      </w:r>
      <w:r w:rsidRPr="00EF7FC8">
        <w:rPr>
          <w:rFonts w:ascii="Arial" w:hAnsi="Arial" w:cs="Arial"/>
          <w:sz w:val="22"/>
          <w:szCs w:val="22"/>
        </w:rPr>
        <w:t xml:space="preserve"> care across GP practices. Active Surveillance is carried out through the NHS</w:t>
      </w:r>
      <w:r w:rsidR="0083021A" w:rsidRPr="00EF7FC8">
        <w:rPr>
          <w:rFonts w:ascii="Arial" w:hAnsi="Arial" w:cs="Arial"/>
          <w:sz w:val="22"/>
          <w:szCs w:val="22"/>
        </w:rPr>
        <w:t xml:space="preserve"> Health </w:t>
      </w:r>
      <w:r w:rsidR="0086130A" w:rsidRPr="00EF7FC8">
        <w:rPr>
          <w:rFonts w:ascii="Arial" w:hAnsi="Arial" w:cs="Arial"/>
          <w:sz w:val="22"/>
          <w:szCs w:val="22"/>
        </w:rPr>
        <w:t>Check Programme</w:t>
      </w:r>
      <w:r w:rsidR="005234BF">
        <w:rPr>
          <w:rFonts w:ascii="Arial" w:hAnsi="Arial" w:cs="Arial"/>
          <w:sz w:val="22"/>
          <w:szCs w:val="22"/>
        </w:rPr>
        <w:t>,</w:t>
      </w:r>
      <w:r w:rsidR="0083021A" w:rsidRPr="00EF7FC8">
        <w:rPr>
          <w:rFonts w:ascii="Arial" w:hAnsi="Arial" w:cs="Arial"/>
          <w:sz w:val="22"/>
          <w:szCs w:val="22"/>
        </w:rPr>
        <w:t xml:space="preserve"> </w:t>
      </w:r>
      <w:r w:rsidRPr="00EF7FC8">
        <w:rPr>
          <w:rFonts w:ascii="Arial" w:hAnsi="Arial" w:cs="Arial"/>
          <w:sz w:val="22"/>
          <w:szCs w:val="22"/>
        </w:rPr>
        <w:t xml:space="preserve">where adults </w:t>
      </w:r>
      <w:r w:rsidR="005234BF">
        <w:rPr>
          <w:rFonts w:ascii="Arial" w:hAnsi="Arial" w:cs="Arial"/>
          <w:sz w:val="22"/>
          <w:szCs w:val="22"/>
        </w:rPr>
        <w:t>aged</w:t>
      </w:r>
      <w:r w:rsidRPr="00EF7FC8">
        <w:rPr>
          <w:rFonts w:ascii="Arial" w:hAnsi="Arial" w:cs="Arial"/>
          <w:sz w:val="22"/>
          <w:szCs w:val="22"/>
        </w:rPr>
        <w:t xml:space="preserve"> 40-74 are screened to identify those at risk of developing Diabetes (NHS Digital, 2024). Population Surveillance is supported by OHID fingertips, which analyses diabetes trends by age, ethnicity, deprivation and geographical area (PHE, 2019). Together</w:t>
      </w:r>
      <w:r w:rsidR="00666D84" w:rsidRPr="00EF7FC8">
        <w:rPr>
          <w:rFonts w:ascii="Arial" w:hAnsi="Arial" w:cs="Arial"/>
          <w:sz w:val="22"/>
          <w:szCs w:val="22"/>
        </w:rPr>
        <w:t>,</w:t>
      </w:r>
      <w:r w:rsidRPr="00EF7FC8">
        <w:rPr>
          <w:rFonts w:ascii="Arial" w:hAnsi="Arial" w:cs="Arial"/>
          <w:sz w:val="22"/>
          <w:szCs w:val="22"/>
        </w:rPr>
        <w:t xml:space="preserve"> these systems provide reliable epidemiological data to monitor disease trends. However, </w:t>
      </w:r>
      <w:r w:rsidR="005234BF">
        <w:rPr>
          <w:rFonts w:ascii="Arial" w:hAnsi="Arial" w:cs="Arial"/>
          <w:sz w:val="22"/>
          <w:szCs w:val="22"/>
        </w:rPr>
        <w:t xml:space="preserve">the </w:t>
      </w:r>
      <w:r w:rsidRPr="00EF7FC8">
        <w:rPr>
          <w:rFonts w:ascii="Arial" w:hAnsi="Arial" w:cs="Arial"/>
          <w:sz w:val="22"/>
          <w:szCs w:val="22"/>
        </w:rPr>
        <w:t>accuracy of surveillance depends on complete and consistent data recording.</w:t>
      </w:r>
    </w:p>
    <w:p w14:paraId="035641E7" w14:textId="335C251E" w:rsidR="00B53FE8" w:rsidRPr="00EF7FC8" w:rsidRDefault="00B77A87" w:rsidP="00EF7FC8">
      <w:pPr>
        <w:pStyle w:val="Heading1"/>
        <w:spacing w:line="360" w:lineRule="auto"/>
        <w:rPr>
          <w:rFonts w:ascii="Arial" w:hAnsi="Arial" w:cs="Arial"/>
          <w:b/>
          <w:bCs/>
          <w:color w:val="auto"/>
          <w:sz w:val="22"/>
          <w:szCs w:val="22"/>
        </w:rPr>
      </w:pPr>
      <w:bookmarkStart w:id="34" w:name="_Toc236093188"/>
      <w:bookmarkStart w:id="35" w:name="_Toc236146671"/>
      <w:r w:rsidRPr="00EF7FC8">
        <w:rPr>
          <w:rFonts w:ascii="Arial" w:hAnsi="Arial" w:cs="Arial"/>
          <w:b/>
          <w:bCs/>
          <w:color w:val="auto"/>
          <w:sz w:val="22"/>
          <w:szCs w:val="22"/>
        </w:rPr>
        <w:t xml:space="preserve">2.5. </w:t>
      </w:r>
      <w:r w:rsidR="00B53FE8" w:rsidRPr="00EF7FC8">
        <w:rPr>
          <w:rFonts w:ascii="Arial" w:hAnsi="Arial" w:cs="Arial"/>
          <w:b/>
          <w:bCs/>
          <w:color w:val="auto"/>
          <w:sz w:val="22"/>
          <w:szCs w:val="22"/>
        </w:rPr>
        <w:t>Health Impact:</w:t>
      </w:r>
      <w:bookmarkEnd w:id="34"/>
      <w:bookmarkEnd w:id="35"/>
    </w:p>
    <w:p w14:paraId="1F2AF9A3" w14:textId="5DD18BD4"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Epidemiological studies show that Type 2 Diabetes has significant short- and long-term effects on people living in Greater Manchester, particularly those from deprived and ethnic minority communities (Zghebi, 2016). In the short term, uncontrolled blood glucose can cause fatigue, frequent infections and hyperglycaemia, leading to increased GP visits and hospital admissions. Over time, persistent high blood sugar </w:t>
      </w:r>
      <w:r w:rsidR="00666D84" w:rsidRPr="00EF7FC8">
        <w:rPr>
          <w:rFonts w:ascii="Arial" w:hAnsi="Arial" w:cs="Arial"/>
          <w:sz w:val="22"/>
          <w:szCs w:val="22"/>
        </w:rPr>
        <w:t>causes</w:t>
      </w:r>
      <w:r w:rsidRPr="00EF7FC8">
        <w:rPr>
          <w:rFonts w:ascii="Arial" w:hAnsi="Arial" w:cs="Arial"/>
          <w:sz w:val="22"/>
          <w:szCs w:val="22"/>
        </w:rPr>
        <w:t xml:space="preserve"> damage to nerves, kidneys and lower limb amputation and blindness (Xie </w:t>
      </w:r>
      <w:r w:rsidRPr="00EF7FC8">
        <w:rPr>
          <w:rFonts w:ascii="Arial" w:hAnsi="Arial" w:cs="Arial"/>
          <w:i/>
          <w:iCs/>
          <w:sz w:val="22"/>
          <w:szCs w:val="22"/>
        </w:rPr>
        <w:t>et al.</w:t>
      </w:r>
      <w:r w:rsidRPr="00EF7FC8">
        <w:rPr>
          <w:rFonts w:ascii="Arial" w:hAnsi="Arial" w:cs="Arial"/>
          <w:sz w:val="22"/>
          <w:szCs w:val="22"/>
        </w:rPr>
        <w:t xml:space="preserve">, 2026). Studies show that people living in deprived areas are more likely to develop complications as they experience delayed diagnosis and poor access to preventive care. The growing prevalence in areas like Greater Manchester also </w:t>
      </w:r>
      <w:r w:rsidR="00666D84" w:rsidRPr="00EF7FC8">
        <w:rPr>
          <w:rFonts w:ascii="Arial" w:hAnsi="Arial" w:cs="Arial"/>
          <w:sz w:val="22"/>
          <w:szCs w:val="22"/>
        </w:rPr>
        <w:t>places</w:t>
      </w:r>
      <w:r w:rsidRPr="00EF7FC8">
        <w:rPr>
          <w:rFonts w:ascii="Arial" w:hAnsi="Arial" w:cs="Arial"/>
          <w:sz w:val="22"/>
          <w:szCs w:val="22"/>
        </w:rPr>
        <w:t xml:space="preserve"> huge pressure on </w:t>
      </w:r>
      <w:r w:rsidR="00666D84" w:rsidRPr="00EF7FC8">
        <w:rPr>
          <w:rFonts w:ascii="Arial" w:hAnsi="Arial" w:cs="Arial"/>
          <w:sz w:val="22"/>
          <w:szCs w:val="22"/>
        </w:rPr>
        <w:t xml:space="preserve">the </w:t>
      </w:r>
      <w:r w:rsidRPr="00EF7FC8">
        <w:rPr>
          <w:rFonts w:ascii="Arial" w:hAnsi="Arial" w:cs="Arial"/>
          <w:sz w:val="22"/>
          <w:szCs w:val="22"/>
        </w:rPr>
        <w:t xml:space="preserve">NHS for long term management of diabetes (Currie, 2024). These findings demonstrate that preventing Type 2 diabetes and improving early diagnosis can reduce </w:t>
      </w:r>
      <w:r w:rsidR="00666D84" w:rsidRPr="00EF7FC8">
        <w:rPr>
          <w:rFonts w:ascii="Arial" w:hAnsi="Arial" w:cs="Arial"/>
          <w:sz w:val="22"/>
          <w:szCs w:val="22"/>
        </w:rPr>
        <w:t>health</w:t>
      </w:r>
      <w:r w:rsidRPr="00EF7FC8">
        <w:rPr>
          <w:rFonts w:ascii="Arial" w:hAnsi="Arial" w:cs="Arial"/>
          <w:sz w:val="22"/>
          <w:szCs w:val="22"/>
        </w:rPr>
        <w:t xml:space="preserve"> inequalities and improve outcomes across </w:t>
      </w:r>
      <w:r w:rsidR="00666D84" w:rsidRPr="00EF7FC8">
        <w:rPr>
          <w:rFonts w:ascii="Arial" w:hAnsi="Arial" w:cs="Arial"/>
          <w:sz w:val="22"/>
          <w:szCs w:val="22"/>
        </w:rPr>
        <w:t>Greater</w:t>
      </w:r>
      <w:r w:rsidRPr="00EF7FC8">
        <w:rPr>
          <w:rFonts w:ascii="Arial" w:hAnsi="Arial" w:cs="Arial"/>
          <w:sz w:val="22"/>
          <w:szCs w:val="22"/>
        </w:rPr>
        <w:t xml:space="preserve"> Manchester.</w:t>
      </w:r>
    </w:p>
    <w:p w14:paraId="4EB796F7" w14:textId="659CE11A" w:rsidR="00B53FE8" w:rsidRPr="00EF7FC8" w:rsidRDefault="00B77A87" w:rsidP="00EF7FC8">
      <w:pPr>
        <w:pStyle w:val="Heading1"/>
        <w:spacing w:line="360" w:lineRule="auto"/>
        <w:rPr>
          <w:rFonts w:ascii="Arial" w:hAnsi="Arial" w:cs="Arial"/>
          <w:b/>
          <w:bCs/>
          <w:color w:val="auto"/>
          <w:sz w:val="22"/>
          <w:szCs w:val="22"/>
        </w:rPr>
      </w:pPr>
      <w:bookmarkStart w:id="36" w:name="_Toc236093189"/>
      <w:bookmarkStart w:id="37" w:name="_Toc236146672"/>
      <w:r w:rsidRPr="00EF7FC8">
        <w:rPr>
          <w:rFonts w:ascii="Arial" w:hAnsi="Arial" w:cs="Arial"/>
          <w:b/>
          <w:bCs/>
          <w:color w:val="auto"/>
          <w:sz w:val="22"/>
          <w:szCs w:val="22"/>
        </w:rPr>
        <w:t xml:space="preserve">2.6. </w:t>
      </w:r>
      <w:r w:rsidR="00B53FE8" w:rsidRPr="00EF7FC8">
        <w:rPr>
          <w:rFonts w:ascii="Arial" w:hAnsi="Arial" w:cs="Arial"/>
          <w:b/>
          <w:bCs/>
          <w:color w:val="auto"/>
          <w:sz w:val="22"/>
          <w:szCs w:val="22"/>
        </w:rPr>
        <w:t>Intervention and Evaluation:</w:t>
      </w:r>
      <w:bookmarkEnd w:id="36"/>
      <w:bookmarkEnd w:id="37"/>
    </w:p>
    <w:p w14:paraId="742756C5" w14:textId="62516B96" w:rsidR="00B53FE8"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A culturally tailored community-based diabetes prevention programme should be introduced in Greater Manchester for South Asian communities and adults living </w:t>
      </w:r>
      <w:r w:rsidR="00666D84" w:rsidRPr="00EF7FC8">
        <w:rPr>
          <w:rFonts w:ascii="Arial" w:hAnsi="Arial" w:cs="Arial"/>
          <w:sz w:val="22"/>
          <w:szCs w:val="22"/>
        </w:rPr>
        <w:t>in</w:t>
      </w:r>
      <w:r w:rsidRPr="00EF7FC8">
        <w:rPr>
          <w:rFonts w:ascii="Arial" w:hAnsi="Arial" w:cs="Arial"/>
          <w:sz w:val="22"/>
          <w:szCs w:val="22"/>
        </w:rPr>
        <w:t xml:space="preserve"> deprived areas. The theory could use the Theory of Planned Behaviour to encourage healthier eating and regular physical activity supported by community health workers and subsidised food initiatives (Kan and Fabrigar, 2017).   Rootman </w:t>
      </w:r>
      <w:r w:rsidRPr="00EF7FC8">
        <w:rPr>
          <w:rFonts w:ascii="Arial" w:hAnsi="Arial" w:cs="Arial"/>
          <w:i/>
          <w:iCs/>
          <w:sz w:val="22"/>
          <w:szCs w:val="22"/>
        </w:rPr>
        <w:t>et al.</w:t>
      </w:r>
      <w:r w:rsidRPr="00EF7FC8">
        <w:rPr>
          <w:rFonts w:ascii="Arial" w:hAnsi="Arial" w:cs="Arial"/>
          <w:sz w:val="22"/>
          <w:szCs w:val="22"/>
        </w:rPr>
        <w:t xml:space="preserve"> (2001) proposed </w:t>
      </w:r>
      <w:r w:rsidR="00666D84" w:rsidRPr="00EF7FC8">
        <w:rPr>
          <w:rFonts w:ascii="Arial" w:hAnsi="Arial" w:cs="Arial"/>
          <w:sz w:val="22"/>
          <w:szCs w:val="22"/>
        </w:rPr>
        <w:t xml:space="preserve">a </w:t>
      </w:r>
      <w:r w:rsidRPr="00EF7FC8">
        <w:rPr>
          <w:rFonts w:ascii="Arial" w:hAnsi="Arial" w:cs="Arial"/>
          <w:sz w:val="22"/>
          <w:szCs w:val="22"/>
        </w:rPr>
        <w:t>framework of evaluation to establish SMART objectives that would include reducing average HbA1c levels within 12 months. Process Evaluation would assess programme delivery</w:t>
      </w:r>
      <w:r w:rsidR="00666D84" w:rsidRPr="00EF7FC8">
        <w:rPr>
          <w:rFonts w:ascii="Arial" w:hAnsi="Arial" w:cs="Arial"/>
          <w:sz w:val="22"/>
          <w:szCs w:val="22"/>
        </w:rPr>
        <w:t>,</w:t>
      </w:r>
      <w:r w:rsidRPr="00EF7FC8">
        <w:rPr>
          <w:rFonts w:ascii="Arial" w:hAnsi="Arial" w:cs="Arial"/>
          <w:sz w:val="22"/>
          <w:szCs w:val="22"/>
        </w:rPr>
        <w:t xml:space="preserve"> attendance</w:t>
      </w:r>
      <w:r w:rsidR="00666D84" w:rsidRPr="00EF7FC8">
        <w:rPr>
          <w:rFonts w:ascii="Arial" w:hAnsi="Arial" w:cs="Arial"/>
          <w:sz w:val="22"/>
          <w:szCs w:val="22"/>
        </w:rPr>
        <w:t>,</w:t>
      </w:r>
      <w:r w:rsidRPr="00EF7FC8">
        <w:rPr>
          <w:rFonts w:ascii="Arial" w:hAnsi="Arial" w:cs="Arial"/>
          <w:sz w:val="22"/>
          <w:szCs w:val="22"/>
        </w:rPr>
        <w:t xml:space="preserve"> and engagement. Impact evaluation would measure changes in diet, physical activity and bodyweight. Outcome Evaluation would determine reductions in HbA1c levels and new cases of Type 2 diabetes. </w:t>
      </w:r>
      <w:r w:rsidRPr="00EF7FC8">
        <w:rPr>
          <w:rFonts w:ascii="Arial" w:hAnsi="Arial" w:cs="Arial"/>
          <w:sz w:val="22"/>
          <w:szCs w:val="22"/>
        </w:rPr>
        <w:lastRenderedPageBreak/>
        <w:t xml:space="preserve">Economic evaluation would assess </w:t>
      </w:r>
      <w:r w:rsidR="00666D84" w:rsidRPr="00EF7FC8">
        <w:rPr>
          <w:rFonts w:ascii="Arial" w:hAnsi="Arial" w:cs="Arial"/>
          <w:sz w:val="22"/>
          <w:szCs w:val="22"/>
        </w:rPr>
        <w:t>cost-effectiveness</w:t>
      </w:r>
      <w:r w:rsidRPr="00EF7FC8">
        <w:rPr>
          <w:rFonts w:ascii="Arial" w:hAnsi="Arial" w:cs="Arial"/>
          <w:sz w:val="22"/>
          <w:szCs w:val="22"/>
        </w:rPr>
        <w:t xml:space="preserve"> using Quality Adjusted Life Years and potential NHS cost reduction (O’Connor-Fleming </w:t>
      </w:r>
      <w:r w:rsidRPr="00EF7FC8">
        <w:rPr>
          <w:rFonts w:ascii="Arial" w:hAnsi="Arial" w:cs="Arial"/>
          <w:i/>
          <w:iCs/>
          <w:sz w:val="22"/>
          <w:szCs w:val="22"/>
        </w:rPr>
        <w:t>et al.</w:t>
      </w:r>
      <w:r w:rsidRPr="00EF7FC8">
        <w:rPr>
          <w:rFonts w:ascii="Arial" w:hAnsi="Arial" w:cs="Arial"/>
          <w:sz w:val="22"/>
          <w:szCs w:val="22"/>
        </w:rPr>
        <w:t>, 2006; HM Government, 2014).</w:t>
      </w:r>
    </w:p>
    <w:p w14:paraId="2438C9FD" w14:textId="008F0563" w:rsidR="00B53FE8" w:rsidRPr="00EF7FC8" w:rsidRDefault="00B77A87" w:rsidP="00EF7FC8">
      <w:pPr>
        <w:pStyle w:val="Heading1"/>
        <w:spacing w:line="360" w:lineRule="auto"/>
        <w:rPr>
          <w:rFonts w:ascii="Arial" w:hAnsi="Arial" w:cs="Arial"/>
          <w:b/>
          <w:bCs/>
          <w:color w:val="auto"/>
          <w:sz w:val="22"/>
          <w:szCs w:val="22"/>
        </w:rPr>
      </w:pPr>
      <w:bookmarkStart w:id="38" w:name="_Toc236093190"/>
      <w:bookmarkStart w:id="39" w:name="_Toc236146673"/>
      <w:r w:rsidRPr="00EF7FC8">
        <w:rPr>
          <w:rFonts w:ascii="Arial" w:hAnsi="Arial" w:cs="Arial"/>
          <w:b/>
          <w:bCs/>
          <w:color w:val="auto"/>
          <w:sz w:val="22"/>
          <w:szCs w:val="22"/>
        </w:rPr>
        <w:t xml:space="preserve">2.7. </w:t>
      </w:r>
      <w:r w:rsidR="00B53FE8" w:rsidRPr="00EF7FC8">
        <w:rPr>
          <w:rFonts w:ascii="Arial" w:hAnsi="Arial" w:cs="Arial"/>
          <w:b/>
          <w:bCs/>
          <w:color w:val="auto"/>
          <w:sz w:val="22"/>
          <w:szCs w:val="22"/>
        </w:rPr>
        <w:t>Strengths and Weaknesses:</w:t>
      </w:r>
      <w:bookmarkEnd w:id="38"/>
      <w:bookmarkEnd w:id="39"/>
    </w:p>
    <w:p w14:paraId="76153A64" w14:textId="6B82B02F" w:rsidR="00AE2224" w:rsidRPr="00EF7FC8" w:rsidRDefault="00B53FE8" w:rsidP="00EF7FC8">
      <w:pPr>
        <w:spacing w:line="360" w:lineRule="auto"/>
        <w:rPr>
          <w:rFonts w:ascii="Arial" w:hAnsi="Arial" w:cs="Arial"/>
          <w:sz w:val="22"/>
          <w:szCs w:val="22"/>
        </w:rPr>
      </w:pPr>
      <w:r w:rsidRPr="00EF7FC8">
        <w:rPr>
          <w:rFonts w:ascii="Arial" w:hAnsi="Arial" w:cs="Arial"/>
          <w:sz w:val="22"/>
          <w:szCs w:val="22"/>
        </w:rPr>
        <w:t xml:space="preserve">The epidemiological approach provides reliable evidence to identify </w:t>
      </w:r>
      <w:r w:rsidR="00666D84" w:rsidRPr="00EF7FC8">
        <w:rPr>
          <w:rFonts w:ascii="Arial" w:hAnsi="Arial" w:cs="Arial"/>
          <w:sz w:val="22"/>
          <w:szCs w:val="22"/>
        </w:rPr>
        <w:t>high-risk</w:t>
      </w:r>
      <w:r w:rsidRPr="00EF7FC8">
        <w:rPr>
          <w:rFonts w:ascii="Arial" w:hAnsi="Arial" w:cs="Arial"/>
          <w:sz w:val="22"/>
          <w:szCs w:val="22"/>
        </w:rPr>
        <w:t xml:space="preserve"> groups, monitor disease </w:t>
      </w:r>
      <w:r w:rsidR="00666D84" w:rsidRPr="00EF7FC8">
        <w:rPr>
          <w:rFonts w:ascii="Arial" w:hAnsi="Arial" w:cs="Arial"/>
          <w:sz w:val="22"/>
          <w:szCs w:val="22"/>
        </w:rPr>
        <w:t>trends</w:t>
      </w:r>
      <w:r w:rsidRPr="00EF7FC8">
        <w:rPr>
          <w:rFonts w:ascii="Arial" w:hAnsi="Arial" w:cs="Arial"/>
          <w:sz w:val="22"/>
          <w:szCs w:val="22"/>
        </w:rPr>
        <w:t xml:space="preserve"> and support evidence-based public health planning.</w:t>
      </w:r>
      <w:r w:rsidR="0086130A" w:rsidRPr="00EF7FC8">
        <w:rPr>
          <w:rFonts w:ascii="Arial" w:hAnsi="Arial" w:cs="Arial"/>
          <w:sz w:val="22"/>
          <w:szCs w:val="22"/>
        </w:rPr>
        <w:t xml:space="preserve"> A key strength is </w:t>
      </w:r>
      <w:r w:rsidR="00666D84" w:rsidRPr="00EF7FC8">
        <w:rPr>
          <w:rFonts w:ascii="Arial" w:hAnsi="Arial" w:cs="Arial"/>
          <w:sz w:val="22"/>
          <w:szCs w:val="22"/>
        </w:rPr>
        <w:t xml:space="preserve">the </w:t>
      </w:r>
      <w:r w:rsidR="0086130A" w:rsidRPr="00EF7FC8">
        <w:rPr>
          <w:rFonts w:ascii="Arial" w:hAnsi="Arial" w:cs="Arial"/>
          <w:sz w:val="22"/>
          <w:szCs w:val="22"/>
        </w:rPr>
        <w:t xml:space="preserve">use of large routine datasets, such as GP records and </w:t>
      </w:r>
      <w:r w:rsidR="00666D84" w:rsidRPr="00EF7FC8">
        <w:rPr>
          <w:rFonts w:ascii="Arial" w:hAnsi="Arial" w:cs="Arial"/>
          <w:sz w:val="22"/>
          <w:szCs w:val="22"/>
        </w:rPr>
        <w:t>the National</w:t>
      </w:r>
      <w:r w:rsidR="0086130A" w:rsidRPr="00EF7FC8">
        <w:rPr>
          <w:rFonts w:ascii="Arial" w:hAnsi="Arial" w:cs="Arial"/>
          <w:sz w:val="22"/>
          <w:szCs w:val="22"/>
        </w:rPr>
        <w:t xml:space="preserve"> Diabetes Audit</w:t>
      </w:r>
      <w:r w:rsidR="00666D84" w:rsidRPr="00EF7FC8">
        <w:rPr>
          <w:rFonts w:ascii="Arial" w:hAnsi="Arial" w:cs="Arial"/>
          <w:sz w:val="22"/>
          <w:szCs w:val="22"/>
        </w:rPr>
        <w:t>,</w:t>
      </w:r>
      <w:r w:rsidR="0086130A" w:rsidRPr="00EF7FC8">
        <w:rPr>
          <w:rFonts w:ascii="Arial" w:hAnsi="Arial" w:cs="Arial"/>
          <w:sz w:val="22"/>
          <w:szCs w:val="22"/>
        </w:rPr>
        <w:t xml:space="preserve"> which enable longitudinal monitoring and identification of geographical inequalities across Greater Manchester.</w:t>
      </w:r>
      <w:r w:rsidRPr="00EF7FC8">
        <w:rPr>
          <w:rFonts w:ascii="Arial" w:hAnsi="Arial" w:cs="Arial"/>
          <w:sz w:val="22"/>
          <w:szCs w:val="22"/>
        </w:rPr>
        <w:t xml:space="preserve"> Epidemiology provides evidence to identify disease patterns, monitor trends and evaluate whether interventions are improving population health or not (British Medical Journal, 2019). On the contrary</w:t>
      </w:r>
      <w:r w:rsidR="00666D84" w:rsidRPr="00EF7FC8">
        <w:rPr>
          <w:rFonts w:ascii="Arial" w:hAnsi="Arial" w:cs="Arial"/>
          <w:sz w:val="22"/>
          <w:szCs w:val="22"/>
        </w:rPr>
        <w:t>,</w:t>
      </w:r>
      <w:r w:rsidRPr="00EF7FC8">
        <w:rPr>
          <w:rFonts w:ascii="Arial" w:hAnsi="Arial" w:cs="Arial"/>
          <w:sz w:val="22"/>
          <w:szCs w:val="22"/>
        </w:rPr>
        <w:t xml:space="preserve"> health system performance can be difficult to compare as differences in age, socioeconomic conditions and data collection methods </w:t>
      </w:r>
      <w:r w:rsidR="00666D84" w:rsidRPr="00EF7FC8">
        <w:rPr>
          <w:rFonts w:ascii="Arial" w:hAnsi="Arial" w:cs="Arial"/>
          <w:sz w:val="22"/>
          <w:szCs w:val="22"/>
        </w:rPr>
        <w:t>may affect</w:t>
      </w:r>
      <w:r w:rsidRPr="00EF7FC8">
        <w:rPr>
          <w:rFonts w:ascii="Arial" w:hAnsi="Arial" w:cs="Arial"/>
          <w:sz w:val="22"/>
          <w:szCs w:val="22"/>
        </w:rPr>
        <w:t xml:space="preserve"> results (Murray and Frenk, 2000). Health system performance assessment should measure improvements in health outcomes and reductions in health inequalities rather than only healthcare activity or resources. Greater Manchester should adopt a whole system approach that addresses both clinical and wider social determinants of health.</w:t>
      </w:r>
    </w:p>
    <w:p w14:paraId="7A6B5DBD" w14:textId="77777777" w:rsidR="00D00FA2" w:rsidRPr="00EF7FC8" w:rsidRDefault="00D00FA2" w:rsidP="00EF7FC8">
      <w:pPr>
        <w:spacing w:line="360" w:lineRule="auto"/>
        <w:rPr>
          <w:rFonts w:ascii="Arial" w:hAnsi="Arial" w:cs="Arial"/>
          <w:sz w:val="22"/>
          <w:szCs w:val="22"/>
        </w:rPr>
      </w:pPr>
    </w:p>
    <w:p w14:paraId="5C7CEF5A" w14:textId="77777777" w:rsidR="0086130A" w:rsidRPr="00EF7FC8" w:rsidRDefault="0086130A" w:rsidP="00EF7FC8">
      <w:pPr>
        <w:spacing w:line="360" w:lineRule="auto"/>
        <w:rPr>
          <w:rFonts w:ascii="Arial" w:hAnsi="Arial" w:cs="Arial"/>
          <w:sz w:val="22"/>
          <w:szCs w:val="22"/>
        </w:rPr>
      </w:pPr>
    </w:p>
    <w:p w14:paraId="0AC17EC3" w14:textId="77777777" w:rsidR="0086130A" w:rsidRPr="00EF7FC8" w:rsidRDefault="0086130A" w:rsidP="00EF7FC8">
      <w:pPr>
        <w:spacing w:line="360" w:lineRule="auto"/>
        <w:rPr>
          <w:rFonts w:ascii="Arial" w:hAnsi="Arial" w:cs="Arial"/>
          <w:sz w:val="22"/>
          <w:szCs w:val="22"/>
        </w:rPr>
      </w:pPr>
    </w:p>
    <w:p w14:paraId="7E67D4F3" w14:textId="77777777" w:rsidR="0086130A" w:rsidRPr="00EF7FC8" w:rsidRDefault="0086130A" w:rsidP="00EF7FC8">
      <w:pPr>
        <w:spacing w:line="360" w:lineRule="auto"/>
        <w:rPr>
          <w:rFonts w:ascii="Arial" w:hAnsi="Arial" w:cs="Arial"/>
          <w:sz w:val="22"/>
          <w:szCs w:val="22"/>
        </w:rPr>
      </w:pPr>
    </w:p>
    <w:p w14:paraId="65AA0CEA" w14:textId="77777777" w:rsidR="0086130A" w:rsidRPr="00EF7FC8" w:rsidRDefault="0086130A" w:rsidP="00EF7FC8">
      <w:pPr>
        <w:spacing w:line="360" w:lineRule="auto"/>
        <w:rPr>
          <w:rFonts w:ascii="Arial" w:hAnsi="Arial" w:cs="Arial"/>
          <w:sz w:val="22"/>
          <w:szCs w:val="22"/>
        </w:rPr>
      </w:pPr>
    </w:p>
    <w:p w14:paraId="6A8B3AAC" w14:textId="77777777" w:rsidR="0086130A" w:rsidRPr="00EF7FC8" w:rsidRDefault="0086130A" w:rsidP="00EF7FC8">
      <w:pPr>
        <w:spacing w:line="360" w:lineRule="auto"/>
        <w:rPr>
          <w:rFonts w:ascii="Arial" w:hAnsi="Arial" w:cs="Arial"/>
          <w:sz w:val="22"/>
          <w:szCs w:val="22"/>
        </w:rPr>
      </w:pPr>
    </w:p>
    <w:p w14:paraId="6FC0F53F" w14:textId="77777777" w:rsidR="0086130A" w:rsidRPr="00EF7FC8" w:rsidRDefault="0086130A" w:rsidP="00EF7FC8">
      <w:pPr>
        <w:spacing w:line="360" w:lineRule="auto"/>
        <w:rPr>
          <w:rFonts w:ascii="Arial" w:hAnsi="Arial" w:cs="Arial"/>
          <w:sz w:val="22"/>
          <w:szCs w:val="22"/>
        </w:rPr>
      </w:pPr>
    </w:p>
    <w:p w14:paraId="4364C4DD" w14:textId="77777777" w:rsidR="0086130A" w:rsidRPr="00EF7FC8" w:rsidRDefault="0086130A" w:rsidP="00EF7FC8">
      <w:pPr>
        <w:spacing w:line="360" w:lineRule="auto"/>
        <w:rPr>
          <w:rFonts w:ascii="Arial" w:hAnsi="Arial" w:cs="Arial"/>
          <w:sz w:val="22"/>
          <w:szCs w:val="22"/>
        </w:rPr>
      </w:pPr>
    </w:p>
    <w:p w14:paraId="58D6B440" w14:textId="77777777" w:rsidR="0086130A" w:rsidRPr="00EF7FC8" w:rsidRDefault="0086130A" w:rsidP="00EF7FC8">
      <w:pPr>
        <w:spacing w:line="360" w:lineRule="auto"/>
        <w:rPr>
          <w:rFonts w:ascii="Arial" w:hAnsi="Arial" w:cs="Arial"/>
          <w:sz w:val="22"/>
          <w:szCs w:val="22"/>
        </w:rPr>
      </w:pPr>
    </w:p>
    <w:p w14:paraId="03767A5A" w14:textId="77777777" w:rsidR="00D00FA2" w:rsidRPr="00EF7FC8" w:rsidRDefault="00D00FA2" w:rsidP="00EF7FC8">
      <w:pPr>
        <w:spacing w:line="360" w:lineRule="auto"/>
        <w:rPr>
          <w:rFonts w:ascii="Arial" w:hAnsi="Arial" w:cs="Arial"/>
          <w:sz w:val="22"/>
          <w:szCs w:val="22"/>
        </w:rPr>
      </w:pPr>
    </w:p>
    <w:p w14:paraId="4C6D92DA" w14:textId="1B4277E6" w:rsidR="00B77A87" w:rsidRPr="00EF7FC8" w:rsidRDefault="00B77A87" w:rsidP="00EF7FC8">
      <w:pPr>
        <w:pStyle w:val="Heading1"/>
        <w:spacing w:line="360" w:lineRule="auto"/>
        <w:rPr>
          <w:rFonts w:ascii="Arial" w:hAnsi="Arial" w:cs="Arial"/>
          <w:b/>
          <w:bCs/>
          <w:color w:val="auto"/>
          <w:sz w:val="28"/>
          <w:szCs w:val="28"/>
        </w:rPr>
      </w:pPr>
      <w:bookmarkStart w:id="40" w:name="_Toc236146674"/>
      <w:r w:rsidRPr="00EF7FC8">
        <w:rPr>
          <w:rFonts w:ascii="Arial" w:hAnsi="Arial" w:cs="Arial"/>
          <w:b/>
          <w:bCs/>
          <w:color w:val="auto"/>
          <w:sz w:val="28"/>
          <w:szCs w:val="28"/>
        </w:rPr>
        <w:lastRenderedPageBreak/>
        <w:t>3. References: Task 1</w:t>
      </w:r>
      <w:bookmarkEnd w:id="40"/>
    </w:p>
    <w:p w14:paraId="2CD787EB" w14:textId="56907A9E"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Bennett, F. and Daly, M. (2014) “Poverty through a gender lens: Evidence and policy review on gender and poverty</w:t>
      </w:r>
      <w:r w:rsidR="00666D84" w:rsidRPr="00EF7FC8">
        <w:rPr>
          <w:rFonts w:ascii="Arial" w:eastAsia="Times New Roman" w:hAnsi="Arial" w:cs="Arial"/>
          <w:sz w:val="22"/>
          <w:szCs w:val="22"/>
          <w:lang w:eastAsia="en-GB"/>
          <w14:ligatures w14:val="none"/>
        </w:rPr>
        <w:t>, Department</w:t>
      </w:r>
      <w:r w:rsidRPr="00EF7FC8">
        <w:rPr>
          <w:rFonts w:ascii="Arial" w:eastAsia="Times New Roman" w:hAnsi="Arial" w:cs="Arial"/>
          <w:sz w:val="22"/>
          <w:szCs w:val="22"/>
          <w:lang w:eastAsia="en-GB"/>
          <w14:ligatures w14:val="none"/>
        </w:rPr>
        <w:t xml:space="preserve"> of Social </w:t>
      </w:r>
      <w:r w:rsidR="00666D84" w:rsidRPr="00EF7FC8">
        <w:rPr>
          <w:rFonts w:ascii="Arial" w:eastAsia="Times New Roman" w:hAnsi="Arial" w:cs="Arial"/>
          <w:sz w:val="22"/>
          <w:szCs w:val="22"/>
          <w:lang w:eastAsia="en-GB"/>
          <w14:ligatures w14:val="none"/>
        </w:rPr>
        <w:t>Policy</w:t>
      </w:r>
      <w:r w:rsidRPr="00EF7FC8">
        <w:rPr>
          <w:rFonts w:ascii="Arial" w:eastAsia="Times New Roman" w:hAnsi="Arial" w:cs="Arial"/>
          <w:sz w:val="22"/>
          <w:szCs w:val="22"/>
          <w:lang w:eastAsia="en-GB"/>
          <w14:ligatures w14:val="none"/>
        </w:rPr>
        <w:t xml:space="preserve"> and </w:t>
      </w:r>
      <w:r w:rsidR="00666D84" w:rsidRPr="00EF7FC8">
        <w:rPr>
          <w:rFonts w:ascii="Arial" w:eastAsia="Times New Roman" w:hAnsi="Arial" w:cs="Arial"/>
          <w:sz w:val="22"/>
          <w:szCs w:val="22"/>
          <w:lang w:eastAsia="en-GB"/>
          <w14:ligatures w14:val="none"/>
        </w:rPr>
        <w:t>Intervention</w:t>
      </w:r>
      <w:r w:rsidRPr="00EF7FC8">
        <w:rPr>
          <w:rFonts w:ascii="Arial" w:eastAsia="Times New Roman" w:hAnsi="Arial" w:cs="Arial"/>
          <w:sz w:val="22"/>
          <w:szCs w:val="22"/>
          <w:lang w:eastAsia="en-GB"/>
          <w14:ligatures w14:val="none"/>
        </w:rPr>
        <w:t>.” Available at: https://www.spi.ox.ac.uk/sites/default/files/Gender_and_poverty_Bennett_and_Daly_final_12_5_14_28_5_14.pdf (Accessed: July 27, 2026).</w:t>
      </w:r>
    </w:p>
    <w:p w14:paraId="63860A27"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Betai, D.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(2024) “Gender disparities in </w:t>
      </w:r>
      <w:proofErr w:type="gramStart"/>
      <w:r w:rsidRPr="00EF7FC8">
        <w:rPr>
          <w:rFonts w:ascii="Arial" w:eastAsia="Times New Roman" w:hAnsi="Arial" w:cs="Arial"/>
          <w:sz w:val="22"/>
          <w:szCs w:val="22"/>
          <w:lang w:eastAsia="en-GB"/>
          <w14:ligatures w14:val="none"/>
        </w:rPr>
        <w:t>Cardiovascular disease</w:t>
      </w:r>
      <w:proofErr w:type="gramEnd"/>
      <w:r w:rsidRPr="00EF7FC8">
        <w:rPr>
          <w:rFonts w:ascii="Arial" w:eastAsia="Times New Roman" w:hAnsi="Arial" w:cs="Arial"/>
          <w:sz w:val="22"/>
          <w:szCs w:val="22"/>
          <w:lang w:eastAsia="en-GB"/>
          <w14:ligatures w14:val="none"/>
        </w:rPr>
        <w:t xml:space="preserve"> and their management: A review,” </w:t>
      </w:r>
      <w:r w:rsidRPr="00EF7FC8">
        <w:rPr>
          <w:rFonts w:ascii="Arial" w:eastAsia="Times New Roman" w:hAnsi="Arial" w:cs="Arial"/>
          <w:i/>
          <w:iCs/>
          <w:sz w:val="22"/>
          <w:szCs w:val="22"/>
          <w:lang w:eastAsia="en-GB"/>
          <w14:ligatures w14:val="none"/>
        </w:rPr>
        <w:t>Cureus</w:t>
      </w:r>
      <w:r w:rsidRPr="00EF7FC8">
        <w:rPr>
          <w:rFonts w:ascii="Arial" w:eastAsia="Times New Roman" w:hAnsi="Arial" w:cs="Arial"/>
          <w:sz w:val="22"/>
          <w:szCs w:val="22"/>
          <w:lang w:eastAsia="en-GB"/>
          <w14:ligatures w14:val="none"/>
        </w:rPr>
        <w:t>, 16(5). Available at: https://doi.org/10.7759/cureus.59663.</w:t>
      </w:r>
    </w:p>
    <w:p w14:paraId="28405475"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British Heart Foundation (2023) </w:t>
      </w:r>
      <w:r w:rsidRPr="00EF7FC8">
        <w:rPr>
          <w:rFonts w:ascii="Arial" w:eastAsia="Times New Roman" w:hAnsi="Arial" w:cs="Arial"/>
          <w:i/>
          <w:iCs/>
          <w:sz w:val="22"/>
          <w:szCs w:val="22"/>
          <w:lang w:eastAsia="en-GB"/>
          <w14:ligatures w14:val="none"/>
        </w:rPr>
        <w:t>Women and heart attacks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British Heart Foundation</w:t>
      </w:r>
      <w:r w:rsidRPr="00EF7FC8">
        <w:rPr>
          <w:rFonts w:ascii="Arial" w:eastAsia="Times New Roman" w:hAnsi="Arial" w:cs="Arial"/>
          <w:sz w:val="22"/>
          <w:szCs w:val="22"/>
          <w:lang w:eastAsia="en-GB"/>
          <w14:ligatures w14:val="none"/>
        </w:rPr>
        <w:t>. Available at: https://www.bhf.org.uk/informationsupport/conditions/heart-attack/signs-and-symptoms-of-heart-attacks-in-women (Accessed: July 27, 2026).</w:t>
      </w:r>
    </w:p>
    <w:p w14:paraId="46F4E19F" w14:textId="68B9FE9A"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British Medical Journal (2019) </w:t>
      </w:r>
      <w:r w:rsidRPr="00EF7FC8">
        <w:rPr>
          <w:rFonts w:ascii="Arial" w:eastAsia="Times New Roman" w:hAnsi="Arial" w:cs="Arial"/>
          <w:i/>
          <w:iCs/>
          <w:sz w:val="22"/>
          <w:szCs w:val="22"/>
          <w:lang w:eastAsia="en-GB"/>
          <w14:ligatures w14:val="none"/>
        </w:rPr>
        <w:t>What is epidemiology?</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The BMJ</w:t>
      </w:r>
      <w:r w:rsidRPr="00EF7FC8">
        <w:rPr>
          <w:rFonts w:ascii="Arial" w:eastAsia="Times New Roman" w:hAnsi="Arial" w:cs="Arial"/>
          <w:sz w:val="22"/>
          <w:szCs w:val="22"/>
          <w:lang w:eastAsia="en-GB"/>
          <w14:ligatures w14:val="none"/>
        </w:rPr>
        <w:t>. Available at: https://www.bmj.com/about-bmj/resources-readers/publications/epidemiology-uninitiated/1-what-epidemiology (Accessed: July 27, 2026).</w:t>
      </w:r>
    </w:p>
    <w:p w14:paraId="3B8077CA" w14:textId="4BA1D2CB"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Department for Work and Pensions (2019) </w:t>
      </w:r>
      <w:r w:rsidRPr="00EF7FC8">
        <w:rPr>
          <w:rFonts w:ascii="Arial" w:eastAsia="Times New Roman" w:hAnsi="Arial" w:cs="Arial"/>
          <w:i/>
          <w:iCs/>
          <w:sz w:val="22"/>
          <w:szCs w:val="22"/>
          <w:lang w:eastAsia="en-GB"/>
          <w14:ligatures w14:val="none"/>
        </w:rPr>
        <w:t xml:space="preserve">Households below average income: 1994/95 </w:t>
      </w:r>
      <w:r w:rsidR="00666D84" w:rsidRPr="00EF7FC8">
        <w:rPr>
          <w:rFonts w:ascii="Arial" w:eastAsia="Times New Roman" w:hAnsi="Arial" w:cs="Arial"/>
          <w:i/>
          <w:iCs/>
          <w:sz w:val="22"/>
          <w:szCs w:val="22"/>
          <w:lang w:eastAsia="en-GB"/>
          <w14:ligatures w14:val="none"/>
        </w:rPr>
        <w:t>to</w:t>
      </w:r>
      <w:r w:rsidRPr="00EF7FC8">
        <w:rPr>
          <w:rFonts w:ascii="Arial" w:eastAsia="Times New Roman" w:hAnsi="Arial" w:cs="Arial"/>
          <w:i/>
          <w:iCs/>
          <w:sz w:val="22"/>
          <w:szCs w:val="22"/>
          <w:lang w:eastAsia="en-GB"/>
          <w14:ligatures w14:val="none"/>
        </w:rPr>
        <w:t xml:space="preserve"> 2017/18</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GOV.UK</w:t>
      </w:r>
      <w:r w:rsidRPr="00EF7FC8">
        <w:rPr>
          <w:rFonts w:ascii="Arial" w:eastAsia="Times New Roman" w:hAnsi="Arial" w:cs="Arial"/>
          <w:sz w:val="22"/>
          <w:szCs w:val="22"/>
          <w:lang w:eastAsia="en-GB"/>
          <w14:ligatures w14:val="none"/>
        </w:rPr>
        <w:t>. Available at: https://www.gov.uk/government/statistics/households-below-average-income-199495-to-201718 (Accessed: July 27, 2026).</w:t>
      </w:r>
    </w:p>
    <w:p w14:paraId="37AABE8C"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Equality and Human Rights Commission (2025) </w:t>
      </w:r>
      <w:r w:rsidRPr="00EF7FC8">
        <w:rPr>
          <w:rFonts w:ascii="Arial" w:eastAsia="Times New Roman" w:hAnsi="Arial" w:cs="Arial"/>
          <w:i/>
          <w:iCs/>
          <w:sz w:val="22"/>
          <w:szCs w:val="22"/>
          <w:lang w:eastAsia="en-GB"/>
          <w14:ligatures w14:val="none"/>
        </w:rPr>
        <w:t>Tackling race inequalities in maternity care: Our research and advice | EHRC</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Equalityhumanrights.com</w:t>
      </w:r>
      <w:r w:rsidRPr="00EF7FC8">
        <w:rPr>
          <w:rFonts w:ascii="Arial" w:eastAsia="Times New Roman" w:hAnsi="Arial" w:cs="Arial"/>
          <w:sz w:val="22"/>
          <w:szCs w:val="22"/>
          <w:lang w:eastAsia="en-GB"/>
          <w14:ligatures w14:val="none"/>
        </w:rPr>
        <w:t>. Available at: https://www.equalityhumanrights.com/guidance/tackling-race-inequalities-maternity-care-our-research-and-advice (Accessed: July 27, 2026).</w:t>
      </w:r>
    </w:p>
    <w:p w14:paraId="2C5CC44C"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Fawcett Society (2024) </w:t>
      </w:r>
      <w:r w:rsidRPr="00EF7FC8">
        <w:rPr>
          <w:rFonts w:ascii="Arial" w:eastAsia="Times New Roman" w:hAnsi="Arial" w:cs="Arial"/>
          <w:i/>
          <w:iCs/>
          <w:sz w:val="22"/>
          <w:szCs w:val="22"/>
          <w:lang w:eastAsia="en-GB"/>
          <w14:ligatures w14:val="none"/>
        </w:rPr>
        <w:t>The gender health gap: Our stories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The Fawcett Society</w:t>
      </w:r>
      <w:r w:rsidRPr="00EF7FC8">
        <w:rPr>
          <w:rFonts w:ascii="Arial" w:eastAsia="Times New Roman" w:hAnsi="Arial" w:cs="Arial"/>
          <w:sz w:val="22"/>
          <w:szCs w:val="22"/>
          <w:lang w:eastAsia="en-GB"/>
          <w14:ligatures w14:val="none"/>
        </w:rPr>
        <w:t>. Available at: https://www.fawcettsociety.org.uk/the-gender-health-gap-our-stories (Accessed: July 27, 2026).</w:t>
      </w:r>
    </w:p>
    <w:p w14:paraId="7DE35D5D"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Francis-Devine, B. and Hutton, G. (2024) </w:t>
      </w:r>
      <w:r w:rsidRPr="00EF7FC8">
        <w:rPr>
          <w:rFonts w:ascii="Arial" w:eastAsia="Times New Roman" w:hAnsi="Arial" w:cs="Arial"/>
          <w:i/>
          <w:iCs/>
          <w:sz w:val="22"/>
          <w:szCs w:val="22"/>
          <w:lang w:eastAsia="en-GB"/>
          <w14:ligatures w14:val="none"/>
        </w:rPr>
        <w:t>Women and the UK economy</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House of Commons Library</w:t>
      </w:r>
      <w:r w:rsidRPr="00EF7FC8">
        <w:rPr>
          <w:rFonts w:ascii="Arial" w:eastAsia="Times New Roman" w:hAnsi="Arial" w:cs="Arial"/>
          <w:sz w:val="22"/>
          <w:szCs w:val="22"/>
          <w:lang w:eastAsia="en-GB"/>
          <w14:ligatures w14:val="none"/>
        </w:rPr>
        <w:t>. UK Parliament. Available at: https://commonslibrary.parliament.uk/research-briefings/sn06838/ (Accessed: July 27, 2026).</w:t>
      </w:r>
    </w:p>
    <w:p w14:paraId="1681BD1D" w14:textId="01092E00"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Geldard, R. (2023) </w:t>
      </w:r>
      <w:r w:rsidRPr="00EF7FC8">
        <w:rPr>
          <w:rFonts w:ascii="Arial" w:eastAsia="Times New Roman" w:hAnsi="Arial" w:cs="Arial"/>
          <w:i/>
          <w:iCs/>
          <w:sz w:val="22"/>
          <w:szCs w:val="22"/>
          <w:lang w:eastAsia="en-GB"/>
          <w14:ligatures w14:val="none"/>
        </w:rPr>
        <w:t>Britain is building its first women-only apartment block</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 xml:space="preserve">World </w:t>
      </w:r>
      <w:r w:rsidR="00666D84" w:rsidRPr="00EF7FC8">
        <w:rPr>
          <w:rFonts w:ascii="Arial" w:eastAsia="Times New Roman" w:hAnsi="Arial" w:cs="Arial"/>
          <w:i/>
          <w:iCs/>
          <w:sz w:val="22"/>
          <w:szCs w:val="22"/>
          <w:lang w:eastAsia="en-GB"/>
          <w14:ligatures w14:val="none"/>
        </w:rPr>
        <w:t>Economic Forum</w:t>
      </w:r>
      <w:r w:rsidRPr="00EF7FC8">
        <w:rPr>
          <w:rFonts w:ascii="Arial" w:eastAsia="Times New Roman" w:hAnsi="Arial" w:cs="Arial"/>
          <w:sz w:val="22"/>
          <w:szCs w:val="22"/>
          <w:lang w:eastAsia="en-GB"/>
          <w14:ligatures w14:val="none"/>
        </w:rPr>
        <w:t>. Available at: https://www.weforum.org/stories/2023/06/women-only-housing-gender-equality/ (Accessed: July 27, 2026).</w:t>
      </w:r>
    </w:p>
    <w:p w14:paraId="0A40AC9F"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lastRenderedPageBreak/>
        <w:t xml:space="preserve">Gifford, B. (2025) </w:t>
      </w:r>
      <w:r w:rsidRPr="00EF7FC8">
        <w:rPr>
          <w:rFonts w:ascii="Arial" w:eastAsia="Times New Roman" w:hAnsi="Arial" w:cs="Arial"/>
          <w:i/>
          <w:iCs/>
          <w:sz w:val="22"/>
          <w:szCs w:val="22"/>
          <w:lang w:eastAsia="en-GB"/>
          <w14:ligatures w14:val="none"/>
        </w:rPr>
        <w:t>Key statistics about women and mental health - counselling directory</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www.counselling-directory.org.uk</w:t>
      </w:r>
      <w:r w:rsidRPr="00EF7FC8">
        <w:rPr>
          <w:rFonts w:ascii="Arial" w:eastAsia="Times New Roman" w:hAnsi="Arial" w:cs="Arial"/>
          <w:sz w:val="22"/>
          <w:szCs w:val="22"/>
          <w:lang w:eastAsia="en-GB"/>
          <w14:ligatures w14:val="none"/>
        </w:rPr>
        <w:t>. Available at: https://www.counselling-directory.org.uk/women-and-mental-health-stats.html (Accessed: July 27, 2026).</w:t>
      </w:r>
    </w:p>
    <w:p w14:paraId="6E2B143E"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GOV.UK (2025) </w:t>
      </w:r>
      <w:r w:rsidRPr="00EF7FC8">
        <w:rPr>
          <w:rFonts w:ascii="Arial" w:eastAsia="Times New Roman" w:hAnsi="Arial" w:cs="Arial"/>
          <w:i/>
          <w:iCs/>
          <w:sz w:val="22"/>
          <w:szCs w:val="22"/>
          <w:lang w:eastAsia="en-GB"/>
          <w14:ligatures w14:val="none"/>
        </w:rPr>
        <w:t>Government response to the Health and Social Care Committee’s third report of session 2024 to 2026: Black maternal health</w:t>
      </w:r>
      <w:r w:rsidRPr="00EF7FC8">
        <w:rPr>
          <w:rFonts w:ascii="Arial" w:eastAsia="Times New Roman" w:hAnsi="Arial" w:cs="Arial"/>
          <w:sz w:val="22"/>
          <w:szCs w:val="22"/>
          <w:lang w:eastAsia="en-GB"/>
          <w14:ligatures w14:val="none"/>
        </w:rPr>
        <w:t>. Available at: https://www.gov.uk/government/publications/black-maternal-health-government-response-to-the-health-and-social-care-committee/government-response-to-the-health-and-social-care-committees-third-report-of-session-2024-to-2026-black-maternal-health (Accessed: July 27, 2026).</w:t>
      </w:r>
    </w:p>
    <w:p w14:paraId="05B48F7B"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Health (2026) </w:t>
      </w:r>
      <w:r w:rsidRPr="00EF7FC8">
        <w:rPr>
          <w:rFonts w:ascii="Arial" w:eastAsia="Times New Roman" w:hAnsi="Arial" w:cs="Arial"/>
          <w:i/>
          <w:iCs/>
          <w:sz w:val="22"/>
          <w:szCs w:val="22"/>
          <w:lang w:eastAsia="en-GB"/>
          <w14:ligatures w14:val="none"/>
        </w:rPr>
        <w:t>Women’s voices to be at the heart of renewed health strategy</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GOV.UK</w:t>
      </w:r>
      <w:r w:rsidRPr="00EF7FC8">
        <w:rPr>
          <w:rFonts w:ascii="Arial" w:eastAsia="Times New Roman" w:hAnsi="Arial" w:cs="Arial"/>
          <w:sz w:val="22"/>
          <w:szCs w:val="22"/>
          <w:lang w:eastAsia="en-GB"/>
          <w14:ligatures w14:val="none"/>
        </w:rPr>
        <w:t>. Available at: https://www.gov.uk/government/news/womens-voices-to-be-at-the-heart-of-renewed-health-strategy (Accessed: July 27, 2026).</w:t>
      </w:r>
    </w:p>
    <w:p w14:paraId="7AF10605" w14:textId="4003168E"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Joseph Rowntree Foundation (2016) </w:t>
      </w:r>
      <w:r w:rsidRPr="00EF7FC8">
        <w:rPr>
          <w:rFonts w:ascii="Arial" w:eastAsia="Times New Roman" w:hAnsi="Arial" w:cs="Arial"/>
          <w:i/>
          <w:iCs/>
          <w:sz w:val="22"/>
          <w:szCs w:val="22"/>
          <w:lang w:eastAsia="en-GB"/>
          <w14:ligatures w14:val="none"/>
        </w:rPr>
        <w:t xml:space="preserve">UK poverty: Causes, costs and solutions | Joseph </w:t>
      </w:r>
      <w:r w:rsidR="00666D84" w:rsidRPr="00EF7FC8">
        <w:rPr>
          <w:rFonts w:ascii="Arial" w:eastAsia="Times New Roman" w:hAnsi="Arial" w:cs="Arial"/>
          <w:i/>
          <w:iCs/>
          <w:sz w:val="22"/>
          <w:szCs w:val="22"/>
          <w:lang w:eastAsia="en-GB"/>
          <w14:ligatures w14:val="none"/>
        </w:rPr>
        <w:t>Rowntree Foundation</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www.jrf.org.uk</w:t>
      </w:r>
      <w:r w:rsidRPr="00EF7FC8">
        <w:rPr>
          <w:rFonts w:ascii="Arial" w:eastAsia="Times New Roman" w:hAnsi="Arial" w:cs="Arial"/>
          <w:sz w:val="22"/>
          <w:szCs w:val="22"/>
          <w:lang w:eastAsia="en-GB"/>
          <w14:ligatures w14:val="none"/>
        </w:rPr>
        <w:t>. Available at: https://www.jrf.org.uk/uk-poverty-causes-costs-and-solutions (Accessed: July 27, 2026).</w:t>
      </w:r>
    </w:p>
    <w:p w14:paraId="0B80F1B2" w14:textId="34634553"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Marmot, M. (2010) </w:t>
      </w:r>
      <w:r w:rsidRPr="00EF7FC8">
        <w:rPr>
          <w:rFonts w:ascii="Arial" w:eastAsia="Times New Roman" w:hAnsi="Arial" w:cs="Arial"/>
          <w:i/>
          <w:iCs/>
          <w:sz w:val="22"/>
          <w:szCs w:val="22"/>
          <w:lang w:eastAsia="en-GB"/>
          <w14:ligatures w14:val="none"/>
        </w:rPr>
        <w:t xml:space="preserve">Fair society healthy lives (the </w:t>
      </w:r>
      <w:r w:rsidR="00666D84" w:rsidRPr="00EF7FC8">
        <w:rPr>
          <w:rFonts w:ascii="Arial" w:eastAsia="Times New Roman" w:hAnsi="Arial" w:cs="Arial"/>
          <w:i/>
          <w:iCs/>
          <w:sz w:val="22"/>
          <w:szCs w:val="22"/>
          <w:lang w:eastAsia="en-GB"/>
          <w14:ligatures w14:val="none"/>
        </w:rPr>
        <w:t>Marmot Review</w:t>
      </w:r>
      <w:r w:rsidRPr="00EF7FC8">
        <w:rPr>
          <w:rFonts w:ascii="Arial" w:eastAsia="Times New Roman" w:hAnsi="Arial" w:cs="Arial"/>
          <w:i/>
          <w:iCs/>
          <w:sz w:val="22"/>
          <w:szCs w:val="22"/>
          <w:lang w:eastAsia="en-GB"/>
          <w14:ligatures w14:val="none"/>
        </w:rPr>
        <w:t>)</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Institute of Health Equity</w:t>
      </w:r>
      <w:r w:rsidRPr="00EF7FC8">
        <w:rPr>
          <w:rFonts w:ascii="Arial" w:eastAsia="Times New Roman" w:hAnsi="Arial" w:cs="Arial"/>
          <w:sz w:val="22"/>
          <w:szCs w:val="22"/>
          <w:lang w:eastAsia="en-GB"/>
          <w14:ligatures w14:val="none"/>
        </w:rPr>
        <w:t>. Available at: https://www.instituteofhealthequity.org/resources-reports/fair-society-healthy-lives-the-marmot-review (Accessed: July 27, 2026).</w:t>
      </w:r>
    </w:p>
    <w:p w14:paraId="6CC4E126"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MBRRACE-UK (2021) </w:t>
      </w:r>
      <w:r w:rsidRPr="00EF7FC8">
        <w:rPr>
          <w:rFonts w:ascii="Arial" w:eastAsia="Times New Roman" w:hAnsi="Arial" w:cs="Arial"/>
          <w:i/>
          <w:iCs/>
          <w:sz w:val="22"/>
          <w:szCs w:val="22"/>
          <w:lang w:eastAsia="en-GB"/>
          <w14:ligatures w14:val="none"/>
        </w:rPr>
        <w:t>Maternal mortality 2021-2023 | mbrrace-uk | NPEU</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Ox.ac.uk</w:t>
      </w:r>
      <w:r w:rsidRPr="00EF7FC8">
        <w:rPr>
          <w:rFonts w:ascii="Arial" w:eastAsia="Times New Roman" w:hAnsi="Arial" w:cs="Arial"/>
          <w:sz w:val="22"/>
          <w:szCs w:val="22"/>
          <w:lang w:eastAsia="en-GB"/>
          <w14:ligatures w14:val="none"/>
        </w:rPr>
        <w:t>. Available at: https://www.npeu.ox.ac.uk/mbrrace-uk/data-brief/maternal-mortality-2021-2023 (Accessed: July 27, 2026).</w:t>
      </w:r>
    </w:p>
    <w:p w14:paraId="57FE6471"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Mental Health Foundation (2021) </w:t>
      </w:r>
      <w:r w:rsidRPr="00EF7FC8">
        <w:rPr>
          <w:rFonts w:ascii="Arial" w:eastAsia="Times New Roman" w:hAnsi="Arial" w:cs="Arial"/>
          <w:i/>
          <w:iCs/>
          <w:sz w:val="22"/>
          <w:szCs w:val="22"/>
          <w:lang w:eastAsia="en-GB"/>
          <w14:ligatures w14:val="none"/>
        </w:rPr>
        <w:t>Women and mental health</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www.mentalhealth.org.uk</w:t>
      </w:r>
      <w:r w:rsidRPr="00EF7FC8">
        <w:rPr>
          <w:rFonts w:ascii="Arial" w:eastAsia="Times New Roman" w:hAnsi="Arial" w:cs="Arial"/>
          <w:sz w:val="22"/>
          <w:szCs w:val="22"/>
          <w:lang w:eastAsia="en-GB"/>
          <w14:ligatures w14:val="none"/>
        </w:rPr>
        <w:t>. Available at: https://www.mentalhealth.org.uk/explore-mental-health/a-z-topics/women-and-mental-health (Accessed: July 27, 2026).</w:t>
      </w:r>
    </w:p>
    <w:p w14:paraId="597BFEF3" w14:textId="68CAABE3" w:rsidR="003372AE" w:rsidRPr="00EF7FC8" w:rsidRDefault="003372AE"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NHS England (2018) </w:t>
      </w:r>
      <w:r w:rsidRPr="00EF7FC8">
        <w:rPr>
          <w:rFonts w:ascii="Arial" w:eastAsia="Times New Roman" w:hAnsi="Arial" w:cs="Arial"/>
          <w:i/>
          <w:iCs/>
          <w:sz w:val="22"/>
          <w:szCs w:val="22"/>
          <w:lang w:eastAsia="en-GB"/>
          <w14:ligatures w14:val="none"/>
        </w:rPr>
        <w:t>Perinatal mental health</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England.nhs.uk</w:t>
      </w:r>
      <w:r w:rsidRPr="00EF7FC8">
        <w:rPr>
          <w:rFonts w:ascii="Arial" w:eastAsia="Times New Roman" w:hAnsi="Arial" w:cs="Arial"/>
          <w:sz w:val="22"/>
          <w:szCs w:val="22"/>
          <w:lang w:eastAsia="en-GB"/>
          <w14:ligatures w14:val="none"/>
        </w:rPr>
        <w:t xml:space="preserve">. NHS. Available at: </w:t>
      </w:r>
      <w:hyperlink r:id="rId10" w:history="1">
        <w:r w:rsidRPr="00EF7FC8">
          <w:rPr>
            <w:rStyle w:val="Hyperlink"/>
            <w:rFonts w:ascii="Arial" w:eastAsia="Times New Roman" w:hAnsi="Arial" w:cs="Arial"/>
            <w:sz w:val="22"/>
            <w:szCs w:val="22"/>
            <w:lang w:eastAsia="en-GB"/>
            <w14:ligatures w14:val="none"/>
          </w:rPr>
          <w:t>https://www.england.nhs.uk/mental-health/perinatal/</w:t>
        </w:r>
      </w:hyperlink>
      <w:r w:rsidRPr="00EF7FC8">
        <w:rPr>
          <w:rFonts w:ascii="Arial" w:eastAsia="Times New Roman" w:hAnsi="Arial" w:cs="Arial"/>
          <w:sz w:val="22"/>
          <w:szCs w:val="22"/>
          <w:lang w:eastAsia="en-GB"/>
          <w14:ligatures w14:val="none"/>
        </w:rPr>
        <w:t xml:space="preserve">  (Accessed: July 28, 2026).</w:t>
      </w:r>
    </w:p>
    <w:p w14:paraId="2FC66ADA" w14:textId="77777777" w:rsidR="003372AE" w:rsidRPr="00EF7FC8" w:rsidRDefault="003372AE" w:rsidP="00EF7FC8">
      <w:pPr>
        <w:spacing w:after="240" w:line="360" w:lineRule="auto"/>
        <w:rPr>
          <w:rFonts w:ascii="Arial" w:eastAsia="Times New Roman" w:hAnsi="Arial" w:cs="Arial"/>
          <w:sz w:val="22"/>
          <w:szCs w:val="22"/>
          <w:lang w:eastAsia="en-GB"/>
          <w14:ligatures w14:val="none"/>
        </w:rPr>
      </w:pPr>
    </w:p>
    <w:p w14:paraId="77099DD4" w14:textId="58DDEC86"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lastRenderedPageBreak/>
        <w:t xml:space="preserve">RCOG (2019) </w:t>
      </w:r>
      <w:r w:rsidRPr="00EF7FC8">
        <w:rPr>
          <w:rFonts w:ascii="Arial" w:eastAsia="Times New Roman" w:hAnsi="Arial" w:cs="Arial"/>
          <w:i/>
          <w:iCs/>
          <w:sz w:val="22"/>
          <w:szCs w:val="22"/>
          <w:lang w:eastAsia="en-GB"/>
          <w14:ligatures w14:val="none"/>
        </w:rPr>
        <w:t xml:space="preserve">RCOG responds to </w:t>
      </w:r>
      <w:r w:rsidR="00666D84" w:rsidRPr="00EF7FC8">
        <w:rPr>
          <w:rFonts w:ascii="Arial" w:eastAsia="Times New Roman" w:hAnsi="Arial" w:cs="Arial"/>
          <w:i/>
          <w:iCs/>
          <w:sz w:val="22"/>
          <w:szCs w:val="22"/>
          <w:lang w:eastAsia="en-GB"/>
          <w14:ligatures w14:val="none"/>
        </w:rPr>
        <w:t>MBRRACE-UK</w:t>
      </w:r>
      <w:r w:rsidRPr="00EF7FC8">
        <w:rPr>
          <w:rFonts w:ascii="Arial" w:eastAsia="Times New Roman" w:hAnsi="Arial" w:cs="Arial"/>
          <w:i/>
          <w:iCs/>
          <w:sz w:val="22"/>
          <w:szCs w:val="22"/>
          <w:lang w:eastAsia="en-GB"/>
          <w14:ligatures w14:val="none"/>
        </w:rPr>
        <w:t xml:space="preserve"> and </w:t>
      </w:r>
      <w:r w:rsidR="00666D84" w:rsidRPr="00EF7FC8">
        <w:rPr>
          <w:rFonts w:ascii="Arial" w:eastAsia="Times New Roman" w:hAnsi="Arial" w:cs="Arial"/>
          <w:i/>
          <w:iCs/>
          <w:sz w:val="22"/>
          <w:szCs w:val="22"/>
          <w:lang w:eastAsia="en-GB"/>
          <w14:ligatures w14:val="none"/>
        </w:rPr>
        <w:t>Health</w:t>
      </w:r>
      <w:r w:rsidRPr="00EF7FC8">
        <w:rPr>
          <w:rFonts w:ascii="Arial" w:eastAsia="Times New Roman" w:hAnsi="Arial" w:cs="Arial"/>
          <w:i/>
          <w:iCs/>
          <w:sz w:val="22"/>
          <w:szCs w:val="22"/>
          <w:lang w:eastAsia="en-GB"/>
          <w14:ligatures w14:val="none"/>
        </w:rPr>
        <w:t xml:space="preserve"> &amp; </w:t>
      </w:r>
      <w:r w:rsidR="009845DE" w:rsidRPr="00EF7FC8">
        <w:rPr>
          <w:rFonts w:ascii="Arial" w:eastAsia="Times New Roman" w:hAnsi="Arial" w:cs="Arial"/>
          <w:i/>
          <w:iCs/>
          <w:sz w:val="22"/>
          <w:szCs w:val="22"/>
          <w:lang w:eastAsia="en-GB"/>
          <w14:ligatures w14:val="none"/>
        </w:rPr>
        <w:t>Social Care Committee</w:t>
      </w:r>
      <w:r w:rsidRPr="00EF7FC8">
        <w:rPr>
          <w:rFonts w:ascii="Arial" w:eastAsia="Times New Roman" w:hAnsi="Arial" w:cs="Arial"/>
          <w:i/>
          <w:iCs/>
          <w:sz w:val="22"/>
          <w:szCs w:val="22"/>
          <w:lang w:eastAsia="en-GB"/>
          <w14:ligatures w14:val="none"/>
        </w:rPr>
        <w:t xml:space="preserve"> reports on maternal health inequalities | RCOG</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RCOG</w:t>
      </w:r>
      <w:r w:rsidRPr="00EF7FC8">
        <w:rPr>
          <w:rFonts w:ascii="Arial" w:eastAsia="Times New Roman" w:hAnsi="Arial" w:cs="Arial"/>
          <w:sz w:val="22"/>
          <w:szCs w:val="22"/>
          <w:lang w:eastAsia="en-GB"/>
          <w14:ligatures w14:val="none"/>
        </w:rPr>
        <w:t>. RCOG responds to MBRRACE-UK and Health &amp;amp; Social Care Committee reports on maternal health inequalities | RCOG. Available at: https://www.rcog.org.uk/news/rcog-responds-to-mbrrace-uk-and-health-social-care-committee-reports-on-maternal-health-inequalities/ (Accessed: July 27, 2026).</w:t>
      </w:r>
    </w:p>
    <w:p w14:paraId="4FB906C9"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United Nations (2026) </w:t>
      </w:r>
      <w:r w:rsidRPr="00EF7FC8">
        <w:rPr>
          <w:rFonts w:ascii="Arial" w:eastAsia="Times New Roman" w:hAnsi="Arial" w:cs="Arial"/>
          <w:i/>
          <w:iCs/>
          <w:sz w:val="22"/>
          <w:szCs w:val="22"/>
          <w:lang w:eastAsia="en-GB"/>
          <w14:ligatures w14:val="none"/>
        </w:rPr>
        <w:t>One UN - beyond shelter adequate, safe, resilient housing for gender equality and women’s empowerment in different housing contexts (WUF13)</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UN web TV</w:t>
      </w:r>
      <w:r w:rsidRPr="00EF7FC8">
        <w:rPr>
          <w:rFonts w:ascii="Arial" w:eastAsia="Times New Roman" w:hAnsi="Arial" w:cs="Arial"/>
          <w:sz w:val="22"/>
          <w:szCs w:val="22"/>
          <w:lang w:eastAsia="en-GB"/>
          <w14:ligatures w14:val="none"/>
        </w:rPr>
        <w:t>. Available at: https://webtv.un.org/en/asset/k1k/k1kskb9xbt (Accessed: July 27, 2026).</w:t>
      </w:r>
    </w:p>
    <w:p w14:paraId="08462F7B"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Williams, E.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(2022) </w:t>
      </w:r>
      <w:r w:rsidRPr="00EF7FC8">
        <w:rPr>
          <w:rFonts w:ascii="Arial" w:eastAsia="Times New Roman" w:hAnsi="Arial" w:cs="Arial"/>
          <w:i/>
          <w:iCs/>
          <w:sz w:val="22"/>
          <w:szCs w:val="22"/>
          <w:lang w:eastAsia="en-GB"/>
          <w14:ligatures w14:val="none"/>
        </w:rPr>
        <w:t xml:space="preserve">What are health </w:t>
      </w:r>
      <w:proofErr w:type="gramStart"/>
      <w:r w:rsidRPr="00EF7FC8">
        <w:rPr>
          <w:rFonts w:ascii="Arial" w:eastAsia="Times New Roman" w:hAnsi="Arial" w:cs="Arial"/>
          <w:i/>
          <w:iCs/>
          <w:sz w:val="22"/>
          <w:szCs w:val="22"/>
          <w:lang w:eastAsia="en-GB"/>
          <w14:ligatures w14:val="none"/>
        </w:rPr>
        <w:t>inequalities?</w:t>
      </w:r>
      <w:r w:rsidRPr="00EF7FC8">
        <w:rPr>
          <w:rFonts w:ascii="Arial" w:eastAsia="Times New Roman" w:hAnsi="Arial" w:cs="Arial"/>
          <w:sz w:val="22"/>
          <w:szCs w:val="22"/>
          <w:lang w:eastAsia="en-GB"/>
          <w14:ligatures w14:val="none"/>
        </w:rPr>
        <w:t>,</w:t>
      </w:r>
      <w:proofErr w:type="gramEnd"/>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The King’s Fund</w:t>
      </w:r>
      <w:r w:rsidRPr="00EF7FC8">
        <w:rPr>
          <w:rFonts w:ascii="Arial" w:eastAsia="Times New Roman" w:hAnsi="Arial" w:cs="Arial"/>
          <w:sz w:val="22"/>
          <w:szCs w:val="22"/>
          <w:lang w:eastAsia="en-GB"/>
          <w14:ligatures w14:val="none"/>
        </w:rPr>
        <w:t>. Available at: https://www.kingsfund.org.uk/insight-and-analysis/long-reads/what-are-health-inequalities (Accessed: July 27, 2026).</w:t>
      </w:r>
    </w:p>
    <w:p w14:paraId="079828BA"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Women Budget Group (2020) “Women, employment and earnings a pre-budget briefing from the UK women’s budget group.” Available at: https://wbg.org.uk/wp-content/uploads/2020/02/final-employment-2020.pdf (Accessed: July 27, 2026).</w:t>
      </w:r>
    </w:p>
    <w:p w14:paraId="735F0D08" w14:textId="33177F4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World Health </w:t>
      </w:r>
      <w:r w:rsidR="009845DE" w:rsidRPr="00EF7FC8">
        <w:rPr>
          <w:rFonts w:ascii="Arial" w:eastAsia="Times New Roman" w:hAnsi="Arial" w:cs="Arial"/>
          <w:sz w:val="22"/>
          <w:szCs w:val="22"/>
          <w:lang w:eastAsia="en-GB"/>
          <w14:ligatures w14:val="none"/>
        </w:rPr>
        <w:t>Organisation</w:t>
      </w:r>
      <w:r w:rsidRPr="00EF7FC8">
        <w:rPr>
          <w:rFonts w:ascii="Arial" w:eastAsia="Times New Roman" w:hAnsi="Arial" w:cs="Arial"/>
          <w:sz w:val="22"/>
          <w:szCs w:val="22"/>
          <w:lang w:eastAsia="en-GB"/>
          <w14:ligatures w14:val="none"/>
        </w:rPr>
        <w:t xml:space="preserve"> (WHO) (2025) </w:t>
      </w:r>
      <w:r w:rsidRPr="00EF7FC8">
        <w:rPr>
          <w:rFonts w:ascii="Arial" w:eastAsia="Times New Roman" w:hAnsi="Arial" w:cs="Arial"/>
          <w:i/>
          <w:iCs/>
          <w:sz w:val="22"/>
          <w:szCs w:val="22"/>
          <w:lang w:eastAsia="en-GB"/>
          <w14:ligatures w14:val="none"/>
        </w:rPr>
        <w:t>Gender and health</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 xml:space="preserve">World Health </w:t>
      </w:r>
      <w:r w:rsidR="009845DE" w:rsidRPr="00EF7FC8">
        <w:rPr>
          <w:rFonts w:ascii="Arial" w:eastAsia="Times New Roman" w:hAnsi="Arial" w:cs="Arial"/>
          <w:i/>
          <w:iCs/>
          <w:sz w:val="22"/>
          <w:szCs w:val="22"/>
          <w:lang w:eastAsia="en-GB"/>
          <w14:ligatures w14:val="none"/>
        </w:rPr>
        <w:t>Organisation</w:t>
      </w:r>
      <w:r w:rsidRPr="00EF7FC8">
        <w:rPr>
          <w:rFonts w:ascii="Arial" w:eastAsia="Times New Roman" w:hAnsi="Arial" w:cs="Arial"/>
          <w:sz w:val="22"/>
          <w:szCs w:val="22"/>
          <w:lang w:eastAsia="en-GB"/>
          <w14:ligatures w14:val="none"/>
        </w:rPr>
        <w:t>. Available at: https://www.who.int/health-topics/gender#tab=tab_1 (Accessed: July 27, 2026).</w:t>
      </w:r>
    </w:p>
    <w:p w14:paraId="3CFC19D2" w14:textId="11323994" w:rsidR="00B77A87" w:rsidRPr="00EF7FC8" w:rsidRDefault="00801445" w:rsidP="00EF7FC8">
      <w:pPr>
        <w:pStyle w:val="Heading1"/>
        <w:spacing w:line="360" w:lineRule="auto"/>
        <w:rPr>
          <w:rFonts w:ascii="Arial" w:hAnsi="Arial" w:cs="Arial"/>
          <w:b/>
          <w:bCs/>
          <w:color w:val="auto"/>
          <w:sz w:val="28"/>
          <w:szCs w:val="28"/>
        </w:rPr>
      </w:pPr>
      <w:bookmarkStart w:id="41" w:name="_Toc236146675"/>
      <w:r w:rsidRPr="00EF7FC8">
        <w:rPr>
          <w:rFonts w:ascii="Arial" w:hAnsi="Arial" w:cs="Arial"/>
          <w:b/>
          <w:bCs/>
          <w:color w:val="auto"/>
          <w:sz w:val="28"/>
          <w:szCs w:val="28"/>
        </w:rPr>
        <w:t>4.</w:t>
      </w:r>
      <w:r w:rsidR="005C3B2C" w:rsidRPr="00EF7FC8">
        <w:rPr>
          <w:rFonts w:ascii="Arial" w:hAnsi="Arial" w:cs="Arial"/>
          <w:b/>
          <w:bCs/>
          <w:color w:val="auto"/>
          <w:sz w:val="28"/>
          <w:szCs w:val="28"/>
        </w:rPr>
        <w:t xml:space="preserve"> </w:t>
      </w:r>
      <w:r w:rsidR="00F6473E" w:rsidRPr="00EF7FC8">
        <w:rPr>
          <w:rFonts w:ascii="Arial" w:hAnsi="Arial" w:cs="Arial"/>
          <w:b/>
          <w:bCs/>
          <w:color w:val="auto"/>
          <w:sz w:val="28"/>
          <w:szCs w:val="28"/>
        </w:rPr>
        <w:t xml:space="preserve">References list </w:t>
      </w:r>
      <w:r w:rsidR="00B024D4" w:rsidRPr="00EF7FC8">
        <w:rPr>
          <w:rFonts w:ascii="Arial" w:hAnsi="Arial" w:cs="Arial"/>
          <w:b/>
          <w:bCs/>
          <w:color w:val="auto"/>
          <w:sz w:val="28"/>
          <w:szCs w:val="28"/>
        </w:rPr>
        <w:t>Task 2</w:t>
      </w:r>
      <w:bookmarkEnd w:id="41"/>
    </w:p>
    <w:p w14:paraId="2AF550D5" w14:textId="145866B3"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Bradshaw, J. (1972) </w:t>
      </w:r>
      <w:r w:rsidRPr="00EF7FC8">
        <w:rPr>
          <w:rFonts w:ascii="Arial" w:eastAsia="Times New Roman" w:hAnsi="Arial" w:cs="Arial"/>
          <w:i/>
          <w:iCs/>
          <w:sz w:val="22"/>
          <w:szCs w:val="22"/>
          <w:lang w:eastAsia="en-GB"/>
          <w14:ligatures w14:val="none"/>
        </w:rPr>
        <w:t xml:space="preserve">(PDF) </w:t>
      </w:r>
      <w:r w:rsidR="009845DE" w:rsidRPr="00EF7FC8">
        <w:rPr>
          <w:rFonts w:ascii="Arial" w:eastAsia="Times New Roman" w:hAnsi="Arial" w:cs="Arial"/>
          <w:i/>
          <w:iCs/>
          <w:sz w:val="22"/>
          <w:szCs w:val="22"/>
          <w:lang w:eastAsia="en-GB"/>
          <w14:ligatures w14:val="none"/>
        </w:rPr>
        <w:t>A</w:t>
      </w:r>
      <w:r w:rsidRPr="00EF7FC8">
        <w:rPr>
          <w:rFonts w:ascii="Arial" w:eastAsia="Times New Roman" w:hAnsi="Arial" w:cs="Arial"/>
          <w:i/>
          <w:iCs/>
          <w:sz w:val="22"/>
          <w:szCs w:val="22"/>
          <w:lang w:eastAsia="en-GB"/>
          <w14:ligatures w14:val="none"/>
        </w:rPr>
        <w:t xml:space="preserve"> taxonomy of </w:t>
      </w:r>
      <w:proofErr w:type="gramStart"/>
      <w:r w:rsidRPr="00EF7FC8">
        <w:rPr>
          <w:rFonts w:ascii="Arial" w:eastAsia="Times New Roman" w:hAnsi="Arial" w:cs="Arial"/>
          <w:i/>
          <w:iCs/>
          <w:sz w:val="22"/>
          <w:szCs w:val="22"/>
          <w:lang w:eastAsia="en-GB"/>
          <w14:ligatures w14:val="none"/>
        </w:rPr>
        <w:t>Social</w:t>
      </w:r>
      <w:proofErr w:type="gramEnd"/>
      <w:r w:rsidRPr="00EF7FC8">
        <w:rPr>
          <w:rFonts w:ascii="Arial" w:eastAsia="Times New Roman" w:hAnsi="Arial" w:cs="Arial"/>
          <w:i/>
          <w:iCs/>
          <w:sz w:val="22"/>
          <w:szCs w:val="22"/>
          <w:lang w:eastAsia="en-GB"/>
          <w14:ligatures w14:val="none"/>
        </w:rPr>
        <w:t xml:space="preserve"> need</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ResearchGate</w:t>
      </w:r>
      <w:r w:rsidRPr="00EF7FC8">
        <w:rPr>
          <w:rFonts w:ascii="Arial" w:eastAsia="Times New Roman" w:hAnsi="Arial" w:cs="Arial"/>
          <w:sz w:val="22"/>
          <w:szCs w:val="22"/>
          <w:lang w:eastAsia="en-GB"/>
          <w14:ligatures w14:val="none"/>
        </w:rPr>
        <w:t>. Available at: https://www.researchgate.net/publication/248031221_A_Taxonomy_of_Social_Need (Accessed: July 27, 2026).</w:t>
      </w:r>
    </w:p>
    <w:p w14:paraId="202ACAE1"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British Medical Journal (2019) </w:t>
      </w:r>
      <w:r w:rsidRPr="00EF7FC8">
        <w:rPr>
          <w:rFonts w:ascii="Arial" w:eastAsia="Times New Roman" w:hAnsi="Arial" w:cs="Arial"/>
          <w:i/>
          <w:iCs/>
          <w:sz w:val="22"/>
          <w:szCs w:val="22"/>
          <w:lang w:eastAsia="en-GB"/>
          <w14:ligatures w14:val="none"/>
        </w:rPr>
        <w:t xml:space="preserve">What is </w:t>
      </w:r>
      <w:proofErr w:type="gramStart"/>
      <w:r w:rsidRPr="00EF7FC8">
        <w:rPr>
          <w:rFonts w:ascii="Arial" w:eastAsia="Times New Roman" w:hAnsi="Arial" w:cs="Arial"/>
          <w:i/>
          <w:iCs/>
          <w:sz w:val="22"/>
          <w:szCs w:val="22"/>
          <w:lang w:eastAsia="en-GB"/>
          <w14:ligatures w14:val="none"/>
        </w:rPr>
        <w:t>epidemiology?</w:t>
      </w:r>
      <w:r w:rsidRPr="00EF7FC8">
        <w:rPr>
          <w:rFonts w:ascii="Arial" w:eastAsia="Times New Roman" w:hAnsi="Arial" w:cs="Arial"/>
          <w:sz w:val="22"/>
          <w:szCs w:val="22"/>
          <w:lang w:eastAsia="en-GB"/>
          <w14:ligatures w14:val="none"/>
        </w:rPr>
        <w:t>,</w:t>
      </w:r>
      <w:proofErr w:type="gramEnd"/>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The BMJ</w:t>
      </w:r>
      <w:r w:rsidRPr="00EF7FC8">
        <w:rPr>
          <w:rFonts w:ascii="Arial" w:eastAsia="Times New Roman" w:hAnsi="Arial" w:cs="Arial"/>
          <w:sz w:val="22"/>
          <w:szCs w:val="22"/>
          <w:lang w:eastAsia="en-GB"/>
          <w14:ligatures w14:val="none"/>
        </w:rPr>
        <w:t>. Available at: https://www.bmj.com/about-bmj/resources-readers/publications/epidemiology-uninitiated/1-what-epidemiology (Accessed: July 27, 2026).</w:t>
      </w:r>
    </w:p>
    <w:p w14:paraId="24B5E8DD"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Concordance (2026) </w:t>
      </w:r>
      <w:r w:rsidRPr="00EF7FC8">
        <w:rPr>
          <w:rFonts w:ascii="Arial" w:eastAsia="Times New Roman" w:hAnsi="Arial" w:cs="Arial"/>
          <w:i/>
          <w:iCs/>
          <w:sz w:val="22"/>
          <w:szCs w:val="22"/>
          <w:lang w:eastAsia="en-GB"/>
          <w14:ligatures w14:val="none"/>
        </w:rPr>
        <w:t>Where diabetes is rising fastest</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Concordance</w:t>
      </w:r>
      <w:r w:rsidRPr="00EF7FC8">
        <w:rPr>
          <w:rFonts w:ascii="Arial" w:eastAsia="Times New Roman" w:hAnsi="Arial" w:cs="Arial"/>
          <w:sz w:val="22"/>
          <w:szCs w:val="22"/>
          <w:lang w:eastAsia="en-GB"/>
          <w14:ligatures w14:val="none"/>
        </w:rPr>
        <w:t>. Available at: https://concordance.uk/insights/diabetes-burden/ (Accessed: July 27, 2026).</w:t>
      </w:r>
    </w:p>
    <w:p w14:paraId="71B338EE" w14:textId="24E9E1D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Currie, C.J. (2024) “The descriptive epidemiology of type 2 diabetes in the </w:t>
      </w:r>
      <w:r w:rsidR="009845DE" w:rsidRPr="00EF7FC8">
        <w:rPr>
          <w:rFonts w:ascii="Arial" w:eastAsia="Times New Roman" w:hAnsi="Arial" w:cs="Arial"/>
          <w:sz w:val="22"/>
          <w:szCs w:val="22"/>
          <w:lang w:eastAsia="en-GB"/>
          <w14:ligatures w14:val="none"/>
        </w:rPr>
        <w:t>United Kingdom</w:t>
      </w:r>
      <w:r w:rsidRPr="00EF7FC8">
        <w:rPr>
          <w:rFonts w:ascii="Arial" w:eastAsia="Times New Roman" w:hAnsi="Arial" w:cs="Arial"/>
          <w:sz w:val="22"/>
          <w:szCs w:val="22"/>
          <w:lang w:eastAsia="en-GB"/>
          <w14:ligatures w14:val="none"/>
        </w:rPr>
        <w:t xml:space="preserve"> from 2004 to 2021,” </w:t>
      </w:r>
      <w:r w:rsidRPr="00EF7FC8">
        <w:rPr>
          <w:rFonts w:ascii="Arial" w:eastAsia="Times New Roman" w:hAnsi="Arial" w:cs="Arial"/>
          <w:i/>
          <w:iCs/>
          <w:sz w:val="22"/>
          <w:szCs w:val="22"/>
          <w:lang w:eastAsia="en-GB"/>
          <w14:ligatures w14:val="none"/>
        </w:rPr>
        <w:t>medRxiv (</w:t>
      </w:r>
      <w:r w:rsidR="009845DE" w:rsidRPr="00EF7FC8">
        <w:rPr>
          <w:rFonts w:ascii="Arial" w:eastAsia="Times New Roman" w:hAnsi="Arial" w:cs="Arial"/>
          <w:i/>
          <w:iCs/>
          <w:sz w:val="22"/>
          <w:szCs w:val="22"/>
          <w:lang w:eastAsia="en-GB"/>
          <w14:ligatures w14:val="none"/>
        </w:rPr>
        <w:t>Cold Spring Harbour Laboratory</w:t>
      </w:r>
      <w:r w:rsidRPr="00EF7FC8">
        <w:rPr>
          <w:rFonts w:ascii="Arial" w:eastAsia="Times New Roman" w:hAnsi="Arial" w:cs="Arial"/>
          <w:i/>
          <w:iCs/>
          <w:sz w:val="22"/>
          <w:szCs w:val="22"/>
          <w:lang w:eastAsia="en-GB"/>
          <w14:ligatures w14:val="none"/>
        </w:rPr>
        <w:t>)</w:t>
      </w:r>
      <w:r w:rsidRPr="00EF7FC8">
        <w:rPr>
          <w:rFonts w:ascii="Arial" w:eastAsia="Times New Roman" w:hAnsi="Arial" w:cs="Arial"/>
          <w:sz w:val="22"/>
          <w:szCs w:val="22"/>
          <w:lang w:eastAsia="en-GB"/>
          <w14:ligatures w14:val="none"/>
        </w:rPr>
        <w:t xml:space="preserve"> [Preprint]. Available at: https://doi.org/10.1101/2024.03.04.24303693.</w:t>
      </w:r>
    </w:p>
    <w:p w14:paraId="039BE9B7" w14:textId="57FEEF29"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lastRenderedPageBreak/>
        <w:t xml:space="preserve">Diabetes UK (2023) </w:t>
      </w:r>
      <w:r w:rsidRPr="00EF7FC8">
        <w:rPr>
          <w:rFonts w:ascii="Arial" w:eastAsia="Times New Roman" w:hAnsi="Arial" w:cs="Arial"/>
          <w:i/>
          <w:iCs/>
          <w:sz w:val="22"/>
          <w:szCs w:val="22"/>
          <w:lang w:eastAsia="en-GB"/>
          <w14:ligatures w14:val="none"/>
        </w:rPr>
        <w:t>How many people in the UK have diabetes?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Diabetes UK</w:t>
      </w:r>
      <w:r w:rsidRPr="00EF7FC8">
        <w:rPr>
          <w:rFonts w:ascii="Arial" w:eastAsia="Times New Roman" w:hAnsi="Arial" w:cs="Arial"/>
          <w:sz w:val="22"/>
          <w:szCs w:val="22"/>
          <w:lang w:eastAsia="en-GB"/>
          <w14:ligatures w14:val="none"/>
        </w:rPr>
        <w:t>. Available at: https://www.diabetes.org.uk/about-us/about-the-charity/our-strategy/statistics (Accessed: July 27, 2026).</w:t>
      </w:r>
    </w:p>
    <w:p w14:paraId="0F61D0A6"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Diabetes UK (2025) </w:t>
      </w:r>
      <w:r w:rsidRPr="00EF7FC8">
        <w:rPr>
          <w:rFonts w:ascii="Arial" w:eastAsia="Times New Roman" w:hAnsi="Arial" w:cs="Arial"/>
          <w:i/>
          <w:iCs/>
          <w:sz w:val="22"/>
          <w:szCs w:val="22"/>
          <w:lang w:eastAsia="en-GB"/>
          <w14:ligatures w14:val="none"/>
        </w:rPr>
        <w:t>Complications of diabetes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Diabetes UK</w:t>
      </w:r>
      <w:r w:rsidRPr="00EF7FC8">
        <w:rPr>
          <w:rFonts w:ascii="Arial" w:eastAsia="Times New Roman" w:hAnsi="Arial" w:cs="Arial"/>
          <w:sz w:val="22"/>
          <w:szCs w:val="22"/>
          <w:lang w:eastAsia="en-GB"/>
          <w14:ligatures w14:val="none"/>
        </w:rPr>
        <w:t>. Available at: https://www.diabetes.org.uk/about-diabetes/looking-after-diabetes/complications (Accessed: July 27, 2026).</w:t>
      </w:r>
    </w:p>
    <w:p w14:paraId="368E2880" w14:textId="5120403F"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FCTC (2025) </w:t>
      </w:r>
      <w:r w:rsidRPr="00EF7FC8">
        <w:rPr>
          <w:rFonts w:ascii="Arial" w:eastAsia="Times New Roman" w:hAnsi="Arial" w:cs="Arial"/>
          <w:i/>
          <w:iCs/>
          <w:sz w:val="22"/>
          <w:szCs w:val="22"/>
          <w:lang w:eastAsia="en-GB"/>
          <w14:ligatures w14:val="none"/>
        </w:rPr>
        <w:t xml:space="preserve">The four steps to implementing prevention and health interventions | </w:t>
      </w:r>
      <w:r w:rsidR="009845DE" w:rsidRPr="00EF7FC8">
        <w:rPr>
          <w:rFonts w:ascii="Arial" w:eastAsia="Times New Roman" w:hAnsi="Arial" w:cs="Arial"/>
          <w:i/>
          <w:iCs/>
          <w:sz w:val="22"/>
          <w:szCs w:val="22"/>
          <w:lang w:eastAsia="en-GB"/>
          <w14:ligatures w14:val="none"/>
        </w:rPr>
        <w:t>WHO</w:t>
      </w:r>
      <w:r w:rsidRPr="00EF7FC8">
        <w:rPr>
          <w:rFonts w:ascii="Arial" w:eastAsia="Times New Roman" w:hAnsi="Arial" w:cs="Arial"/>
          <w:i/>
          <w:iCs/>
          <w:sz w:val="22"/>
          <w:szCs w:val="22"/>
          <w:lang w:eastAsia="en-GB"/>
          <w14:ligatures w14:val="none"/>
        </w:rPr>
        <w:t xml:space="preserve"> FCTC</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Who.int</w:t>
      </w:r>
      <w:r w:rsidRPr="00EF7FC8">
        <w:rPr>
          <w:rFonts w:ascii="Arial" w:eastAsia="Times New Roman" w:hAnsi="Arial" w:cs="Arial"/>
          <w:sz w:val="22"/>
          <w:szCs w:val="22"/>
          <w:lang w:eastAsia="en-GB"/>
          <w14:ligatures w14:val="none"/>
        </w:rPr>
        <w:t>. Available at: https://extranet.who.int/fctcapps/fctcapps/fctc/kh/article12/four-steps-implementing-prevention-and-health-interventions (Accessed: July 27, 2026).</w:t>
      </w:r>
    </w:p>
    <w:p w14:paraId="06B4992F" w14:textId="50EF35C6"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val="fr-FR" w:eastAsia="en-GB"/>
          <w14:ligatures w14:val="none"/>
        </w:rPr>
        <w:t xml:space="preserve">Fletcher, R.A. </w:t>
      </w:r>
      <w:r w:rsidRPr="00EF7FC8">
        <w:rPr>
          <w:rFonts w:ascii="Arial" w:eastAsia="Times New Roman" w:hAnsi="Arial" w:cs="Arial"/>
          <w:i/>
          <w:iCs/>
          <w:sz w:val="22"/>
          <w:szCs w:val="22"/>
          <w:lang w:val="fr-FR" w:eastAsia="en-GB"/>
          <w14:ligatures w14:val="none"/>
        </w:rPr>
        <w:t>et al.</w:t>
      </w:r>
      <w:r w:rsidRPr="00EF7FC8">
        <w:rPr>
          <w:rFonts w:ascii="Arial" w:eastAsia="Times New Roman" w:hAnsi="Arial" w:cs="Arial"/>
          <w:sz w:val="22"/>
          <w:szCs w:val="22"/>
          <w:lang w:val="fr-FR" w:eastAsia="en-GB"/>
          <w14:ligatures w14:val="none"/>
        </w:rPr>
        <w:t xml:space="preserve"> </w:t>
      </w:r>
      <w:r w:rsidRPr="00EF7FC8">
        <w:rPr>
          <w:rFonts w:ascii="Arial" w:eastAsia="Times New Roman" w:hAnsi="Arial" w:cs="Arial"/>
          <w:sz w:val="22"/>
          <w:szCs w:val="22"/>
          <w:lang w:eastAsia="en-GB"/>
          <w14:ligatures w14:val="none"/>
        </w:rPr>
        <w:t xml:space="preserve">(2019) “Whole-population trends in obesity across dimensions of inequality in England, 2019–25: A retrospective, longitudinal cohort study of 54 million adults,” </w:t>
      </w:r>
      <w:r w:rsidRPr="00EF7FC8">
        <w:rPr>
          <w:rFonts w:ascii="Arial" w:eastAsia="Times New Roman" w:hAnsi="Arial" w:cs="Arial"/>
          <w:i/>
          <w:iCs/>
          <w:sz w:val="22"/>
          <w:szCs w:val="22"/>
          <w:lang w:eastAsia="en-GB"/>
          <w14:ligatures w14:val="none"/>
        </w:rPr>
        <w:t xml:space="preserve">The lancet diabetes &amp; </w:t>
      </w:r>
      <w:r w:rsidR="009845DE" w:rsidRPr="00EF7FC8">
        <w:rPr>
          <w:rFonts w:ascii="Arial" w:eastAsia="Times New Roman" w:hAnsi="Arial" w:cs="Arial"/>
          <w:i/>
          <w:iCs/>
          <w:sz w:val="22"/>
          <w:szCs w:val="22"/>
          <w:lang w:eastAsia="en-GB"/>
          <w14:ligatures w14:val="none"/>
        </w:rPr>
        <w:t>Endocrinology</w:t>
      </w:r>
      <w:r w:rsidRPr="00EF7FC8">
        <w:rPr>
          <w:rFonts w:ascii="Arial" w:eastAsia="Times New Roman" w:hAnsi="Arial" w:cs="Arial"/>
          <w:sz w:val="22"/>
          <w:szCs w:val="22"/>
          <w:lang w:eastAsia="en-GB"/>
          <w14:ligatures w14:val="none"/>
        </w:rPr>
        <w:t>, 0(0). Available at: https://doi.org/10.1016/S2213-8587(26)00120-8.</w:t>
      </w:r>
    </w:p>
    <w:p w14:paraId="59655C04" w14:textId="4DFDEB16"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Gardner, M.P.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(2022) “Risk of Progression from Pre</w:t>
      </w:r>
      <w:r w:rsidRPr="00EF7FC8">
        <w:rPr>
          <w:rFonts w:ascii="Cambria Math" w:eastAsia="Times New Roman" w:hAnsi="Cambria Math" w:cs="Cambria Math"/>
          <w:sz w:val="22"/>
          <w:szCs w:val="22"/>
          <w:lang w:eastAsia="en-GB"/>
          <w14:ligatures w14:val="none"/>
        </w:rPr>
        <w:t>‐</w:t>
      </w:r>
      <w:r w:rsidRPr="00EF7FC8">
        <w:rPr>
          <w:rFonts w:ascii="Arial" w:eastAsia="Times New Roman" w:hAnsi="Arial" w:cs="Arial"/>
          <w:sz w:val="22"/>
          <w:szCs w:val="22"/>
          <w:lang w:eastAsia="en-GB"/>
          <w14:ligatures w14:val="none"/>
        </w:rPr>
        <w:t xml:space="preserve">diabetes to Type 2 diabetes in a large &lt;scp&gt;UK&lt;/scp&gt; adult cohort,” </w:t>
      </w:r>
      <w:r w:rsidRPr="00EF7FC8">
        <w:rPr>
          <w:rFonts w:ascii="Arial" w:eastAsia="Times New Roman" w:hAnsi="Arial" w:cs="Arial"/>
          <w:i/>
          <w:iCs/>
          <w:sz w:val="22"/>
          <w:szCs w:val="22"/>
          <w:lang w:eastAsia="en-GB"/>
          <w14:ligatures w14:val="none"/>
        </w:rPr>
        <w:t xml:space="preserve">Diabetic </w:t>
      </w:r>
      <w:r w:rsidR="009845DE" w:rsidRPr="00EF7FC8">
        <w:rPr>
          <w:rFonts w:ascii="Arial" w:eastAsia="Times New Roman" w:hAnsi="Arial" w:cs="Arial"/>
          <w:i/>
          <w:iCs/>
          <w:sz w:val="22"/>
          <w:szCs w:val="22"/>
          <w:lang w:eastAsia="en-GB"/>
          <w14:ligatures w14:val="none"/>
        </w:rPr>
        <w:t>Medicine</w:t>
      </w:r>
      <w:r w:rsidRPr="00EF7FC8">
        <w:rPr>
          <w:rFonts w:ascii="Arial" w:eastAsia="Times New Roman" w:hAnsi="Arial" w:cs="Arial"/>
          <w:sz w:val="22"/>
          <w:szCs w:val="22"/>
          <w:lang w:eastAsia="en-GB"/>
          <w14:ligatures w14:val="none"/>
        </w:rPr>
        <w:t xml:space="preserve">, 40(3). Available at: </w:t>
      </w:r>
      <w:hyperlink r:id="rId11" w:history="1">
        <w:r w:rsidR="00BC1070" w:rsidRPr="00EF7FC8">
          <w:rPr>
            <w:rStyle w:val="Hyperlink"/>
            <w:rFonts w:ascii="Arial" w:eastAsia="Times New Roman" w:hAnsi="Arial" w:cs="Arial"/>
            <w:sz w:val="22"/>
            <w:szCs w:val="22"/>
            <w:lang w:eastAsia="en-GB"/>
            <w14:ligatures w14:val="none"/>
          </w:rPr>
          <w:t>https://doi.org/10.1111/dme.14996</w:t>
        </w:r>
      </w:hyperlink>
      <w:r w:rsidRPr="00EF7FC8">
        <w:rPr>
          <w:rFonts w:ascii="Arial" w:eastAsia="Times New Roman" w:hAnsi="Arial" w:cs="Arial"/>
          <w:sz w:val="22"/>
          <w:szCs w:val="22"/>
          <w:lang w:eastAsia="en-GB"/>
          <w14:ligatures w14:val="none"/>
        </w:rPr>
        <w:t>.</w:t>
      </w:r>
    </w:p>
    <w:p w14:paraId="2A94ED41" w14:textId="30C8285A" w:rsidR="00BC1070" w:rsidRPr="00EF7FC8" w:rsidRDefault="00BC1070"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Greater Manchester Integrated Care (2022) </w:t>
      </w:r>
      <w:r w:rsidRPr="00EF7FC8">
        <w:rPr>
          <w:rFonts w:ascii="Arial" w:eastAsia="Times New Roman" w:hAnsi="Arial" w:cs="Arial"/>
          <w:i/>
          <w:iCs/>
          <w:sz w:val="22"/>
          <w:szCs w:val="22"/>
          <w:lang w:eastAsia="en-GB"/>
          <w14:ligatures w14:val="none"/>
        </w:rPr>
        <w:t>Tackling Diabetes Together Greater Manchester Diabetes Strategy 2022-2027</w:t>
      </w:r>
      <w:r w:rsidRPr="00EF7FC8">
        <w:rPr>
          <w:rFonts w:ascii="Arial" w:eastAsia="Times New Roman" w:hAnsi="Arial" w:cs="Arial"/>
          <w:sz w:val="22"/>
          <w:szCs w:val="22"/>
          <w:lang w:eastAsia="en-GB"/>
          <w14:ligatures w14:val="none"/>
        </w:rPr>
        <w:t xml:space="preserve">, </w:t>
      </w:r>
      <w:hyperlink r:id="rId12" w:history="1">
        <w:r w:rsidRPr="00EF7FC8">
          <w:rPr>
            <w:rStyle w:val="Hyperlink"/>
            <w:rFonts w:ascii="Arial" w:eastAsia="Times New Roman" w:hAnsi="Arial" w:cs="Arial"/>
            <w:i/>
            <w:iCs/>
            <w:sz w:val="22"/>
            <w:szCs w:val="22"/>
            <w:lang w:eastAsia="en-GB"/>
            <w14:ligatures w14:val="none"/>
          </w:rPr>
          <w:t>https://gmintegratedcare.org.uk/wp-content/uploads/2024/03/gm-icp-tackling-diabetes-together-greater-manchetser-diabetes-strategy-2022-2027.pdf</w:t>
        </w:r>
      </w:hyperlink>
      <w:r w:rsidRPr="00EF7FC8">
        <w:rPr>
          <w:rFonts w:ascii="Arial" w:eastAsia="Times New Roman" w:hAnsi="Arial" w:cs="Arial"/>
          <w:sz w:val="22"/>
          <w:szCs w:val="22"/>
          <w:lang w:eastAsia="en-GB"/>
          <w14:ligatures w14:val="none"/>
        </w:rPr>
        <w:t xml:space="preserve">. </w:t>
      </w:r>
    </w:p>
    <w:p w14:paraId="2087EB48" w14:textId="501EBCC4"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Greater Manchester Integrated Care (2024) </w:t>
      </w:r>
      <w:r w:rsidRPr="00EF7FC8">
        <w:rPr>
          <w:rFonts w:ascii="Arial" w:eastAsia="Times New Roman" w:hAnsi="Arial" w:cs="Arial"/>
          <w:i/>
          <w:iCs/>
          <w:sz w:val="22"/>
          <w:szCs w:val="22"/>
          <w:lang w:eastAsia="en-GB"/>
          <w14:ligatures w14:val="none"/>
        </w:rPr>
        <w:t>Diabetes archives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Greater Manchester Integrated Care Partnership</w:t>
      </w:r>
      <w:r w:rsidRPr="00EF7FC8">
        <w:rPr>
          <w:rFonts w:ascii="Arial" w:eastAsia="Times New Roman" w:hAnsi="Arial" w:cs="Arial"/>
          <w:sz w:val="22"/>
          <w:szCs w:val="22"/>
          <w:lang w:eastAsia="en-GB"/>
          <w14:ligatures w14:val="none"/>
        </w:rPr>
        <w:t xml:space="preserve">. Available at: </w:t>
      </w:r>
      <w:hyperlink r:id="rId13" w:history="1">
        <w:r w:rsidR="00BC1070" w:rsidRPr="00EF7FC8">
          <w:rPr>
            <w:rStyle w:val="Hyperlink"/>
            <w:rFonts w:ascii="Arial" w:eastAsia="Times New Roman" w:hAnsi="Arial" w:cs="Arial"/>
            <w:sz w:val="22"/>
            <w:szCs w:val="22"/>
            <w:lang w:eastAsia="en-GB"/>
            <w14:ligatures w14:val="none"/>
          </w:rPr>
          <w:t>https://gmintegratedcare.org.uk/plan-theme/diabetes/</w:t>
        </w:r>
      </w:hyperlink>
      <w:r w:rsidR="00BC1070"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sz w:val="22"/>
          <w:szCs w:val="22"/>
          <w:lang w:eastAsia="en-GB"/>
          <w14:ligatures w14:val="none"/>
        </w:rPr>
        <w:t xml:space="preserve"> (Accessed: July 27, 2026).</w:t>
      </w:r>
    </w:p>
    <w:p w14:paraId="1959FD3A" w14:textId="067CEECD"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HM Government (2014) “From evidence into action: Opportunities to protect and improve the nation’s health.” Available at: </w:t>
      </w:r>
      <w:hyperlink r:id="rId14" w:history="1">
        <w:r w:rsidR="00BC1070" w:rsidRPr="00EF7FC8">
          <w:rPr>
            <w:rStyle w:val="Hyperlink"/>
            <w:rFonts w:ascii="Arial" w:eastAsia="Times New Roman" w:hAnsi="Arial" w:cs="Arial"/>
            <w:sz w:val="22"/>
            <w:szCs w:val="22"/>
            <w:lang w:eastAsia="en-GB"/>
            <w14:ligatures w14:val="none"/>
          </w:rPr>
          <w:t>https://www.gov.uk/government/uploads/system/uploads/attachment_data/file/366852/PHE_Priorities.pdf</w:t>
        </w:r>
      </w:hyperlink>
      <w:r w:rsidR="00BC1070"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sz w:val="22"/>
          <w:szCs w:val="22"/>
          <w:lang w:eastAsia="en-GB"/>
          <w14:ligatures w14:val="none"/>
        </w:rPr>
        <w:t xml:space="preserve"> (Accessed: July 28, 2026).</w:t>
      </w:r>
    </w:p>
    <w:p w14:paraId="2C546C45" w14:textId="5DB7FC0E"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I Rootman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(2001) “A framework for health promotion evaluation,” </w:t>
      </w:r>
      <w:r w:rsidR="009845DE" w:rsidRPr="00EF7FC8">
        <w:rPr>
          <w:rFonts w:ascii="Arial" w:eastAsia="Times New Roman" w:hAnsi="Arial" w:cs="Arial"/>
          <w:i/>
          <w:iCs/>
          <w:sz w:val="22"/>
          <w:szCs w:val="22"/>
          <w:lang w:eastAsia="en-GB"/>
          <w14:ligatures w14:val="none"/>
        </w:rPr>
        <w:t>WHO</w:t>
      </w:r>
      <w:r w:rsidRPr="00EF7FC8">
        <w:rPr>
          <w:rFonts w:ascii="Arial" w:eastAsia="Times New Roman" w:hAnsi="Arial" w:cs="Arial"/>
          <w:i/>
          <w:iCs/>
          <w:sz w:val="22"/>
          <w:szCs w:val="22"/>
          <w:lang w:eastAsia="en-GB"/>
          <w14:ligatures w14:val="none"/>
        </w:rPr>
        <w:t xml:space="preserve"> regional publications. European series</w:t>
      </w:r>
      <w:r w:rsidRPr="00EF7FC8">
        <w:rPr>
          <w:rFonts w:ascii="Arial" w:eastAsia="Times New Roman" w:hAnsi="Arial" w:cs="Arial"/>
          <w:sz w:val="22"/>
          <w:szCs w:val="22"/>
          <w:lang w:eastAsia="en-GB"/>
          <w14:ligatures w14:val="none"/>
        </w:rPr>
        <w:t xml:space="preserve">, (92), pp. 7–38. Available at: </w:t>
      </w:r>
      <w:hyperlink r:id="rId15" w:history="1">
        <w:r w:rsidR="00BC1070" w:rsidRPr="00EF7FC8">
          <w:rPr>
            <w:rStyle w:val="Hyperlink"/>
            <w:rFonts w:ascii="Arial" w:eastAsia="Times New Roman" w:hAnsi="Arial" w:cs="Arial"/>
            <w:sz w:val="22"/>
            <w:szCs w:val="22"/>
            <w:lang w:eastAsia="en-GB"/>
            <w14:ligatures w14:val="none"/>
          </w:rPr>
          <w:t>https://www.researchgate.net/publication/11625834_A_framework_for_health_promotion_evaluation</w:t>
        </w:r>
      </w:hyperlink>
      <w:r w:rsidR="00BC1070"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sz w:val="22"/>
          <w:szCs w:val="22"/>
          <w:lang w:eastAsia="en-GB"/>
          <w14:ligatures w14:val="none"/>
        </w:rPr>
        <w:t xml:space="preserve"> (Accessed: July 28, 2026).</w:t>
      </w:r>
    </w:p>
    <w:p w14:paraId="3DCA5082"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lastRenderedPageBreak/>
        <w:t xml:space="preserve">International Diabetes Federation (2024) </w:t>
      </w:r>
      <w:r w:rsidRPr="00EF7FC8">
        <w:rPr>
          <w:rFonts w:ascii="Arial" w:eastAsia="Times New Roman" w:hAnsi="Arial" w:cs="Arial"/>
          <w:i/>
          <w:iCs/>
          <w:sz w:val="22"/>
          <w:szCs w:val="22"/>
          <w:lang w:eastAsia="en-GB"/>
          <w14:ligatures w14:val="none"/>
        </w:rPr>
        <w:t>International diabetes federation - home</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idf.org</w:t>
      </w:r>
      <w:r w:rsidRPr="00EF7FC8">
        <w:rPr>
          <w:rFonts w:ascii="Arial" w:eastAsia="Times New Roman" w:hAnsi="Arial" w:cs="Arial"/>
          <w:sz w:val="22"/>
          <w:szCs w:val="22"/>
          <w:lang w:eastAsia="en-GB"/>
          <w14:ligatures w14:val="none"/>
        </w:rPr>
        <w:t>. Available at: https://idf.org/ (Accessed: July 27, 2026).</w:t>
      </w:r>
    </w:p>
    <w:p w14:paraId="157F62F8" w14:textId="7C1E5029"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Kan, M.P.H. and Fabrigar, L.R. (2017) “Theory of planned </w:t>
      </w:r>
      <w:r w:rsidR="009845DE" w:rsidRPr="00EF7FC8">
        <w:rPr>
          <w:rFonts w:ascii="Arial" w:eastAsia="Times New Roman" w:hAnsi="Arial" w:cs="Arial"/>
          <w:sz w:val="22"/>
          <w:szCs w:val="22"/>
          <w:lang w:eastAsia="en-GB"/>
          <w14:ligatures w14:val="none"/>
        </w:rPr>
        <w:t>behaviour</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Encyclopedia of personality and individual differences</w:t>
      </w:r>
      <w:r w:rsidRPr="00EF7FC8">
        <w:rPr>
          <w:rFonts w:ascii="Arial" w:eastAsia="Times New Roman" w:hAnsi="Arial" w:cs="Arial"/>
          <w:sz w:val="22"/>
          <w:szCs w:val="22"/>
          <w:lang w:eastAsia="en-GB"/>
          <w14:ligatures w14:val="none"/>
        </w:rPr>
        <w:t>, pp. 1–8. Available at: https://doi.org/10.1007/978-3-319-28099-8_1191-1.</w:t>
      </w:r>
    </w:p>
    <w:p w14:paraId="53049278" w14:textId="4B5AE0B8"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Khunti, K.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(2025) “Burden of long-term conditions and management of people with overweight and obesity: Data from the </w:t>
      </w:r>
      <w:r w:rsidR="009845DE" w:rsidRPr="00EF7FC8">
        <w:rPr>
          <w:rFonts w:ascii="Arial" w:eastAsia="Times New Roman" w:hAnsi="Arial" w:cs="Arial"/>
          <w:sz w:val="22"/>
          <w:szCs w:val="22"/>
          <w:lang w:eastAsia="en-GB"/>
          <w14:ligatures w14:val="none"/>
        </w:rPr>
        <w:t>United Kingdom</w:t>
      </w:r>
      <w:r w:rsidRPr="00EF7FC8">
        <w:rPr>
          <w:rFonts w:ascii="Arial" w:eastAsia="Times New Roman" w:hAnsi="Arial" w:cs="Arial"/>
          <w:sz w:val="22"/>
          <w:szCs w:val="22"/>
          <w:lang w:eastAsia="en-GB"/>
          <w14:ligatures w14:val="none"/>
        </w:rPr>
        <w:t xml:space="preserve"> primary care cohort of the </w:t>
      </w:r>
      <w:r w:rsidR="009845DE" w:rsidRPr="00EF7FC8">
        <w:rPr>
          <w:rFonts w:ascii="Arial" w:eastAsia="Times New Roman" w:hAnsi="Arial" w:cs="Arial"/>
          <w:sz w:val="22"/>
          <w:szCs w:val="22"/>
          <w:lang w:eastAsia="en-GB"/>
          <w14:ligatures w14:val="none"/>
        </w:rPr>
        <w:t>IMPACT-O</w:t>
      </w:r>
      <w:r w:rsidRPr="00EF7FC8">
        <w:rPr>
          <w:rFonts w:ascii="Arial" w:eastAsia="Times New Roman" w:hAnsi="Arial" w:cs="Arial"/>
          <w:sz w:val="22"/>
          <w:szCs w:val="22"/>
          <w:lang w:eastAsia="en-GB"/>
          <w14:ligatures w14:val="none"/>
        </w:rPr>
        <w:t xml:space="preserve"> study,” </w:t>
      </w:r>
      <w:r w:rsidRPr="00EF7FC8">
        <w:rPr>
          <w:rFonts w:ascii="Arial" w:eastAsia="Times New Roman" w:hAnsi="Arial" w:cs="Arial"/>
          <w:i/>
          <w:iCs/>
          <w:sz w:val="22"/>
          <w:szCs w:val="22"/>
          <w:lang w:eastAsia="en-GB"/>
          <w14:ligatures w14:val="none"/>
        </w:rPr>
        <w:t>Diabetes, obesity &amp; metabolism</w:t>
      </w:r>
      <w:r w:rsidRPr="00EF7FC8">
        <w:rPr>
          <w:rFonts w:ascii="Arial" w:eastAsia="Times New Roman" w:hAnsi="Arial" w:cs="Arial"/>
          <w:sz w:val="22"/>
          <w:szCs w:val="22"/>
          <w:lang w:eastAsia="en-GB"/>
          <w14:ligatures w14:val="none"/>
        </w:rPr>
        <w:t>, p. 10.1111/dom.70345. Available at: https://doi.org/10.1111/dom.70345.</w:t>
      </w:r>
    </w:p>
    <w:p w14:paraId="7173DF48" w14:textId="6AF48E7E"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Murray, C.J. and Frenk, J. (2000) “A framework for assessing the performance of health systems,” </w:t>
      </w:r>
      <w:r w:rsidRPr="00EF7FC8">
        <w:rPr>
          <w:rFonts w:ascii="Arial" w:eastAsia="Times New Roman" w:hAnsi="Arial" w:cs="Arial"/>
          <w:i/>
          <w:iCs/>
          <w:sz w:val="22"/>
          <w:szCs w:val="22"/>
          <w:lang w:eastAsia="en-GB"/>
          <w14:ligatures w14:val="none"/>
        </w:rPr>
        <w:t xml:space="preserve">Bulletin of the </w:t>
      </w:r>
      <w:r w:rsidR="009845DE" w:rsidRPr="00EF7FC8">
        <w:rPr>
          <w:rFonts w:ascii="Arial" w:eastAsia="Times New Roman" w:hAnsi="Arial" w:cs="Arial"/>
          <w:i/>
          <w:iCs/>
          <w:sz w:val="22"/>
          <w:szCs w:val="22"/>
          <w:lang w:eastAsia="en-GB"/>
          <w14:ligatures w14:val="none"/>
        </w:rPr>
        <w:t>World Health Organisation</w:t>
      </w:r>
      <w:r w:rsidRPr="00EF7FC8">
        <w:rPr>
          <w:rFonts w:ascii="Arial" w:eastAsia="Times New Roman" w:hAnsi="Arial" w:cs="Arial"/>
          <w:sz w:val="22"/>
          <w:szCs w:val="22"/>
          <w:lang w:eastAsia="en-GB"/>
          <w14:ligatures w14:val="none"/>
        </w:rPr>
        <w:t>, 78(6), pp. 717–31. Available at: https://pubmed.ncbi.nlm.nih.gov/10916909/ (Accessed: July 28, 2026).</w:t>
      </w:r>
    </w:p>
    <w:p w14:paraId="0549B742"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Naidoo, J. and Wills, J. (2009) </w:t>
      </w:r>
      <w:r w:rsidRPr="00EF7FC8">
        <w:rPr>
          <w:rFonts w:ascii="Arial" w:eastAsia="Times New Roman" w:hAnsi="Arial" w:cs="Arial"/>
          <w:i/>
          <w:iCs/>
          <w:sz w:val="22"/>
          <w:szCs w:val="22"/>
          <w:lang w:eastAsia="en-GB"/>
          <w14:ligatures w14:val="none"/>
        </w:rPr>
        <w:t>Foundations for Health promotion</w:t>
      </w:r>
      <w:r w:rsidRPr="00EF7FC8">
        <w:rPr>
          <w:rFonts w:ascii="Arial" w:eastAsia="Times New Roman" w:hAnsi="Arial" w:cs="Arial"/>
          <w:sz w:val="22"/>
          <w:szCs w:val="22"/>
          <w:lang w:eastAsia="en-GB"/>
          <w14:ligatures w14:val="none"/>
        </w:rPr>
        <w:t>. 3rd ed. Edinburgh: Elsevier.</w:t>
      </w:r>
    </w:p>
    <w:p w14:paraId="78081A3E" w14:textId="66B6B890"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NHS (2023) </w:t>
      </w:r>
      <w:r w:rsidRPr="00EF7FC8">
        <w:rPr>
          <w:rFonts w:ascii="Arial" w:eastAsia="Times New Roman" w:hAnsi="Arial" w:cs="Arial"/>
          <w:i/>
          <w:iCs/>
          <w:sz w:val="22"/>
          <w:szCs w:val="22"/>
          <w:lang w:eastAsia="en-GB"/>
          <w14:ligatures w14:val="none"/>
        </w:rPr>
        <w:t xml:space="preserve">Greater </w:t>
      </w:r>
      <w:r w:rsidR="009845DE" w:rsidRPr="00EF7FC8">
        <w:rPr>
          <w:rFonts w:ascii="Arial" w:eastAsia="Times New Roman" w:hAnsi="Arial" w:cs="Arial"/>
          <w:i/>
          <w:iCs/>
          <w:sz w:val="22"/>
          <w:szCs w:val="22"/>
          <w:lang w:eastAsia="en-GB"/>
          <w14:ligatures w14:val="none"/>
        </w:rPr>
        <w:t>Manchester</w:t>
      </w:r>
      <w:r w:rsidRPr="00EF7FC8">
        <w:rPr>
          <w:rFonts w:ascii="Arial" w:eastAsia="Times New Roman" w:hAnsi="Arial" w:cs="Arial"/>
          <w:i/>
          <w:iCs/>
          <w:sz w:val="22"/>
          <w:szCs w:val="22"/>
          <w:lang w:eastAsia="en-GB"/>
          <w14:ligatures w14:val="none"/>
        </w:rPr>
        <w:t xml:space="preserve"> diabetes transition strategy draft objectives</w:t>
      </w:r>
      <w:r w:rsidRPr="00EF7FC8">
        <w:rPr>
          <w:rFonts w:ascii="Arial" w:eastAsia="Times New Roman" w:hAnsi="Arial" w:cs="Arial"/>
          <w:sz w:val="22"/>
          <w:szCs w:val="22"/>
          <w:lang w:eastAsia="en-GB"/>
          <w14:ligatures w14:val="none"/>
        </w:rPr>
        <w:t>. Available at: https://www.england.nhs.uk/north-west/wp-content/uploads/sites/48/2023/09/gm-diabetes-strategy-draft-objectives-for-review-september-2023.pdf (Accessed: July 27, 2026).</w:t>
      </w:r>
    </w:p>
    <w:p w14:paraId="69E3B05C" w14:textId="5528D994"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NHS (2025) </w:t>
      </w:r>
      <w:r w:rsidRPr="00EF7FC8">
        <w:rPr>
          <w:rFonts w:ascii="Arial" w:eastAsia="Times New Roman" w:hAnsi="Arial" w:cs="Arial"/>
          <w:i/>
          <w:iCs/>
          <w:sz w:val="22"/>
          <w:szCs w:val="22"/>
          <w:lang w:eastAsia="en-GB"/>
          <w14:ligatures w14:val="none"/>
        </w:rPr>
        <w:t xml:space="preserve">Integrated &amp; community services - </w:t>
      </w:r>
      <w:r w:rsidR="009845DE" w:rsidRPr="00EF7FC8">
        <w:rPr>
          <w:rFonts w:ascii="Arial" w:eastAsia="Times New Roman" w:hAnsi="Arial" w:cs="Arial"/>
          <w:i/>
          <w:iCs/>
          <w:sz w:val="22"/>
          <w:szCs w:val="22"/>
          <w:lang w:eastAsia="en-GB"/>
          <w14:ligatures w14:val="none"/>
        </w:rPr>
        <w:t>Oldham</w:t>
      </w:r>
      <w:r w:rsidRPr="00EF7FC8">
        <w:rPr>
          <w:rFonts w:ascii="Arial" w:eastAsia="Times New Roman" w:hAnsi="Arial" w:cs="Arial"/>
          <w:i/>
          <w:iCs/>
          <w:sz w:val="22"/>
          <w:szCs w:val="22"/>
          <w:lang w:eastAsia="en-GB"/>
          <w14:ligatures w14:val="none"/>
        </w:rPr>
        <w:t xml:space="preserve"> diabetes </w:t>
      </w:r>
      <w:proofErr w:type="gramStart"/>
      <w:r w:rsidRPr="00EF7FC8">
        <w:rPr>
          <w:rFonts w:ascii="Arial" w:eastAsia="Times New Roman" w:hAnsi="Arial" w:cs="Arial"/>
          <w:i/>
          <w:iCs/>
          <w:sz w:val="22"/>
          <w:szCs w:val="22"/>
          <w:lang w:eastAsia="en-GB"/>
          <w14:ligatures w14:val="none"/>
        </w:rPr>
        <w:t>service::</w:t>
      </w:r>
      <w:proofErr w:type="gramEnd"/>
      <w:r w:rsidRPr="00EF7FC8">
        <w:rPr>
          <w:rFonts w:ascii="Arial" w:eastAsia="Times New Roman" w:hAnsi="Arial" w:cs="Arial"/>
          <w:i/>
          <w:iCs/>
          <w:sz w:val="22"/>
          <w:szCs w:val="22"/>
          <w:lang w:eastAsia="en-GB"/>
          <w14:ligatures w14:val="none"/>
        </w:rPr>
        <w:t xml:space="preserve"> Northern care alliance</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Northerncarealliance.nhs.uk</w:t>
      </w:r>
      <w:r w:rsidRPr="00EF7FC8">
        <w:rPr>
          <w:rFonts w:ascii="Arial" w:eastAsia="Times New Roman" w:hAnsi="Arial" w:cs="Arial"/>
          <w:sz w:val="22"/>
          <w:szCs w:val="22"/>
          <w:lang w:eastAsia="en-GB"/>
          <w14:ligatures w14:val="none"/>
        </w:rPr>
        <w:t>. Available at: https://www.northerncarealliance.nhs.uk/patient-information/patient-leaflets/integrated-community-services-oldham-diabetes-service?q=%2fpatient-information%2fpatient-leaflets%2fintegrated-community-services-oldham-diabetes-service (Accessed: July 27, 2026).</w:t>
      </w:r>
    </w:p>
    <w:p w14:paraId="5EF1B2BB" w14:textId="2DACC505"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val="de-DE" w:eastAsia="en-GB"/>
          <w14:ligatures w14:val="none"/>
        </w:rPr>
        <w:t xml:space="preserve">NHS Digital (2024) </w:t>
      </w:r>
      <w:r w:rsidRPr="00EF7FC8">
        <w:rPr>
          <w:rFonts w:ascii="Arial" w:eastAsia="Times New Roman" w:hAnsi="Arial" w:cs="Arial"/>
          <w:i/>
          <w:iCs/>
          <w:sz w:val="22"/>
          <w:szCs w:val="22"/>
          <w:lang w:val="de-DE" w:eastAsia="en-GB"/>
          <w14:ligatures w14:val="none"/>
        </w:rPr>
        <w:t xml:space="preserve">National diabetes audit - NHS </w:t>
      </w:r>
      <w:r w:rsidR="009845DE" w:rsidRPr="00EF7FC8">
        <w:rPr>
          <w:rFonts w:ascii="Arial" w:eastAsia="Times New Roman" w:hAnsi="Arial" w:cs="Arial"/>
          <w:i/>
          <w:iCs/>
          <w:sz w:val="22"/>
          <w:szCs w:val="22"/>
          <w:lang w:val="de-DE" w:eastAsia="en-GB"/>
          <w14:ligatures w14:val="none"/>
        </w:rPr>
        <w:t>Digital</w:t>
      </w:r>
      <w:r w:rsidRPr="00EF7FC8">
        <w:rPr>
          <w:rFonts w:ascii="Arial" w:eastAsia="Times New Roman" w:hAnsi="Arial" w:cs="Arial"/>
          <w:sz w:val="22"/>
          <w:szCs w:val="22"/>
          <w:lang w:val="de-DE" w:eastAsia="en-GB"/>
          <w14:ligatures w14:val="none"/>
        </w:rPr>
        <w:t xml:space="preserve">, </w:t>
      </w:r>
      <w:r w:rsidRPr="00EF7FC8">
        <w:rPr>
          <w:rFonts w:ascii="Arial" w:eastAsia="Times New Roman" w:hAnsi="Arial" w:cs="Arial"/>
          <w:i/>
          <w:iCs/>
          <w:sz w:val="22"/>
          <w:szCs w:val="22"/>
          <w:lang w:val="de-DE" w:eastAsia="en-GB"/>
          <w14:ligatures w14:val="none"/>
        </w:rPr>
        <w:t>NHS Digital</w:t>
      </w:r>
      <w:r w:rsidRPr="00EF7FC8">
        <w:rPr>
          <w:rFonts w:ascii="Arial" w:eastAsia="Times New Roman" w:hAnsi="Arial" w:cs="Arial"/>
          <w:sz w:val="22"/>
          <w:szCs w:val="22"/>
          <w:lang w:val="de-DE" w:eastAsia="en-GB"/>
          <w14:ligatures w14:val="none"/>
        </w:rPr>
        <w:t xml:space="preserve">. </w:t>
      </w:r>
      <w:r w:rsidRPr="00EF7FC8">
        <w:rPr>
          <w:rFonts w:ascii="Arial" w:eastAsia="Times New Roman" w:hAnsi="Arial" w:cs="Arial"/>
          <w:sz w:val="22"/>
          <w:szCs w:val="22"/>
          <w:lang w:eastAsia="en-GB"/>
          <w14:ligatures w14:val="none"/>
        </w:rPr>
        <w:t>Available at: https://digital.nhs.uk/data-and-information/publications/statistical/national-diabetes-audit (Accessed: July 27, 2026).</w:t>
      </w:r>
    </w:p>
    <w:p w14:paraId="79628CB1"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NHS England (2019) </w:t>
      </w:r>
      <w:r w:rsidRPr="00EF7FC8">
        <w:rPr>
          <w:rFonts w:ascii="Arial" w:eastAsia="Times New Roman" w:hAnsi="Arial" w:cs="Arial"/>
          <w:i/>
          <w:iCs/>
          <w:sz w:val="22"/>
          <w:szCs w:val="22"/>
          <w:lang w:eastAsia="en-GB"/>
          <w14:ligatures w14:val="none"/>
        </w:rPr>
        <w:t>NHS England » diabetes treatment and care programme</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England.nhs.uk</w:t>
      </w:r>
      <w:r w:rsidRPr="00EF7FC8">
        <w:rPr>
          <w:rFonts w:ascii="Arial" w:eastAsia="Times New Roman" w:hAnsi="Arial" w:cs="Arial"/>
          <w:sz w:val="22"/>
          <w:szCs w:val="22"/>
          <w:lang w:eastAsia="en-GB"/>
          <w14:ligatures w14:val="none"/>
        </w:rPr>
        <w:t>. Available at: https://www.england.nhs.uk/diabetes/treatment-care/ (Accessed: July 27, 2026).</w:t>
      </w:r>
    </w:p>
    <w:p w14:paraId="54BC5D8F"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lastRenderedPageBreak/>
        <w:t>NHS England (2024) “Publication reference: Prn01104 classification: Official.” Available at: https://www.england.nhs.uk/wp-content/uploads/2024/03/PRN01104-Quality-and-outcomes-framework-guidance-for-2024-25.pdf (Accessed: July 27, 2026).</w:t>
      </w:r>
    </w:p>
    <w:p w14:paraId="595E0925"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NIHR (2022) </w:t>
      </w:r>
      <w:r w:rsidRPr="00EF7FC8">
        <w:rPr>
          <w:rFonts w:ascii="Arial" w:eastAsia="Times New Roman" w:hAnsi="Arial" w:cs="Arial"/>
          <w:i/>
          <w:iCs/>
          <w:sz w:val="22"/>
          <w:szCs w:val="22"/>
          <w:lang w:eastAsia="en-GB"/>
          <w14:ligatures w14:val="none"/>
        </w:rPr>
        <w:t>Prioritising Action on Diabetes in Greater Manchester</w:t>
      </w:r>
      <w:r w:rsidRPr="00EF7FC8">
        <w:rPr>
          <w:rFonts w:ascii="Arial" w:eastAsia="Times New Roman" w:hAnsi="Arial" w:cs="Arial"/>
          <w:sz w:val="22"/>
          <w:szCs w:val="22"/>
          <w:lang w:eastAsia="en-GB"/>
          <w14:ligatures w14:val="none"/>
        </w:rPr>
        <w:t>. Available at: https://arc-gm.nihr.ac.uk/media/Resources/Diabetes/Prioritising%20Action%20on%20Diabetes%20in%20Greater%20Manchester_Final%20report_FINAL_15MAR22.pdf (Accessed: July 27, 2026).</w:t>
      </w:r>
    </w:p>
    <w:p w14:paraId="0791B440"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NIHR (2024) </w:t>
      </w:r>
      <w:r w:rsidRPr="00EF7FC8">
        <w:rPr>
          <w:rFonts w:ascii="Arial" w:eastAsia="Times New Roman" w:hAnsi="Arial" w:cs="Arial"/>
          <w:i/>
          <w:iCs/>
          <w:sz w:val="22"/>
          <w:szCs w:val="22"/>
          <w:lang w:eastAsia="en-GB"/>
          <w14:ligatures w14:val="none"/>
        </w:rPr>
        <w:t>NHS prevention programme cuts chances of type 2 diabetes for thousands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Nihr.ac.uk</w:t>
      </w:r>
      <w:r w:rsidRPr="00EF7FC8">
        <w:rPr>
          <w:rFonts w:ascii="Arial" w:eastAsia="Times New Roman" w:hAnsi="Arial" w:cs="Arial"/>
          <w:sz w:val="22"/>
          <w:szCs w:val="22"/>
          <w:lang w:eastAsia="en-GB"/>
          <w14:ligatures w14:val="none"/>
        </w:rPr>
        <w:t>. Available at: https://www.nihr.ac.uk/news/nhs-prevention-programme-cuts-chances-type-2-diabetes-thousands (Accessed: July 27, 2026).</w:t>
      </w:r>
    </w:p>
    <w:p w14:paraId="7BBCACA0"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OCHD (2022) </w:t>
      </w:r>
      <w:proofErr w:type="gramStart"/>
      <w:r w:rsidRPr="00EF7FC8">
        <w:rPr>
          <w:rFonts w:ascii="Arial" w:eastAsia="Times New Roman" w:hAnsi="Arial" w:cs="Arial"/>
          <w:i/>
          <w:iCs/>
          <w:sz w:val="22"/>
          <w:szCs w:val="22"/>
          <w:lang w:eastAsia="en-GB"/>
          <w14:ligatures w14:val="none"/>
        </w:rPr>
        <w:t>Diabetes - oldham county</w:t>
      </w:r>
      <w:proofErr w:type="gramEnd"/>
      <w:r w:rsidRPr="00EF7FC8">
        <w:rPr>
          <w:rFonts w:ascii="Arial" w:eastAsia="Times New Roman" w:hAnsi="Arial" w:cs="Arial"/>
          <w:i/>
          <w:iCs/>
          <w:sz w:val="22"/>
          <w:szCs w:val="22"/>
          <w:lang w:eastAsia="en-GB"/>
          <w14:ligatures w14:val="none"/>
        </w:rPr>
        <w:t xml:space="preserve"> health department</w:t>
      </w:r>
      <w:r w:rsidRPr="00EF7FC8">
        <w:rPr>
          <w:rFonts w:ascii="Arial" w:eastAsia="Times New Roman" w:hAnsi="Arial" w:cs="Arial"/>
          <w:sz w:val="22"/>
          <w:szCs w:val="22"/>
          <w:lang w:eastAsia="en-GB"/>
          <w14:ligatures w14:val="none"/>
        </w:rPr>
        <w:t xml:space="preserve">, </w:t>
      </w:r>
      <w:proofErr w:type="gramStart"/>
      <w:r w:rsidRPr="00EF7FC8">
        <w:rPr>
          <w:rFonts w:ascii="Arial" w:eastAsia="Times New Roman" w:hAnsi="Arial" w:cs="Arial"/>
          <w:i/>
          <w:iCs/>
          <w:sz w:val="22"/>
          <w:szCs w:val="22"/>
          <w:lang w:eastAsia="en-GB"/>
          <w14:ligatures w14:val="none"/>
        </w:rPr>
        <w:t>Oldham county</w:t>
      </w:r>
      <w:proofErr w:type="gramEnd"/>
      <w:r w:rsidRPr="00EF7FC8">
        <w:rPr>
          <w:rFonts w:ascii="Arial" w:eastAsia="Times New Roman" w:hAnsi="Arial" w:cs="Arial"/>
          <w:i/>
          <w:iCs/>
          <w:sz w:val="22"/>
          <w:szCs w:val="22"/>
          <w:lang w:eastAsia="en-GB"/>
          <w14:ligatures w14:val="none"/>
        </w:rPr>
        <w:t xml:space="preserve"> health department</w:t>
      </w:r>
      <w:r w:rsidRPr="00EF7FC8">
        <w:rPr>
          <w:rFonts w:ascii="Arial" w:eastAsia="Times New Roman" w:hAnsi="Arial" w:cs="Arial"/>
          <w:sz w:val="22"/>
          <w:szCs w:val="22"/>
          <w:lang w:eastAsia="en-GB"/>
          <w14:ligatures w14:val="none"/>
        </w:rPr>
        <w:t>. Available at: https://oldhamcountyhealthdepartment.org/community/health-education/diabetes/ (Accessed: July 27, 2026).</w:t>
      </w:r>
    </w:p>
    <w:p w14:paraId="10376ADE"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O’Connor-Fleming, M.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(2006) “A framework for evaluating health promotion programs,” </w:t>
      </w:r>
      <w:r w:rsidRPr="00EF7FC8">
        <w:rPr>
          <w:rFonts w:ascii="Arial" w:eastAsia="Times New Roman" w:hAnsi="Arial" w:cs="Arial"/>
          <w:i/>
          <w:iCs/>
          <w:sz w:val="22"/>
          <w:szCs w:val="22"/>
          <w:lang w:eastAsia="en-GB"/>
          <w14:ligatures w14:val="none"/>
        </w:rPr>
        <w:t>Health promotion journal of Australia</w:t>
      </w:r>
      <w:r w:rsidRPr="00EF7FC8">
        <w:rPr>
          <w:rFonts w:ascii="Arial" w:eastAsia="Times New Roman" w:hAnsi="Arial" w:cs="Arial"/>
          <w:sz w:val="22"/>
          <w:szCs w:val="22"/>
          <w:lang w:eastAsia="en-GB"/>
          <w14:ligatures w14:val="none"/>
        </w:rPr>
        <w:t>, 17(1), pp. 61–66. Available at: https://doi.org/10.1071/he06061.</w:t>
      </w:r>
    </w:p>
    <w:p w14:paraId="390B7A20" w14:textId="3A109F8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Orenstein, W.A. and Bernier, R.H. (1990) “Surveillance. Information for action,” </w:t>
      </w:r>
      <w:r w:rsidRPr="00EF7FC8">
        <w:rPr>
          <w:rFonts w:ascii="Arial" w:eastAsia="Times New Roman" w:hAnsi="Arial" w:cs="Arial"/>
          <w:i/>
          <w:iCs/>
          <w:sz w:val="22"/>
          <w:szCs w:val="22"/>
          <w:lang w:eastAsia="en-GB"/>
          <w14:ligatures w14:val="none"/>
        </w:rPr>
        <w:t xml:space="preserve">Pediatric </w:t>
      </w:r>
      <w:r w:rsidR="009845DE" w:rsidRPr="00EF7FC8">
        <w:rPr>
          <w:rFonts w:ascii="Arial" w:eastAsia="Times New Roman" w:hAnsi="Arial" w:cs="Arial"/>
          <w:i/>
          <w:iCs/>
          <w:sz w:val="22"/>
          <w:szCs w:val="22"/>
          <w:lang w:eastAsia="en-GB"/>
          <w14:ligatures w14:val="none"/>
        </w:rPr>
        <w:t>Clinics</w:t>
      </w:r>
      <w:r w:rsidRPr="00EF7FC8">
        <w:rPr>
          <w:rFonts w:ascii="Arial" w:eastAsia="Times New Roman" w:hAnsi="Arial" w:cs="Arial"/>
          <w:i/>
          <w:iCs/>
          <w:sz w:val="22"/>
          <w:szCs w:val="22"/>
          <w:lang w:eastAsia="en-GB"/>
          <w14:ligatures w14:val="none"/>
        </w:rPr>
        <w:t xml:space="preserve"> of North </w:t>
      </w:r>
      <w:r w:rsidR="009845DE" w:rsidRPr="00EF7FC8">
        <w:rPr>
          <w:rFonts w:ascii="Arial" w:eastAsia="Times New Roman" w:hAnsi="Arial" w:cs="Arial"/>
          <w:i/>
          <w:iCs/>
          <w:sz w:val="22"/>
          <w:szCs w:val="22"/>
          <w:lang w:eastAsia="en-GB"/>
          <w14:ligatures w14:val="none"/>
        </w:rPr>
        <w:t>America</w:t>
      </w:r>
      <w:r w:rsidRPr="00EF7FC8">
        <w:rPr>
          <w:rFonts w:ascii="Arial" w:eastAsia="Times New Roman" w:hAnsi="Arial" w:cs="Arial"/>
          <w:sz w:val="22"/>
          <w:szCs w:val="22"/>
          <w:lang w:eastAsia="en-GB"/>
          <w14:ligatures w14:val="none"/>
        </w:rPr>
        <w:t>, 37(3), pp. 709–34. Available at: https://doi.org/10.1016/s0031-3955(16)36912-7.</w:t>
      </w:r>
    </w:p>
    <w:p w14:paraId="0858EF4D" w14:textId="77777777"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Public Health England (PHE) (2019) </w:t>
      </w:r>
      <w:r w:rsidRPr="00EF7FC8">
        <w:rPr>
          <w:rFonts w:ascii="Arial" w:eastAsia="Times New Roman" w:hAnsi="Arial" w:cs="Arial"/>
          <w:i/>
          <w:iCs/>
          <w:sz w:val="22"/>
          <w:szCs w:val="22"/>
          <w:lang w:eastAsia="en-GB"/>
          <w14:ligatures w14:val="none"/>
        </w:rPr>
        <w:t>Public health profiles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Phe.org.uk</w:t>
      </w:r>
      <w:r w:rsidRPr="00EF7FC8">
        <w:rPr>
          <w:rFonts w:ascii="Arial" w:eastAsia="Times New Roman" w:hAnsi="Arial" w:cs="Arial"/>
          <w:sz w:val="22"/>
          <w:szCs w:val="22"/>
          <w:lang w:eastAsia="en-GB"/>
          <w14:ligatures w14:val="none"/>
        </w:rPr>
        <w:t>. Available at: https://fingertips.phe.org.uk/profile/diabetes-ft (Accessed: July 27, 2026).</w:t>
      </w:r>
    </w:p>
    <w:p w14:paraId="56E10FFF" w14:textId="441B8FEB"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Ravindrarajah, R.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(2020) “Epidemiology and determinants of non-diabetic hyperglycaemia and its conversion to type 2 diabetes mellitus, 2000–2015: Cohort population study using UK electronic health records,” </w:t>
      </w:r>
      <w:r w:rsidRPr="00EF7FC8">
        <w:rPr>
          <w:rFonts w:ascii="Arial" w:eastAsia="Times New Roman" w:hAnsi="Arial" w:cs="Arial"/>
          <w:i/>
          <w:iCs/>
          <w:sz w:val="22"/>
          <w:szCs w:val="22"/>
          <w:lang w:eastAsia="en-GB"/>
          <w14:ligatures w14:val="none"/>
        </w:rPr>
        <w:t xml:space="preserve">BMJ </w:t>
      </w:r>
      <w:r w:rsidR="009845DE" w:rsidRPr="00EF7FC8">
        <w:rPr>
          <w:rFonts w:ascii="Arial" w:eastAsia="Times New Roman" w:hAnsi="Arial" w:cs="Arial"/>
          <w:i/>
          <w:iCs/>
          <w:sz w:val="22"/>
          <w:szCs w:val="22"/>
          <w:lang w:eastAsia="en-GB"/>
          <w14:ligatures w14:val="none"/>
        </w:rPr>
        <w:t>Open</w:t>
      </w:r>
      <w:r w:rsidRPr="00EF7FC8">
        <w:rPr>
          <w:rFonts w:ascii="Arial" w:eastAsia="Times New Roman" w:hAnsi="Arial" w:cs="Arial"/>
          <w:sz w:val="22"/>
          <w:szCs w:val="22"/>
          <w:lang w:eastAsia="en-GB"/>
          <w14:ligatures w14:val="none"/>
        </w:rPr>
        <w:t>, 10(9), p. e040201. Available at: https://doi.org/10.1136/bmjopen-2020-040201.</w:t>
      </w:r>
    </w:p>
    <w:p w14:paraId="132F9E3A" w14:textId="13D0BF0C" w:rsidR="00B024D4" w:rsidRPr="00EF7FC8" w:rsidRDefault="00B024D4" w:rsidP="00EF7FC8">
      <w:pPr>
        <w:spacing w:after="240" w:line="360" w:lineRule="auto"/>
        <w:rPr>
          <w:rFonts w:ascii="Arial" w:eastAsia="Times New Roman" w:hAnsi="Arial" w:cs="Arial"/>
          <w:sz w:val="22"/>
          <w:szCs w:val="22"/>
          <w:lang w:val="fr-FR" w:eastAsia="en-GB"/>
          <w14:ligatures w14:val="none"/>
        </w:rPr>
      </w:pPr>
      <w:r w:rsidRPr="00EF7FC8">
        <w:rPr>
          <w:rFonts w:ascii="Arial" w:eastAsia="Times New Roman" w:hAnsi="Arial" w:cs="Arial"/>
          <w:sz w:val="22"/>
          <w:szCs w:val="22"/>
          <w:lang w:eastAsia="en-GB"/>
          <w14:ligatures w14:val="none"/>
        </w:rPr>
        <w:t xml:space="preserve">Whelan, M. and Bell, L. (2022) “The english national health service diabetes prevention programme (NHS DPP): A scoping review of existing evidence,” </w:t>
      </w:r>
      <w:r w:rsidRPr="00EF7FC8">
        <w:rPr>
          <w:rFonts w:ascii="Arial" w:eastAsia="Times New Roman" w:hAnsi="Arial" w:cs="Arial"/>
          <w:i/>
          <w:iCs/>
          <w:sz w:val="22"/>
          <w:szCs w:val="22"/>
          <w:lang w:eastAsia="en-GB"/>
          <w14:ligatures w14:val="none"/>
        </w:rPr>
        <w:t xml:space="preserve">Diabetic </w:t>
      </w:r>
      <w:r w:rsidR="009845DE" w:rsidRPr="00EF7FC8">
        <w:rPr>
          <w:rFonts w:ascii="Arial" w:eastAsia="Times New Roman" w:hAnsi="Arial" w:cs="Arial"/>
          <w:i/>
          <w:iCs/>
          <w:sz w:val="22"/>
          <w:szCs w:val="22"/>
          <w:lang w:eastAsia="en-GB"/>
          <w14:ligatures w14:val="none"/>
        </w:rPr>
        <w:t>Medicine</w:t>
      </w:r>
      <w:r w:rsidRPr="00EF7FC8">
        <w:rPr>
          <w:rFonts w:ascii="Arial" w:eastAsia="Times New Roman" w:hAnsi="Arial" w:cs="Arial"/>
          <w:sz w:val="22"/>
          <w:szCs w:val="22"/>
          <w:lang w:eastAsia="en-GB"/>
          <w14:ligatures w14:val="none"/>
        </w:rPr>
        <w:t xml:space="preserve">, 39(7). </w:t>
      </w:r>
      <w:r w:rsidRPr="00EF7FC8">
        <w:rPr>
          <w:rFonts w:ascii="Arial" w:eastAsia="Times New Roman" w:hAnsi="Arial" w:cs="Arial"/>
          <w:sz w:val="22"/>
          <w:szCs w:val="22"/>
          <w:lang w:val="fr-FR" w:eastAsia="en-GB"/>
          <w14:ligatures w14:val="none"/>
        </w:rPr>
        <w:t>Available at: https://doi.org/10.1111/dme.14855.</w:t>
      </w:r>
    </w:p>
    <w:p w14:paraId="24D5E2D3" w14:textId="1469EA68"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val="fr-FR" w:eastAsia="en-GB"/>
          <w14:ligatures w14:val="none"/>
        </w:rPr>
        <w:lastRenderedPageBreak/>
        <w:t xml:space="preserve">Wight, D. </w:t>
      </w:r>
      <w:r w:rsidRPr="00EF7FC8">
        <w:rPr>
          <w:rFonts w:ascii="Arial" w:eastAsia="Times New Roman" w:hAnsi="Arial" w:cs="Arial"/>
          <w:i/>
          <w:iCs/>
          <w:sz w:val="22"/>
          <w:szCs w:val="22"/>
          <w:lang w:val="fr-FR" w:eastAsia="en-GB"/>
          <w14:ligatures w14:val="none"/>
        </w:rPr>
        <w:t>et al.</w:t>
      </w:r>
      <w:r w:rsidRPr="00EF7FC8">
        <w:rPr>
          <w:rFonts w:ascii="Arial" w:eastAsia="Times New Roman" w:hAnsi="Arial" w:cs="Arial"/>
          <w:sz w:val="22"/>
          <w:szCs w:val="22"/>
          <w:lang w:val="fr-FR" w:eastAsia="en-GB"/>
          <w14:ligatures w14:val="none"/>
        </w:rPr>
        <w:t xml:space="preserve"> </w:t>
      </w:r>
      <w:r w:rsidRPr="00EF7FC8">
        <w:rPr>
          <w:rFonts w:ascii="Arial" w:eastAsia="Times New Roman" w:hAnsi="Arial" w:cs="Arial"/>
          <w:sz w:val="22"/>
          <w:szCs w:val="22"/>
          <w:lang w:eastAsia="en-GB"/>
          <w14:ligatures w14:val="none"/>
        </w:rPr>
        <w:t xml:space="preserve">(2015) “Six steps in quality intervention development (6SQuID),” </w:t>
      </w:r>
      <w:r w:rsidRPr="00EF7FC8">
        <w:rPr>
          <w:rFonts w:ascii="Arial" w:eastAsia="Times New Roman" w:hAnsi="Arial" w:cs="Arial"/>
          <w:i/>
          <w:iCs/>
          <w:sz w:val="22"/>
          <w:szCs w:val="22"/>
          <w:lang w:eastAsia="en-GB"/>
          <w14:ligatures w14:val="none"/>
        </w:rPr>
        <w:t xml:space="preserve">Journal of Epidemiology and </w:t>
      </w:r>
      <w:r w:rsidR="009845DE" w:rsidRPr="00EF7FC8">
        <w:rPr>
          <w:rFonts w:ascii="Arial" w:eastAsia="Times New Roman" w:hAnsi="Arial" w:cs="Arial"/>
          <w:i/>
          <w:iCs/>
          <w:sz w:val="22"/>
          <w:szCs w:val="22"/>
          <w:lang w:eastAsia="en-GB"/>
          <w14:ligatures w14:val="none"/>
        </w:rPr>
        <w:t>Community Health</w:t>
      </w:r>
      <w:r w:rsidRPr="00EF7FC8">
        <w:rPr>
          <w:rFonts w:ascii="Arial" w:eastAsia="Times New Roman" w:hAnsi="Arial" w:cs="Arial"/>
          <w:sz w:val="22"/>
          <w:szCs w:val="22"/>
          <w:lang w:eastAsia="en-GB"/>
          <w14:ligatures w14:val="none"/>
        </w:rPr>
        <w:t>, 70(5), pp. 520–525. Available at: https://doi.org/10.1136/jech-2015-205952.</w:t>
      </w:r>
    </w:p>
    <w:p w14:paraId="3C6B84A1" w14:textId="7C013CDB"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World Health </w:t>
      </w:r>
      <w:r w:rsidR="009845DE" w:rsidRPr="00EF7FC8">
        <w:rPr>
          <w:rFonts w:ascii="Arial" w:eastAsia="Times New Roman" w:hAnsi="Arial" w:cs="Arial"/>
          <w:sz w:val="22"/>
          <w:szCs w:val="22"/>
          <w:lang w:eastAsia="en-GB"/>
          <w14:ligatures w14:val="none"/>
        </w:rPr>
        <w:t>Organisation</w:t>
      </w:r>
      <w:r w:rsidRPr="00EF7FC8">
        <w:rPr>
          <w:rFonts w:ascii="Arial" w:eastAsia="Times New Roman" w:hAnsi="Arial" w:cs="Arial"/>
          <w:sz w:val="22"/>
          <w:szCs w:val="22"/>
          <w:lang w:eastAsia="en-GB"/>
          <w14:ligatures w14:val="none"/>
        </w:rPr>
        <w:t xml:space="preserve"> (2024) </w:t>
      </w:r>
      <w:r w:rsidRPr="00EF7FC8">
        <w:rPr>
          <w:rFonts w:ascii="Arial" w:eastAsia="Times New Roman" w:hAnsi="Arial" w:cs="Arial"/>
          <w:i/>
          <w:iCs/>
          <w:sz w:val="22"/>
          <w:szCs w:val="22"/>
          <w:lang w:eastAsia="en-GB"/>
          <w14:ligatures w14:val="none"/>
        </w:rPr>
        <w:t>Diabetes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 xml:space="preserve">World Health </w:t>
      </w:r>
      <w:r w:rsidR="009845DE" w:rsidRPr="00EF7FC8">
        <w:rPr>
          <w:rFonts w:ascii="Arial" w:eastAsia="Times New Roman" w:hAnsi="Arial" w:cs="Arial"/>
          <w:i/>
          <w:iCs/>
          <w:sz w:val="22"/>
          <w:szCs w:val="22"/>
          <w:lang w:eastAsia="en-GB"/>
          <w14:ligatures w14:val="none"/>
        </w:rPr>
        <w:t>Organisation</w:t>
      </w:r>
      <w:r w:rsidRPr="00EF7FC8">
        <w:rPr>
          <w:rFonts w:ascii="Arial" w:eastAsia="Times New Roman" w:hAnsi="Arial" w:cs="Arial"/>
          <w:sz w:val="22"/>
          <w:szCs w:val="22"/>
          <w:lang w:eastAsia="en-GB"/>
          <w14:ligatures w14:val="none"/>
        </w:rPr>
        <w:t>. Available at: https://www.who.int/news-room/fact-sheets/detail/diabetes (Accessed: July 27, 2026).</w:t>
      </w:r>
    </w:p>
    <w:p w14:paraId="03CBF560" w14:textId="3452DF2F"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Xie, Y. </w:t>
      </w:r>
      <w:r w:rsidRPr="00EF7FC8">
        <w:rPr>
          <w:rFonts w:ascii="Arial" w:eastAsia="Times New Roman" w:hAnsi="Arial" w:cs="Arial"/>
          <w:i/>
          <w:iCs/>
          <w:sz w:val="22"/>
          <w:szCs w:val="22"/>
          <w:lang w:eastAsia="en-GB"/>
          <w14:ligatures w14:val="none"/>
        </w:rPr>
        <w:t>et al.</w:t>
      </w:r>
      <w:r w:rsidRPr="00EF7FC8">
        <w:rPr>
          <w:rFonts w:ascii="Arial" w:eastAsia="Times New Roman" w:hAnsi="Arial" w:cs="Arial"/>
          <w:sz w:val="22"/>
          <w:szCs w:val="22"/>
          <w:lang w:eastAsia="en-GB"/>
          <w14:ligatures w14:val="none"/>
        </w:rPr>
        <w:t xml:space="preserve"> (2026) “An analysis and projection of diabetes prevalence in East England region,” </w:t>
      </w:r>
      <w:r w:rsidRPr="00EF7FC8">
        <w:rPr>
          <w:rFonts w:ascii="Arial" w:eastAsia="Times New Roman" w:hAnsi="Arial" w:cs="Arial"/>
          <w:i/>
          <w:iCs/>
          <w:sz w:val="22"/>
          <w:szCs w:val="22"/>
          <w:lang w:eastAsia="en-GB"/>
          <w14:ligatures w14:val="none"/>
        </w:rPr>
        <w:t xml:space="preserve">BMC </w:t>
      </w:r>
      <w:r w:rsidR="009845DE" w:rsidRPr="00EF7FC8">
        <w:rPr>
          <w:rFonts w:ascii="Arial" w:eastAsia="Times New Roman" w:hAnsi="Arial" w:cs="Arial"/>
          <w:i/>
          <w:iCs/>
          <w:sz w:val="22"/>
          <w:szCs w:val="22"/>
          <w:lang w:eastAsia="en-GB"/>
          <w14:ligatures w14:val="none"/>
        </w:rPr>
        <w:t>Public Health</w:t>
      </w:r>
      <w:r w:rsidRPr="00EF7FC8">
        <w:rPr>
          <w:rFonts w:ascii="Arial" w:eastAsia="Times New Roman" w:hAnsi="Arial" w:cs="Arial"/>
          <w:sz w:val="22"/>
          <w:szCs w:val="22"/>
          <w:lang w:eastAsia="en-GB"/>
          <w14:ligatures w14:val="none"/>
        </w:rPr>
        <w:t xml:space="preserve"> [Preprint]. Available at: https://doi.org/10.1186/s12889-026-26433-1.</w:t>
      </w:r>
    </w:p>
    <w:p w14:paraId="42911208" w14:textId="28AD5D0C" w:rsidR="00B024D4" w:rsidRPr="00EF7FC8" w:rsidRDefault="00B024D4" w:rsidP="00EF7FC8">
      <w:pPr>
        <w:spacing w:after="240" w:line="360" w:lineRule="auto"/>
        <w:rPr>
          <w:rFonts w:ascii="Arial" w:eastAsia="Times New Roman" w:hAnsi="Arial" w:cs="Arial"/>
          <w:sz w:val="22"/>
          <w:szCs w:val="22"/>
          <w:lang w:eastAsia="en-GB"/>
          <w14:ligatures w14:val="none"/>
        </w:rPr>
      </w:pPr>
      <w:r w:rsidRPr="00EF7FC8">
        <w:rPr>
          <w:rFonts w:ascii="Arial" w:eastAsia="Times New Roman" w:hAnsi="Arial" w:cs="Arial"/>
          <w:sz w:val="22"/>
          <w:szCs w:val="22"/>
          <w:lang w:eastAsia="en-GB"/>
          <w14:ligatures w14:val="none"/>
        </w:rPr>
        <w:t xml:space="preserve">Zghebi, S.S. (2016) </w:t>
      </w:r>
      <w:r w:rsidRPr="00EF7FC8">
        <w:rPr>
          <w:rFonts w:ascii="Arial" w:eastAsia="Times New Roman" w:hAnsi="Arial" w:cs="Arial"/>
          <w:i/>
          <w:iCs/>
          <w:sz w:val="22"/>
          <w:szCs w:val="22"/>
          <w:lang w:eastAsia="en-GB"/>
          <w14:ligatures w14:val="none"/>
        </w:rPr>
        <w:t>Epidemiology and multimorbidity of type 2 diabetes and the risk of Major cardiovascular events</w:t>
      </w:r>
      <w:r w:rsidRPr="00EF7FC8">
        <w:rPr>
          <w:rFonts w:ascii="Arial" w:eastAsia="Times New Roman" w:hAnsi="Arial" w:cs="Arial"/>
          <w:sz w:val="22"/>
          <w:szCs w:val="22"/>
          <w:lang w:eastAsia="en-GB"/>
          <w14:ligatures w14:val="none"/>
        </w:rPr>
        <w:t xml:space="preserve">, </w:t>
      </w:r>
      <w:r w:rsidRPr="00EF7FC8">
        <w:rPr>
          <w:rFonts w:ascii="Arial" w:eastAsia="Times New Roman" w:hAnsi="Arial" w:cs="Arial"/>
          <w:i/>
          <w:iCs/>
          <w:sz w:val="22"/>
          <w:szCs w:val="22"/>
          <w:lang w:eastAsia="en-GB"/>
          <w14:ligatures w14:val="none"/>
        </w:rPr>
        <w:t xml:space="preserve">Research </w:t>
      </w:r>
      <w:r w:rsidR="009845DE" w:rsidRPr="00EF7FC8">
        <w:rPr>
          <w:rFonts w:ascii="Arial" w:eastAsia="Times New Roman" w:hAnsi="Arial" w:cs="Arial"/>
          <w:i/>
          <w:iCs/>
          <w:sz w:val="22"/>
          <w:szCs w:val="22"/>
          <w:lang w:eastAsia="en-GB"/>
          <w14:ligatures w14:val="none"/>
        </w:rPr>
        <w:t>Explorer,</w:t>
      </w:r>
      <w:r w:rsidRPr="00EF7FC8">
        <w:rPr>
          <w:rFonts w:ascii="Arial" w:eastAsia="Times New Roman" w:hAnsi="Arial" w:cs="Arial"/>
          <w:i/>
          <w:iCs/>
          <w:sz w:val="22"/>
          <w:szCs w:val="22"/>
          <w:lang w:eastAsia="en-GB"/>
          <w14:ligatures w14:val="none"/>
        </w:rPr>
        <w:t xml:space="preserve"> the </w:t>
      </w:r>
      <w:r w:rsidR="009845DE" w:rsidRPr="00EF7FC8">
        <w:rPr>
          <w:rFonts w:ascii="Arial" w:eastAsia="Times New Roman" w:hAnsi="Arial" w:cs="Arial"/>
          <w:i/>
          <w:iCs/>
          <w:sz w:val="22"/>
          <w:szCs w:val="22"/>
          <w:lang w:eastAsia="en-GB"/>
          <w14:ligatures w14:val="none"/>
        </w:rPr>
        <w:t>University</w:t>
      </w:r>
      <w:r w:rsidRPr="00EF7FC8">
        <w:rPr>
          <w:rFonts w:ascii="Arial" w:eastAsia="Times New Roman" w:hAnsi="Arial" w:cs="Arial"/>
          <w:i/>
          <w:iCs/>
          <w:sz w:val="22"/>
          <w:szCs w:val="22"/>
          <w:lang w:eastAsia="en-GB"/>
          <w14:ligatures w14:val="none"/>
        </w:rPr>
        <w:t xml:space="preserve"> of Manchester</w:t>
      </w:r>
      <w:r w:rsidRPr="00EF7FC8">
        <w:rPr>
          <w:rFonts w:ascii="Arial" w:eastAsia="Times New Roman" w:hAnsi="Arial" w:cs="Arial"/>
          <w:sz w:val="22"/>
          <w:szCs w:val="22"/>
          <w:lang w:eastAsia="en-GB"/>
          <w14:ligatures w14:val="none"/>
        </w:rPr>
        <w:t>. Available at: https://research.manchester.ac.uk/en/studentTheses/epidemiology-and-multimorbidity-of-type-2-diabetes-and-the-risk-o/ (Accessed: July 27, 2026).</w:t>
      </w:r>
    </w:p>
    <w:p w14:paraId="2B06E32C" w14:textId="77777777" w:rsidR="00B024D4" w:rsidRPr="00EF7FC8" w:rsidRDefault="00B024D4" w:rsidP="00EF7FC8">
      <w:pPr>
        <w:spacing w:line="360" w:lineRule="auto"/>
        <w:rPr>
          <w:rFonts w:ascii="Arial" w:hAnsi="Arial" w:cs="Arial"/>
          <w:sz w:val="22"/>
          <w:szCs w:val="22"/>
        </w:rPr>
      </w:pPr>
    </w:p>
    <w:p w14:paraId="695D8299" w14:textId="77777777" w:rsidR="00B77A87" w:rsidRPr="00F31858" w:rsidRDefault="00B77A87" w:rsidP="00297C8E">
      <w:pPr>
        <w:spacing w:line="360" w:lineRule="auto"/>
        <w:rPr>
          <w:rFonts w:asciiTheme="minorBidi" w:hAnsiTheme="minorBidi"/>
          <w:sz w:val="22"/>
          <w:szCs w:val="22"/>
        </w:rPr>
      </w:pPr>
    </w:p>
    <w:sectPr w:rsidR="00B77A87" w:rsidRPr="00F31858" w:rsidSect="00B77A87">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15478" w14:textId="77777777" w:rsidR="00C226D5" w:rsidRDefault="00C226D5" w:rsidP="007D4B39">
      <w:pPr>
        <w:spacing w:after="0" w:line="240" w:lineRule="auto"/>
      </w:pPr>
      <w:r>
        <w:separator/>
      </w:r>
    </w:p>
  </w:endnote>
  <w:endnote w:type="continuationSeparator" w:id="0">
    <w:p w14:paraId="46B038CA" w14:textId="77777777" w:rsidR="00C226D5" w:rsidRDefault="00C226D5" w:rsidP="007D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794325"/>
      <w:docPartObj>
        <w:docPartGallery w:val="Page Numbers (Bottom of Page)"/>
        <w:docPartUnique/>
      </w:docPartObj>
    </w:sdtPr>
    <w:sdtEndPr>
      <w:rPr>
        <w:noProof/>
      </w:rPr>
    </w:sdtEndPr>
    <w:sdtContent>
      <w:p w14:paraId="298CBDCF" w14:textId="06D41CCD" w:rsidR="007D4B39" w:rsidRDefault="007D4B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BB898F" w14:textId="77777777" w:rsidR="007D4B39" w:rsidRDefault="007D4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5A333" w14:textId="77777777" w:rsidR="00C226D5" w:rsidRDefault="00C226D5" w:rsidP="007D4B39">
      <w:pPr>
        <w:spacing w:after="0" w:line="240" w:lineRule="auto"/>
      </w:pPr>
      <w:r>
        <w:separator/>
      </w:r>
    </w:p>
  </w:footnote>
  <w:footnote w:type="continuationSeparator" w:id="0">
    <w:p w14:paraId="3B912B77" w14:textId="77777777" w:rsidR="00C226D5" w:rsidRDefault="00C226D5" w:rsidP="007D4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A43C7"/>
    <w:multiLevelType w:val="multilevel"/>
    <w:tmpl w:val="D86C5DE8"/>
    <w:lvl w:ilvl="0">
      <w:start w:val="1"/>
      <w:numFmt w:val="decimal"/>
      <w:lvlText w:val="%1."/>
      <w:lvlJc w:val="left"/>
      <w:pPr>
        <w:ind w:left="567" w:hanging="567"/>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95141800">
    <w:abstractNumId w:val="0"/>
  </w:num>
  <w:num w:numId="2" w16cid:durableId="2010669695">
    <w:abstractNumId w:val="0"/>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1080" w:hanging="1080"/>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FE8"/>
    <w:rsid w:val="00033A03"/>
    <w:rsid w:val="00053C82"/>
    <w:rsid w:val="00062F82"/>
    <w:rsid w:val="00064753"/>
    <w:rsid w:val="001836B8"/>
    <w:rsid w:val="0018771B"/>
    <w:rsid w:val="001D2DEB"/>
    <w:rsid w:val="00210939"/>
    <w:rsid w:val="0029693A"/>
    <w:rsid w:val="00297C8E"/>
    <w:rsid w:val="00300A3D"/>
    <w:rsid w:val="003372AE"/>
    <w:rsid w:val="003A1257"/>
    <w:rsid w:val="003E67C1"/>
    <w:rsid w:val="00425DD4"/>
    <w:rsid w:val="00460C12"/>
    <w:rsid w:val="004657C8"/>
    <w:rsid w:val="004E416B"/>
    <w:rsid w:val="004F1EE4"/>
    <w:rsid w:val="005234BF"/>
    <w:rsid w:val="005236CE"/>
    <w:rsid w:val="005C3B2C"/>
    <w:rsid w:val="00653694"/>
    <w:rsid w:val="00666D84"/>
    <w:rsid w:val="006E67E0"/>
    <w:rsid w:val="00705843"/>
    <w:rsid w:val="007117FC"/>
    <w:rsid w:val="007D4B39"/>
    <w:rsid w:val="00801445"/>
    <w:rsid w:val="0083021A"/>
    <w:rsid w:val="00851407"/>
    <w:rsid w:val="008566B1"/>
    <w:rsid w:val="0086130A"/>
    <w:rsid w:val="008A5489"/>
    <w:rsid w:val="008C1950"/>
    <w:rsid w:val="008F0088"/>
    <w:rsid w:val="0094136A"/>
    <w:rsid w:val="009845DE"/>
    <w:rsid w:val="009F4F66"/>
    <w:rsid w:val="00A13341"/>
    <w:rsid w:val="00AE2224"/>
    <w:rsid w:val="00B024D4"/>
    <w:rsid w:val="00B53FE8"/>
    <w:rsid w:val="00B63013"/>
    <w:rsid w:val="00B77A87"/>
    <w:rsid w:val="00BC1070"/>
    <w:rsid w:val="00BD30C0"/>
    <w:rsid w:val="00BD364E"/>
    <w:rsid w:val="00C226D5"/>
    <w:rsid w:val="00C72453"/>
    <w:rsid w:val="00C74BA1"/>
    <w:rsid w:val="00D00FA2"/>
    <w:rsid w:val="00D662DF"/>
    <w:rsid w:val="00D93F8E"/>
    <w:rsid w:val="00D97825"/>
    <w:rsid w:val="00DA48FE"/>
    <w:rsid w:val="00DC22EA"/>
    <w:rsid w:val="00E74320"/>
    <w:rsid w:val="00E80BBA"/>
    <w:rsid w:val="00E86D23"/>
    <w:rsid w:val="00EF2E50"/>
    <w:rsid w:val="00EF7FC8"/>
    <w:rsid w:val="00F275C2"/>
    <w:rsid w:val="00F31858"/>
    <w:rsid w:val="00F6473E"/>
    <w:rsid w:val="00FE5F6D"/>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215D"/>
  <w15:chartTrackingRefBased/>
  <w15:docId w15:val="{2EEF4457-E897-40A3-94B6-06F23919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FE8"/>
  </w:style>
  <w:style w:type="paragraph" w:styleId="Heading1">
    <w:name w:val="heading 1"/>
    <w:basedOn w:val="Normal"/>
    <w:next w:val="Normal"/>
    <w:link w:val="Heading1Char"/>
    <w:uiPriority w:val="9"/>
    <w:qFormat/>
    <w:rsid w:val="00B53F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53F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3F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3F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3F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3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F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53F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3F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3F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3F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3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3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3FE8"/>
    <w:rPr>
      <w:rFonts w:eastAsiaTheme="majorEastAsia" w:cstheme="majorBidi"/>
      <w:color w:val="272727" w:themeColor="text1" w:themeTint="D8"/>
    </w:rPr>
  </w:style>
  <w:style w:type="paragraph" w:styleId="Title">
    <w:name w:val="Title"/>
    <w:basedOn w:val="Normal"/>
    <w:next w:val="Normal"/>
    <w:link w:val="TitleChar"/>
    <w:uiPriority w:val="10"/>
    <w:qFormat/>
    <w:rsid w:val="00B53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3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3FE8"/>
    <w:pPr>
      <w:spacing w:before="160"/>
      <w:jc w:val="center"/>
    </w:pPr>
    <w:rPr>
      <w:i/>
      <w:iCs/>
      <w:color w:val="404040" w:themeColor="text1" w:themeTint="BF"/>
    </w:rPr>
  </w:style>
  <w:style w:type="character" w:customStyle="1" w:styleId="QuoteChar">
    <w:name w:val="Quote Char"/>
    <w:basedOn w:val="DefaultParagraphFont"/>
    <w:link w:val="Quote"/>
    <w:uiPriority w:val="29"/>
    <w:rsid w:val="00B53FE8"/>
    <w:rPr>
      <w:i/>
      <w:iCs/>
      <w:color w:val="404040" w:themeColor="text1" w:themeTint="BF"/>
    </w:rPr>
  </w:style>
  <w:style w:type="paragraph" w:styleId="ListParagraph">
    <w:name w:val="List Paragraph"/>
    <w:basedOn w:val="Normal"/>
    <w:uiPriority w:val="34"/>
    <w:qFormat/>
    <w:rsid w:val="00B53FE8"/>
    <w:pPr>
      <w:ind w:left="720"/>
      <w:contextualSpacing/>
    </w:pPr>
  </w:style>
  <w:style w:type="character" w:styleId="IntenseEmphasis">
    <w:name w:val="Intense Emphasis"/>
    <w:basedOn w:val="DefaultParagraphFont"/>
    <w:uiPriority w:val="21"/>
    <w:qFormat/>
    <w:rsid w:val="00B53FE8"/>
    <w:rPr>
      <w:i/>
      <w:iCs/>
      <w:color w:val="2F5496" w:themeColor="accent1" w:themeShade="BF"/>
    </w:rPr>
  </w:style>
  <w:style w:type="paragraph" w:styleId="IntenseQuote">
    <w:name w:val="Intense Quote"/>
    <w:basedOn w:val="Normal"/>
    <w:next w:val="Normal"/>
    <w:link w:val="IntenseQuoteChar"/>
    <w:uiPriority w:val="30"/>
    <w:qFormat/>
    <w:rsid w:val="00B53F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3FE8"/>
    <w:rPr>
      <w:i/>
      <w:iCs/>
      <w:color w:val="2F5496" w:themeColor="accent1" w:themeShade="BF"/>
    </w:rPr>
  </w:style>
  <w:style w:type="character" w:styleId="IntenseReference">
    <w:name w:val="Intense Reference"/>
    <w:basedOn w:val="DefaultParagraphFont"/>
    <w:uiPriority w:val="32"/>
    <w:qFormat/>
    <w:rsid w:val="00B53FE8"/>
    <w:rPr>
      <w:b/>
      <w:bCs/>
      <w:smallCaps/>
      <w:color w:val="2F5496" w:themeColor="accent1" w:themeShade="BF"/>
      <w:spacing w:val="5"/>
    </w:rPr>
  </w:style>
  <w:style w:type="paragraph" w:styleId="TOCHeading">
    <w:name w:val="TOC Heading"/>
    <w:basedOn w:val="Heading1"/>
    <w:next w:val="Normal"/>
    <w:uiPriority w:val="39"/>
    <w:unhideWhenUsed/>
    <w:qFormat/>
    <w:rsid w:val="00B77A87"/>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B77A87"/>
    <w:pPr>
      <w:spacing w:after="100"/>
    </w:pPr>
  </w:style>
  <w:style w:type="paragraph" w:styleId="TOC2">
    <w:name w:val="toc 2"/>
    <w:basedOn w:val="Normal"/>
    <w:next w:val="Normal"/>
    <w:autoRedefine/>
    <w:uiPriority w:val="39"/>
    <w:unhideWhenUsed/>
    <w:rsid w:val="00B77A87"/>
    <w:pPr>
      <w:spacing w:after="100"/>
      <w:ind w:left="240"/>
    </w:pPr>
  </w:style>
  <w:style w:type="character" w:styleId="Hyperlink">
    <w:name w:val="Hyperlink"/>
    <w:basedOn w:val="DefaultParagraphFont"/>
    <w:uiPriority w:val="99"/>
    <w:unhideWhenUsed/>
    <w:rsid w:val="00B77A87"/>
    <w:rPr>
      <w:color w:val="0563C1" w:themeColor="hyperlink"/>
      <w:u w:val="single"/>
    </w:rPr>
  </w:style>
  <w:style w:type="paragraph" w:styleId="NoSpacing">
    <w:name w:val="No Spacing"/>
    <w:link w:val="NoSpacingChar"/>
    <w:uiPriority w:val="1"/>
    <w:qFormat/>
    <w:rsid w:val="00B77A87"/>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B77A87"/>
    <w:rPr>
      <w:rFonts w:eastAsiaTheme="minorEastAsia"/>
      <w:sz w:val="22"/>
      <w:szCs w:val="22"/>
      <w:lang w:val="en-US"/>
      <w14:ligatures w14:val="none"/>
    </w:rPr>
  </w:style>
  <w:style w:type="paragraph" w:styleId="Header">
    <w:name w:val="header"/>
    <w:basedOn w:val="Normal"/>
    <w:link w:val="HeaderChar"/>
    <w:uiPriority w:val="99"/>
    <w:unhideWhenUsed/>
    <w:rsid w:val="007D4B39"/>
    <w:pPr>
      <w:tabs>
        <w:tab w:val="center" w:pos="4536"/>
        <w:tab w:val="right" w:pos="9072"/>
      </w:tabs>
      <w:spacing w:after="0" w:line="240" w:lineRule="auto"/>
    </w:pPr>
  </w:style>
  <w:style w:type="character" w:customStyle="1" w:styleId="HeaderChar">
    <w:name w:val="Header Char"/>
    <w:basedOn w:val="DefaultParagraphFont"/>
    <w:link w:val="Header"/>
    <w:uiPriority w:val="99"/>
    <w:rsid w:val="007D4B39"/>
  </w:style>
  <w:style w:type="paragraph" w:styleId="Footer">
    <w:name w:val="footer"/>
    <w:basedOn w:val="Normal"/>
    <w:link w:val="FooterChar"/>
    <w:uiPriority w:val="99"/>
    <w:unhideWhenUsed/>
    <w:rsid w:val="007D4B39"/>
    <w:pPr>
      <w:tabs>
        <w:tab w:val="center" w:pos="4536"/>
        <w:tab w:val="right" w:pos="9072"/>
      </w:tabs>
      <w:spacing w:after="0" w:line="240" w:lineRule="auto"/>
    </w:pPr>
  </w:style>
  <w:style w:type="character" w:customStyle="1" w:styleId="FooterChar">
    <w:name w:val="Footer Char"/>
    <w:basedOn w:val="DefaultParagraphFont"/>
    <w:link w:val="Footer"/>
    <w:uiPriority w:val="99"/>
    <w:rsid w:val="007D4B39"/>
  </w:style>
  <w:style w:type="character" w:styleId="UnresolvedMention">
    <w:name w:val="Unresolved Mention"/>
    <w:basedOn w:val="DefaultParagraphFont"/>
    <w:uiPriority w:val="99"/>
    <w:semiHidden/>
    <w:unhideWhenUsed/>
    <w:rsid w:val="00337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mintegratedcare.org.uk/plan-theme/diabet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mintegratedcare.org.uk/wp-content/uploads/2024/03/gm-icp-tackling-diabetes-together-greater-manchetser-diabetes-strategy-2022-2027.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dme.14996" TargetMode="External"/><Relationship Id="rId5" Type="http://schemas.openxmlformats.org/officeDocument/2006/relationships/webSettings" Target="webSettings.xml"/><Relationship Id="rId15" Type="http://schemas.openxmlformats.org/officeDocument/2006/relationships/hyperlink" Target="https://www.researchgate.net/publication/11625834_A_framework_for_health_promotion_evaluation" TargetMode="External"/><Relationship Id="rId10" Type="http://schemas.openxmlformats.org/officeDocument/2006/relationships/hyperlink" Target="https://www.england.nhs.uk/mental-health/perinata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gov.uk/government/uploads/system/uploads/attachment_data/file/366852/PHE_Prior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52A1D-8C71-4D9A-8BD2-8E3D2F7A1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18</Pages>
  <Words>5334</Words>
  <Characters>30410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Freeda Zeb</dc:creator>
  <cp:keywords/>
  <dc:description/>
  <cp:lastModifiedBy>Freeda Zeb</cp:lastModifiedBy>
  <cp:revision>3</cp:revision>
  <dcterms:created xsi:type="dcterms:W3CDTF">2026-07-29T10:19:00Z</dcterms:created>
  <dcterms:modified xsi:type="dcterms:W3CDTF">2026-07-29T12:15:00Z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8ab3f570-8bc2-4d63-893a-b8b22cc08b2a</vt:lpwstr>
  </property>
</Properties>
</file>