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64D7A" w14:textId="77777777" w:rsidR="00345DC2" w:rsidRPr="00725963" w:rsidRDefault="0059239E" w:rsidP="0059239E">
      <w:pPr>
        <w:spacing w:line="360" w:lineRule="auto"/>
        <w:rPr>
          <w:rFonts w:ascii="Arial" w:hAnsi="Arial" w:cs="Arial"/>
          <w:sz w:val="24"/>
          <w:u w:val="single"/>
        </w:rPr>
      </w:pPr>
      <w:r w:rsidRPr="00725963">
        <w:rPr>
          <w:rFonts w:ascii="Arial" w:hAnsi="Arial" w:cs="Arial"/>
          <w:sz w:val="24"/>
          <w:u w:val="single"/>
        </w:rPr>
        <w:t xml:space="preserve">Introduction </w:t>
      </w:r>
    </w:p>
    <w:p w14:paraId="7A2716F6" w14:textId="77777777" w:rsidR="00247A67" w:rsidRPr="0059239E" w:rsidRDefault="00345DC2" w:rsidP="0059239E">
      <w:pPr>
        <w:spacing w:line="360" w:lineRule="auto"/>
        <w:rPr>
          <w:rFonts w:ascii="Arial" w:hAnsi="Arial" w:cs="Arial"/>
          <w:sz w:val="24"/>
        </w:rPr>
      </w:pPr>
      <w:r w:rsidRPr="0059239E">
        <w:rPr>
          <w:rFonts w:ascii="Arial" w:hAnsi="Arial" w:cs="Arial"/>
          <w:sz w:val="24"/>
        </w:rPr>
        <w:t xml:space="preserve">This assignment will </w:t>
      </w:r>
      <w:r w:rsidR="00654F2F">
        <w:rPr>
          <w:rFonts w:ascii="Arial" w:hAnsi="Arial" w:cs="Arial"/>
          <w:sz w:val="24"/>
        </w:rPr>
        <w:t xml:space="preserve">explore </w:t>
      </w:r>
      <w:r w:rsidRPr="0059239E">
        <w:rPr>
          <w:rFonts w:ascii="Arial" w:hAnsi="Arial" w:cs="Arial"/>
          <w:sz w:val="24"/>
        </w:rPr>
        <w:t>the opportunities for children to engage in exploratory play within an outdoor environment, as depicted in the chosen photograph. A thorough risk assessment of the environment will be conducted to identify potential hazards and implement measures that ensure children's safety while fostering active exploration. Furthermore, the role of early years practitioners in supporting and encouraging children's engagement with mathematical and scientific concepts through outdoor play will be explored. This discussion will emphasize the importance of the environment in facilitating experiential learning, with a focus on strategies that promote inquiry-based learning and cognitive development through play. Key considerations will include the integration of age-appro</w:t>
      </w:r>
      <w:r w:rsidR="00A53929">
        <w:rPr>
          <w:rFonts w:ascii="Arial" w:hAnsi="Arial" w:cs="Arial"/>
          <w:sz w:val="24"/>
        </w:rPr>
        <w:t xml:space="preserve">priate mathematical challenges </w:t>
      </w:r>
      <w:r w:rsidRPr="0059239E">
        <w:rPr>
          <w:rFonts w:ascii="Arial" w:hAnsi="Arial" w:cs="Arial"/>
          <w:sz w:val="24"/>
        </w:rPr>
        <w:t>such as counting, mea</w:t>
      </w:r>
      <w:r w:rsidR="00A53929">
        <w:rPr>
          <w:rFonts w:ascii="Arial" w:hAnsi="Arial" w:cs="Arial"/>
          <w:sz w:val="24"/>
        </w:rPr>
        <w:t xml:space="preserve">surement, and spatial awareness and scientific inquiry </w:t>
      </w:r>
      <w:r w:rsidRPr="0059239E">
        <w:rPr>
          <w:rFonts w:ascii="Arial" w:hAnsi="Arial" w:cs="Arial"/>
          <w:sz w:val="24"/>
        </w:rPr>
        <w:t>including observation, experimentation, and u</w:t>
      </w:r>
      <w:r w:rsidR="00A53929">
        <w:rPr>
          <w:rFonts w:ascii="Arial" w:hAnsi="Arial" w:cs="Arial"/>
          <w:sz w:val="24"/>
        </w:rPr>
        <w:t xml:space="preserve">nderstanding natural phenomena </w:t>
      </w:r>
      <w:r w:rsidRPr="0059239E">
        <w:rPr>
          <w:rFonts w:ascii="Arial" w:hAnsi="Arial" w:cs="Arial"/>
          <w:sz w:val="24"/>
        </w:rPr>
        <w:t>within a safe, stimulating outdoor setting. The assignment wil</w:t>
      </w:r>
      <w:r w:rsidR="00654F2F">
        <w:rPr>
          <w:rFonts w:ascii="Arial" w:hAnsi="Arial" w:cs="Arial"/>
          <w:sz w:val="24"/>
        </w:rPr>
        <w:t>l also address how adults can support</w:t>
      </w:r>
      <w:r w:rsidRPr="0059239E">
        <w:rPr>
          <w:rFonts w:ascii="Arial" w:hAnsi="Arial" w:cs="Arial"/>
          <w:sz w:val="24"/>
        </w:rPr>
        <w:t xml:space="preserve"> children's learning to enhance their conceptual understanding and curiosity about the world around them.</w:t>
      </w:r>
    </w:p>
    <w:p w14:paraId="48A8CCCF" w14:textId="77777777" w:rsidR="00345DC2" w:rsidRDefault="00BD15B9">
      <w:r>
        <w:rPr>
          <w:noProof/>
          <w:lang w:eastAsia="en-GB"/>
        </w:rPr>
        <mc:AlternateContent>
          <mc:Choice Requires="wps">
            <w:drawing>
              <wp:anchor distT="45720" distB="45720" distL="114300" distR="114300" simplePos="0" relativeHeight="251659264" behindDoc="1" locked="0" layoutInCell="1" allowOverlap="1" wp14:anchorId="5A99C4D4" wp14:editId="5820D913">
                <wp:simplePos x="0" y="0"/>
                <wp:positionH relativeFrom="column">
                  <wp:posOffset>3562350</wp:posOffset>
                </wp:positionH>
                <wp:positionV relativeFrom="paragraph">
                  <wp:posOffset>4497070</wp:posOffset>
                </wp:positionV>
                <wp:extent cx="2679700" cy="598170"/>
                <wp:effectExtent l="0" t="0" r="2540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598170"/>
                        </a:xfrm>
                        <a:prstGeom prst="rect">
                          <a:avLst/>
                        </a:prstGeom>
                        <a:solidFill>
                          <a:srgbClr val="FFFFFF"/>
                        </a:solidFill>
                        <a:ln w="9525">
                          <a:solidFill>
                            <a:schemeClr val="bg1"/>
                          </a:solidFill>
                          <a:miter lim="800000"/>
                          <a:headEnd/>
                          <a:tailEnd/>
                        </a:ln>
                      </wps:spPr>
                      <wps:txbx>
                        <w:txbxContent>
                          <w:p w14:paraId="68DEF98A" w14:textId="77777777" w:rsidR="005961FF" w:rsidRDefault="005961FF">
                            <w:r w:rsidRPr="00BD15B9">
                              <w:t>https://uk.pinterest.com/nicm0y/eyfs-outdoor-learninggarden-ideas/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99C4D4" id="_x0000_t202" coordsize="21600,21600" o:spt="202" path="m,l,21600r21600,l21600,xe">
                <v:stroke joinstyle="miter"/>
                <v:path gradientshapeok="t" o:connecttype="rect"/>
              </v:shapetype>
              <v:shape id="Text Box 2" o:spid="_x0000_s1026" type="#_x0000_t202" style="position:absolute;margin-left:280.5pt;margin-top:354.1pt;width:211pt;height:47.1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" strokecolor="white [3212]">
                <v:textbox>
                  <w:txbxContent>
                    <w:p w14:paraId="68DEF98A" w14:textId="77777777" w:rsidR="005961FF" w:rsidRDefault="005961FF">
                      <w:r w:rsidRPr="00BD15B9">
                        <w:t>https://uk.pinterest.com/nicm0y/eyfs-outdoor-learninggarden-ideas/</w:t>
                      </w:r>
                    </w:p>
                  </w:txbxContent>
                </v:textbox>
              </v:shape>
            </w:pict>
          </mc:Fallback>
        </mc:AlternateContent>
      </w:r>
      <w:r w:rsidR="0059239E">
        <w:rPr>
          <w:noProof/>
          <w:lang w:eastAsia="en-GB"/>
        </w:rPr>
        <w:drawing>
          <wp:inline distT="0" distB="0" distL="0" distR="0" wp14:anchorId="7F34827E" wp14:editId="1C7F1EC0">
            <wp:extent cx="5731510" cy="4391025"/>
            <wp:effectExtent l="0" t="0" r="2540" b="9525"/>
            <wp:docPr id="1" name="Picture 1" descr="300 EYFS Outdoor Learning/Garden Ideas | outdoor learning, outdoor, outdoor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0 EYFS Outdoor Learning/Garden Ideas | outdoor learning, outdoor, outdoor  classro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91025"/>
                    </a:xfrm>
                    <a:prstGeom prst="rect">
                      <a:avLst/>
                    </a:prstGeom>
                    <a:noFill/>
                    <a:ln>
                      <a:noFill/>
                    </a:ln>
                  </pic:spPr>
                </pic:pic>
              </a:graphicData>
            </a:graphic>
          </wp:inline>
        </w:drawing>
      </w:r>
    </w:p>
    <w:p w14:paraId="0EC5FB57" w14:textId="77777777" w:rsidR="00345DC2" w:rsidRPr="00A67D97" w:rsidRDefault="00357870">
      <w:pPr>
        <w:rPr>
          <w:rFonts w:ascii="Times New Roman" w:hAnsi="Times New Roman" w:cs="Times New Roman"/>
          <w:sz w:val="24"/>
          <w:szCs w:val="24"/>
        </w:rPr>
      </w:pPr>
      <w:r w:rsidRPr="00A67D97">
        <w:rPr>
          <w:rFonts w:ascii="Times New Roman" w:hAnsi="Times New Roman" w:cs="Times New Roman"/>
          <w:sz w:val="24"/>
          <w:szCs w:val="24"/>
        </w:rPr>
        <w:lastRenderedPageBreak/>
        <w:t xml:space="preserve">I have chosen the above photograph as it offers many opportunities for exploration and development opportunities, the target audience for this environment is 3- 5 year olds </w:t>
      </w:r>
    </w:p>
    <w:p w14:paraId="16917E8E" w14:textId="77777777" w:rsidR="004A7718" w:rsidRPr="00A67D97" w:rsidRDefault="004A7718" w:rsidP="004A7718">
      <w:pPr>
        <w:rPr>
          <w:rFonts w:ascii="Times New Roman" w:hAnsi="Times New Roman" w:cs="Times New Roman"/>
          <w:sz w:val="24"/>
          <w:szCs w:val="24"/>
        </w:rPr>
      </w:pPr>
      <w:r w:rsidRPr="00A67D97">
        <w:rPr>
          <w:rFonts w:ascii="Times New Roman" w:hAnsi="Times New Roman" w:cs="Times New Roman"/>
          <w:sz w:val="24"/>
          <w:szCs w:val="24"/>
        </w:rPr>
        <w:t>The Curriculum for Wales highlights the significance of outdoor learning as a key component of a child’s education, acknowledging that interaction with the natural environment boosts both development and wellbeing. Consequently, schools and non-maintained settings are increasingly utilizing outdoor spaces to enhance learning experiences and promote the holistic growth of children.</w:t>
      </w:r>
    </w:p>
    <w:p w14:paraId="66B0DB36" w14:textId="77777777" w:rsidR="004A7718" w:rsidRPr="00A67D97" w:rsidRDefault="004A7718" w:rsidP="004A7718">
      <w:pPr>
        <w:rPr>
          <w:rFonts w:ascii="Times New Roman" w:hAnsi="Times New Roman" w:cs="Times New Roman"/>
          <w:sz w:val="24"/>
          <w:szCs w:val="24"/>
        </w:rPr>
      </w:pPr>
    </w:p>
    <w:p w14:paraId="29D6875A" w14:textId="77777777" w:rsidR="004A7718" w:rsidRPr="00A67D97" w:rsidRDefault="004A7718" w:rsidP="004A7718">
      <w:pPr>
        <w:rPr>
          <w:rFonts w:ascii="Times New Roman" w:hAnsi="Times New Roman" w:cs="Times New Roman"/>
          <w:sz w:val="24"/>
          <w:szCs w:val="24"/>
        </w:rPr>
      </w:pPr>
      <w:r w:rsidRPr="00A67D97">
        <w:rPr>
          <w:rFonts w:ascii="Times New Roman" w:hAnsi="Times New Roman" w:cs="Times New Roman"/>
          <w:sz w:val="24"/>
          <w:szCs w:val="24"/>
        </w:rPr>
        <w:t>Outdoor learning offers children opportunities for physical, social, and emotional development. Spending time outdoors encourages movement, which aids in improving physical health, coordination, and overall fitness. Additionally, it positively impacts mental wellbeing by providing a calming effect and reducing stress and anxiety through a connection with nature. The outdoor environment naturally sparks curiosity and problem-solving skills, promoting creativity and critical thinking as children explore, investigate, and engage in real-world experiences.</w:t>
      </w:r>
    </w:p>
    <w:p w14:paraId="26134E48" w14:textId="77777777" w:rsidR="004A7718" w:rsidRPr="00A67D97" w:rsidRDefault="004A7718" w:rsidP="004A7718">
      <w:pPr>
        <w:rPr>
          <w:rFonts w:ascii="Times New Roman" w:hAnsi="Times New Roman" w:cs="Times New Roman"/>
          <w:sz w:val="24"/>
          <w:szCs w:val="24"/>
        </w:rPr>
      </w:pPr>
    </w:p>
    <w:p w14:paraId="4DAED7AD" w14:textId="77777777" w:rsidR="004A7718" w:rsidRPr="00A67D97" w:rsidRDefault="004A7718" w:rsidP="004A7718">
      <w:pPr>
        <w:rPr>
          <w:rFonts w:ascii="Times New Roman" w:hAnsi="Times New Roman" w:cs="Times New Roman"/>
          <w:sz w:val="24"/>
          <w:szCs w:val="24"/>
        </w:rPr>
      </w:pPr>
      <w:r w:rsidRPr="00A67D97">
        <w:rPr>
          <w:rFonts w:ascii="Times New Roman" w:hAnsi="Times New Roman" w:cs="Times New Roman"/>
          <w:sz w:val="24"/>
          <w:szCs w:val="24"/>
        </w:rPr>
        <w:t>Furthermore, outdoor learning enhances children’s social skills by allowing them to collaborate in dynamic environments that foster teamwork, communication, and resilience. The unpredictable nature of outdoor settings challenges children to adapt, take risks, and build confidence in their abilities. Learning beyond the classroom offers experiential learning opportunities where children can apply knowledge in practical ways—whether it’s exploring scientific concepts in a woodland, measuring natural objects for math, or enhancing literacy through storytelling in an open area.</w:t>
      </w:r>
    </w:p>
    <w:p w14:paraId="4794F88A" w14:textId="77777777" w:rsidR="004A7718" w:rsidRPr="00A67D97" w:rsidRDefault="004A7718" w:rsidP="004A7718">
      <w:pPr>
        <w:rPr>
          <w:rFonts w:ascii="Times New Roman" w:hAnsi="Times New Roman" w:cs="Times New Roman"/>
          <w:sz w:val="24"/>
          <w:szCs w:val="24"/>
        </w:rPr>
      </w:pPr>
    </w:p>
    <w:p w14:paraId="5C47FFC9" w14:textId="390FA72A" w:rsidR="00247A67" w:rsidRPr="00A67D97" w:rsidRDefault="004A7718" w:rsidP="004A7718">
      <w:pPr>
        <w:rPr>
          <w:rFonts w:ascii="Times New Roman" w:hAnsi="Times New Roman" w:cs="Times New Roman"/>
          <w:sz w:val="24"/>
          <w:szCs w:val="24"/>
        </w:rPr>
      </w:pPr>
      <w:r w:rsidRPr="00A67D97">
        <w:rPr>
          <w:rFonts w:ascii="Times New Roman" w:hAnsi="Times New Roman" w:cs="Times New Roman"/>
          <w:sz w:val="24"/>
          <w:szCs w:val="24"/>
        </w:rPr>
        <w:t>With the Curriculum for Wales emphasizing experiential and child-led learning, outdoor environments serve as ideal spaces for exploration and discovery. Schools and early years settings are adopting this approach by integrating outdoor classrooms, forest school initiatives, gardening projects, and nature-based play, ensuring that children cultivate a strong connection with their surroundings while acquiring essential skills for their futures.</w:t>
      </w:r>
    </w:p>
    <w:p w14:paraId="724BC591" w14:textId="69E528E3" w:rsidR="004A7718" w:rsidRPr="00A67D97" w:rsidRDefault="004A7718" w:rsidP="004A7718">
      <w:pPr>
        <w:rPr>
          <w:rFonts w:ascii="Times New Roman" w:hAnsi="Times New Roman" w:cs="Times New Roman"/>
          <w:sz w:val="24"/>
          <w:szCs w:val="24"/>
        </w:rPr>
      </w:pPr>
      <w:r w:rsidRPr="00A67D97">
        <w:rPr>
          <w:rFonts w:ascii="Times New Roman" w:hAnsi="Times New Roman" w:cs="Times New Roman"/>
          <w:sz w:val="24"/>
          <w:szCs w:val="24"/>
        </w:rPr>
        <w:t>There are many opportunities in the photograph to explore scientific and mathematical concepts, the two concepts that will be looked at are planting and counting.</w:t>
      </w:r>
    </w:p>
    <w:p w14:paraId="44E5A424" w14:textId="413A06AE" w:rsidR="00A94830" w:rsidRPr="00A94830" w:rsidRDefault="00357870" w:rsidP="004A7718">
      <w:pPr>
        <w:spacing w:before="100" w:beforeAutospacing="1" w:after="100" w:afterAutospacing="1" w:line="240" w:lineRule="auto"/>
        <w:rPr>
          <w:rFonts w:ascii="Times New Roman" w:eastAsia="Times New Roman" w:hAnsi="Times New Roman" w:cs="Times New Roman"/>
          <w:sz w:val="24"/>
          <w:szCs w:val="24"/>
          <w:lang w:eastAsia="en-GB"/>
        </w:rPr>
      </w:pPr>
      <w:r w:rsidRPr="00A67D97">
        <w:rPr>
          <w:rFonts w:ascii="Times New Roman" w:eastAsia="Times New Roman" w:hAnsi="Times New Roman" w:cs="Times New Roman"/>
          <w:sz w:val="24"/>
          <w:szCs w:val="24"/>
          <w:lang w:eastAsia="en-GB"/>
        </w:rPr>
        <w:t xml:space="preserve">Engaging early years children in exploring plant growth, life cycles, and living things can be fun and educational. </w:t>
      </w:r>
      <w:r w:rsidR="00833153" w:rsidRPr="00A67D97">
        <w:rPr>
          <w:rFonts w:ascii="Times New Roman" w:eastAsia="Times New Roman" w:hAnsi="Times New Roman" w:cs="Times New Roman"/>
          <w:sz w:val="24"/>
          <w:szCs w:val="24"/>
          <w:lang w:eastAsia="en-GB"/>
        </w:rPr>
        <w:t>S</w:t>
      </w:r>
      <w:r w:rsidRPr="00A67D97">
        <w:rPr>
          <w:rFonts w:ascii="Times New Roman" w:eastAsia="Times New Roman" w:hAnsi="Times New Roman" w:cs="Times New Roman"/>
          <w:sz w:val="24"/>
          <w:szCs w:val="24"/>
          <w:lang w:eastAsia="en-GB"/>
        </w:rPr>
        <w:t>ome opportunities and activities tailored to young children</w:t>
      </w:r>
      <w:r w:rsidR="004A7718" w:rsidRPr="00A67D97">
        <w:rPr>
          <w:rFonts w:ascii="Times New Roman" w:eastAsia="Times New Roman" w:hAnsi="Times New Roman" w:cs="Times New Roman"/>
          <w:sz w:val="24"/>
          <w:szCs w:val="24"/>
          <w:lang w:eastAsia="en-GB"/>
        </w:rPr>
        <w:t xml:space="preserve">. </w:t>
      </w:r>
      <w:r w:rsidR="00A94830" w:rsidRPr="00A94830">
        <w:rPr>
          <w:rFonts w:ascii="Times New Roman" w:hAnsi="Times New Roman" w:cs="Times New Roman"/>
          <w:sz w:val="24"/>
          <w:szCs w:val="24"/>
        </w:rPr>
        <w:t>The photo highlights designated areas for planting seeds and growing plants, which removes the need for daily setup by the practitioner. The educator can create activities that align with the current classroom theme, allowing children to plant seeds like beans, sunflowers, or herbs in small pots. The learning focus is to observe how seeds grow into plants and discuss what they need to thrive, such as water, sunlight, and soil (National Gardening Association, 2023). To extend the lesson, a plant growth journal can be developed where children can draw or document daily changes they observe.</w:t>
      </w:r>
    </w:p>
    <w:p w14:paraId="38D6C0EF" w14:textId="676AB6F3" w:rsidR="00A94830" w:rsidRPr="00A94830" w:rsidRDefault="00A94830" w:rsidP="00A94830">
      <w:pPr>
        <w:rPr>
          <w:rFonts w:ascii="Times New Roman" w:hAnsi="Times New Roman" w:cs="Times New Roman"/>
          <w:sz w:val="24"/>
          <w:szCs w:val="24"/>
        </w:rPr>
      </w:pPr>
      <w:r w:rsidRPr="00A94830">
        <w:rPr>
          <w:rFonts w:ascii="Times New Roman" w:hAnsi="Times New Roman" w:cs="Times New Roman"/>
          <w:sz w:val="24"/>
          <w:szCs w:val="24"/>
        </w:rPr>
        <w:lastRenderedPageBreak/>
        <w:t>For understanding the life cycle of a plant, visuals like images or videos can be used to illustrate the various stages</w:t>
      </w:r>
      <w:r w:rsidRPr="00A67D97">
        <w:rPr>
          <w:rFonts w:ascii="Times New Roman" w:hAnsi="Times New Roman" w:cs="Times New Roman"/>
          <w:sz w:val="24"/>
          <w:szCs w:val="24"/>
        </w:rPr>
        <w:t xml:space="preserve"> </w:t>
      </w:r>
      <w:r w:rsidRPr="00A94830">
        <w:rPr>
          <w:rFonts w:ascii="Times New Roman" w:hAnsi="Times New Roman" w:cs="Times New Roman"/>
          <w:sz w:val="24"/>
          <w:szCs w:val="24"/>
        </w:rPr>
        <w:t>from seed to sprout, plant, flower, and back to seed (Hickman, 2021). This will help children grasp the concept of how plants undergo a series of changes as they grow. These lessons can also be adapted for indoor activities. Practitioners could document a time-lapse video of the seeds or plants sprouting before transitioning them outdoors (Smith &amp; Taylor, 2020). This experience allows children to care for a plant over time, and they can even harvest seeds from mature plants to replant later, completing the cycle.</w:t>
      </w:r>
    </w:p>
    <w:p w14:paraId="21B47215" w14:textId="77777777" w:rsidR="00A94830" w:rsidRPr="00A94830" w:rsidRDefault="00A94830" w:rsidP="00A94830">
      <w:pPr>
        <w:rPr>
          <w:rFonts w:ascii="Times New Roman" w:hAnsi="Times New Roman" w:cs="Times New Roman"/>
          <w:sz w:val="24"/>
          <w:szCs w:val="24"/>
        </w:rPr>
      </w:pPr>
      <w:r w:rsidRPr="00A94830">
        <w:rPr>
          <w:rFonts w:ascii="Times New Roman" w:hAnsi="Times New Roman" w:cs="Times New Roman"/>
          <w:sz w:val="24"/>
          <w:szCs w:val="24"/>
        </w:rPr>
        <w:t>The "Bean in a Bag" experiment is another engaging activity where a bean seed is placed between a moist paper towel inside a clear plastic bag, which is then taped to a window (Early Years Alliance, 2022). This way, children can observe the sprouting process. The focus of this activity is to understand the early stages of plant life, including germination. As an extension, children can maintain a daily chart to track the bean’s progress, noting the development of roots and the emergence of sprouts.</w:t>
      </w:r>
    </w:p>
    <w:p w14:paraId="228960A1" w14:textId="77777777" w:rsidR="00A94830" w:rsidRPr="00A94830" w:rsidRDefault="00A94830" w:rsidP="00A94830">
      <w:pPr>
        <w:rPr>
          <w:rFonts w:ascii="Times New Roman" w:hAnsi="Times New Roman" w:cs="Times New Roman"/>
          <w:sz w:val="24"/>
          <w:szCs w:val="24"/>
        </w:rPr>
      </w:pPr>
      <w:r w:rsidRPr="00A94830">
        <w:rPr>
          <w:rFonts w:ascii="Times New Roman" w:hAnsi="Times New Roman" w:cs="Times New Roman"/>
          <w:sz w:val="24"/>
          <w:szCs w:val="24"/>
        </w:rPr>
        <w:t>Given that plants and flowers attract various insects and creatures, practitioners could also introduce children to caterpillars, allowing them to observe the transformation into butterflies. There are companies that provide caterpillar life cycle kits, offering an engaging way for children to learn about this cycle (Insect Lore, 2023). Once the caterpillars have transformed into butterflies and are ready for release, children should be able to articulate the butterfly's life cycle.</w:t>
      </w:r>
    </w:p>
    <w:p w14:paraId="0B4CC188" w14:textId="1585B8E9" w:rsidR="00A94830" w:rsidRPr="00A94830" w:rsidRDefault="00A94830" w:rsidP="00A94830">
      <w:pPr>
        <w:rPr>
          <w:rFonts w:ascii="Times New Roman" w:hAnsi="Times New Roman" w:cs="Times New Roman"/>
          <w:sz w:val="24"/>
          <w:szCs w:val="24"/>
        </w:rPr>
      </w:pPr>
      <w:r w:rsidRPr="00A94830">
        <w:rPr>
          <w:rFonts w:ascii="Times New Roman" w:hAnsi="Times New Roman" w:cs="Times New Roman"/>
          <w:sz w:val="24"/>
          <w:szCs w:val="24"/>
        </w:rPr>
        <w:t xml:space="preserve">Additionally, watering plants can be an important activity. By nurturing plants from seeds or planting them, practitioners give children the opportunity to care for them daily. Implementing a classroom job chart can assign watering responsibilities to each child on specific days of the week (Montessori, 2019). This </w:t>
      </w:r>
      <w:r w:rsidRPr="00A67D97">
        <w:rPr>
          <w:rFonts w:ascii="Times New Roman" w:hAnsi="Times New Roman" w:cs="Times New Roman"/>
          <w:sz w:val="24"/>
          <w:szCs w:val="24"/>
        </w:rPr>
        <w:t>instils</w:t>
      </w:r>
      <w:r w:rsidRPr="00A94830">
        <w:rPr>
          <w:rFonts w:ascii="Times New Roman" w:hAnsi="Times New Roman" w:cs="Times New Roman"/>
          <w:sz w:val="24"/>
          <w:szCs w:val="24"/>
        </w:rPr>
        <w:t xml:space="preserve"> a sense of responsibility and reinforces the understanding that plants, like all living things, require care and attention.</w:t>
      </w:r>
    </w:p>
    <w:p w14:paraId="1AA924FF" w14:textId="77777777" w:rsidR="00A94830" w:rsidRPr="00A94830" w:rsidRDefault="00A94830" w:rsidP="00A94830">
      <w:pPr>
        <w:rPr>
          <w:rFonts w:ascii="Times New Roman" w:hAnsi="Times New Roman" w:cs="Times New Roman"/>
          <w:sz w:val="24"/>
          <w:szCs w:val="24"/>
        </w:rPr>
      </w:pPr>
      <w:r w:rsidRPr="00A94830">
        <w:rPr>
          <w:rFonts w:ascii="Times New Roman" w:hAnsi="Times New Roman" w:cs="Times New Roman"/>
          <w:sz w:val="24"/>
          <w:szCs w:val="24"/>
        </w:rPr>
        <w:t>These activities combine hands-on learning, observation, and creativity, making the concepts of plant growth, life cycles, and living organisms engaging and accessible for young children.</w:t>
      </w:r>
    </w:p>
    <w:p w14:paraId="071E62F2" w14:textId="77777777" w:rsidR="00247A67" w:rsidRPr="00A67D97" w:rsidRDefault="00247A67">
      <w:pPr>
        <w:rPr>
          <w:rFonts w:ascii="Times New Roman" w:hAnsi="Times New Roman" w:cs="Times New Roman"/>
          <w:sz w:val="24"/>
          <w:szCs w:val="24"/>
        </w:rPr>
      </w:pPr>
    </w:p>
    <w:p w14:paraId="4C263FC1" w14:textId="52BDB4CF" w:rsidR="00002E52" w:rsidRPr="00A67D97" w:rsidRDefault="00A94830" w:rsidP="00002E52">
      <w:pPr>
        <w:rPr>
          <w:rFonts w:ascii="Times New Roman" w:hAnsi="Times New Roman" w:cs="Times New Roman"/>
          <w:sz w:val="24"/>
          <w:szCs w:val="24"/>
        </w:rPr>
      </w:pPr>
      <w:r w:rsidRPr="00A67D97">
        <w:rPr>
          <w:rFonts w:ascii="Times New Roman" w:hAnsi="Times New Roman" w:cs="Times New Roman"/>
          <w:sz w:val="24"/>
          <w:szCs w:val="24"/>
        </w:rPr>
        <w:t>Another great opportunity for</w:t>
      </w:r>
      <w:r w:rsidR="003E0F91" w:rsidRPr="00A67D97">
        <w:rPr>
          <w:rFonts w:ascii="Times New Roman" w:hAnsi="Times New Roman" w:cs="Times New Roman"/>
          <w:sz w:val="24"/>
          <w:szCs w:val="24"/>
        </w:rPr>
        <w:t xml:space="preserve"> exploration in</w:t>
      </w:r>
      <w:r w:rsidRPr="00A67D97">
        <w:rPr>
          <w:rFonts w:ascii="Times New Roman" w:hAnsi="Times New Roman" w:cs="Times New Roman"/>
          <w:sz w:val="24"/>
          <w:szCs w:val="24"/>
        </w:rPr>
        <w:t xml:space="preserve"> Mathematics in this photograph is </w:t>
      </w:r>
      <w:r w:rsidR="00002E52" w:rsidRPr="00A67D97">
        <w:rPr>
          <w:rFonts w:ascii="Times New Roman" w:hAnsi="Times New Roman" w:cs="Times New Roman"/>
          <w:sz w:val="24"/>
          <w:szCs w:val="24"/>
        </w:rPr>
        <w:t>counting, the use of buckets, crates, and small containers provides a rich, hands-on context for early mathematical development, creating opportunities for children to practice counting and sorting in engaging ways. When children sort different objects into these containers, they not only practice number recognition but also develop an intuitive understanding of categorization and seriation. Engaging with tangible materials allows for experiential learning where children can visualize quantities and comprehend basic arithmetic operations like addition and subtraction through real-world scenarios. For instance, if a child is tasked with counting the number of blocks that fit into a bucket, they not only learn the numeral associated with that quantity but also the concept of one-to-one correspondence.</w:t>
      </w:r>
    </w:p>
    <w:p w14:paraId="7268B1A4" w14:textId="77777777" w:rsidR="00002E52" w:rsidRPr="00A67D97" w:rsidRDefault="00002E52" w:rsidP="00002E52">
      <w:pPr>
        <w:rPr>
          <w:rFonts w:ascii="Times New Roman" w:hAnsi="Times New Roman" w:cs="Times New Roman"/>
          <w:sz w:val="24"/>
          <w:szCs w:val="24"/>
        </w:rPr>
      </w:pPr>
    </w:p>
    <w:p w14:paraId="3573DB50" w14:textId="77777777" w:rsidR="00002E52" w:rsidRPr="00A67D97" w:rsidRDefault="00002E52" w:rsidP="00002E52">
      <w:pPr>
        <w:rPr>
          <w:rFonts w:ascii="Times New Roman" w:hAnsi="Times New Roman" w:cs="Times New Roman"/>
          <w:sz w:val="24"/>
          <w:szCs w:val="24"/>
        </w:rPr>
      </w:pPr>
      <w:r w:rsidRPr="00A67D97">
        <w:rPr>
          <w:rFonts w:ascii="Times New Roman" w:hAnsi="Times New Roman" w:cs="Times New Roman"/>
          <w:sz w:val="24"/>
          <w:szCs w:val="24"/>
        </w:rPr>
        <w:t xml:space="preserve">The value of manipulatives in learning mathematics has been longstanding, as evidenced by research which emphasizes that using physical objects leads to better retention and understanding of mathematical concepts (Ginsburg, Lee, &amp; Boyd, 2008). By handling </w:t>
      </w:r>
      <w:r w:rsidRPr="00A67D97">
        <w:rPr>
          <w:rFonts w:ascii="Times New Roman" w:hAnsi="Times New Roman" w:cs="Times New Roman"/>
          <w:sz w:val="24"/>
          <w:szCs w:val="24"/>
        </w:rPr>
        <w:lastRenderedPageBreak/>
        <w:t>objects, children can also explore the principles of volume and capacity when they experiment with filling different containers. Activities that involve measuring and comparing quantities inherently promote discussion about size and weight, which are also foundational concepts in mathematics.</w:t>
      </w:r>
    </w:p>
    <w:p w14:paraId="38B153EB" w14:textId="77777777" w:rsidR="00002E52" w:rsidRPr="00A67D97" w:rsidRDefault="00002E52" w:rsidP="00002E52">
      <w:pPr>
        <w:rPr>
          <w:rFonts w:ascii="Times New Roman" w:hAnsi="Times New Roman" w:cs="Times New Roman"/>
          <w:sz w:val="24"/>
          <w:szCs w:val="24"/>
        </w:rPr>
      </w:pPr>
    </w:p>
    <w:p w14:paraId="05ED3FA2" w14:textId="77777777" w:rsidR="00002E52" w:rsidRPr="00A67D97" w:rsidRDefault="00002E52" w:rsidP="00002E52">
      <w:pPr>
        <w:rPr>
          <w:rFonts w:ascii="Times New Roman" w:hAnsi="Times New Roman" w:cs="Times New Roman"/>
          <w:sz w:val="24"/>
          <w:szCs w:val="24"/>
        </w:rPr>
      </w:pPr>
      <w:r w:rsidRPr="00A67D97">
        <w:rPr>
          <w:rFonts w:ascii="Times New Roman" w:hAnsi="Times New Roman" w:cs="Times New Roman"/>
          <w:sz w:val="24"/>
          <w:szCs w:val="24"/>
        </w:rPr>
        <w:t>Additionally, how children interact with a bucket pulley system opens up a world of inquiry and experimentation in physics. As they manipulate the pulley, they begin to grasp principles of motion, gravity, and force in a way that textbooks simply cannot convey. This interaction not only sparks curiosity but also allows children to visualize scientific concepts in a tangible manner. They might observe how adding or removing weight from one side of a pulley impacts the movement of the other side, thus understanding how mechanical advantage works. Early exposure to physics through play supports cognitive growth, as studies indicate that children who engage in such exploratory learning display enhanced problem-solving skills and scientific reasoning (Gelman &amp; Brenneman, 2004).</w:t>
      </w:r>
    </w:p>
    <w:p w14:paraId="79AED47C" w14:textId="77777777" w:rsidR="00002E52" w:rsidRPr="00A67D97" w:rsidRDefault="00002E52" w:rsidP="00002E52">
      <w:pPr>
        <w:rPr>
          <w:rFonts w:ascii="Times New Roman" w:hAnsi="Times New Roman" w:cs="Times New Roman"/>
          <w:sz w:val="24"/>
          <w:szCs w:val="24"/>
        </w:rPr>
      </w:pPr>
    </w:p>
    <w:p w14:paraId="431A8073" w14:textId="77777777" w:rsidR="00002E52" w:rsidRPr="00A67D97" w:rsidRDefault="00002E52" w:rsidP="00002E52">
      <w:pPr>
        <w:rPr>
          <w:rFonts w:ascii="Times New Roman" w:hAnsi="Times New Roman" w:cs="Times New Roman"/>
          <w:sz w:val="24"/>
          <w:szCs w:val="24"/>
        </w:rPr>
      </w:pPr>
      <w:r w:rsidRPr="00A67D97">
        <w:rPr>
          <w:rFonts w:ascii="Times New Roman" w:hAnsi="Times New Roman" w:cs="Times New Roman"/>
          <w:sz w:val="24"/>
          <w:szCs w:val="24"/>
        </w:rPr>
        <w:t>Incorporating bucket and pulley activities into play environments ties directly into early STEM education initiatives, as these experiences challenge children to think critically and develop solutions to problems. By encouraging children to hypothesize, test their ideas, and draw conclusions from their experiments, educators can foster an environment of inquiry that promotes not just rote memorization but a deep understanding of scientific and mathematical concepts. These hands-on experiences further promote fine motor skills, as manipulating pulleys or sorting objects requires control and coordination, essential aspects of early physical development (Verdine et al., 2014).</w:t>
      </w:r>
    </w:p>
    <w:p w14:paraId="33C6A3F9" w14:textId="2A903651" w:rsidR="00357870" w:rsidRPr="00A67D97" w:rsidRDefault="00002E52" w:rsidP="00002E52">
      <w:pPr>
        <w:rPr>
          <w:rFonts w:ascii="Times New Roman" w:hAnsi="Times New Roman" w:cs="Times New Roman"/>
          <w:sz w:val="24"/>
          <w:szCs w:val="24"/>
        </w:rPr>
      </w:pPr>
      <w:r w:rsidRPr="00A67D97">
        <w:rPr>
          <w:rFonts w:ascii="Times New Roman" w:hAnsi="Times New Roman" w:cs="Times New Roman"/>
          <w:sz w:val="24"/>
          <w:szCs w:val="24"/>
        </w:rPr>
        <w:t>In essence, by blending mathematics and science through interactive play, we create holistic learning experiences that nurture a child’s critical thinking, problem-solving abilities, and early STEM competencies. Such environments empower children to explore and engage deeply with the world around them, laying a strong foundation for lifelong learning and curiosity. This integrated approach also emphasizes the importance of play-based learning, which has shown to be particularly effective in enhancing cognitive and social-emotional growth in early childhood education settings (Hirsh-Pasek et al., 2009). By valuing these playful approaches, we can better prepare children to navigate an increasingly complex and interconnected world.</w:t>
      </w:r>
    </w:p>
    <w:p w14:paraId="668D5AED" w14:textId="77777777" w:rsidR="00357870" w:rsidRPr="00A67D97" w:rsidRDefault="00357870">
      <w:pPr>
        <w:rPr>
          <w:rFonts w:ascii="Times New Roman" w:hAnsi="Times New Roman" w:cs="Times New Roman"/>
        </w:rPr>
      </w:pPr>
    </w:p>
    <w:p w14:paraId="57E61D46" w14:textId="77777777" w:rsidR="00357870" w:rsidRPr="00A67D97" w:rsidRDefault="00357870">
      <w:pPr>
        <w:rPr>
          <w:rFonts w:ascii="Times New Roman" w:hAnsi="Times New Roman" w:cs="Times New Roman"/>
        </w:rPr>
      </w:pPr>
    </w:p>
    <w:p w14:paraId="31FDE4D7" w14:textId="77777777" w:rsidR="00357870" w:rsidRPr="00A67D97" w:rsidRDefault="00357870">
      <w:pPr>
        <w:rPr>
          <w:rFonts w:ascii="Times New Roman" w:hAnsi="Times New Roman" w:cs="Times New Roman"/>
        </w:rPr>
      </w:pPr>
    </w:p>
    <w:p w14:paraId="0566A178" w14:textId="144BA33D" w:rsidR="000E19B7" w:rsidRDefault="00247A67">
      <w:pPr>
        <w:sectPr w:rsidR="000E19B7">
          <w:headerReference w:type="default" r:id="rId9"/>
          <w:pgSz w:w="11906" w:h="16838"/>
          <w:pgMar w:top="1440" w:right="1440" w:bottom="1440" w:left="1440" w:header="708" w:footer="708" w:gutter="0"/>
          <w:cols w:space="708"/>
          <w:docGrid w:linePitch="360"/>
        </w:sectPr>
      </w:pPr>
      <w:r w:rsidRPr="00A67D97">
        <w:rPr>
          <w:rFonts w:ascii="Times New Roman" w:hAnsi="Times New Roman" w:cs="Times New Roman"/>
        </w:rPr>
        <w:br w:type="page"/>
      </w:r>
    </w:p>
    <w:p w14:paraId="4D4D3B5B" w14:textId="77777777" w:rsidR="00247A67" w:rsidRPr="00117C97" w:rsidRDefault="00247A67" w:rsidP="00247A67">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26EAE5D5" w14:textId="77777777" w:rsidR="00247A67" w:rsidRPr="00117C97" w:rsidRDefault="00247A67" w:rsidP="00247A6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946"/>
      </w:tblGrid>
      <w:tr w:rsidR="00247A67" w:rsidRPr="00117C97" w14:paraId="3E10F562" w14:textId="77777777" w:rsidTr="009C4512">
        <w:tc>
          <w:tcPr>
            <w:tcW w:w="2267" w:type="dxa"/>
            <w:shd w:val="clear" w:color="auto" w:fill="D9D9D9"/>
          </w:tcPr>
          <w:p w14:paraId="1C7FD2B4" w14:textId="77777777" w:rsidR="00247A67" w:rsidRPr="00117C97" w:rsidRDefault="00247A67" w:rsidP="009C4512">
            <w:pPr>
              <w:rPr>
                <w:rFonts w:ascii="Calibri" w:hAnsi="Calibri"/>
                <w:sz w:val="24"/>
                <w:szCs w:val="24"/>
              </w:rPr>
            </w:pPr>
            <w:r w:rsidRPr="00117C97">
              <w:rPr>
                <w:rFonts w:ascii="Calibri" w:hAnsi="Calibri"/>
                <w:b/>
                <w:sz w:val="24"/>
                <w:szCs w:val="24"/>
              </w:rPr>
              <w:t>Location / Activity:</w:t>
            </w:r>
          </w:p>
        </w:tc>
        <w:tc>
          <w:tcPr>
            <w:tcW w:w="7651" w:type="dxa"/>
          </w:tcPr>
          <w:p w14:paraId="6EC31150" w14:textId="77777777" w:rsidR="00247A67" w:rsidRPr="00117C97" w:rsidRDefault="00683183" w:rsidP="009C4512">
            <w:pPr>
              <w:rPr>
                <w:rFonts w:ascii="Calibri" w:hAnsi="Calibri"/>
                <w:sz w:val="24"/>
                <w:szCs w:val="24"/>
              </w:rPr>
            </w:pPr>
            <w:r>
              <w:rPr>
                <w:rFonts w:ascii="Calibri" w:hAnsi="Calibri"/>
                <w:sz w:val="24"/>
                <w:szCs w:val="24"/>
              </w:rPr>
              <w:t>Muddy Maths Area</w:t>
            </w:r>
          </w:p>
        </w:tc>
        <w:tc>
          <w:tcPr>
            <w:tcW w:w="1701" w:type="dxa"/>
            <w:shd w:val="clear" w:color="auto" w:fill="D9D9D9"/>
          </w:tcPr>
          <w:p w14:paraId="4C7C26AB" w14:textId="77777777" w:rsidR="00247A67" w:rsidRPr="00117C97" w:rsidRDefault="00247A67" w:rsidP="009C4512">
            <w:pPr>
              <w:rPr>
                <w:rFonts w:ascii="Calibri" w:hAnsi="Calibri"/>
                <w:sz w:val="24"/>
                <w:szCs w:val="24"/>
              </w:rPr>
            </w:pPr>
            <w:r w:rsidRPr="00117C97">
              <w:rPr>
                <w:rFonts w:ascii="Calibri" w:hAnsi="Calibri"/>
                <w:b/>
                <w:sz w:val="24"/>
                <w:szCs w:val="24"/>
              </w:rPr>
              <w:t>Date:</w:t>
            </w:r>
          </w:p>
        </w:tc>
        <w:tc>
          <w:tcPr>
            <w:tcW w:w="884" w:type="dxa"/>
          </w:tcPr>
          <w:p w14:paraId="51E44AA8" w14:textId="77777777" w:rsidR="00247A67" w:rsidRPr="00117C97" w:rsidRDefault="00683183" w:rsidP="009C4512">
            <w:pPr>
              <w:rPr>
                <w:rFonts w:ascii="Calibri" w:hAnsi="Calibri"/>
                <w:sz w:val="24"/>
                <w:szCs w:val="24"/>
              </w:rPr>
            </w:pPr>
            <w:r>
              <w:rPr>
                <w:rFonts w:ascii="Calibri" w:hAnsi="Calibri"/>
                <w:sz w:val="24"/>
                <w:szCs w:val="24"/>
              </w:rPr>
              <w:t>20.9.24</w:t>
            </w:r>
          </w:p>
        </w:tc>
      </w:tr>
      <w:tr w:rsidR="00247A67" w:rsidRPr="00117C97" w14:paraId="5F4EF4D4" w14:textId="77777777" w:rsidTr="009C4512">
        <w:tc>
          <w:tcPr>
            <w:tcW w:w="2267" w:type="dxa"/>
            <w:shd w:val="clear" w:color="auto" w:fill="D9D9D9"/>
          </w:tcPr>
          <w:p w14:paraId="2BA28F16" w14:textId="77777777" w:rsidR="00247A67" w:rsidRPr="00117C97" w:rsidRDefault="00247A67" w:rsidP="009C4512">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16581AB5" w14:textId="77777777" w:rsidR="00247A67" w:rsidRPr="00117C97" w:rsidRDefault="00683183" w:rsidP="009C4512">
            <w:pPr>
              <w:rPr>
                <w:rFonts w:ascii="Calibri" w:hAnsi="Calibri"/>
                <w:sz w:val="24"/>
                <w:szCs w:val="24"/>
              </w:rPr>
            </w:pPr>
            <w:r>
              <w:rPr>
                <w:rFonts w:ascii="Calibri" w:hAnsi="Calibri"/>
                <w:sz w:val="24"/>
                <w:szCs w:val="24"/>
              </w:rPr>
              <w:t>Mrs R Thomas</w:t>
            </w:r>
          </w:p>
        </w:tc>
        <w:tc>
          <w:tcPr>
            <w:tcW w:w="1701" w:type="dxa"/>
            <w:shd w:val="clear" w:color="auto" w:fill="D9D9D9"/>
          </w:tcPr>
          <w:p w14:paraId="4D0551D1" w14:textId="77777777" w:rsidR="00247A67" w:rsidRPr="00117C97" w:rsidRDefault="00247A67" w:rsidP="009C4512">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6020A461" w14:textId="77777777" w:rsidR="00247A67" w:rsidRPr="00117C97" w:rsidRDefault="00683183" w:rsidP="009C4512">
            <w:pPr>
              <w:rPr>
                <w:rFonts w:ascii="Calibri" w:hAnsi="Calibri"/>
                <w:sz w:val="24"/>
                <w:szCs w:val="24"/>
              </w:rPr>
            </w:pPr>
            <w:r>
              <w:rPr>
                <w:rFonts w:ascii="Calibri" w:hAnsi="Calibri"/>
                <w:sz w:val="24"/>
                <w:szCs w:val="24"/>
              </w:rPr>
              <w:t>N/A</w:t>
            </w:r>
          </w:p>
        </w:tc>
      </w:tr>
    </w:tbl>
    <w:p w14:paraId="73134FD0" w14:textId="77777777" w:rsidR="00247A67" w:rsidRPr="00117C97" w:rsidRDefault="00247A67" w:rsidP="00247A67">
      <w:pPr>
        <w:spacing w:after="0" w:line="240" w:lineRule="auto"/>
        <w:rPr>
          <w:rFonts w:ascii="Calibri" w:eastAsia="MS Mincho" w:hAnsi="Calibri" w:cs="Times New Roman"/>
          <w:sz w:val="16"/>
          <w:szCs w:val="16"/>
        </w:rPr>
      </w:pPr>
    </w:p>
    <w:p w14:paraId="46E9E6DB" w14:textId="77777777" w:rsidR="00247A67" w:rsidRPr="00117C97" w:rsidRDefault="00247A67" w:rsidP="00247A67">
      <w:pPr>
        <w:spacing w:after="0" w:line="240" w:lineRule="auto"/>
        <w:rPr>
          <w:rFonts w:ascii="Calibri" w:eastAsia="MS Mincho" w:hAnsi="Calibri" w:cs="Times New Roman"/>
          <w:sz w:val="16"/>
          <w:szCs w:val="16"/>
        </w:rPr>
      </w:pPr>
    </w:p>
    <w:tbl>
      <w:tblPr>
        <w:tblStyle w:val="TableGrid1"/>
        <w:tblW w:w="16018" w:type="dxa"/>
        <w:tblInd w:w="-1139" w:type="dxa"/>
        <w:tblLayout w:type="fixed"/>
        <w:tblLook w:val="04A0" w:firstRow="1" w:lastRow="0" w:firstColumn="1" w:lastColumn="0" w:noHBand="0" w:noVBand="1"/>
      </w:tblPr>
      <w:tblGrid>
        <w:gridCol w:w="2977"/>
        <w:gridCol w:w="2561"/>
        <w:gridCol w:w="2259"/>
        <w:gridCol w:w="1701"/>
        <w:gridCol w:w="4819"/>
        <w:gridCol w:w="1701"/>
      </w:tblGrid>
      <w:tr w:rsidR="00247A67" w:rsidRPr="00117C97" w14:paraId="1B79F3C9" w14:textId="77777777" w:rsidTr="008F3D98">
        <w:trPr>
          <w:cantSplit/>
          <w:tblHeader/>
        </w:trPr>
        <w:tc>
          <w:tcPr>
            <w:tcW w:w="2977" w:type="dxa"/>
            <w:shd w:val="clear" w:color="auto" w:fill="D9D9D9"/>
            <w:vAlign w:val="center"/>
          </w:tcPr>
          <w:p w14:paraId="164A48FC" w14:textId="77777777" w:rsidR="00247A67" w:rsidRPr="00117C97" w:rsidRDefault="00C61648" w:rsidP="009C4512">
            <w:pPr>
              <w:autoSpaceDE w:val="0"/>
              <w:autoSpaceDN w:val="0"/>
              <w:adjustRightInd w:val="0"/>
              <w:rPr>
                <w:rFonts w:ascii="Calibri" w:hAnsi="Calibri" w:cs="Helvetica"/>
                <w:b/>
                <w:sz w:val="24"/>
                <w:szCs w:val="24"/>
              </w:rPr>
            </w:pPr>
            <w:r>
              <w:rPr>
                <w:rFonts w:ascii="Calibri" w:hAnsi="Calibri" w:cs="Helvetica"/>
                <w:b/>
                <w:bCs/>
                <w:sz w:val="24"/>
                <w:szCs w:val="24"/>
              </w:rPr>
              <w:br/>
              <w:t>Activity/Hazard</w:t>
            </w:r>
          </w:p>
        </w:tc>
        <w:tc>
          <w:tcPr>
            <w:tcW w:w="2561" w:type="dxa"/>
            <w:shd w:val="clear" w:color="auto" w:fill="D9D9D9"/>
            <w:vAlign w:val="center"/>
          </w:tcPr>
          <w:p w14:paraId="3ADEB4D4" w14:textId="77777777" w:rsidR="00247A67" w:rsidRPr="00117C97" w:rsidRDefault="00C61648" w:rsidP="009C4512">
            <w:pPr>
              <w:rPr>
                <w:rFonts w:ascii="Calibri" w:hAnsi="Calibri" w:cs="Helvetica"/>
                <w:b/>
                <w:sz w:val="24"/>
                <w:szCs w:val="24"/>
              </w:rPr>
            </w:pPr>
            <w:r>
              <w:rPr>
                <w:rFonts w:ascii="Calibri" w:hAnsi="Calibri" w:cs="Helvetica"/>
                <w:b/>
                <w:sz w:val="24"/>
                <w:szCs w:val="24"/>
              </w:rPr>
              <w:t>Benefit</w:t>
            </w:r>
          </w:p>
        </w:tc>
        <w:tc>
          <w:tcPr>
            <w:tcW w:w="2259" w:type="dxa"/>
            <w:shd w:val="clear" w:color="auto" w:fill="D9D9D9"/>
            <w:vAlign w:val="center"/>
          </w:tcPr>
          <w:p w14:paraId="0CCBF539" w14:textId="77777777" w:rsidR="00247A67" w:rsidRPr="00117C97" w:rsidRDefault="00C61648" w:rsidP="00C61648">
            <w:pPr>
              <w:autoSpaceDE w:val="0"/>
              <w:autoSpaceDN w:val="0"/>
              <w:adjustRightInd w:val="0"/>
              <w:rPr>
                <w:rFonts w:ascii="Calibri" w:hAnsi="Calibri" w:cs="Helvetica"/>
                <w:b/>
                <w:sz w:val="24"/>
                <w:szCs w:val="24"/>
              </w:rPr>
            </w:pPr>
            <w:r>
              <w:rPr>
                <w:rFonts w:ascii="Calibri" w:hAnsi="Calibri" w:cs="Helvetica"/>
                <w:b/>
                <w:sz w:val="24"/>
                <w:szCs w:val="24"/>
              </w:rPr>
              <w:t>Hazards and R</w:t>
            </w:r>
            <w:r w:rsidR="00247A67">
              <w:rPr>
                <w:rFonts w:ascii="Calibri" w:hAnsi="Calibri" w:cs="Helvetica"/>
                <w:b/>
                <w:sz w:val="24"/>
                <w:szCs w:val="24"/>
              </w:rPr>
              <w:t>isks</w:t>
            </w:r>
          </w:p>
        </w:tc>
        <w:tc>
          <w:tcPr>
            <w:tcW w:w="1701" w:type="dxa"/>
            <w:shd w:val="clear" w:color="auto" w:fill="D9D9D9"/>
            <w:vAlign w:val="center"/>
          </w:tcPr>
          <w:p w14:paraId="078B34C6" w14:textId="77777777" w:rsidR="00247A67" w:rsidRPr="00117C97" w:rsidRDefault="00247A67" w:rsidP="009C4512">
            <w:pPr>
              <w:rPr>
                <w:rFonts w:ascii="Calibri" w:hAnsi="Calibri" w:cs="Helvetica"/>
                <w:b/>
                <w:sz w:val="24"/>
                <w:szCs w:val="24"/>
              </w:rPr>
            </w:pPr>
            <w:r w:rsidRPr="00117C97">
              <w:rPr>
                <w:rFonts w:ascii="Calibri" w:hAnsi="Calibri" w:cs="Helvetica"/>
                <w:b/>
                <w:sz w:val="24"/>
                <w:szCs w:val="24"/>
              </w:rPr>
              <w:t>Who is at risk?</w:t>
            </w:r>
          </w:p>
        </w:tc>
        <w:tc>
          <w:tcPr>
            <w:tcW w:w="4819" w:type="dxa"/>
            <w:shd w:val="clear" w:color="auto" w:fill="D9D9D9"/>
            <w:vAlign w:val="center"/>
          </w:tcPr>
          <w:p w14:paraId="027431BA" w14:textId="77777777" w:rsidR="00247A67" w:rsidRPr="00117C97" w:rsidRDefault="00247A67" w:rsidP="009C4512">
            <w:pPr>
              <w:rPr>
                <w:rFonts w:ascii="Calibri" w:hAnsi="Calibri"/>
                <w:b/>
                <w:sz w:val="24"/>
                <w:szCs w:val="24"/>
              </w:rPr>
            </w:pPr>
            <w:r w:rsidRPr="00117C97">
              <w:rPr>
                <w:rFonts w:ascii="Calibri" w:hAnsi="Calibri" w:cs="Helvetica"/>
                <w:b/>
                <w:sz w:val="24"/>
                <w:szCs w:val="24"/>
              </w:rPr>
              <w:t>PRECAUTIONS in place to reduce the risk of injury</w:t>
            </w:r>
          </w:p>
        </w:tc>
        <w:tc>
          <w:tcPr>
            <w:tcW w:w="1701" w:type="dxa"/>
            <w:shd w:val="clear" w:color="auto" w:fill="D9D9D9"/>
            <w:vAlign w:val="center"/>
          </w:tcPr>
          <w:p w14:paraId="3EA45CF9" w14:textId="77777777" w:rsidR="00247A67" w:rsidRDefault="00247A67" w:rsidP="009C4512">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428FA356" w14:textId="77777777" w:rsidR="00247A67" w:rsidRPr="00117C97" w:rsidRDefault="00247A67" w:rsidP="009C4512">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247A67" w:rsidRPr="00117C97" w14:paraId="208B4650" w14:textId="77777777" w:rsidTr="008F3D98">
        <w:trPr>
          <w:cantSplit/>
          <w:trHeight w:val="1361"/>
        </w:trPr>
        <w:tc>
          <w:tcPr>
            <w:tcW w:w="2977" w:type="dxa"/>
            <w:vAlign w:val="center"/>
          </w:tcPr>
          <w:p w14:paraId="308A1BD2" w14:textId="77777777" w:rsidR="00247A67" w:rsidRPr="005A5A66" w:rsidRDefault="00C61648" w:rsidP="009C4512">
            <w:pPr>
              <w:autoSpaceDE w:val="0"/>
              <w:autoSpaceDN w:val="0"/>
              <w:adjustRightInd w:val="0"/>
              <w:rPr>
                <w:rFonts w:ascii="Arial" w:hAnsi="Arial" w:cs="Arial"/>
                <w:sz w:val="24"/>
                <w:szCs w:val="24"/>
              </w:rPr>
            </w:pPr>
            <w:r w:rsidRPr="005A5A66">
              <w:rPr>
                <w:rFonts w:ascii="Arial" w:hAnsi="Arial" w:cs="Arial"/>
                <w:sz w:val="24"/>
                <w:szCs w:val="24"/>
              </w:rPr>
              <w:t>Contact with soil</w:t>
            </w:r>
          </w:p>
        </w:tc>
        <w:tc>
          <w:tcPr>
            <w:tcW w:w="2561" w:type="dxa"/>
            <w:vAlign w:val="center"/>
          </w:tcPr>
          <w:p w14:paraId="3D5A0ACD" w14:textId="77777777" w:rsidR="0075267A" w:rsidRPr="005A5A66" w:rsidRDefault="0075267A" w:rsidP="0075267A">
            <w:pPr>
              <w:rPr>
                <w:rFonts w:ascii="Arial" w:hAnsi="Arial" w:cs="Arial"/>
                <w:sz w:val="24"/>
                <w:szCs w:val="24"/>
              </w:rPr>
            </w:pPr>
            <w:r w:rsidRPr="005A5A66">
              <w:rPr>
                <w:rFonts w:ascii="Arial" w:hAnsi="Arial" w:cs="Arial"/>
                <w:sz w:val="24"/>
                <w:szCs w:val="24"/>
              </w:rPr>
              <w:t xml:space="preserve">Exposure to beneficial bacteria to build a healthy immune system. </w:t>
            </w:r>
            <w:r w:rsidRPr="005A5A66">
              <w:rPr>
                <w:rFonts w:ascii="Arial" w:hAnsi="Arial" w:cs="Arial"/>
                <w:sz w:val="24"/>
                <w:szCs w:val="24"/>
              </w:rPr>
              <w:br/>
              <w:t>Sensory</w:t>
            </w:r>
            <w:r w:rsidRPr="005A5A66">
              <w:rPr>
                <w:rFonts w:ascii="Arial" w:hAnsi="Arial" w:cs="Arial"/>
                <w:sz w:val="24"/>
                <w:szCs w:val="24"/>
              </w:rPr>
              <w:br/>
              <w:t>Open ended material.</w:t>
            </w:r>
          </w:p>
          <w:p w14:paraId="425D2733" w14:textId="77777777" w:rsidR="00247A67" w:rsidRPr="005A5A66" w:rsidRDefault="0075267A" w:rsidP="0075267A">
            <w:pPr>
              <w:autoSpaceDE w:val="0"/>
              <w:autoSpaceDN w:val="0"/>
              <w:adjustRightInd w:val="0"/>
              <w:rPr>
                <w:rFonts w:ascii="Arial" w:hAnsi="Arial" w:cs="Arial"/>
                <w:sz w:val="24"/>
                <w:szCs w:val="24"/>
              </w:rPr>
            </w:pPr>
            <w:r w:rsidRPr="005A5A66">
              <w:rPr>
                <w:rFonts w:ascii="Arial" w:hAnsi="Arial" w:cs="Arial"/>
                <w:sz w:val="24"/>
                <w:szCs w:val="24"/>
              </w:rPr>
              <w:t>Normal childhood experience.</w:t>
            </w:r>
          </w:p>
        </w:tc>
        <w:tc>
          <w:tcPr>
            <w:tcW w:w="2259" w:type="dxa"/>
            <w:vAlign w:val="center"/>
          </w:tcPr>
          <w:p w14:paraId="0AB5A95F" w14:textId="77777777" w:rsidR="00247A67" w:rsidRPr="005A5A66" w:rsidRDefault="0075267A" w:rsidP="0075267A">
            <w:pPr>
              <w:rPr>
                <w:rFonts w:ascii="Arial" w:hAnsi="Arial" w:cs="Arial"/>
                <w:sz w:val="24"/>
                <w:szCs w:val="24"/>
              </w:rPr>
            </w:pPr>
            <w:r w:rsidRPr="005A5A66">
              <w:rPr>
                <w:rFonts w:ascii="Arial" w:hAnsi="Arial" w:cs="Arial"/>
                <w:sz w:val="24"/>
                <w:szCs w:val="24"/>
              </w:rPr>
              <w:t>Ingesting Soil.</w:t>
            </w:r>
          </w:p>
        </w:tc>
        <w:tc>
          <w:tcPr>
            <w:tcW w:w="1701" w:type="dxa"/>
            <w:vAlign w:val="center"/>
          </w:tcPr>
          <w:p w14:paraId="762F4CD1" w14:textId="77777777" w:rsidR="00247A67" w:rsidRPr="005A5A66" w:rsidRDefault="00AB227C" w:rsidP="009C4512">
            <w:pPr>
              <w:rPr>
                <w:rFonts w:ascii="Arial" w:hAnsi="Arial" w:cs="Arial"/>
                <w:sz w:val="24"/>
                <w:szCs w:val="24"/>
              </w:rPr>
            </w:pPr>
            <w:r w:rsidRPr="005A5A66">
              <w:rPr>
                <w:rFonts w:ascii="Arial" w:hAnsi="Arial" w:cs="Arial"/>
                <w:sz w:val="24"/>
                <w:szCs w:val="24"/>
              </w:rPr>
              <w:t>Children</w:t>
            </w:r>
          </w:p>
        </w:tc>
        <w:tc>
          <w:tcPr>
            <w:tcW w:w="4819" w:type="dxa"/>
            <w:vAlign w:val="center"/>
          </w:tcPr>
          <w:p w14:paraId="0FA2EDAF" w14:textId="77777777" w:rsidR="00247A67" w:rsidRPr="005A5A66" w:rsidRDefault="0075267A" w:rsidP="009C4512">
            <w:pPr>
              <w:contextualSpacing/>
              <w:rPr>
                <w:rFonts w:ascii="Arial" w:hAnsi="Arial" w:cs="Arial"/>
                <w:sz w:val="24"/>
                <w:szCs w:val="24"/>
              </w:rPr>
            </w:pPr>
            <w:r w:rsidRPr="005A5A66">
              <w:rPr>
                <w:rFonts w:ascii="Arial" w:hAnsi="Arial" w:cs="Arial"/>
                <w:sz w:val="24"/>
                <w:szCs w:val="24"/>
              </w:rPr>
              <w:t xml:space="preserve">Provide hand washing provisions for during and after play </w:t>
            </w:r>
            <w:r w:rsidRPr="005A5A66">
              <w:rPr>
                <w:rFonts w:ascii="Arial" w:hAnsi="Arial" w:cs="Arial"/>
                <w:sz w:val="24"/>
                <w:szCs w:val="24"/>
              </w:rPr>
              <w:br/>
              <w:t>Establish hand washing routines</w:t>
            </w:r>
            <w:r w:rsidRPr="005A5A66">
              <w:rPr>
                <w:rFonts w:ascii="Arial" w:hAnsi="Arial" w:cs="Arial"/>
                <w:sz w:val="24"/>
                <w:szCs w:val="24"/>
              </w:rPr>
              <w:br/>
              <w:t>Children encouraged to follow a no consumption routine in this area</w:t>
            </w:r>
          </w:p>
        </w:tc>
        <w:tc>
          <w:tcPr>
            <w:tcW w:w="1701" w:type="dxa"/>
            <w:vAlign w:val="center"/>
          </w:tcPr>
          <w:p w14:paraId="7884FA82" w14:textId="77777777" w:rsidR="00247A67" w:rsidRPr="005A5A66" w:rsidRDefault="00AB227C" w:rsidP="009C4512">
            <w:pPr>
              <w:rPr>
                <w:rFonts w:ascii="Arial" w:hAnsi="Arial" w:cs="Arial"/>
                <w:sz w:val="24"/>
                <w:szCs w:val="24"/>
              </w:rPr>
            </w:pPr>
            <w:r w:rsidRPr="005A5A66">
              <w:rPr>
                <w:rFonts w:ascii="Arial" w:hAnsi="Arial" w:cs="Arial"/>
                <w:sz w:val="24"/>
                <w:szCs w:val="24"/>
              </w:rPr>
              <w:t>Low</w:t>
            </w:r>
          </w:p>
        </w:tc>
      </w:tr>
      <w:tr w:rsidR="00247A67" w:rsidRPr="00117C97" w14:paraId="4F584C77" w14:textId="77777777" w:rsidTr="008F3D98">
        <w:trPr>
          <w:cantSplit/>
          <w:trHeight w:val="1284"/>
        </w:trPr>
        <w:tc>
          <w:tcPr>
            <w:tcW w:w="2977" w:type="dxa"/>
            <w:vAlign w:val="center"/>
          </w:tcPr>
          <w:p w14:paraId="1A1532EC" w14:textId="77777777" w:rsidR="00247A67" w:rsidRPr="005A5A66" w:rsidRDefault="00C61648" w:rsidP="009C4512">
            <w:pPr>
              <w:autoSpaceDE w:val="0"/>
              <w:autoSpaceDN w:val="0"/>
              <w:adjustRightInd w:val="0"/>
              <w:rPr>
                <w:rFonts w:ascii="Arial" w:hAnsi="Arial" w:cs="Arial"/>
                <w:sz w:val="24"/>
                <w:szCs w:val="24"/>
              </w:rPr>
            </w:pPr>
            <w:r w:rsidRPr="005A5A66">
              <w:rPr>
                <w:rFonts w:ascii="Arial" w:hAnsi="Arial" w:cs="Arial"/>
                <w:sz w:val="24"/>
                <w:szCs w:val="24"/>
              </w:rPr>
              <w:t xml:space="preserve">Soil contamination </w:t>
            </w:r>
          </w:p>
        </w:tc>
        <w:tc>
          <w:tcPr>
            <w:tcW w:w="2561" w:type="dxa"/>
            <w:vAlign w:val="center"/>
          </w:tcPr>
          <w:p w14:paraId="3A4F42A1" w14:textId="77777777" w:rsidR="00247A67" w:rsidRPr="005A5A66" w:rsidRDefault="003F2863" w:rsidP="003F2863">
            <w:pPr>
              <w:autoSpaceDE w:val="0"/>
              <w:autoSpaceDN w:val="0"/>
              <w:adjustRightInd w:val="0"/>
              <w:rPr>
                <w:rFonts w:ascii="Arial" w:hAnsi="Arial" w:cs="Arial"/>
                <w:sz w:val="24"/>
                <w:szCs w:val="24"/>
              </w:rPr>
            </w:pPr>
            <w:r w:rsidRPr="005A5A66">
              <w:rPr>
                <w:rFonts w:ascii="Arial" w:hAnsi="Arial" w:cs="Arial"/>
                <w:sz w:val="24"/>
                <w:szCs w:val="24"/>
              </w:rPr>
              <w:t>Involve children in checking the areas before play (visual), creates a sense of ownership and raises awareness of a possible hazard</w:t>
            </w:r>
          </w:p>
        </w:tc>
        <w:tc>
          <w:tcPr>
            <w:tcW w:w="2259" w:type="dxa"/>
            <w:vAlign w:val="center"/>
          </w:tcPr>
          <w:p w14:paraId="0DBBEB7D" w14:textId="77777777" w:rsidR="00247A67" w:rsidRPr="005A5A66" w:rsidRDefault="0075267A" w:rsidP="0075267A">
            <w:pPr>
              <w:contextualSpacing/>
              <w:rPr>
                <w:rFonts w:ascii="Arial" w:hAnsi="Arial" w:cs="Arial"/>
                <w:sz w:val="24"/>
                <w:szCs w:val="24"/>
              </w:rPr>
            </w:pPr>
            <w:r w:rsidRPr="005A5A66">
              <w:rPr>
                <w:rFonts w:ascii="Arial" w:hAnsi="Arial" w:cs="Arial"/>
                <w:sz w:val="24"/>
                <w:szCs w:val="24"/>
              </w:rPr>
              <w:t>Ingesting /absorbing contaminated soil</w:t>
            </w:r>
          </w:p>
        </w:tc>
        <w:tc>
          <w:tcPr>
            <w:tcW w:w="1701" w:type="dxa"/>
            <w:vAlign w:val="center"/>
          </w:tcPr>
          <w:p w14:paraId="7D45DB72" w14:textId="77777777" w:rsidR="00247A67" w:rsidRPr="005A5A66" w:rsidRDefault="00AB227C" w:rsidP="009C4512">
            <w:pPr>
              <w:autoSpaceDE w:val="0"/>
              <w:autoSpaceDN w:val="0"/>
              <w:adjustRightInd w:val="0"/>
              <w:rPr>
                <w:rFonts w:ascii="Arial" w:hAnsi="Arial" w:cs="Arial"/>
                <w:sz w:val="24"/>
                <w:szCs w:val="24"/>
              </w:rPr>
            </w:pPr>
            <w:r w:rsidRPr="005A5A66">
              <w:rPr>
                <w:rFonts w:ascii="Arial" w:hAnsi="Arial" w:cs="Arial"/>
                <w:sz w:val="24"/>
                <w:szCs w:val="24"/>
              </w:rPr>
              <w:t>Children and Practitioners</w:t>
            </w:r>
          </w:p>
        </w:tc>
        <w:tc>
          <w:tcPr>
            <w:tcW w:w="4819" w:type="dxa"/>
            <w:vAlign w:val="center"/>
          </w:tcPr>
          <w:p w14:paraId="7C0097BA" w14:textId="77777777" w:rsidR="003F2863" w:rsidRPr="005A5A66" w:rsidRDefault="00D64A85" w:rsidP="003F2863">
            <w:pPr>
              <w:autoSpaceDE w:val="0"/>
              <w:autoSpaceDN w:val="0"/>
              <w:adjustRightInd w:val="0"/>
              <w:contextualSpacing/>
              <w:rPr>
                <w:rFonts w:ascii="Arial" w:hAnsi="Arial" w:cs="Arial"/>
                <w:sz w:val="24"/>
                <w:szCs w:val="24"/>
              </w:rPr>
            </w:pPr>
            <w:r w:rsidRPr="005A5A66">
              <w:rPr>
                <w:rFonts w:ascii="Arial" w:hAnsi="Arial" w:cs="Arial"/>
                <w:sz w:val="24"/>
                <w:szCs w:val="24"/>
              </w:rPr>
              <w:t xml:space="preserve">Soil should be </w:t>
            </w:r>
            <w:r w:rsidR="003F2863" w:rsidRPr="005A5A66">
              <w:rPr>
                <w:rFonts w:ascii="Arial" w:hAnsi="Arial" w:cs="Arial"/>
                <w:sz w:val="24"/>
                <w:szCs w:val="24"/>
              </w:rPr>
              <w:t>checked for contaminants daily</w:t>
            </w:r>
            <w:r w:rsidR="003F2863" w:rsidRPr="005A5A66">
              <w:rPr>
                <w:rFonts w:ascii="Arial" w:hAnsi="Arial" w:cs="Arial"/>
                <w:sz w:val="24"/>
                <w:szCs w:val="24"/>
              </w:rPr>
              <w:br/>
            </w:r>
            <w:r w:rsidRPr="005A5A66">
              <w:rPr>
                <w:rFonts w:ascii="Arial" w:hAnsi="Arial" w:cs="Arial"/>
                <w:sz w:val="24"/>
                <w:szCs w:val="24"/>
              </w:rPr>
              <w:t xml:space="preserve">Checking for contaminants is part of the daily inspection checklist </w:t>
            </w:r>
            <w:r w:rsidR="003F2863" w:rsidRPr="005A5A66">
              <w:rPr>
                <w:rFonts w:ascii="Arial" w:hAnsi="Arial" w:cs="Arial"/>
                <w:sz w:val="24"/>
                <w:szCs w:val="24"/>
              </w:rPr>
              <w:br/>
            </w:r>
            <w:r w:rsidRPr="005A5A66">
              <w:rPr>
                <w:rFonts w:ascii="Arial" w:hAnsi="Arial" w:cs="Arial"/>
                <w:sz w:val="24"/>
                <w:szCs w:val="24"/>
              </w:rPr>
              <w:t>Children encouraged to follow a no consumption routine in this area</w:t>
            </w:r>
          </w:p>
          <w:p w14:paraId="3DC9A964" w14:textId="77777777" w:rsidR="003F2863" w:rsidRPr="005A5A66" w:rsidRDefault="00D64A85" w:rsidP="003F2863">
            <w:pPr>
              <w:autoSpaceDE w:val="0"/>
              <w:autoSpaceDN w:val="0"/>
              <w:adjustRightInd w:val="0"/>
              <w:contextualSpacing/>
              <w:rPr>
                <w:rFonts w:ascii="Arial" w:hAnsi="Arial" w:cs="Arial"/>
                <w:sz w:val="24"/>
                <w:szCs w:val="24"/>
              </w:rPr>
            </w:pPr>
            <w:r w:rsidRPr="005A5A66">
              <w:rPr>
                <w:rFonts w:ascii="Arial" w:hAnsi="Arial" w:cs="Arial"/>
                <w:sz w:val="24"/>
                <w:szCs w:val="24"/>
              </w:rPr>
              <w:t>Not using manu</w:t>
            </w:r>
            <w:r w:rsidR="003F2863" w:rsidRPr="005A5A66">
              <w:rPr>
                <w:rFonts w:ascii="Arial" w:hAnsi="Arial" w:cs="Arial"/>
                <w:sz w:val="24"/>
                <w:szCs w:val="24"/>
              </w:rPr>
              <w:t>re or fertilizers.</w:t>
            </w:r>
          </w:p>
          <w:p w14:paraId="7C742DAD" w14:textId="77777777" w:rsidR="00247A67" w:rsidRPr="005A5A66" w:rsidRDefault="00D64A85" w:rsidP="003F2863">
            <w:pPr>
              <w:autoSpaceDE w:val="0"/>
              <w:autoSpaceDN w:val="0"/>
              <w:adjustRightInd w:val="0"/>
              <w:contextualSpacing/>
              <w:rPr>
                <w:rFonts w:ascii="Arial" w:hAnsi="Arial" w:cs="Arial"/>
                <w:sz w:val="24"/>
                <w:szCs w:val="24"/>
              </w:rPr>
            </w:pPr>
            <w:r w:rsidRPr="005A5A66">
              <w:rPr>
                <w:rFonts w:ascii="Arial" w:hAnsi="Arial" w:cs="Arial"/>
                <w:sz w:val="24"/>
                <w:szCs w:val="24"/>
              </w:rPr>
              <w:t>Raise awareness on the signs of contamination to look out for</w:t>
            </w:r>
            <w:r w:rsidR="003F2863" w:rsidRPr="005A5A66">
              <w:rPr>
                <w:rFonts w:ascii="Arial" w:hAnsi="Arial" w:cs="Arial"/>
                <w:sz w:val="24"/>
                <w:szCs w:val="24"/>
              </w:rPr>
              <w:t xml:space="preserve"> i.e. animal faeces.  </w:t>
            </w:r>
          </w:p>
        </w:tc>
        <w:tc>
          <w:tcPr>
            <w:tcW w:w="1701" w:type="dxa"/>
            <w:vAlign w:val="center"/>
          </w:tcPr>
          <w:p w14:paraId="10094993" w14:textId="77777777" w:rsidR="00247A67" w:rsidRPr="005A5A66" w:rsidRDefault="00AB227C" w:rsidP="009C4512">
            <w:pPr>
              <w:rPr>
                <w:rFonts w:ascii="Arial" w:hAnsi="Arial" w:cs="Arial"/>
                <w:sz w:val="24"/>
                <w:szCs w:val="24"/>
              </w:rPr>
            </w:pPr>
            <w:r w:rsidRPr="005A5A66">
              <w:rPr>
                <w:rFonts w:ascii="Arial" w:hAnsi="Arial" w:cs="Arial"/>
                <w:sz w:val="24"/>
                <w:szCs w:val="24"/>
              </w:rPr>
              <w:t>Low</w:t>
            </w:r>
          </w:p>
        </w:tc>
      </w:tr>
      <w:tr w:rsidR="00247A67" w:rsidRPr="00117C97" w14:paraId="53AD54F1" w14:textId="77777777" w:rsidTr="008F3D98">
        <w:trPr>
          <w:cantSplit/>
          <w:trHeight w:val="1274"/>
        </w:trPr>
        <w:tc>
          <w:tcPr>
            <w:tcW w:w="2977" w:type="dxa"/>
            <w:vAlign w:val="center"/>
          </w:tcPr>
          <w:p w14:paraId="097A56B0" w14:textId="77777777" w:rsidR="00247A67" w:rsidRPr="005A5A66" w:rsidRDefault="00C61648" w:rsidP="009C4512">
            <w:pPr>
              <w:rPr>
                <w:rFonts w:ascii="Arial" w:hAnsi="Arial" w:cs="Arial"/>
                <w:sz w:val="24"/>
                <w:szCs w:val="24"/>
              </w:rPr>
            </w:pPr>
            <w:r w:rsidRPr="005A5A66">
              <w:rPr>
                <w:rFonts w:ascii="Arial" w:hAnsi="Arial" w:cs="Arial"/>
                <w:sz w:val="24"/>
                <w:szCs w:val="24"/>
              </w:rPr>
              <w:lastRenderedPageBreak/>
              <w:t xml:space="preserve">Storage of equipment </w:t>
            </w:r>
          </w:p>
        </w:tc>
        <w:tc>
          <w:tcPr>
            <w:tcW w:w="2561" w:type="dxa"/>
            <w:vAlign w:val="center"/>
          </w:tcPr>
          <w:p w14:paraId="355C4F2B" w14:textId="77777777" w:rsidR="00247A67" w:rsidRPr="005A5A66" w:rsidRDefault="00683183" w:rsidP="009C4512">
            <w:pPr>
              <w:autoSpaceDE w:val="0"/>
              <w:autoSpaceDN w:val="0"/>
              <w:adjustRightInd w:val="0"/>
              <w:rPr>
                <w:rFonts w:ascii="Arial" w:hAnsi="Arial" w:cs="Arial"/>
                <w:sz w:val="24"/>
                <w:szCs w:val="24"/>
              </w:rPr>
            </w:pPr>
            <w:r w:rsidRPr="005A5A66">
              <w:rPr>
                <w:rFonts w:ascii="Arial" w:hAnsi="Arial" w:cs="Arial"/>
                <w:sz w:val="24"/>
                <w:szCs w:val="24"/>
              </w:rPr>
              <w:t>Children learning to clean and pack away equipment Children take ownership of the play space</w:t>
            </w:r>
          </w:p>
        </w:tc>
        <w:tc>
          <w:tcPr>
            <w:tcW w:w="2259" w:type="dxa"/>
            <w:vAlign w:val="center"/>
          </w:tcPr>
          <w:p w14:paraId="3155E510" w14:textId="77777777" w:rsidR="00247A67" w:rsidRPr="005A5A66" w:rsidRDefault="00683183" w:rsidP="00683183">
            <w:pPr>
              <w:contextualSpacing/>
              <w:rPr>
                <w:rFonts w:ascii="Arial" w:hAnsi="Arial" w:cs="Arial"/>
                <w:sz w:val="24"/>
                <w:szCs w:val="24"/>
              </w:rPr>
            </w:pPr>
            <w:r w:rsidRPr="005A5A66">
              <w:rPr>
                <w:rFonts w:ascii="Arial" w:hAnsi="Arial" w:cs="Arial"/>
                <w:sz w:val="24"/>
                <w:szCs w:val="24"/>
              </w:rPr>
              <w:t>Manual handling, moving the baskets of pots, pans, utensils</w:t>
            </w:r>
          </w:p>
        </w:tc>
        <w:tc>
          <w:tcPr>
            <w:tcW w:w="1701" w:type="dxa"/>
            <w:vAlign w:val="center"/>
          </w:tcPr>
          <w:p w14:paraId="47415261" w14:textId="77777777" w:rsidR="00247A67" w:rsidRPr="005A5A66" w:rsidRDefault="00AB227C" w:rsidP="009C4512">
            <w:pPr>
              <w:autoSpaceDE w:val="0"/>
              <w:autoSpaceDN w:val="0"/>
              <w:adjustRightInd w:val="0"/>
              <w:rPr>
                <w:rFonts w:ascii="Arial" w:hAnsi="Arial" w:cs="Arial"/>
                <w:sz w:val="24"/>
                <w:szCs w:val="24"/>
              </w:rPr>
            </w:pPr>
            <w:r w:rsidRPr="005A5A66">
              <w:rPr>
                <w:rFonts w:ascii="Arial" w:hAnsi="Arial" w:cs="Arial"/>
                <w:sz w:val="24"/>
                <w:szCs w:val="24"/>
              </w:rPr>
              <w:t>Children and Practitioners</w:t>
            </w:r>
          </w:p>
        </w:tc>
        <w:tc>
          <w:tcPr>
            <w:tcW w:w="4819" w:type="dxa"/>
            <w:vAlign w:val="center"/>
          </w:tcPr>
          <w:p w14:paraId="30023C97" w14:textId="77777777" w:rsidR="00247A67" w:rsidRPr="005A5A66" w:rsidRDefault="00AB227C" w:rsidP="00AB227C">
            <w:pPr>
              <w:autoSpaceDE w:val="0"/>
              <w:autoSpaceDN w:val="0"/>
              <w:adjustRightInd w:val="0"/>
              <w:contextualSpacing/>
              <w:rPr>
                <w:rFonts w:ascii="Arial" w:hAnsi="Arial" w:cs="Arial"/>
                <w:sz w:val="24"/>
                <w:szCs w:val="24"/>
              </w:rPr>
            </w:pPr>
            <w:r w:rsidRPr="005A5A66">
              <w:rPr>
                <w:rFonts w:ascii="Arial" w:hAnsi="Arial" w:cs="Arial"/>
                <w:sz w:val="24"/>
                <w:szCs w:val="24"/>
              </w:rPr>
              <w:t>Raise awareness of manual handling with adults and children Ensure baskets are not overloaded Store on low shelves in shed or purpose built storage boxes near the mud kitchen Use a trolley to transport heavy items Training in safe lifting/ carrying procedures when appropriate</w:t>
            </w:r>
          </w:p>
        </w:tc>
        <w:tc>
          <w:tcPr>
            <w:tcW w:w="1701" w:type="dxa"/>
            <w:vAlign w:val="center"/>
          </w:tcPr>
          <w:p w14:paraId="60DB2F2A" w14:textId="77777777" w:rsidR="00247A67" w:rsidRPr="005A5A66" w:rsidRDefault="00AB227C" w:rsidP="009C4512">
            <w:pPr>
              <w:rPr>
                <w:rFonts w:ascii="Arial" w:hAnsi="Arial" w:cs="Arial"/>
                <w:sz w:val="24"/>
                <w:szCs w:val="24"/>
              </w:rPr>
            </w:pPr>
            <w:r w:rsidRPr="005A5A66">
              <w:rPr>
                <w:rFonts w:ascii="Arial" w:hAnsi="Arial" w:cs="Arial"/>
                <w:sz w:val="24"/>
                <w:szCs w:val="24"/>
              </w:rPr>
              <w:t>Moderate</w:t>
            </w:r>
          </w:p>
        </w:tc>
      </w:tr>
      <w:tr w:rsidR="00247A67" w:rsidRPr="00117C97" w14:paraId="6429349B" w14:textId="77777777" w:rsidTr="008F3D98">
        <w:trPr>
          <w:cantSplit/>
          <w:trHeight w:val="1277"/>
        </w:trPr>
        <w:tc>
          <w:tcPr>
            <w:tcW w:w="2977" w:type="dxa"/>
            <w:vAlign w:val="center"/>
          </w:tcPr>
          <w:p w14:paraId="3BA096F7" w14:textId="77777777" w:rsidR="00247A67" w:rsidRPr="005A5A66" w:rsidRDefault="00C61648" w:rsidP="009C4512">
            <w:pPr>
              <w:rPr>
                <w:rFonts w:ascii="Arial" w:hAnsi="Arial" w:cs="Arial"/>
                <w:sz w:val="24"/>
                <w:szCs w:val="24"/>
              </w:rPr>
            </w:pPr>
            <w:r w:rsidRPr="005A5A66">
              <w:rPr>
                <w:rFonts w:ascii="Arial" w:hAnsi="Arial" w:cs="Arial"/>
                <w:sz w:val="24"/>
                <w:szCs w:val="24"/>
              </w:rPr>
              <w:t>water</w:t>
            </w:r>
          </w:p>
        </w:tc>
        <w:tc>
          <w:tcPr>
            <w:tcW w:w="2561" w:type="dxa"/>
            <w:vAlign w:val="center"/>
          </w:tcPr>
          <w:p w14:paraId="1ACC4D69" w14:textId="77777777" w:rsidR="00247A67" w:rsidRPr="005A5A66" w:rsidRDefault="00683183" w:rsidP="009C4512">
            <w:pPr>
              <w:autoSpaceDE w:val="0"/>
              <w:autoSpaceDN w:val="0"/>
              <w:adjustRightInd w:val="0"/>
              <w:rPr>
                <w:rFonts w:ascii="Arial" w:hAnsi="Arial" w:cs="Arial"/>
                <w:sz w:val="24"/>
                <w:szCs w:val="24"/>
              </w:rPr>
            </w:pPr>
            <w:r w:rsidRPr="005A5A66">
              <w:rPr>
                <w:rFonts w:ascii="Arial" w:hAnsi="Arial" w:cs="Arial"/>
                <w:sz w:val="24"/>
                <w:szCs w:val="24"/>
              </w:rPr>
              <w:t>Adds new dimension to play, changes the state of materials, tipping and pour</w:t>
            </w:r>
            <w:r w:rsidR="00AB227C" w:rsidRPr="005A5A66">
              <w:rPr>
                <w:rFonts w:ascii="Arial" w:hAnsi="Arial" w:cs="Arial"/>
                <w:sz w:val="24"/>
                <w:szCs w:val="24"/>
              </w:rPr>
              <w:t>ing, creating potions and soups</w:t>
            </w:r>
            <w:r w:rsidRPr="005A5A66">
              <w:rPr>
                <w:rFonts w:ascii="Arial" w:hAnsi="Arial" w:cs="Arial"/>
                <w:sz w:val="24"/>
                <w:szCs w:val="24"/>
              </w:rPr>
              <w:t>. Awareness of science, maths, capacity and volume</w:t>
            </w:r>
          </w:p>
        </w:tc>
        <w:tc>
          <w:tcPr>
            <w:tcW w:w="2259" w:type="dxa"/>
            <w:vAlign w:val="center"/>
          </w:tcPr>
          <w:p w14:paraId="2AC27A28" w14:textId="77777777" w:rsidR="00247A67" w:rsidRPr="005A5A66" w:rsidRDefault="00683183" w:rsidP="00683183">
            <w:pPr>
              <w:contextualSpacing/>
              <w:rPr>
                <w:rFonts w:ascii="Arial" w:hAnsi="Arial" w:cs="Arial"/>
                <w:sz w:val="24"/>
                <w:szCs w:val="24"/>
              </w:rPr>
            </w:pPr>
            <w:r w:rsidRPr="005A5A66">
              <w:rPr>
                <w:rFonts w:ascii="Arial" w:hAnsi="Arial" w:cs="Arial"/>
                <w:sz w:val="24"/>
                <w:szCs w:val="24"/>
              </w:rPr>
              <w:t>Drowning Flooding during heavy, prolonged rain events</w:t>
            </w:r>
          </w:p>
          <w:p w14:paraId="01D50F2D" w14:textId="77777777" w:rsidR="00AB227C" w:rsidRPr="005A5A66" w:rsidRDefault="00AB227C" w:rsidP="00683183">
            <w:pPr>
              <w:contextualSpacing/>
              <w:rPr>
                <w:rFonts w:ascii="Arial" w:hAnsi="Arial" w:cs="Arial"/>
                <w:sz w:val="24"/>
                <w:szCs w:val="24"/>
              </w:rPr>
            </w:pPr>
            <w:r w:rsidRPr="005A5A66">
              <w:rPr>
                <w:rFonts w:ascii="Arial" w:hAnsi="Arial" w:cs="Arial"/>
                <w:sz w:val="24"/>
                <w:szCs w:val="24"/>
              </w:rPr>
              <w:t>Stagnant water, Consumption/ absorption of contaminants</w:t>
            </w:r>
          </w:p>
        </w:tc>
        <w:tc>
          <w:tcPr>
            <w:tcW w:w="1701" w:type="dxa"/>
            <w:vAlign w:val="center"/>
          </w:tcPr>
          <w:p w14:paraId="65B3DF20" w14:textId="77777777" w:rsidR="00247A67" w:rsidRPr="005A5A66" w:rsidRDefault="00AB227C" w:rsidP="009C4512">
            <w:pPr>
              <w:autoSpaceDE w:val="0"/>
              <w:autoSpaceDN w:val="0"/>
              <w:adjustRightInd w:val="0"/>
              <w:rPr>
                <w:rFonts w:ascii="Arial" w:hAnsi="Arial" w:cs="Arial"/>
                <w:sz w:val="24"/>
                <w:szCs w:val="24"/>
              </w:rPr>
            </w:pPr>
            <w:r w:rsidRPr="005A5A66">
              <w:rPr>
                <w:rFonts w:ascii="Arial" w:hAnsi="Arial" w:cs="Arial"/>
                <w:sz w:val="24"/>
                <w:szCs w:val="24"/>
              </w:rPr>
              <w:t>Children</w:t>
            </w:r>
          </w:p>
        </w:tc>
        <w:tc>
          <w:tcPr>
            <w:tcW w:w="4819" w:type="dxa"/>
            <w:vAlign w:val="center"/>
          </w:tcPr>
          <w:p w14:paraId="4083CE28" w14:textId="77777777" w:rsidR="00247A67" w:rsidRPr="005A5A66" w:rsidRDefault="00AB227C" w:rsidP="00AB227C">
            <w:pPr>
              <w:autoSpaceDE w:val="0"/>
              <w:autoSpaceDN w:val="0"/>
              <w:adjustRightInd w:val="0"/>
              <w:contextualSpacing/>
              <w:rPr>
                <w:rFonts w:ascii="Arial" w:hAnsi="Arial" w:cs="Arial"/>
                <w:sz w:val="24"/>
                <w:szCs w:val="24"/>
              </w:rPr>
            </w:pPr>
            <w:r w:rsidRPr="005A5A66">
              <w:rPr>
                <w:rFonts w:ascii="Arial" w:hAnsi="Arial" w:cs="Arial"/>
                <w:sz w:val="24"/>
                <w:szCs w:val="24"/>
              </w:rPr>
              <w:t>Water containers are emptied at the end of each session/day and not left to go stagnant.</w:t>
            </w:r>
            <w:r w:rsidRPr="005A5A66">
              <w:rPr>
                <w:rFonts w:ascii="Arial" w:hAnsi="Arial" w:cs="Arial"/>
                <w:sz w:val="24"/>
                <w:szCs w:val="24"/>
              </w:rPr>
              <w:br/>
              <w:t>Water containers are cleaned regularly and checked for foreign bodies, mould, algae.</w:t>
            </w:r>
            <w:r w:rsidRPr="005A5A66">
              <w:rPr>
                <w:rFonts w:ascii="Arial" w:hAnsi="Arial" w:cs="Arial"/>
                <w:sz w:val="24"/>
                <w:szCs w:val="24"/>
              </w:rPr>
              <w:br/>
              <w:t>Children encouraged to follow a no consumption routine in this area.</w:t>
            </w:r>
            <w:r w:rsidRPr="005A5A66">
              <w:rPr>
                <w:rFonts w:ascii="Arial" w:hAnsi="Arial" w:cs="Arial"/>
                <w:sz w:val="24"/>
                <w:szCs w:val="24"/>
              </w:rPr>
              <w:br/>
            </w:r>
          </w:p>
        </w:tc>
        <w:tc>
          <w:tcPr>
            <w:tcW w:w="1701" w:type="dxa"/>
            <w:vAlign w:val="center"/>
          </w:tcPr>
          <w:p w14:paraId="1B88A4DB" w14:textId="77777777" w:rsidR="00247A67" w:rsidRPr="005A5A66" w:rsidRDefault="00AB227C" w:rsidP="009C4512">
            <w:pPr>
              <w:rPr>
                <w:rFonts w:ascii="Arial" w:hAnsi="Arial" w:cs="Arial"/>
                <w:sz w:val="24"/>
                <w:szCs w:val="24"/>
              </w:rPr>
            </w:pPr>
            <w:r w:rsidRPr="005A5A66">
              <w:rPr>
                <w:rFonts w:ascii="Arial" w:hAnsi="Arial" w:cs="Arial"/>
                <w:sz w:val="24"/>
                <w:szCs w:val="24"/>
              </w:rPr>
              <w:t>Moderate</w:t>
            </w:r>
          </w:p>
        </w:tc>
      </w:tr>
      <w:tr w:rsidR="00C61648" w:rsidRPr="00117C97" w14:paraId="463B449E" w14:textId="77777777" w:rsidTr="00683183">
        <w:trPr>
          <w:cantSplit/>
          <w:trHeight w:val="1361"/>
        </w:trPr>
        <w:tc>
          <w:tcPr>
            <w:tcW w:w="2977" w:type="dxa"/>
            <w:vAlign w:val="center"/>
          </w:tcPr>
          <w:p w14:paraId="1BD4105A" w14:textId="77777777" w:rsidR="00C61648" w:rsidRPr="005A5A66" w:rsidRDefault="00C61648" w:rsidP="00471A40">
            <w:pPr>
              <w:autoSpaceDE w:val="0"/>
              <w:autoSpaceDN w:val="0"/>
              <w:adjustRightInd w:val="0"/>
              <w:rPr>
                <w:rFonts w:ascii="Arial" w:hAnsi="Arial" w:cs="Arial"/>
                <w:sz w:val="24"/>
                <w:szCs w:val="24"/>
              </w:rPr>
            </w:pPr>
            <w:r w:rsidRPr="005A5A66">
              <w:rPr>
                <w:rFonts w:ascii="Arial" w:hAnsi="Arial" w:cs="Arial"/>
                <w:sz w:val="24"/>
                <w:szCs w:val="24"/>
              </w:rPr>
              <w:t>Natural material such as wood, gravel</w:t>
            </w:r>
            <w:r w:rsidR="00AB227C" w:rsidRPr="005A5A66">
              <w:rPr>
                <w:rFonts w:ascii="Arial" w:hAnsi="Arial" w:cs="Arial"/>
                <w:sz w:val="24"/>
                <w:szCs w:val="24"/>
              </w:rPr>
              <w:t>, soil and sand.</w:t>
            </w:r>
          </w:p>
        </w:tc>
        <w:tc>
          <w:tcPr>
            <w:tcW w:w="2561" w:type="dxa"/>
            <w:vAlign w:val="center"/>
          </w:tcPr>
          <w:p w14:paraId="318411B5" w14:textId="77777777" w:rsidR="00C61648" w:rsidRPr="005A5A66" w:rsidRDefault="00683183" w:rsidP="00AB227C">
            <w:pPr>
              <w:autoSpaceDE w:val="0"/>
              <w:autoSpaceDN w:val="0"/>
              <w:adjustRightInd w:val="0"/>
              <w:rPr>
                <w:rFonts w:ascii="Arial" w:hAnsi="Arial" w:cs="Arial"/>
                <w:sz w:val="24"/>
                <w:szCs w:val="24"/>
              </w:rPr>
            </w:pPr>
            <w:r w:rsidRPr="005A5A66">
              <w:rPr>
                <w:rFonts w:ascii="Arial" w:hAnsi="Arial" w:cs="Arial"/>
                <w:sz w:val="24"/>
                <w:szCs w:val="24"/>
              </w:rPr>
              <w:t>Fine and gross motor skills from lifting, pouring, gathering, patting, squeezing the soil, carrying, sorting patterns weighing, art Connection to nature Creative stimulus</w:t>
            </w:r>
          </w:p>
        </w:tc>
        <w:tc>
          <w:tcPr>
            <w:tcW w:w="2259" w:type="dxa"/>
            <w:vAlign w:val="center"/>
          </w:tcPr>
          <w:p w14:paraId="32A80B65" w14:textId="77777777" w:rsidR="00C61648" w:rsidRPr="005A5A66" w:rsidRDefault="00683183" w:rsidP="00471A40">
            <w:pPr>
              <w:rPr>
                <w:rFonts w:ascii="Arial" w:hAnsi="Arial" w:cs="Arial"/>
                <w:sz w:val="24"/>
                <w:szCs w:val="24"/>
              </w:rPr>
            </w:pPr>
            <w:r w:rsidRPr="005A5A66">
              <w:rPr>
                <w:rFonts w:ascii="Arial" w:hAnsi="Arial" w:cs="Arial"/>
                <w:sz w:val="24"/>
                <w:szCs w:val="24"/>
              </w:rPr>
              <w:t xml:space="preserve">Chocking </w:t>
            </w:r>
          </w:p>
        </w:tc>
        <w:tc>
          <w:tcPr>
            <w:tcW w:w="1701" w:type="dxa"/>
            <w:vAlign w:val="center"/>
          </w:tcPr>
          <w:p w14:paraId="73C9F5D5" w14:textId="77777777" w:rsidR="00C61648" w:rsidRPr="005A5A66" w:rsidRDefault="00AB227C" w:rsidP="00471A40">
            <w:pPr>
              <w:rPr>
                <w:rFonts w:ascii="Arial" w:hAnsi="Arial" w:cs="Arial"/>
                <w:sz w:val="24"/>
                <w:szCs w:val="24"/>
              </w:rPr>
            </w:pPr>
            <w:r w:rsidRPr="005A5A66">
              <w:rPr>
                <w:rFonts w:ascii="Arial" w:hAnsi="Arial" w:cs="Arial"/>
                <w:sz w:val="24"/>
                <w:szCs w:val="24"/>
              </w:rPr>
              <w:t>Children</w:t>
            </w:r>
          </w:p>
        </w:tc>
        <w:tc>
          <w:tcPr>
            <w:tcW w:w="4819" w:type="dxa"/>
            <w:vAlign w:val="center"/>
          </w:tcPr>
          <w:p w14:paraId="25E8EBE9" w14:textId="77777777" w:rsidR="00AB227C" w:rsidRPr="005A5A66" w:rsidRDefault="00AB227C" w:rsidP="00471A40">
            <w:pPr>
              <w:contextualSpacing/>
              <w:rPr>
                <w:rFonts w:ascii="Arial" w:hAnsi="Arial" w:cs="Arial"/>
                <w:i/>
                <w:sz w:val="24"/>
                <w:szCs w:val="24"/>
              </w:rPr>
            </w:pPr>
            <w:r w:rsidRPr="005A5A66">
              <w:rPr>
                <w:rFonts w:ascii="Arial" w:hAnsi="Arial" w:cs="Arial"/>
                <w:i/>
                <w:sz w:val="24"/>
                <w:szCs w:val="24"/>
              </w:rPr>
              <w:t>Any children likely to explore or have seek sensory stimuli to be supervised closely in this area by.</w:t>
            </w:r>
          </w:p>
          <w:p w14:paraId="73AF031D" w14:textId="77777777" w:rsidR="00C61648" w:rsidRPr="005A5A66" w:rsidRDefault="00AB227C" w:rsidP="00AB227C">
            <w:pPr>
              <w:contextualSpacing/>
              <w:rPr>
                <w:rFonts w:ascii="Arial" w:hAnsi="Arial" w:cs="Arial"/>
                <w:i/>
                <w:sz w:val="24"/>
                <w:szCs w:val="24"/>
              </w:rPr>
            </w:pPr>
            <w:r w:rsidRPr="005A5A66">
              <w:rPr>
                <w:rFonts w:ascii="Arial" w:hAnsi="Arial" w:cs="Arial"/>
                <w:i/>
                <w:sz w:val="24"/>
                <w:szCs w:val="24"/>
              </w:rPr>
              <w:t>All children made aware not to put small objects in their mouth</w:t>
            </w:r>
          </w:p>
        </w:tc>
        <w:tc>
          <w:tcPr>
            <w:tcW w:w="1701" w:type="dxa"/>
            <w:vAlign w:val="center"/>
          </w:tcPr>
          <w:p w14:paraId="1C175597" w14:textId="77777777" w:rsidR="00C61648" w:rsidRPr="005A5A66" w:rsidRDefault="00056BB7" w:rsidP="00471A40">
            <w:pPr>
              <w:rPr>
                <w:rFonts w:ascii="Arial" w:hAnsi="Arial" w:cs="Arial"/>
                <w:sz w:val="24"/>
                <w:szCs w:val="24"/>
              </w:rPr>
            </w:pPr>
            <w:r w:rsidRPr="005A5A66">
              <w:rPr>
                <w:rFonts w:ascii="Arial" w:hAnsi="Arial" w:cs="Arial"/>
                <w:sz w:val="24"/>
                <w:szCs w:val="24"/>
              </w:rPr>
              <w:t>High</w:t>
            </w:r>
          </w:p>
        </w:tc>
      </w:tr>
      <w:tr w:rsidR="00C61648" w:rsidRPr="00117C97" w14:paraId="47D2A043" w14:textId="77777777" w:rsidTr="00683183">
        <w:trPr>
          <w:cantSplit/>
          <w:trHeight w:val="1284"/>
        </w:trPr>
        <w:tc>
          <w:tcPr>
            <w:tcW w:w="2977" w:type="dxa"/>
            <w:vAlign w:val="center"/>
          </w:tcPr>
          <w:p w14:paraId="6AC4352A" w14:textId="77777777" w:rsidR="00C61648" w:rsidRPr="005A5A66" w:rsidRDefault="00C61648" w:rsidP="00C61648">
            <w:pPr>
              <w:autoSpaceDE w:val="0"/>
              <w:autoSpaceDN w:val="0"/>
              <w:adjustRightInd w:val="0"/>
              <w:rPr>
                <w:rFonts w:ascii="Arial" w:hAnsi="Arial" w:cs="Arial"/>
                <w:sz w:val="24"/>
                <w:szCs w:val="24"/>
              </w:rPr>
            </w:pPr>
            <w:r w:rsidRPr="005A5A66">
              <w:rPr>
                <w:rFonts w:ascii="Arial" w:hAnsi="Arial" w:cs="Arial"/>
                <w:sz w:val="24"/>
                <w:szCs w:val="24"/>
              </w:rPr>
              <w:lastRenderedPageBreak/>
              <w:t>Handling plants and seeds</w:t>
            </w:r>
          </w:p>
        </w:tc>
        <w:tc>
          <w:tcPr>
            <w:tcW w:w="2561" w:type="dxa"/>
            <w:vAlign w:val="center"/>
          </w:tcPr>
          <w:p w14:paraId="04388F50" w14:textId="77777777" w:rsidR="00C61648" w:rsidRPr="005A5A66" w:rsidRDefault="000C27E0" w:rsidP="000C27E0">
            <w:pPr>
              <w:autoSpaceDE w:val="0"/>
              <w:autoSpaceDN w:val="0"/>
              <w:adjustRightInd w:val="0"/>
              <w:rPr>
                <w:rFonts w:ascii="Arial" w:hAnsi="Arial" w:cs="Arial"/>
                <w:sz w:val="24"/>
                <w:szCs w:val="24"/>
              </w:rPr>
            </w:pPr>
            <w:r w:rsidRPr="005A5A66">
              <w:rPr>
                <w:rFonts w:ascii="Arial" w:hAnsi="Arial" w:cs="Arial"/>
                <w:sz w:val="24"/>
                <w:szCs w:val="24"/>
              </w:rPr>
              <w:t>Teaches them about environmental awareness</w:t>
            </w:r>
            <w:r w:rsidRPr="005A5A66">
              <w:rPr>
                <w:rFonts w:ascii="Arial" w:hAnsi="Arial" w:cs="Arial"/>
                <w:sz w:val="24"/>
                <w:szCs w:val="24"/>
              </w:rPr>
              <w:br/>
              <w:t>Helps develop muscle growth and coordination</w:t>
            </w:r>
            <w:r w:rsidRPr="005A5A66">
              <w:rPr>
                <w:rFonts w:ascii="Arial" w:hAnsi="Arial" w:cs="Arial"/>
                <w:sz w:val="24"/>
                <w:szCs w:val="24"/>
              </w:rPr>
              <w:br/>
              <w:t>Gross motor skills</w:t>
            </w:r>
            <w:r w:rsidRPr="005A5A66">
              <w:rPr>
                <w:rFonts w:ascii="Arial" w:hAnsi="Arial" w:cs="Arial"/>
                <w:sz w:val="24"/>
                <w:szCs w:val="24"/>
              </w:rPr>
              <w:br/>
            </w:r>
            <w:r w:rsidRPr="005A5A66">
              <w:rPr>
                <w:rFonts w:ascii="Arial" w:hAnsi="Arial" w:cs="Arial"/>
                <w:sz w:val="24"/>
                <w:szCs w:val="24"/>
              </w:rPr>
              <w:br/>
              <w:t xml:space="preserve"> </w:t>
            </w:r>
          </w:p>
        </w:tc>
        <w:tc>
          <w:tcPr>
            <w:tcW w:w="2259" w:type="dxa"/>
            <w:vAlign w:val="center"/>
          </w:tcPr>
          <w:p w14:paraId="08DE97B4" w14:textId="77777777" w:rsidR="000C27E0" w:rsidRPr="005A5A66" w:rsidRDefault="000C27E0" w:rsidP="000C27E0">
            <w:pPr>
              <w:numPr>
                <w:ilvl w:val="0"/>
                <w:numId w:val="2"/>
              </w:numPr>
              <w:shd w:val="clear" w:color="auto" w:fill="FFFFFF"/>
              <w:spacing w:after="120"/>
              <w:ind w:left="0"/>
              <w:rPr>
                <w:rFonts w:ascii="Arial" w:hAnsi="Arial" w:cs="Arial"/>
                <w:color w:val="001D35"/>
                <w:sz w:val="24"/>
                <w:szCs w:val="24"/>
                <w:lang w:eastAsia="en-GB"/>
              </w:rPr>
            </w:pPr>
            <w:r w:rsidRPr="005A5A66">
              <w:rPr>
                <w:rFonts w:ascii="Arial" w:hAnsi="Arial" w:cs="Arial"/>
                <w:color w:val="001D35"/>
                <w:sz w:val="24"/>
                <w:szCs w:val="24"/>
                <w:lang w:eastAsia="en-GB"/>
              </w:rPr>
              <w:t>Allergic reactions: Some plants can cause allergic reactions, such as hay fever from grasses and blisters from rue. </w:t>
            </w:r>
          </w:p>
          <w:p w14:paraId="5E6E8B3D" w14:textId="77777777" w:rsidR="000C27E0" w:rsidRPr="005A5A66" w:rsidRDefault="000C27E0" w:rsidP="000C27E0">
            <w:pPr>
              <w:numPr>
                <w:ilvl w:val="0"/>
                <w:numId w:val="2"/>
              </w:numPr>
              <w:shd w:val="clear" w:color="auto" w:fill="FFFFFF"/>
              <w:spacing w:after="120"/>
              <w:ind w:left="0"/>
              <w:rPr>
                <w:rFonts w:ascii="Arial" w:hAnsi="Arial" w:cs="Arial"/>
                <w:color w:val="001D35"/>
                <w:sz w:val="24"/>
                <w:szCs w:val="24"/>
                <w:lang w:eastAsia="en-GB"/>
              </w:rPr>
            </w:pPr>
            <w:r w:rsidRPr="005A5A66">
              <w:rPr>
                <w:rFonts w:ascii="Arial" w:hAnsi="Arial" w:cs="Arial"/>
                <w:color w:val="001D35"/>
                <w:sz w:val="24"/>
                <w:szCs w:val="24"/>
                <w:lang w:eastAsia="en-GB"/>
              </w:rPr>
              <w:t>Poisonous parts: Some plants have poisonous parts that can be harmful if eaten, such as laburnum seeds, potato fruits, and daffodils. </w:t>
            </w:r>
          </w:p>
          <w:p w14:paraId="51E07B80" w14:textId="77777777" w:rsidR="000C27E0" w:rsidRPr="005A5A66" w:rsidRDefault="000C27E0" w:rsidP="000C27E0">
            <w:pPr>
              <w:numPr>
                <w:ilvl w:val="0"/>
                <w:numId w:val="2"/>
              </w:numPr>
              <w:shd w:val="clear" w:color="auto" w:fill="FFFFFF"/>
              <w:spacing w:after="120"/>
              <w:ind w:left="0"/>
              <w:rPr>
                <w:rFonts w:ascii="Arial" w:hAnsi="Arial" w:cs="Arial"/>
                <w:sz w:val="24"/>
                <w:szCs w:val="24"/>
                <w:lang w:eastAsia="en-GB"/>
              </w:rPr>
            </w:pPr>
            <w:r w:rsidRPr="005A5A66">
              <w:rPr>
                <w:rFonts w:ascii="Arial" w:hAnsi="Arial" w:cs="Arial"/>
                <w:color w:val="001D35"/>
                <w:sz w:val="24"/>
                <w:szCs w:val="24"/>
                <w:lang w:eastAsia="en-GB"/>
              </w:rPr>
              <w:t>Chemicals: Plants may have been treated with chemicals, such as pesticides.</w:t>
            </w:r>
          </w:p>
          <w:p w14:paraId="2BEEBD43" w14:textId="77777777" w:rsidR="00E17561" w:rsidRPr="005A5A66" w:rsidRDefault="00E17561" w:rsidP="000C27E0">
            <w:pPr>
              <w:numPr>
                <w:ilvl w:val="0"/>
                <w:numId w:val="2"/>
              </w:numPr>
              <w:shd w:val="clear" w:color="auto" w:fill="FFFFFF"/>
              <w:spacing w:after="120"/>
              <w:ind w:left="0"/>
              <w:rPr>
                <w:rFonts w:ascii="Arial" w:hAnsi="Arial" w:cs="Arial"/>
                <w:sz w:val="24"/>
                <w:szCs w:val="24"/>
                <w:lang w:eastAsia="en-GB"/>
              </w:rPr>
            </w:pPr>
            <w:r w:rsidRPr="005A5A66">
              <w:rPr>
                <w:rFonts w:ascii="Arial" w:hAnsi="Arial" w:cs="Arial"/>
                <w:color w:val="001D35"/>
                <w:sz w:val="24"/>
                <w:szCs w:val="24"/>
                <w:lang w:eastAsia="en-GB"/>
              </w:rPr>
              <w:t>Ingestion.</w:t>
            </w:r>
          </w:p>
          <w:p w14:paraId="00DF6C11" w14:textId="77777777" w:rsidR="00C61648" w:rsidRPr="005A5A66" w:rsidRDefault="00C61648" w:rsidP="000C27E0">
            <w:pPr>
              <w:ind w:left="360"/>
              <w:contextualSpacing/>
              <w:rPr>
                <w:rFonts w:ascii="Arial" w:hAnsi="Arial" w:cs="Arial"/>
                <w:sz w:val="24"/>
                <w:szCs w:val="24"/>
              </w:rPr>
            </w:pPr>
          </w:p>
        </w:tc>
        <w:tc>
          <w:tcPr>
            <w:tcW w:w="1701" w:type="dxa"/>
            <w:vAlign w:val="center"/>
          </w:tcPr>
          <w:p w14:paraId="1641688C" w14:textId="77777777" w:rsidR="00C61648" w:rsidRPr="005A5A66" w:rsidRDefault="00056BB7" w:rsidP="000C27E0">
            <w:pPr>
              <w:autoSpaceDE w:val="0"/>
              <w:autoSpaceDN w:val="0"/>
              <w:adjustRightInd w:val="0"/>
              <w:rPr>
                <w:rFonts w:ascii="Arial" w:hAnsi="Arial" w:cs="Arial"/>
                <w:sz w:val="24"/>
                <w:szCs w:val="24"/>
              </w:rPr>
            </w:pPr>
            <w:r w:rsidRPr="005A5A66">
              <w:rPr>
                <w:rFonts w:ascii="Arial" w:hAnsi="Arial" w:cs="Arial"/>
                <w:sz w:val="24"/>
                <w:szCs w:val="24"/>
              </w:rPr>
              <w:t xml:space="preserve">Children </w:t>
            </w:r>
          </w:p>
        </w:tc>
        <w:tc>
          <w:tcPr>
            <w:tcW w:w="4819" w:type="dxa"/>
            <w:vAlign w:val="center"/>
          </w:tcPr>
          <w:p w14:paraId="66548851" w14:textId="77777777" w:rsidR="000C27E0" w:rsidRPr="005A5A66" w:rsidRDefault="000C27E0" w:rsidP="000C27E0">
            <w:pPr>
              <w:numPr>
                <w:ilvl w:val="0"/>
                <w:numId w:val="3"/>
              </w:numPr>
              <w:shd w:val="clear" w:color="auto" w:fill="FFFFFF"/>
              <w:spacing w:after="120"/>
              <w:ind w:left="0"/>
              <w:rPr>
                <w:rFonts w:ascii="Arial" w:hAnsi="Arial" w:cs="Arial"/>
                <w:color w:val="001D35"/>
                <w:sz w:val="24"/>
                <w:szCs w:val="24"/>
                <w:lang w:eastAsia="en-GB"/>
              </w:rPr>
            </w:pPr>
            <w:r w:rsidRPr="005A5A66">
              <w:rPr>
                <w:rFonts w:ascii="Arial" w:hAnsi="Arial" w:cs="Arial"/>
                <w:color w:val="001D35"/>
                <w:sz w:val="24"/>
                <w:szCs w:val="24"/>
                <w:lang w:eastAsia="en-GB"/>
              </w:rPr>
              <w:t>Teach children not to eat plants: Teach children that they should not eat plants that are not food plants or crops. </w:t>
            </w:r>
          </w:p>
          <w:p w14:paraId="53FE7F60" w14:textId="77777777" w:rsidR="000C27E0" w:rsidRPr="005A5A66" w:rsidRDefault="000C27E0" w:rsidP="000C27E0">
            <w:pPr>
              <w:numPr>
                <w:ilvl w:val="0"/>
                <w:numId w:val="3"/>
              </w:numPr>
              <w:shd w:val="clear" w:color="auto" w:fill="FFFFFF"/>
              <w:spacing w:after="120"/>
              <w:ind w:left="0"/>
              <w:rPr>
                <w:rFonts w:ascii="Arial" w:hAnsi="Arial" w:cs="Arial"/>
                <w:color w:val="001D35"/>
                <w:sz w:val="24"/>
                <w:szCs w:val="24"/>
                <w:lang w:eastAsia="en-GB"/>
              </w:rPr>
            </w:pPr>
            <w:r w:rsidRPr="005A5A66">
              <w:rPr>
                <w:rFonts w:ascii="Arial" w:hAnsi="Arial" w:cs="Arial"/>
                <w:color w:val="001D35"/>
                <w:sz w:val="24"/>
                <w:szCs w:val="24"/>
                <w:lang w:eastAsia="en-GB"/>
              </w:rPr>
              <w:t>Wear gloves: Wear gloves when handling plants that may cause irritation or seeds that have been treated with pesticides. </w:t>
            </w:r>
          </w:p>
          <w:p w14:paraId="65697644" w14:textId="77777777" w:rsidR="000C27E0" w:rsidRPr="005A5A66" w:rsidRDefault="000C27E0" w:rsidP="000C27E0">
            <w:pPr>
              <w:numPr>
                <w:ilvl w:val="0"/>
                <w:numId w:val="3"/>
              </w:numPr>
              <w:shd w:val="clear" w:color="auto" w:fill="FFFFFF"/>
              <w:spacing w:after="120"/>
              <w:ind w:left="0"/>
              <w:rPr>
                <w:rFonts w:ascii="Arial" w:hAnsi="Arial" w:cs="Arial"/>
                <w:color w:val="001D35"/>
                <w:sz w:val="24"/>
                <w:szCs w:val="24"/>
                <w:lang w:eastAsia="en-GB"/>
              </w:rPr>
            </w:pPr>
            <w:r w:rsidRPr="005A5A66">
              <w:rPr>
                <w:rFonts w:ascii="Arial" w:hAnsi="Arial" w:cs="Arial"/>
                <w:color w:val="001D35"/>
                <w:sz w:val="24"/>
                <w:szCs w:val="24"/>
                <w:lang w:eastAsia="en-GB"/>
              </w:rPr>
              <w:t>Wash hands: Wash hands in warm soapy water after handling seeds and other plant material. </w:t>
            </w:r>
          </w:p>
          <w:p w14:paraId="19EAFA3A" w14:textId="77777777" w:rsidR="000C27E0" w:rsidRPr="005A5A66" w:rsidRDefault="000C27E0" w:rsidP="000C27E0">
            <w:pPr>
              <w:numPr>
                <w:ilvl w:val="0"/>
                <w:numId w:val="3"/>
              </w:numPr>
              <w:shd w:val="clear" w:color="auto" w:fill="FFFFFF"/>
              <w:spacing w:after="120"/>
              <w:ind w:left="0"/>
              <w:rPr>
                <w:rFonts w:ascii="Arial" w:hAnsi="Arial" w:cs="Arial"/>
                <w:color w:val="001D35"/>
                <w:sz w:val="24"/>
                <w:szCs w:val="24"/>
                <w:lang w:eastAsia="en-GB"/>
              </w:rPr>
            </w:pPr>
            <w:r w:rsidRPr="005A5A66">
              <w:rPr>
                <w:rFonts w:ascii="Arial" w:hAnsi="Arial" w:cs="Arial"/>
                <w:color w:val="001D35"/>
                <w:sz w:val="24"/>
                <w:szCs w:val="24"/>
                <w:lang w:eastAsia="en-GB"/>
              </w:rPr>
              <w:t>Check plant labels: Check plant labels for toxicity warnings. </w:t>
            </w:r>
          </w:p>
          <w:p w14:paraId="668E4FA5" w14:textId="77777777" w:rsidR="000C27E0" w:rsidRPr="005A5A66" w:rsidRDefault="000C27E0" w:rsidP="000C27E0">
            <w:pPr>
              <w:numPr>
                <w:ilvl w:val="0"/>
                <w:numId w:val="3"/>
              </w:numPr>
              <w:shd w:val="clear" w:color="auto" w:fill="FFFFFF"/>
              <w:spacing w:after="120"/>
              <w:ind w:left="0"/>
              <w:rPr>
                <w:rFonts w:ascii="Arial" w:hAnsi="Arial" w:cs="Arial"/>
                <w:sz w:val="24"/>
                <w:szCs w:val="24"/>
                <w:lang w:eastAsia="en-GB"/>
              </w:rPr>
            </w:pPr>
            <w:r w:rsidRPr="005A5A66">
              <w:rPr>
                <w:rFonts w:ascii="Arial" w:hAnsi="Arial" w:cs="Arial"/>
                <w:color w:val="001D35"/>
                <w:sz w:val="24"/>
                <w:szCs w:val="24"/>
                <w:lang w:eastAsia="en-GB"/>
              </w:rPr>
              <w:t>Use large seeds: When choosing seeds with young children, it can be easier to use large seeds that can be sown in individual containers.</w:t>
            </w:r>
          </w:p>
          <w:p w14:paraId="7C925F34" w14:textId="77777777" w:rsidR="00C61648" w:rsidRPr="005A5A66" w:rsidRDefault="00C61648" w:rsidP="000C27E0">
            <w:pPr>
              <w:autoSpaceDE w:val="0"/>
              <w:autoSpaceDN w:val="0"/>
              <w:adjustRightInd w:val="0"/>
              <w:ind w:left="360"/>
              <w:contextualSpacing/>
              <w:rPr>
                <w:rFonts w:ascii="Arial" w:hAnsi="Arial" w:cs="Arial"/>
                <w:sz w:val="24"/>
                <w:szCs w:val="24"/>
              </w:rPr>
            </w:pPr>
          </w:p>
        </w:tc>
        <w:tc>
          <w:tcPr>
            <w:tcW w:w="1701" w:type="dxa"/>
            <w:vAlign w:val="center"/>
          </w:tcPr>
          <w:p w14:paraId="165B4E2C" w14:textId="77777777" w:rsidR="00C61648" w:rsidRPr="005A5A66" w:rsidRDefault="00056BB7" w:rsidP="00471A40">
            <w:pPr>
              <w:rPr>
                <w:rFonts w:ascii="Arial" w:hAnsi="Arial" w:cs="Arial"/>
                <w:sz w:val="24"/>
                <w:szCs w:val="24"/>
              </w:rPr>
            </w:pPr>
            <w:r w:rsidRPr="005A5A66">
              <w:rPr>
                <w:rFonts w:ascii="Arial" w:hAnsi="Arial" w:cs="Arial"/>
                <w:sz w:val="24"/>
                <w:szCs w:val="24"/>
              </w:rPr>
              <w:t>High</w:t>
            </w:r>
          </w:p>
        </w:tc>
      </w:tr>
      <w:tr w:rsidR="00C61648" w:rsidRPr="00117C97" w14:paraId="5BBF33D7" w14:textId="77777777" w:rsidTr="00683183">
        <w:trPr>
          <w:cantSplit/>
          <w:trHeight w:val="1274"/>
        </w:trPr>
        <w:tc>
          <w:tcPr>
            <w:tcW w:w="2977" w:type="dxa"/>
            <w:vAlign w:val="center"/>
          </w:tcPr>
          <w:p w14:paraId="765AFF9B" w14:textId="77777777" w:rsidR="00C61648" w:rsidRPr="005A5A66" w:rsidRDefault="00C61648" w:rsidP="00471A40">
            <w:pPr>
              <w:rPr>
                <w:rFonts w:ascii="Arial" w:hAnsi="Arial" w:cs="Arial"/>
                <w:sz w:val="24"/>
                <w:szCs w:val="24"/>
              </w:rPr>
            </w:pPr>
            <w:r w:rsidRPr="005A5A66">
              <w:rPr>
                <w:rFonts w:ascii="Arial" w:hAnsi="Arial" w:cs="Arial"/>
                <w:sz w:val="24"/>
                <w:szCs w:val="24"/>
              </w:rPr>
              <w:lastRenderedPageBreak/>
              <w:t>Slippery surfaces</w:t>
            </w:r>
          </w:p>
        </w:tc>
        <w:tc>
          <w:tcPr>
            <w:tcW w:w="2561" w:type="dxa"/>
            <w:vAlign w:val="center"/>
          </w:tcPr>
          <w:p w14:paraId="1C0CD246" w14:textId="77777777" w:rsidR="00C61648" w:rsidRPr="005A5A66" w:rsidRDefault="00A954BD" w:rsidP="00A954BD">
            <w:pPr>
              <w:autoSpaceDE w:val="0"/>
              <w:autoSpaceDN w:val="0"/>
              <w:adjustRightInd w:val="0"/>
              <w:rPr>
                <w:rFonts w:ascii="Arial" w:hAnsi="Arial" w:cs="Arial"/>
                <w:sz w:val="24"/>
                <w:szCs w:val="24"/>
              </w:rPr>
            </w:pPr>
            <w:r w:rsidRPr="005A5A66">
              <w:rPr>
                <w:rFonts w:ascii="Arial" w:hAnsi="Arial" w:cs="Arial"/>
                <w:sz w:val="24"/>
                <w:szCs w:val="24"/>
              </w:rPr>
              <w:t>Opportunity to jump in muddy puddles, investigate the science of friction</w:t>
            </w:r>
          </w:p>
        </w:tc>
        <w:tc>
          <w:tcPr>
            <w:tcW w:w="2259" w:type="dxa"/>
            <w:vAlign w:val="center"/>
          </w:tcPr>
          <w:p w14:paraId="32EB8FBD" w14:textId="77777777" w:rsidR="00C61648" w:rsidRPr="005A5A66" w:rsidRDefault="00A954BD" w:rsidP="00A954BD">
            <w:pPr>
              <w:contextualSpacing/>
              <w:rPr>
                <w:rFonts w:ascii="Arial" w:hAnsi="Arial" w:cs="Arial"/>
                <w:sz w:val="24"/>
                <w:szCs w:val="24"/>
              </w:rPr>
            </w:pPr>
            <w:r w:rsidRPr="005A5A66">
              <w:rPr>
                <w:rFonts w:ascii="Arial" w:hAnsi="Arial" w:cs="Arial"/>
                <w:sz w:val="24"/>
                <w:szCs w:val="24"/>
              </w:rPr>
              <w:t>Slips, trips and falls</w:t>
            </w:r>
          </w:p>
        </w:tc>
        <w:tc>
          <w:tcPr>
            <w:tcW w:w="1701" w:type="dxa"/>
            <w:vAlign w:val="center"/>
          </w:tcPr>
          <w:p w14:paraId="11F60401" w14:textId="77777777" w:rsidR="00C61648" w:rsidRPr="005A5A66" w:rsidRDefault="00A954BD" w:rsidP="00471A40">
            <w:pPr>
              <w:autoSpaceDE w:val="0"/>
              <w:autoSpaceDN w:val="0"/>
              <w:adjustRightInd w:val="0"/>
              <w:rPr>
                <w:rFonts w:ascii="Arial" w:hAnsi="Arial" w:cs="Arial"/>
                <w:sz w:val="24"/>
                <w:szCs w:val="24"/>
              </w:rPr>
            </w:pPr>
            <w:r w:rsidRPr="005A5A66">
              <w:rPr>
                <w:rFonts w:ascii="Arial" w:hAnsi="Arial" w:cs="Arial"/>
                <w:sz w:val="24"/>
                <w:szCs w:val="24"/>
              </w:rPr>
              <w:t>Children and Educators</w:t>
            </w:r>
          </w:p>
        </w:tc>
        <w:tc>
          <w:tcPr>
            <w:tcW w:w="4819" w:type="dxa"/>
            <w:vAlign w:val="center"/>
          </w:tcPr>
          <w:p w14:paraId="260452A3" w14:textId="77777777" w:rsidR="00A954BD" w:rsidRPr="005A5A66" w:rsidRDefault="00A954BD" w:rsidP="00A954BD">
            <w:pPr>
              <w:autoSpaceDE w:val="0"/>
              <w:autoSpaceDN w:val="0"/>
              <w:adjustRightInd w:val="0"/>
              <w:contextualSpacing/>
              <w:rPr>
                <w:rFonts w:ascii="Arial" w:hAnsi="Arial" w:cs="Arial"/>
                <w:sz w:val="24"/>
                <w:szCs w:val="24"/>
              </w:rPr>
            </w:pPr>
            <w:r w:rsidRPr="005A5A66">
              <w:rPr>
                <w:rFonts w:ascii="Arial" w:hAnsi="Arial" w:cs="Arial"/>
                <w:sz w:val="24"/>
                <w:szCs w:val="24"/>
              </w:rPr>
              <w:t xml:space="preserve">Suitable footwear to be worn by children and adults including educators and </w:t>
            </w:r>
            <w:r w:rsidR="00E17561" w:rsidRPr="005A5A66">
              <w:rPr>
                <w:rFonts w:ascii="Arial" w:hAnsi="Arial" w:cs="Arial"/>
                <w:sz w:val="24"/>
                <w:szCs w:val="24"/>
              </w:rPr>
              <w:t>volunteers</w:t>
            </w:r>
            <w:r w:rsidRPr="005A5A66">
              <w:rPr>
                <w:rFonts w:ascii="Arial" w:hAnsi="Arial" w:cs="Arial"/>
                <w:sz w:val="24"/>
                <w:szCs w:val="24"/>
              </w:rPr>
              <w:t>.</w:t>
            </w:r>
          </w:p>
          <w:p w14:paraId="0EE2FA81" w14:textId="77777777" w:rsidR="00A954BD" w:rsidRPr="005A5A66" w:rsidRDefault="00A954BD" w:rsidP="00A954BD">
            <w:pPr>
              <w:autoSpaceDE w:val="0"/>
              <w:autoSpaceDN w:val="0"/>
              <w:adjustRightInd w:val="0"/>
              <w:contextualSpacing/>
              <w:rPr>
                <w:rFonts w:ascii="Arial" w:hAnsi="Arial" w:cs="Arial"/>
                <w:sz w:val="24"/>
                <w:szCs w:val="24"/>
              </w:rPr>
            </w:pPr>
            <w:r w:rsidRPr="005A5A66">
              <w:rPr>
                <w:rFonts w:ascii="Arial" w:hAnsi="Arial" w:cs="Arial"/>
                <w:sz w:val="24"/>
                <w:szCs w:val="24"/>
              </w:rPr>
              <w:t xml:space="preserve">Provide area for changing shoes and putting on </w:t>
            </w:r>
            <w:r w:rsidR="00E17561" w:rsidRPr="005A5A66">
              <w:rPr>
                <w:rFonts w:ascii="Arial" w:hAnsi="Arial" w:cs="Arial"/>
                <w:sz w:val="24"/>
                <w:szCs w:val="24"/>
              </w:rPr>
              <w:t>all in one suits.</w:t>
            </w:r>
            <w:r w:rsidR="00E17561" w:rsidRPr="005A5A66">
              <w:rPr>
                <w:rFonts w:ascii="Arial" w:hAnsi="Arial" w:cs="Arial"/>
                <w:sz w:val="24"/>
                <w:szCs w:val="24"/>
              </w:rPr>
              <w:br/>
            </w:r>
            <w:r w:rsidRPr="005A5A66">
              <w:rPr>
                <w:rFonts w:ascii="Arial" w:hAnsi="Arial" w:cs="Arial"/>
                <w:sz w:val="24"/>
                <w:szCs w:val="24"/>
              </w:rPr>
              <w:t>Wet and muddy shoes to be removed before entering the building.</w:t>
            </w:r>
          </w:p>
          <w:p w14:paraId="34B0DEB0" w14:textId="77777777" w:rsidR="00C61648" w:rsidRPr="005A5A66" w:rsidRDefault="00A954BD" w:rsidP="00E17561">
            <w:pPr>
              <w:autoSpaceDE w:val="0"/>
              <w:autoSpaceDN w:val="0"/>
              <w:adjustRightInd w:val="0"/>
              <w:contextualSpacing/>
              <w:rPr>
                <w:rFonts w:ascii="Arial" w:hAnsi="Arial" w:cs="Arial"/>
                <w:sz w:val="24"/>
                <w:szCs w:val="24"/>
              </w:rPr>
            </w:pPr>
            <w:r w:rsidRPr="005A5A66">
              <w:rPr>
                <w:rFonts w:ascii="Arial" w:hAnsi="Arial" w:cs="Arial"/>
                <w:sz w:val="24"/>
                <w:szCs w:val="24"/>
              </w:rPr>
              <w:t>If area become</w:t>
            </w:r>
            <w:r w:rsidR="00E17561" w:rsidRPr="005A5A66">
              <w:rPr>
                <w:rFonts w:ascii="Arial" w:hAnsi="Arial" w:cs="Arial"/>
                <w:sz w:val="24"/>
                <w:szCs w:val="24"/>
              </w:rPr>
              <w:t>s</w:t>
            </w:r>
            <w:r w:rsidRPr="005A5A66">
              <w:rPr>
                <w:rFonts w:ascii="Arial" w:hAnsi="Arial" w:cs="Arial"/>
                <w:sz w:val="24"/>
                <w:szCs w:val="24"/>
              </w:rPr>
              <w:t xml:space="preserve"> too slippery spread some mulch</w:t>
            </w:r>
            <w:r w:rsidR="00E17561" w:rsidRPr="005A5A66">
              <w:rPr>
                <w:rFonts w:ascii="Arial" w:hAnsi="Arial" w:cs="Arial"/>
                <w:sz w:val="24"/>
                <w:szCs w:val="24"/>
              </w:rPr>
              <w:t>.</w:t>
            </w:r>
            <w:r w:rsidRPr="005A5A66">
              <w:rPr>
                <w:rFonts w:ascii="Arial" w:hAnsi="Arial" w:cs="Arial"/>
                <w:sz w:val="24"/>
                <w:szCs w:val="24"/>
              </w:rPr>
              <w:t xml:space="preserve"> </w:t>
            </w:r>
            <w:r w:rsidR="00E17561" w:rsidRPr="005A5A66">
              <w:rPr>
                <w:rFonts w:ascii="Arial" w:hAnsi="Arial" w:cs="Arial"/>
                <w:sz w:val="24"/>
                <w:szCs w:val="24"/>
              </w:rPr>
              <w:t>E</w:t>
            </w:r>
            <w:r w:rsidRPr="005A5A66">
              <w:rPr>
                <w:rFonts w:ascii="Arial" w:hAnsi="Arial" w:cs="Arial"/>
                <w:sz w:val="24"/>
                <w:szCs w:val="24"/>
              </w:rPr>
              <w:t>ducators to monitor and decide when action is required</w:t>
            </w:r>
          </w:p>
        </w:tc>
        <w:tc>
          <w:tcPr>
            <w:tcW w:w="1701" w:type="dxa"/>
            <w:vAlign w:val="center"/>
          </w:tcPr>
          <w:p w14:paraId="005BC5C8" w14:textId="77777777" w:rsidR="00C61648" w:rsidRPr="005A5A66" w:rsidRDefault="000C27E0" w:rsidP="00471A40">
            <w:pPr>
              <w:rPr>
                <w:rFonts w:ascii="Arial" w:hAnsi="Arial" w:cs="Arial"/>
                <w:sz w:val="24"/>
                <w:szCs w:val="24"/>
              </w:rPr>
            </w:pPr>
            <w:r w:rsidRPr="005A5A66">
              <w:rPr>
                <w:rFonts w:ascii="Arial" w:hAnsi="Arial" w:cs="Arial"/>
                <w:sz w:val="24"/>
                <w:szCs w:val="24"/>
              </w:rPr>
              <w:t>High</w:t>
            </w:r>
          </w:p>
        </w:tc>
      </w:tr>
      <w:tr w:rsidR="00C61648" w:rsidRPr="00117C97" w14:paraId="46DE84A8" w14:textId="77777777" w:rsidTr="00683183">
        <w:trPr>
          <w:cantSplit/>
          <w:trHeight w:val="1277"/>
        </w:trPr>
        <w:tc>
          <w:tcPr>
            <w:tcW w:w="2977" w:type="dxa"/>
            <w:vAlign w:val="center"/>
          </w:tcPr>
          <w:p w14:paraId="5134A310" w14:textId="77777777" w:rsidR="00C61648" w:rsidRPr="005A5A66" w:rsidRDefault="00C61648" w:rsidP="00471A40">
            <w:pPr>
              <w:rPr>
                <w:rFonts w:ascii="Arial" w:hAnsi="Arial" w:cs="Arial"/>
                <w:sz w:val="24"/>
                <w:szCs w:val="24"/>
              </w:rPr>
            </w:pPr>
            <w:r w:rsidRPr="005A5A66">
              <w:rPr>
                <w:rFonts w:ascii="Arial" w:hAnsi="Arial" w:cs="Arial"/>
                <w:sz w:val="24"/>
                <w:szCs w:val="24"/>
              </w:rPr>
              <w:t>Wet/dirty shoes and clothes</w:t>
            </w:r>
          </w:p>
        </w:tc>
        <w:tc>
          <w:tcPr>
            <w:tcW w:w="2561" w:type="dxa"/>
            <w:vAlign w:val="center"/>
          </w:tcPr>
          <w:p w14:paraId="6B606A83" w14:textId="77777777" w:rsidR="00C61648" w:rsidRPr="005A5A66" w:rsidRDefault="00A954BD" w:rsidP="00471A40">
            <w:pPr>
              <w:autoSpaceDE w:val="0"/>
              <w:autoSpaceDN w:val="0"/>
              <w:adjustRightInd w:val="0"/>
              <w:rPr>
                <w:rFonts w:ascii="Arial" w:hAnsi="Arial" w:cs="Arial"/>
                <w:sz w:val="24"/>
                <w:szCs w:val="24"/>
              </w:rPr>
            </w:pPr>
            <w:r w:rsidRPr="005A5A66">
              <w:rPr>
                <w:rFonts w:ascii="Arial" w:hAnsi="Arial" w:cs="Arial"/>
                <w:sz w:val="24"/>
                <w:szCs w:val="24"/>
              </w:rPr>
              <w:t>Children become responsible for their own belongings.</w:t>
            </w:r>
            <w:r w:rsidRPr="005A5A66">
              <w:rPr>
                <w:rFonts w:ascii="Arial" w:hAnsi="Arial" w:cs="Arial"/>
                <w:sz w:val="24"/>
                <w:szCs w:val="24"/>
              </w:rPr>
              <w:br/>
              <w:t>Children practice skills of dressing and changing shoes.</w:t>
            </w:r>
          </w:p>
        </w:tc>
        <w:tc>
          <w:tcPr>
            <w:tcW w:w="2259" w:type="dxa"/>
            <w:vAlign w:val="center"/>
          </w:tcPr>
          <w:p w14:paraId="6CE30B4A" w14:textId="77777777" w:rsidR="00C61648" w:rsidRPr="005A5A66" w:rsidRDefault="00A954BD" w:rsidP="00A954BD">
            <w:pPr>
              <w:contextualSpacing/>
              <w:rPr>
                <w:rFonts w:ascii="Arial" w:hAnsi="Arial" w:cs="Arial"/>
                <w:sz w:val="24"/>
                <w:szCs w:val="24"/>
              </w:rPr>
            </w:pPr>
            <w:r w:rsidRPr="005A5A66">
              <w:rPr>
                <w:rFonts w:ascii="Arial" w:hAnsi="Arial" w:cs="Arial"/>
                <w:sz w:val="24"/>
                <w:szCs w:val="24"/>
              </w:rPr>
              <w:t>Children get cold</w:t>
            </w:r>
          </w:p>
        </w:tc>
        <w:tc>
          <w:tcPr>
            <w:tcW w:w="1701" w:type="dxa"/>
            <w:vAlign w:val="center"/>
          </w:tcPr>
          <w:p w14:paraId="5D34FEB5" w14:textId="77777777" w:rsidR="00C61648" w:rsidRPr="005A5A66" w:rsidRDefault="00E17561" w:rsidP="00471A40">
            <w:pPr>
              <w:autoSpaceDE w:val="0"/>
              <w:autoSpaceDN w:val="0"/>
              <w:adjustRightInd w:val="0"/>
              <w:rPr>
                <w:rFonts w:ascii="Arial" w:hAnsi="Arial" w:cs="Arial"/>
                <w:sz w:val="24"/>
                <w:szCs w:val="24"/>
              </w:rPr>
            </w:pPr>
            <w:r w:rsidRPr="005A5A66">
              <w:rPr>
                <w:rFonts w:ascii="Arial" w:hAnsi="Arial" w:cs="Arial"/>
                <w:sz w:val="24"/>
                <w:szCs w:val="24"/>
              </w:rPr>
              <w:t>Children</w:t>
            </w:r>
          </w:p>
        </w:tc>
        <w:tc>
          <w:tcPr>
            <w:tcW w:w="4819" w:type="dxa"/>
            <w:vAlign w:val="center"/>
          </w:tcPr>
          <w:p w14:paraId="551C4416" w14:textId="77777777" w:rsidR="00C61648" w:rsidRPr="005A5A66" w:rsidRDefault="00A954BD" w:rsidP="00A954BD">
            <w:pPr>
              <w:autoSpaceDE w:val="0"/>
              <w:autoSpaceDN w:val="0"/>
              <w:adjustRightInd w:val="0"/>
              <w:contextualSpacing/>
              <w:rPr>
                <w:rFonts w:ascii="Arial" w:hAnsi="Arial" w:cs="Arial"/>
                <w:sz w:val="24"/>
                <w:szCs w:val="24"/>
              </w:rPr>
            </w:pPr>
            <w:r w:rsidRPr="005A5A66">
              <w:rPr>
                <w:rFonts w:ascii="Arial" w:hAnsi="Arial" w:cs="Arial"/>
                <w:sz w:val="24"/>
                <w:szCs w:val="24"/>
              </w:rPr>
              <w:t>Settings to provide all in one suits suitable for the area needed.</w:t>
            </w:r>
            <w:r w:rsidRPr="005A5A66">
              <w:rPr>
                <w:rFonts w:ascii="Arial" w:hAnsi="Arial" w:cs="Arial"/>
                <w:sz w:val="24"/>
                <w:szCs w:val="24"/>
              </w:rPr>
              <w:br/>
              <w:t>Encourage keeping a pair of wellies at the setting.</w:t>
            </w:r>
            <w:r w:rsidRPr="005A5A66">
              <w:rPr>
                <w:rFonts w:ascii="Arial" w:hAnsi="Arial" w:cs="Arial"/>
                <w:sz w:val="24"/>
                <w:szCs w:val="24"/>
              </w:rPr>
              <w:br/>
              <w:t>Parents are aware children need to be provided with multiple changes of clothes.</w:t>
            </w:r>
            <w:r w:rsidRPr="005A5A66">
              <w:rPr>
                <w:rFonts w:ascii="Arial" w:hAnsi="Arial" w:cs="Arial"/>
                <w:sz w:val="24"/>
                <w:szCs w:val="24"/>
              </w:rPr>
              <w:br/>
              <w:t>Setting has a supply of spare clothing.</w:t>
            </w:r>
          </w:p>
        </w:tc>
        <w:tc>
          <w:tcPr>
            <w:tcW w:w="1701" w:type="dxa"/>
            <w:vAlign w:val="center"/>
          </w:tcPr>
          <w:p w14:paraId="386CF422" w14:textId="77777777" w:rsidR="00C61648" w:rsidRPr="005A5A66" w:rsidRDefault="000C27E0" w:rsidP="00471A40">
            <w:pPr>
              <w:rPr>
                <w:rFonts w:ascii="Arial" w:hAnsi="Arial" w:cs="Arial"/>
                <w:sz w:val="24"/>
                <w:szCs w:val="24"/>
              </w:rPr>
            </w:pPr>
            <w:r w:rsidRPr="005A5A66">
              <w:rPr>
                <w:rFonts w:ascii="Arial" w:hAnsi="Arial" w:cs="Arial"/>
                <w:sz w:val="24"/>
                <w:szCs w:val="24"/>
              </w:rPr>
              <w:t>Low</w:t>
            </w:r>
          </w:p>
        </w:tc>
      </w:tr>
    </w:tbl>
    <w:p w14:paraId="619405BC" w14:textId="77777777" w:rsidR="0079757F" w:rsidRDefault="0079757F"/>
    <w:p w14:paraId="06ACDBEF" w14:textId="77777777" w:rsidR="0079757F" w:rsidRDefault="0079757F"/>
    <w:p w14:paraId="307E231C" w14:textId="77777777" w:rsidR="0079757F" w:rsidRDefault="0079757F"/>
    <w:p w14:paraId="7215C75B" w14:textId="77777777" w:rsidR="0079757F" w:rsidRDefault="0079757F"/>
    <w:p w14:paraId="488DD443" w14:textId="77777777" w:rsidR="0079757F" w:rsidRDefault="0079757F"/>
    <w:p w14:paraId="0414DEE4" w14:textId="77777777" w:rsidR="0079757F" w:rsidRDefault="0079757F"/>
    <w:p w14:paraId="2FB78E6C" w14:textId="77777777" w:rsidR="0079757F" w:rsidRDefault="0079757F">
      <w:pPr>
        <w:sectPr w:rsidR="0079757F" w:rsidSect="0079757F">
          <w:pgSz w:w="16838" w:h="11906" w:orient="landscape"/>
          <w:pgMar w:top="1440" w:right="1440" w:bottom="1440" w:left="1440" w:header="709" w:footer="709" w:gutter="0"/>
          <w:cols w:space="708"/>
          <w:docGrid w:linePitch="360"/>
        </w:sectPr>
      </w:pPr>
    </w:p>
    <w:p w14:paraId="2FDF848D" w14:textId="77777777" w:rsidR="0079757F" w:rsidRDefault="0079757F">
      <w:pPr>
        <w:rPr>
          <w:u w:val="single"/>
        </w:rPr>
      </w:pPr>
      <w:r w:rsidRPr="0079757F">
        <w:rPr>
          <w:u w:val="single"/>
        </w:rPr>
        <w:lastRenderedPageBreak/>
        <w:t xml:space="preserve">Part 4 </w:t>
      </w:r>
    </w:p>
    <w:p w14:paraId="2CECDB5B" w14:textId="77777777" w:rsidR="006E25DC" w:rsidRPr="0079757F" w:rsidRDefault="006E25DC">
      <w:pPr>
        <w:rPr>
          <w:u w:val="single"/>
        </w:rPr>
      </w:pPr>
      <w:r>
        <w:rPr>
          <w:u w:val="single"/>
        </w:rPr>
        <w:t>Introduction</w:t>
      </w:r>
    </w:p>
    <w:p w14:paraId="28C73A6C" w14:textId="77777777" w:rsidR="00A94830" w:rsidRDefault="00A94830" w:rsidP="00A94830">
      <w:pPr>
        <w:jc w:val="both"/>
        <w:rPr>
          <w:rFonts w:ascii="Times New Roman" w:eastAsia="Times New Roman" w:hAnsi="Times New Roman"/>
          <w:sz w:val="24"/>
          <w:szCs w:val="24"/>
          <w:u w:val="single"/>
          <w:lang w:eastAsia="en-GB"/>
        </w:rPr>
      </w:pPr>
      <w:r w:rsidRPr="00CF16EF">
        <w:rPr>
          <w:rFonts w:ascii="Times New Roman" w:eastAsia="Times New Roman" w:hAnsi="Times New Roman"/>
          <w:sz w:val="24"/>
          <w:szCs w:val="24"/>
          <w:u w:val="single"/>
          <w:lang w:eastAsia="en-GB"/>
        </w:rPr>
        <w:t xml:space="preserve">Introduction part 4 </w:t>
      </w:r>
    </w:p>
    <w:p w14:paraId="7E191BAB" w14:textId="77777777" w:rsidR="00A94830" w:rsidRPr="00CF16EF" w:rsidRDefault="00A94830" w:rsidP="00A94830">
      <w:pPr>
        <w:jc w:val="both"/>
        <w:rPr>
          <w:rFonts w:ascii="Times New Roman" w:eastAsia="Times New Roman" w:hAnsi="Times New Roman"/>
          <w:sz w:val="24"/>
          <w:szCs w:val="24"/>
          <w:lang w:eastAsia="en-GB"/>
        </w:rPr>
      </w:pPr>
      <w:r w:rsidRPr="00CF16EF">
        <w:rPr>
          <w:rFonts w:ascii="Times New Roman" w:eastAsia="Times New Roman" w:hAnsi="Times New Roman"/>
          <w:sz w:val="24"/>
          <w:szCs w:val="24"/>
          <w:lang w:eastAsia="en-GB"/>
        </w:rPr>
        <w:t>Outdoor environments offer rich opportunities for children to engage in mathematics and science in a meaningful and hands-on way. Research suggests that learning in natural settings enhances problem-solving skills, critical thinking, and curiosity. However, the role of adults in shaping these experiences is crucial. This evaluation will explore how adults create an enabling environment that supports children's mathematical and scientific development outdoors, considering factors such as space design, resource provision, and interactive engagement.</w:t>
      </w:r>
    </w:p>
    <w:p w14:paraId="2447788B" w14:textId="77777777" w:rsidR="00A94830" w:rsidRDefault="00A94830" w:rsidP="00A94830">
      <w:pPr>
        <w:pStyle w:val="NormalWeb"/>
      </w:pPr>
      <w:r>
        <w:t>An enabling environment for mathematics and science in outdoor spaces goes beyond simply providing resources, it involves thoughtful planning, responsive interactions, and encouragement of independent inquiry. Adults can support learning by setting up engaging and accessible outdoor spaces, offering open-ended materials, and facilitating meaningful discussions that prompt children to explore patterns, measurements, forces, and natural phenomena.</w:t>
      </w:r>
    </w:p>
    <w:p w14:paraId="64E82511" w14:textId="77777777" w:rsidR="00A94830" w:rsidRDefault="00A94830" w:rsidP="00A94830">
      <w:pPr>
        <w:pStyle w:val="NormalWeb"/>
      </w:pPr>
      <w:r>
        <w:t xml:space="preserve">By adopting a supportive and intentional approach, adults can enhance children's confidence in applying mathematical and scientific concepts in everyday outdoor experiences. Adults can support and encourage curiosity in mathematics and science by adding loose parts to the outdoor area. Loose parts play is a powerful way to support children's engagement in mathematics and science by fostering creativity, problem-solving, and critical thinking. </w:t>
      </w:r>
    </w:p>
    <w:p w14:paraId="38E2DC56" w14:textId="77777777" w:rsidR="00A94830" w:rsidRDefault="00A94830" w:rsidP="00A94830">
      <w:pPr>
        <w:pStyle w:val="NormalWeb"/>
      </w:pPr>
      <w:r>
        <w:t>Piaget’s constructivist theory emphasizes that children construct knowledge through active exploration (Piaget, 1952). When adults provide loose parts such as natural materials, recycled objects, or open-ended resources, they allow children to experiment and manipulate objects to develop an understanding of mathematical and scientific concepts. For example, children might sort stones by size or colour, create patterns with bottle caps such as flowers, or explore weight and balance with wooden planks, all of which build foundational mathematical skills such as categorization, sequencing, and measurement (Ginsburg, 2006).</w:t>
      </w:r>
    </w:p>
    <w:p w14:paraId="722B9CF1" w14:textId="77777777" w:rsidR="00A94830" w:rsidRDefault="00A94830" w:rsidP="00A94830">
      <w:pPr>
        <w:pStyle w:val="NormalWeb"/>
      </w:pPr>
      <w:r>
        <w:t>Furthermore, Vygotsky’s sociocultural theory highlights the importance of social interaction in learning (Vygotsky, 1978). Adults play a key role by scaffolding children’s learning through guided questioning and collaboration. When a child builds a structure with blocks, an adult might ask about the height, shape, or stability of their creation, encouraging scientific inquiry and mathematical reasoning. Through dialogue and shared experiences, children are supported in extending their understanding. This aligns with Bruner’s concept of scaffolding, where children learn more effectively when supported by an adult or a more knowledgeable peer (Wood, Bruner &amp; Ross, 1976). Additionally, the Reggio Emilia approach further supports the use of loose parts in learning by emphasizing the environment as the “third teacher” (Edwards, Gandini &amp; Forman, 2012). In this perspective, adults design spaces rich in materials that provoke investigation and discovery. When children have access to loose parts like shells, wires, or fabrics, they experiment with different properties and structures, developing spatial awareness, problem-solving skills, and an understanding of physical science.</w:t>
      </w:r>
      <w:r w:rsidRPr="00F51DC1">
        <w:t xml:space="preserve"> </w:t>
      </w:r>
      <w:r>
        <w:t>When children mix water and sand to observe changes in texture or use ramps to explore the concept of gravity, they are engaging in fundamental scientific exploration (Worth, 2010).</w:t>
      </w:r>
    </w:p>
    <w:p w14:paraId="0E30B141" w14:textId="77777777" w:rsidR="00A94830" w:rsidRDefault="00A94830" w:rsidP="00A94830">
      <w:pPr>
        <w:pStyle w:val="NormalWeb"/>
      </w:pPr>
      <w:r>
        <w:lastRenderedPageBreak/>
        <w:t>By thoughtfully integrating loose parts into play, adults provide opportunities for children to develop mathematical and scientific thinking in a natural and engaging way. Through open-ended exploration, guided interactions, and inquiry-driven experiences, children deepen their understanding of concepts while fostering creativity and critical thinking.</w:t>
      </w:r>
    </w:p>
    <w:p w14:paraId="7D0CCD12" w14:textId="77777777" w:rsidR="00A94830" w:rsidRDefault="00A94830" w:rsidP="00A94830">
      <w:pPr>
        <w:pStyle w:val="NormalWeb"/>
      </w:pPr>
      <w:r>
        <w:t>However, Jones (2017) emphasizes that opportunities for children to engage in outdoor play with loose parts are often restricted. This limitation arises due to various factors, including the reluctance of adults to acknowledge the educational benefits of open-ended outdoor play within formal learning environments. Many educators and caregivers prioritize structured activities over free play, viewing the latter as less valuable in achieving academic outcomes. Additionally, concerns about safety, space limitations, and curriculum pressures further contribute to the reduced availability of such play experiences. As a result, children may miss out on crucial developmental benefits, including creativity, problem-solving skills, and social interaction, which are fostered through unstructured outdoor play.</w:t>
      </w:r>
    </w:p>
    <w:p w14:paraId="18A92F06" w14:textId="77777777" w:rsidR="00AC337F" w:rsidRPr="00AC337F" w:rsidRDefault="00AC337F" w:rsidP="00AC337F">
      <w:pPr>
        <w:pStyle w:val="NormalWeb"/>
      </w:pPr>
      <w:r w:rsidRPr="00AC337F">
        <w:t>Open-ended and child-led play is fundamental to children's cognitive, social, emotional, and physical development. This type of play allows children to explore, create, and problem-solve without rigid rules or predetermined outcomes. By engaging in child-led activities, children develop creativity, independence, and critical thinking skills, which support holistic development in line with key educational frameworks.</w:t>
      </w:r>
    </w:p>
    <w:p w14:paraId="2D7DC8E8" w14:textId="77777777" w:rsidR="00AC337F" w:rsidRPr="00AC337F" w:rsidRDefault="00AC337F" w:rsidP="00AC337F">
      <w:pPr>
        <w:pStyle w:val="NormalWeb"/>
      </w:pPr>
      <w:r w:rsidRPr="00AC337F">
        <w:t xml:space="preserve">The Early Years Foundation Stage (EYFS) framework (DfE, 2021) highlights that children learn best through play-based, child-initiated experiences, encouraging environments where they can make choices and follow their interests. Similarly, the </w:t>
      </w:r>
      <w:r w:rsidRPr="00AC337F">
        <w:rPr>
          <w:i/>
          <w:iCs/>
        </w:rPr>
        <w:t>Development Matters</w:t>
      </w:r>
      <w:r w:rsidRPr="00AC337F">
        <w:t xml:space="preserve"> guidance (DfE, 2021) emphasizes self-directed play as essential for fostering independence and problem-solving skills. The Reggio Emilia approach (Edwards, Gandini &amp; Forman, 2012) promotes child-led learning, recognizing the importance of exploration and discovery in an enriched environment. The Froebelian approach (Froebel, 1887) also underlines the significance of free play, stressing creativity and self-expression as essential components of child development. Te Whāriki, New Zealand’s early childhood curriculum (Ministry of Education, 2017), further reinforces the value of child-led play by advocating for children to be active participants in their own learning experiences.</w:t>
      </w:r>
    </w:p>
    <w:p w14:paraId="4D9129F2" w14:textId="77777777" w:rsidR="00AC337F" w:rsidRPr="00AC337F" w:rsidRDefault="00AC337F" w:rsidP="00AC337F">
      <w:pPr>
        <w:pStyle w:val="NormalWeb"/>
      </w:pPr>
      <w:r w:rsidRPr="00AC337F">
        <w:t>Open-ended and child-led play supports cognitive development by encouraging problem-solving, decision-making, and flexible thinking (Whitebread, 2012). It enhances language and communication skills, allowing children to express their thoughts, negotiate roles, and develop storytelling abilities (Vygotsky, 1978). Socially and emotionally, it fosters self-regulation, resilience, and collaboration with peers (Gopnik, 2016). Physical benefits include improved motor skills, coordination, and overall well-being, as seen in research on active play (Pellegrini &amp; Smith, 1998).</w:t>
      </w:r>
    </w:p>
    <w:p w14:paraId="5503158F" w14:textId="2F69D92B" w:rsidR="00AC337F" w:rsidRPr="00AC337F" w:rsidRDefault="00AC337F" w:rsidP="00AC337F">
      <w:pPr>
        <w:pStyle w:val="NormalWeb"/>
      </w:pPr>
      <w:r w:rsidRPr="00AC337F">
        <w:t>To implement open-ended play effectively, early years settings should provide rich environments that encourage creative exploration. Allowing children uninterrupted time and space to engage in self-directed play, rather than imposing adult-led activities, enhances their confidence and decision-making skills. Practitioners can observe children’s interests and extend their learning experiences without directing them, fostering an environment where autonomy and curiosity flourish.</w:t>
      </w:r>
    </w:p>
    <w:p w14:paraId="76F9980E" w14:textId="77777777" w:rsidR="00AC337F" w:rsidRPr="00AC337F" w:rsidRDefault="00AC337F" w:rsidP="00AC337F">
      <w:pPr>
        <w:pStyle w:val="NormalWeb"/>
      </w:pPr>
      <w:r w:rsidRPr="00AC337F">
        <w:t xml:space="preserve">Observation in the early years is a fundamental tool for understanding and supporting children's development, learning, and well-being. It enables practitioners to assess individual </w:t>
      </w:r>
      <w:r w:rsidRPr="00AC337F">
        <w:lastRenderedPageBreak/>
        <w:t>progress, identify potential challenges, and tailor educational experiences to meet children's needs. Through systematic observation, early years educators gain valuable insights into children's cognitive, social, emotional, and physical development, which can inform planning and intervention strategies (Bruce, 2015).</w:t>
      </w:r>
    </w:p>
    <w:p w14:paraId="604B4F90" w14:textId="77777777" w:rsidR="00AC337F" w:rsidRPr="00AC337F" w:rsidRDefault="00AC337F" w:rsidP="00AC337F">
      <w:pPr>
        <w:pStyle w:val="NormalWeb"/>
      </w:pPr>
      <w:r w:rsidRPr="00AC337F">
        <w:t>One of the key benefits of observation is its role in assessing children's developmental milestones. According to Dunphy (2012), observing children in different contexts allows practitioners to monitor their progress and identify areas requiring additional support. For example, language development can be assessed through interactions, storytelling, and play, providing evidence of vocabulary growth and communication skills. Similarly, observing children's physical movements can highlight strengths and potential motor skill difficulties, guiding appropriate interventions (Whitebread, 2012).</w:t>
      </w:r>
    </w:p>
    <w:p w14:paraId="44384411" w14:textId="77777777" w:rsidR="00AC337F" w:rsidRPr="00AC337F" w:rsidRDefault="00AC337F" w:rsidP="00AC337F">
      <w:pPr>
        <w:pStyle w:val="NormalWeb"/>
      </w:pPr>
      <w:r w:rsidRPr="00AC337F">
        <w:t>Observation also plays a crucial role in supporting individualized learning. The Early Years Foundation Stage (EYFS) framework emphasizes the importance of observing children to plan meaningful activities that align with their interests and developmental stages (Department for Education, 2021). By carefully watching how children engage with materials, peers, and their environment, educators can create child-centered learning experiences that foster curiosity, creativity, and problem-solving abilities (Nutbrown, 2018).</w:t>
      </w:r>
    </w:p>
    <w:p w14:paraId="3D982A93" w14:textId="1DD150F6" w:rsidR="00AC337F" w:rsidRPr="00AC337F" w:rsidRDefault="00AC337F" w:rsidP="00AC337F">
      <w:pPr>
        <w:pStyle w:val="NormalWeb"/>
      </w:pPr>
      <w:r w:rsidRPr="00AC337F">
        <w:t xml:space="preserve">In addition to educational benefits, observation is essential for safeguarding and promoting children's well-being. Recognizing </w:t>
      </w:r>
      <w:r w:rsidR="00AB7FE6" w:rsidRPr="00AC337F">
        <w:t>behavioural</w:t>
      </w:r>
      <w:r w:rsidRPr="00AC337F">
        <w:t xml:space="preserve"> patterns, emotional expressions, and social interactions helps practitioners detect signs of distress, anxiety, or developmental concerns (Rogers, 2018). Timely intervention based on observational evidence can provide children with the necessary support and ensure their holistic development.</w:t>
      </w:r>
    </w:p>
    <w:p w14:paraId="11A6208C" w14:textId="77777777" w:rsidR="00AC337F" w:rsidRPr="00AC337F" w:rsidRDefault="00AC337F" w:rsidP="00AC337F">
      <w:pPr>
        <w:pStyle w:val="NormalWeb"/>
      </w:pPr>
      <w:r w:rsidRPr="00AC337F">
        <w:t>Furthermore, observation facilitates communication between practitioners, parents, and other professionals. Documenting observations allows educators to share insights about a child's progress, fostering collaboration and informed decision-making (Driscoll &amp; Nagel, 2020). This partnership ensures that children receive consistent support both in early years settings and at home.</w:t>
      </w:r>
    </w:p>
    <w:p w14:paraId="2D3B57DA" w14:textId="77777777" w:rsidR="00AC337F" w:rsidRPr="00AC337F" w:rsidRDefault="00AC337F" w:rsidP="00AC337F">
      <w:pPr>
        <w:pStyle w:val="NormalWeb"/>
      </w:pPr>
      <w:r w:rsidRPr="00AC337F">
        <w:t>In conclusion, observation is a vital practice in early years education, supporting assessment, individualized learning, well-being, and communication. It enables practitioners to gain a comprehensive understanding of each child's development and tailor educational experiences accordingly. By utilizing observation effectively, educators can create enriching and supportive environments that promote children's growth and learning.</w:t>
      </w:r>
    </w:p>
    <w:p w14:paraId="62D88D26" w14:textId="77777777" w:rsidR="00E73583" w:rsidRDefault="00E73583" w:rsidP="00E73583">
      <w:pPr>
        <w:pStyle w:val="NormalWeb"/>
      </w:pPr>
      <w:r>
        <w:t>Outdoor learning in the Early Years Foundation Stage (EYFS) presents numerous benefits, but it also comes with various barriers and challenges. One of the primary obstacles is the unpredictability of the weather, which can affect children's comfort and safety. Cold, wet, or excessively hot conditions may limit outdoor activities, particularly when appropriate clothing or shelter is unavailable (Maynard &amp; Waters, 2007).</w:t>
      </w:r>
    </w:p>
    <w:p w14:paraId="28ABE0AB" w14:textId="77777777" w:rsidR="00E73583" w:rsidRDefault="00E73583" w:rsidP="00E73583">
      <w:pPr>
        <w:pStyle w:val="NormalWeb"/>
      </w:pPr>
      <w:r>
        <w:t xml:space="preserve">Another significant challenge is the availability of suitable outdoor spaces. Some early years settings, particularly in urban areas, may have limited access to safe, green spaces. Even when outdoor areas are available, they may not be adequately resourced or designed to support a variety of learning experiences (Bilton, 2010). Health and safety concerns also pose a barrier, as practitioners may worry about potential accidents and the risks associated with outdoor play. Strict health and safety regulations can sometimes result in a more cautious </w:t>
      </w:r>
      <w:r>
        <w:lastRenderedPageBreak/>
        <w:t>approach, limiting children's opportunities for free exploration and physical play (Tovey, 2007).</w:t>
      </w:r>
    </w:p>
    <w:p w14:paraId="64D6CF3E" w14:textId="77777777" w:rsidR="00E73583" w:rsidRDefault="00E73583" w:rsidP="00E73583">
      <w:pPr>
        <w:pStyle w:val="NormalWeb"/>
      </w:pPr>
      <w:r>
        <w:t>Staff confidence and training can further impact the effectiveness of outdoor learning. Some practitioners may lack the confidence or knowledge to facilitate meaningful outdoor experiences, particularly if they are accustomed to classroom-based learning (Waite, 2011). Without appropriate professional development, educators may not fully utilise the outdoor environment to support all areas of learning.</w:t>
      </w:r>
    </w:p>
    <w:p w14:paraId="1FD97689" w14:textId="77777777" w:rsidR="00E73583" w:rsidRDefault="00E73583" w:rsidP="00E73583">
      <w:pPr>
        <w:pStyle w:val="NormalWeb"/>
      </w:pPr>
      <w:r>
        <w:t>Parental attitudes can also influence outdoor learning opportunities. Some parents may be concerned about their children getting dirty, becoming unwell due to the weather, or facing potential dangers outside. If parents do not recognise the value of outdoor play, they may be less supportive of outdoor learning initiatives (Knight, 2013).</w:t>
      </w:r>
    </w:p>
    <w:p w14:paraId="74A526A8" w14:textId="77777777" w:rsidR="00E73583" w:rsidRDefault="00E73583" w:rsidP="00E73583">
      <w:pPr>
        <w:pStyle w:val="NormalWeb"/>
      </w:pPr>
      <w:r>
        <w:t>Funding and resources are additional barriers that can affect outdoor learning in the EYFS. Providing high-quality outdoor environments with appropriate equipment, materials, and protective clothing can require significant financial investment, which may not always be available in early years settings (Whitebread &amp; Coltman, 2015).</w:t>
      </w:r>
    </w:p>
    <w:p w14:paraId="7EC8E068" w14:textId="77777777" w:rsidR="00E73583" w:rsidRDefault="00E73583" w:rsidP="00E73583">
      <w:pPr>
        <w:pStyle w:val="NormalWeb"/>
      </w:pPr>
      <w:r>
        <w:t>Despite these challenges, outdoor learning remains a crucial component of early years education, fostering children's physical, social, and cognitive development. Overcoming these barriers requires a combination of investment in training, resources, and a shift in attitudes towards outdoor play.</w:t>
      </w:r>
    </w:p>
    <w:p w14:paraId="574126F5" w14:textId="77777777" w:rsidR="006E25DC" w:rsidRDefault="006E25DC"/>
    <w:p w14:paraId="74F7F550" w14:textId="77777777" w:rsidR="0079757F" w:rsidRPr="006E25DC" w:rsidRDefault="006E25DC" w:rsidP="006E25DC">
      <w:pPr>
        <w:spacing w:line="276" w:lineRule="auto"/>
        <w:rPr>
          <w:rFonts w:ascii="Arial" w:hAnsi="Arial" w:cs="Arial"/>
          <w:sz w:val="28"/>
          <w:u w:val="single"/>
        </w:rPr>
      </w:pPr>
      <w:r w:rsidRPr="006E25DC">
        <w:rPr>
          <w:rFonts w:ascii="Arial" w:hAnsi="Arial" w:cs="Arial"/>
          <w:sz w:val="24"/>
          <w:u w:val="single"/>
        </w:rPr>
        <w:t xml:space="preserve">Conclusion  </w:t>
      </w:r>
    </w:p>
    <w:p w14:paraId="678B005C" w14:textId="24B1CB24" w:rsidR="006E25DC" w:rsidRDefault="006E25DC" w:rsidP="006E25DC">
      <w:pPr>
        <w:spacing w:line="276" w:lineRule="auto"/>
        <w:rPr>
          <w:rFonts w:ascii="Arial" w:hAnsi="Arial" w:cs="Arial"/>
          <w:sz w:val="24"/>
        </w:rPr>
      </w:pPr>
      <w:r w:rsidRPr="006E25DC">
        <w:rPr>
          <w:rFonts w:ascii="Arial" w:hAnsi="Arial" w:cs="Arial"/>
          <w:sz w:val="24"/>
        </w:rPr>
        <w:t xml:space="preserve">Adults working in early childhood education play a crucial role in supporting and encouraging children's engagement with math and science. By using theories from Piaget, Vygotsky, Bruner, educators can provide children with rich, play-based, and scaffolded learning environments. Incorporating hands-on exploration, mathematical language, and social interactions </w:t>
      </w:r>
      <w:r w:rsidR="009C2C8B">
        <w:rPr>
          <w:rFonts w:ascii="Arial" w:hAnsi="Arial" w:cs="Arial"/>
          <w:sz w:val="24"/>
        </w:rPr>
        <w:t xml:space="preserve">that </w:t>
      </w:r>
      <w:r w:rsidRPr="006E25DC">
        <w:rPr>
          <w:rFonts w:ascii="Arial" w:hAnsi="Arial" w:cs="Arial"/>
          <w:sz w:val="24"/>
        </w:rPr>
        <w:t>will foster children's natural curiosity and foundational skills in these subjects.</w:t>
      </w:r>
    </w:p>
    <w:p w14:paraId="5DFD7359" w14:textId="77777777" w:rsidR="009C2C8B" w:rsidRDefault="009C2C8B" w:rsidP="006E25DC">
      <w:pPr>
        <w:spacing w:line="276" w:lineRule="auto"/>
        <w:rPr>
          <w:rFonts w:ascii="Arial" w:hAnsi="Arial" w:cs="Arial"/>
          <w:sz w:val="24"/>
        </w:rPr>
      </w:pPr>
    </w:p>
    <w:p w14:paraId="5A669DE7" w14:textId="77777777" w:rsidR="00E73583" w:rsidRDefault="00E73583" w:rsidP="006E25DC">
      <w:pPr>
        <w:spacing w:line="276" w:lineRule="auto"/>
        <w:rPr>
          <w:rFonts w:ascii="Arial" w:hAnsi="Arial" w:cs="Arial"/>
          <w:sz w:val="24"/>
        </w:rPr>
      </w:pPr>
    </w:p>
    <w:p w14:paraId="240F59BA" w14:textId="77777777" w:rsidR="00E73583" w:rsidRDefault="00E73583" w:rsidP="006E25DC">
      <w:pPr>
        <w:spacing w:line="276" w:lineRule="auto"/>
        <w:rPr>
          <w:rFonts w:ascii="Arial" w:hAnsi="Arial" w:cs="Arial"/>
          <w:sz w:val="24"/>
        </w:rPr>
      </w:pPr>
    </w:p>
    <w:p w14:paraId="0F5F0C7C" w14:textId="77777777" w:rsidR="00E73583" w:rsidRDefault="00E73583" w:rsidP="006E25DC">
      <w:pPr>
        <w:spacing w:line="276" w:lineRule="auto"/>
        <w:rPr>
          <w:rFonts w:ascii="Arial" w:hAnsi="Arial" w:cs="Arial"/>
          <w:sz w:val="24"/>
        </w:rPr>
      </w:pPr>
    </w:p>
    <w:p w14:paraId="4CBE6DF0" w14:textId="77777777" w:rsidR="00E73583" w:rsidRDefault="00E73583" w:rsidP="006E25DC">
      <w:pPr>
        <w:spacing w:line="276" w:lineRule="auto"/>
        <w:rPr>
          <w:rFonts w:ascii="Arial" w:hAnsi="Arial" w:cs="Arial"/>
          <w:sz w:val="24"/>
        </w:rPr>
      </w:pPr>
    </w:p>
    <w:p w14:paraId="63EF35AE" w14:textId="77777777" w:rsidR="00E73583" w:rsidRDefault="00E73583" w:rsidP="006E25DC">
      <w:pPr>
        <w:spacing w:line="276" w:lineRule="auto"/>
        <w:rPr>
          <w:rFonts w:ascii="Arial" w:hAnsi="Arial" w:cs="Arial"/>
          <w:sz w:val="24"/>
        </w:rPr>
      </w:pPr>
    </w:p>
    <w:p w14:paraId="6009C413" w14:textId="77777777" w:rsidR="00E73583" w:rsidRDefault="00E73583" w:rsidP="006E25DC">
      <w:pPr>
        <w:spacing w:line="276" w:lineRule="auto"/>
        <w:rPr>
          <w:rFonts w:ascii="Arial" w:hAnsi="Arial" w:cs="Arial"/>
          <w:sz w:val="24"/>
        </w:rPr>
      </w:pPr>
    </w:p>
    <w:p w14:paraId="68B16B72" w14:textId="77777777" w:rsidR="00E73583" w:rsidRDefault="00E73583" w:rsidP="006E25DC">
      <w:pPr>
        <w:spacing w:line="276" w:lineRule="auto"/>
        <w:rPr>
          <w:rFonts w:ascii="Arial" w:hAnsi="Arial" w:cs="Arial"/>
          <w:sz w:val="24"/>
        </w:rPr>
      </w:pPr>
    </w:p>
    <w:p w14:paraId="55006BAE" w14:textId="77777777" w:rsidR="00E73583" w:rsidRDefault="00E73583" w:rsidP="006E25DC">
      <w:pPr>
        <w:spacing w:line="276" w:lineRule="auto"/>
        <w:rPr>
          <w:rFonts w:ascii="Arial" w:hAnsi="Arial" w:cs="Arial"/>
          <w:sz w:val="24"/>
        </w:rPr>
      </w:pPr>
    </w:p>
    <w:p w14:paraId="0E215EB6" w14:textId="183181AB" w:rsidR="009C2C8B" w:rsidRPr="009C2C8B" w:rsidRDefault="009C2C8B" w:rsidP="006E25DC">
      <w:pPr>
        <w:spacing w:line="276" w:lineRule="auto"/>
        <w:rPr>
          <w:rFonts w:ascii="Arial" w:hAnsi="Arial" w:cs="Arial"/>
          <w:sz w:val="24"/>
          <w:u w:val="single"/>
        </w:rPr>
      </w:pPr>
      <w:r w:rsidRPr="009C2C8B">
        <w:rPr>
          <w:rFonts w:ascii="Arial" w:hAnsi="Arial" w:cs="Arial"/>
          <w:sz w:val="24"/>
          <w:u w:val="single"/>
        </w:rPr>
        <w:lastRenderedPageBreak/>
        <w:t>References</w:t>
      </w:r>
    </w:p>
    <w:p w14:paraId="7EEC1010"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Bilton, H. (2010). </w:t>
      </w:r>
      <w:r w:rsidRPr="00E73583">
        <w:rPr>
          <w:rFonts w:ascii="Times New Roman" w:hAnsi="Times New Roman" w:cs="Times New Roman"/>
          <w:i/>
          <w:iCs/>
          <w:sz w:val="24"/>
          <w:szCs w:val="24"/>
        </w:rPr>
        <w:t>Outdoor Learning in the Early Years: Management and Innovation.</w:t>
      </w:r>
      <w:r w:rsidRPr="00E73583">
        <w:rPr>
          <w:rFonts w:ascii="Times New Roman" w:hAnsi="Times New Roman" w:cs="Times New Roman"/>
          <w:sz w:val="24"/>
          <w:szCs w:val="24"/>
        </w:rPr>
        <w:t xml:space="preserve"> Routledge.</w:t>
      </w:r>
      <w:r w:rsidRPr="00E73583">
        <w:rPr>
          <w:rFonts w:ascii="Times New Roman" w:hAnsi="Times New Roman" w:cs="Times New Roman"/>
          <w:sz w:val="24"/>
          <w:szCs w:val="24"/>
        </w:rPr>
        <w:br/>
      </w:r>
      <w:r w:rsidRPr="00E73583">
        <w:rPr>
          <w:rFonts w:ascii="Times New Roman" w:hAnsi="Times New Roman" w:cs="Times New Roman"/>
          <w:sz w:val="24"/>
          <w:szCs w:val="24"/>
        </w:rPr>
        <w:br/>
        <w:t xml:space="preserve">Knight, S. (2013). </w:t>
      </w:r>
      <w:r w:rsidRPr="00E73583">
        <w:rPr>
          <w:rFonts w:ascii="Times New Roman" w:hAnsi="Times New Roman" w:cs="Times New Roman"/>
          <w:i/>
          <w:iCs/>
          <w:sz w:val="24"/>
          <w:szCs w:val="24"/>
        </w:rPr>
        <w:t>Risk and Adventure in Early Years Outdoor Play: Learning from Forest Schools.</w:t>
      </w:r>
      <w:r w:rsidRPr="00E73583">
        <w:rPr>
          <w:rFonts w:ascii="Times New Roman" w:hAnsi="Times New Roman" w:cs="Times New Roman"/>
          <w:sz w:val="24"/>
          <w:szCs w:val="24"/>
        </w:rPr>
        <w:t xml:space="preserve"> SAGE Publications.</w:t>
      </w:r>
      <w:r w:rsidRPr="00E73583">
        <w:rPr>
          <w:rFonts w:ascii="Times New Roman" w:hAnsi="Times New Roman" w:cs="Times New Roman"/>
          <w:sz w:val="24"/>
          <w:szCs w:val="24"/>
        </w:rPr>
        <w:br/>
      </w:r>
      <w:r w:rsidRPr="00E73583">
        <w:rPr>
          <w:rFonts w:ascii="Times New Roman" w:hAnsi="Times New Roman" w:cs="Times New Roman"/>
          <w:sz w:val="24"/>
          <w:szCs w:val="24"/>
        </w:rPr>
        <w:br/>
        <w:t xml:space="preserve">Maynard, T., &amp; Waters, J. (2007). Learning in the outdoor environment: A missed opportunity? </w:t>
      </w:r>
      <w:r w:rsidRPr="00E73583">
        <w:rPr>
          <w:rFonts w:ascii="Times New Roman" w:hAnsi="Times New Roman" w:cs="Times New Roman"/>
          <w:i/>
          <w:iCs/>
          <w:sz w:val="24"/>
          <w:szCs w:val="24"/>
        </w:rPr>
        <w:t>Early Years, 27</w:t>
      </w:r>
      <w:r w:rsidRPr="00E73583">
        <w:rPr>
          <w:rFonts w:ascii="Times New Roman" w:hAnsi="Times New Roman" w:cs="Times New Roman"/>
          <w:sz w:val="24"/>
          <w:szCs w:val="24"/>
        </w:rPr>
        <w:t>(3), 255–265.</w:t>
      </w:r>
      <w:r w:rsidRPr="00E73583">
        <w:rPr>
          <w:rFonts w:ascii="Times New Roman" w:hAnsi="Times New Roman" w:cs="Times New Roman"/>
          <w:sz w:val="24"/>
          <w:szCs w:val="24"/>
        </w:rPr>
        <w:br/>
      </w:r>
      <w:r w:rsidRPr="00E73583">
        <w:rPr>
          <w:rFonts w:ascii="Times New Roman" w:hAnsi="Times New Roman" w:cs="Times New Roman"/>
          <w:sz w:val="24"/>
          <w:szCs w:val="24"/>
        </w:rPr>
        <w:br/>
        <w:t xml:space="preserve">Tovey, H. (2007). </w:t>
      </w:r>
      <w:r w:rsidRPr="00E73583">
        <w:rPr>
          <w:rFonts w:ascii="Times New Roman" w:hAnsi="Times New Roman" w:cs="Times New Roman"/>
          <w:i/>
          <w:iCs/>
          <w:sz w:val="24"/>
          <w:szCs w:val="24"/>
        </w:rPr>
        <w:t>Playing Outdoors: Spaces and Places, Risk and Challenge.</w:t>
      </w:r>
      <w:r w:rsidRPr="00E73583">
        <w:rPr>
          <w:rFonts w:ascii="Times New Roman" w:hAnsi="Times New Roman" w:cs="Times New Roman"/>
          <w:sz w:val="24"/>
          <w:szCs w:val="24"/>
        </w:rPr>
        <w:t xml:space="preserve"> McGraw-Hill Education.</w:t>
      </w:r>
      <w:r w:rsidRPr="00E73583">
        <w:rPr>
          <w:rFonts w:ascii="Times New Roman" w:hAnsi="Times New Roman" w:cs="Times New Roman"/>
          <w:sz w:val="24"/>
          <w:szCs w:val="24"/>
        </w:rPr>
        <w:br/>
      </w:r>
      <w:r w:rsidRPr="00E73583">
        <w:rPr>
          <w:rFonts w:ascii="Times New Roman" w:hAnsi="Times New Roman" w:cs="Times New Roman"/>
          <w:sz w:val="24"/>
          <w:szCs w:val="24"/>
        </w:rPr>
        <w:br/>
        <w:t xml:space="preserve">Waite, S. (2011). </w:t>
      </w:r>
      <w:r w:rsidRPr="00E73583">
        <w:rPr>
          <w:rFonts w:ascii="Times New Roman" w:hAnsi="Times New Roman" w:cs="Times New Roman"/>
          <w:i/>
          <w:iCs/>
          <w:sz w:val="24"/>
          <w:szCs w:val="24"/>
        </w:rPr>
        <w:t>Children Learning Outside the Classroom: From Birth to Eleven.</w:t>
      </w:r>
      <w:r w:rsidRPr="00E73583">
        <w:rPr>
          <w:rFonts w:ascii="Times New Roman" w:hAnsi="Times New Roman" w:cs="Times New Roman"/>
          <w:sz w:val="24"/>
          <w:szCs w:val="24"/>
        </w:rPr>
        <w:t xml:space="preserve"> SAGE Publications.</w:t>
      </w:r>
      <w:r w:rsidRPr="00E73583">
        <w:rPr>
          <w:rFonts w:ascii="Times New Roman" w:hAnsi="Times New Roman" w:cs="Times New Roman"/>
          <w:sz w:val="24"/>
          <w:szCs w:val="24"/>
        </w:rPr>
        <w:br/>
      </w:r>
      <w:r w:rsidRPr="00E73583">
        <w:rPr>
          <w:rFonts w:ascii="Times New Roman" w:hAnsi="Times New Roman" w:cs="Times New Roman"/>
          <w:sz w:val="24"/>
          <w:szCs w:val="24"/>
        </w:rPr>
        <w:br/>
        <w:t xml:space="preserve">Whitebread, D., &amp; Coltman, P. (2015). </w:t>
      </w:r>
      <w:r w:rsidRPr="00E73583">
        <w:rPr>
          <w:rFonts w:ascii="Times New Roman" w:hAnsi="Times New Roman" w:cs="Times New Roman"/>
          <w:i/>
          <w:iCs/>
          <w:sz w:val="24"/>
          <w:szCs w:val="24"/>
        </w:rPr>
        <w:t>Teaching and Learning in the Early Years.</w:t>
      </w:r>
      <w:r w:rsidRPr="00E73583">
        <w:rPr>
          <w:rFonts w:ascii="Times New Roman" w:hAnsi="Times New Roman" w:cs="Times New Roman"/>
          <w:sz w:val="24"/>
          <w:szCs w:val="24"/>
        </w:rPr>
        <w:t xml:space="preserve"> Routledge.</w:t>
      </w:r>
    </w:p>
    <w:p w14:paraId="413138B6"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Bruce, T. (2015). </w:t>
      </w:r>
      <w:r w:rsidRPr="00E73583">
        <w:rPr>
          <w:rStyle w:val="Emphasis"/>
          <w:rFonts w:ascii="Times New Roman" w:hAnsi="Times New Roman" w:cs="Times New Roman"/>
          <w:sz w:val="24"/>
          <w:szCs w:val="24"/>
        </w:rPr>
        <w:t>Early Childhood Education</w:t>
      </w:r>
      <w:r w:rsidRPr="00E73583">
        <w:rPr>
          <w:rFonts w:ascii="Times New Roman" w:hAnsi="Times New Roman" w:cs="Times New Roman"/>
          <w:sz w:val="24"/>
          <w:szCs w:val="24"/>
        </w:rPr>
        <w:t>. Hodder Education.</w:t>
      </w:r>
    </w:p>
    <w:p w14:paraId="1859848C" w14:textId="781DDE68" w:rsid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Daly, L., &amp; Beloglovsky, M. (2015). </w:t>
      </w:r>
      <w:r w:rsidRPr="00E73583">
        <w:rPr>
          <w:rFonts w:ascii="Times New Roman" w:eastAsia="Times New Roman" w:hAnsi="Times New Roman" w:cs="Times New Roman"/>
          <w:i/>
          <w:iCs/>
          <w:sz w:val="24"/>
          <w:szCs w:val="24"/>
          <w:lang w:eastAsia="en-GB"/>
        </w:rPr>
        <w:t>Loose Parts: Inspiring Play in Young Children</w:t>
      </w:r>
      <w:r w:rsidRPr="00E73583">
        <w:rPr>
          <w:rFonts w:ascii="Times New Roman" w:eastAsia="Times New Roman" w:hAnsi="Times New Roman" w:cs="Times New Roman"/>
          <w:sz w:val="24"/>
          <w:szCs w:val="24"/>
          <w:lang w:eastAsia="en-GB"/>
        </w:rPr>
        <w:t>. Redleaf Press.</w:t>
      </w:r>
    </w:p>
    <w:p w14:paraId="3D3EADF3"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Department for Education (DfE) (2021). </w:t>
      </w:r>
      <w:r w:rsidRPr="00AC337F">
        <w:rPr>
          <w:rFonts w:ascii="Times New Roman" w:hAnsi="Times New Roman" w:cs="Times New Roman"/>
          <w:i/>
          <w:iCs/>
          <w:sz w:val="24"/>
          <w:szCs w:val="24"/>
        </w:rPr>
        <w:t>Statutory Framework for the Early Years Foundation Stage (EYFS).</w:t>
      </w:r>
    </w:p>
    <w:p w14:paraId="28A41ADF"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Department for Education. (2021). </w:t>
      </w:r>
      <w:r w:rsidRPr="00E73583">
        <w:rPr>
          <w:rStyle w:val="Emphasis"/>
          <w:rFonts w:ascii="Times New Roman" w:hAnsi="Times New Roman" w:cs="Times New Roman"/>
          <w:sz w:val="24"/>
          <w:szCs w:val="24"/>
        </w:rPr>
        <w:t>Statutory framework for the early years foundation stage</w:t>
      </w:r>
      <w:r w:rsidRPr="00E73583">
        <w:rPr>
          <w:rFonts w:ascii="Times New Roman" w:hAnsi="Times New Roman" w:cs="Times New Roman"/>
          <w:sz w:val="24"/>
          <w:szCs w:val="24"/>
        </w:rPr>
        <w:t>.</w:t>
      </w:r>
    </w:p>
    <w:p w14:paraId="3AA79D73"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Driscoll, P., &amp; Nagel, M. (2020). </w:t>
      </w:r>
      <w:r w:rsidRPr="00E73583">
        <w:rPr>
          <w:rStyle w:val="Emphasis"/>
          <w:rFonts w:ascii="Times New Roman" w:hAnsi="Times New Roman" w:cs="Times New Roman"/>
          <w:sz w:val="24"/>
          <w:szCs w:val="24"/>
        </w:rPr>
        <w:t>An Introduction to Early Childhood Studies</w:t>
      </w:r>
      <w:r w:rsidRPr="00E73583">
        <w:rPr>
          <w:rFonts w:ascii="Times New Roman" w:hAnsi="Times New Roman" w:cs="Times New Roman"/>
          <w:sz w:val="24"/>
          <w:szCs w:val="24"/>
        </w:rPr>
        <w:t>. SAGE.</w:t>
      </w:r>
    </w:p>
    <w:p w14:paraId="4B5026B5"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Dunphy, E. (2012). </w:t>
      </w:r>
      <w:r w:rsidRPr="00E73583">
        <w:rPr>
          <w:rStyle w:val="Emphasis"/>
          <w:rFonts w:ascii="Times New Roman" w:hAnsi="Times New Roman" w:cs="Times New Roman"/>
          <w:sz w:val="24"/>
          <w:szCs w:val="24"/>
        </w:rPr>
        <w:t>Supporting Early Learning: The Way Forward</w:t>
      </w:r>
      <w:r w:rsidRPr="00E73583">
        <w:rPr>
          <w:rFonts w:ascii="Times New Roman" w:hAnsi="Times New Roman" w:cs="Times New Roman"/>
          <w:sz w:val="24"/>
          <w:szCs w:val="24"/>
        </w:rPr>
        <w:t>. Routledge.</w:t>
      </w:r>
    </w:p>
    <w:p w14:paraId="5CE9D71A" w14:textId="77777777" w:rsidR="00E73583" w:rsidRPr="00E73583" w:rsidRDefault="00E73583" w:rsidP="009C2C8B">
      <w:pPr>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Early Years Alliance. (2022). </w:t>
      </w:r>
      <w:r w:rsidRPr="00E73583">
        <w:rPr>
          <w:rFonts w:ascii="Times New Roman" w:eastAsia="Times New Roman" w:hAnsi="Times New Roman" w:cs="Times New Roman"/>
          <w:i/>
          <w:iCs/>
          <w:sz w:val="24"/>
          <w:szCs w:val="24"/>
          <w:lang w:eastAsia="en-GB"/>
        </w:rPr>
        <w:t>Fun and Engaging Science Activities for Early Learners.</w:t>
      </w:r>
    </w:p>
    <w:p w14:paraId="11EDE920"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Edwards, C., Gandini, L., &amp; Forman, G. (2012). </w:t>
      </w:r>
      <w:r w:rsidRPr="00E73583">
        <w:rPr>
          <w:rFonts w:ascii="Times New Roman" w:eastAsia="Times New Roman" w:hAnsi="Times New Roman" w:cs="Times New Roman"/>
          <w:i/>
          <w:iCs/>
          <w:sz w:val="24"/>
          <w:szCs w:val="24"/>
          <w:lang w:eastAsia="en-GB"/>
        </w:rPr>
        <w:t>The Hundred Languages of Children: The Reggio Emilia Experience in Transformation</w:t>
      </w:r>
      <w:r w:rsidRPr="00E73583">
        <w:rPr>
          <w:rFonts w:ascii="Times New Roman" w:eastAsia="Times New Roman" w:hAnsi="Times New Roman" w:cs="Times New Roman"/>
          <w:sz w:val="24"/>
          <w:szCs w:val="24"/>
          <w:lang w:eastAsia="en-GB"/>
        </w:rPr>
        <w:t>. Praeger.</w:t>
      </w:r>
    </w:p>
    <w:p w14:paraId="6F151A95"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Edwards, C., Gandini, L., &amp; Forman, G. (2012). </w:t>
      </w:r>
      <w:r w:rsidRPr="00AC337F">
        <w:rPr>
          <w:rFonts w:ascii="Times New Roman" w:hAnsi="Times New Roman" w:cs="Times New Roman"/>
          <w:i/>
          <w:iCs/>
          <w:sz w:val="24"/>
          <w:szCs w:val="24"/>
        </w:rPr>
        <w:t>The Hundred Languages of Children: The Reggio Emilia Experience in Transformation.</w:t>
      </w:r>
    </w:p>
    <w:p w14:paraId="17A9BB8B"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Froebel, F. (1887). </w:t>
      </w:r>
      <w:r w:rsidRPr="00AC337F">
        <w:rPr>
          <w:rFonts w:ascii="Times New Roman" w:hAnsi="Times New Roman" w:cs="Times New Roman"/>
          <w:i/>
          <w:iCs/>
          <w:sz w:val="24"/>
          <w:szCs w:val="24"/>
        </w:rPr>
        <w:t>The Education of Man.</w:t>
      </w:r>
    </w:p>
    <w:p w14:paraId="658C8F3F" w14:textId="77777777" w:rsidR="00E73583" w:rsidRPr="00E73583" w:rsidRDefault="00E73583" w:rsidP="00002E52">
      <w:pPr>
        <w:rPr>
          <w:rFonts w:ascii="Times New Roman" w:eastAsia="Times New Roman" w:hAnsi="Times New Roman" w:cs="Times New Roman"/>
          <w:sz w:val="24"/>
          <w:szCs w:val="24"/>
          <w:lang w:eastAsia="en-GB"/>
        </w:rPr>
      </w:pPr>
      <w:r w:rsidRPr="00E73583">
        <w:rPr>
          <w:rFonts w:ascii="Times New Roman" w:hAnsi="Times New Roman" w:cs="Times New Roman"/>
          <w:sz w:val="24"/>
          <w:szCs w:val="24"/>
        </w:rPr>
        <w:t xml:space="preserve">Gelman, R., &amp; Brenneman, K. (2004). </w:t>
      </w:r>
      <w:r w:rsidRPr="00E73583">
        <w:rPr>
          <w:rFonts w:ascii="Times New Roman" w:hAnsi="Times New Roman" w:cs="Times New Roman"/>
          <w:i/>
          <w:iCs/>
          <w:sz w:val="24"/>
          <w:szCs w:val="24"/>
        </w:rPr>
        <w:t>Science learning pathways for</w:t>
      </w:r>
      <w:r w:rsidRPr="00E73583">
        <w:rPr>
          <w:rFonts w:ascii="Times New Roman" w:hAnsi="Times New Roman" w:cs="Times New Roman"/>
          <w:i/>
          <w:iCs/>
          <w:sz w:val="24"/>
          <w:szCs w:val="24"/>
          <w:u w:val="single"/>
        </w:rPr>
        <w:t xml:space="preserve"> </w:t>
      </w:r>
      <w:r w:rsidRPr="00E73583">
        <w:rPr>
          <w:rFonts w:ascii="Times New Roman" w:hAnsi="Times New Roman" w:cs="Times New Roman"/>
          <w:i/>
          <w:iCs/>
          <w:sz w:val="24"/>
          <w:szCs w:val="24"/>
        </w:rPr>
        <w:t>young children</w:t>
      </w:r>
      <w:r w:rsidRPr="00E73583">
        <w:rPr>
          <w:rFonts w:ascii="Times New Roman" w:hAnsi="Times New Roman" w:cs="Times New Roman"/>
          <w:sz w:val="24"/>
          <w:szCs w:val="24"/>
        </w:rPr>
        <w:t>. Early Childhood Research Quarterly, 19(1), 150-158.</w:t>
      </w:r>
    </w:p>
    <w:p w14:paraId="5C60563A"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Ginsburg, H. P. (2006). Mathematical play and young children’s mathematical thinking. </w:t>
      </w:r>
      <w:r w:rsidRPr="00E73583">
        <w:rPr>
          <w:rFonts w:ascii="Times New Roman" w:eastAsia="Times New Roman" w:hAnsi="Times New Roman" w:cs="Times New Roman"/>
          <w:i/>
          <w:iCs/>
          <w:sz w:val="24"/>
          <w:szCs w:val="24"/>
          <w:lang w:eastAsia="en-GB"/>
        </w:rPr>
        <w:t>Mathematics Education Research Journal, 18</w:t>
      </w:r>
      <w:r w:rsidRPr="00E73583">
        <w:rPr>
          <w:rFonts w:ascii="Times New Roman" w:eastAsia="Times New Roman" w:hAnsi="Times New Roman" w:cs="Times New Roman"/>
          <w:sz w:val="24"/>
          <w:szCs w:val="24"/>
          <w:lang w:eastAsia="en-GB"/>
        </w:rPr>
        <w:t>(2), 3-23.</w:t>
      </w:r>
    </w:p>
    <w:p w14:paraId="76D8CFF3" w14:textId="77777777" w:rsidR="00E73583" w:rsidRPr="00E73583" w:rsidRDefault="00E73583" w:rsidP="00002E52">
      <w:pPr>
        <w:rPr>
          <w:rFonts w:ascii="Times New Roman" w:eastAsia="Times New Roman" w:hAnsi="Times New Roman" w:cs="Times New Roman"/>
          <w:sz w:val="24"/>
          <w:szCs w:val="24"/>
          <w:lang w:eastAsia="en-GB"/>
        </w:rPr>
      </w:pPr>
      <w:r w:rsidRPr="00E73583">
        <w:rPr>
          <w:rFonts w:ascii="Times New Roman" w:hAnsi="Times New Roman" w:cs="Times New Roman"/>
          <w:sz w:val="24"/>
          <w:szCs w:val="24"/>
        </w:rPr>
        <w:t xml:space="preserve">Ginsburg, H. P., Lee, J. S., &amp; Boyd, J. S. (2008). </w:t>
      </w:r>
      <w:r w:rsidRPr="00E73583">
        <w:rPr>
          <w:rFonts w:ascii="Times New Roman" w:hAnsi="Times New Roman" w:cs="Times New Roman"/>
          <w:i/>
          <w:iCs/>
          <w:sz w:val="24"/>
          <w:szCs w:val="24"/>
        </w:rPr>
        <w:t>Mathematics education for young children: What it is and how to promote it</w:t>
      </w:r>
      <w:r w:rsidRPr="00E73583">
        <w:rPr>
          <w:rFonts w:ascii="Times New Roman" w:hAnsi="Times New Roman" w:cs="Times New Roman"/>
          <w:sz w:val="24"/>
          <w:szCs w:val="24"/>
        </w:rPr>
        <w:t>. Social Policy Report, 22(1), 3-22.</w:t>
      </w:r>
    </w:p>
    <w:p w14:paraId="76AE9828"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lastRenderedPageBreak/>
        <w:t xml:space="preserve">Gopnik, A. (2016). </w:t>
      </w:r>
      <w:r w:rsidRPr="00AC337F">
        <w:rPr>
          <w:rFonts w:ascii="Times New Roman" w:hAnsi="Times New Roman" w:cs="Times New Roman"/>
          <w:i/>
          <w:iCs/>
          <w:sz w:val="24"/>
          <w:szCs w:val="24"/>
        </w:rPr>
        <w:t>The Gardener and the Carpenter: What the New Science of Child Development Tells Us About the Relationship Between Parents and Children.</w:t>
      </w:r>
    </w:p>
    <w:p w14:paraId="2310328A" w14:textId="77777777" w:rsidR="00E73583" w:rsidRPr="00E73583" w:rsidRDefault="00E73583" w:rsidP="009C2C8B">
      <w:pPr>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Hickman, L. (2021). </w:t>
      </w:r>
      <w:r w:rsidRPr="00E73583">
        <w:rPr>
          <w:rFonts w:ascii="Times New Roman" w:eastAsia="Times New Roman" w:hAnsi="Times New Roman" w:cs="Times New Roman"/>
          <w:i/>
          <w:iCs/>
          <w:sz w:val="24"/>
          <w:szCs w:val="24"/>
          <w:lang w:eastAsia="en-GB"/>
        </w:rPr>
        <w:t>Plant Life Cycles: A Visual Guide.</w:t>
      </w:r>
      <w:r w:rsidRPr="00E73583">
        <w:rPr>
          <w:rFonts w:ascii="Times New Roman" w:eastAsia="Times New Roman" w:hAnsi="Times New Roman" w:cs="Times New Roman"/>
          <w:sz w:val="24"/>
          <w:szCs w:val="24"/>
          <w:lang w:eastAsia="en-GB"/>
        </w:rPr>
        <w:t xml:space="preserve"> Educational Press.</w:t>
      </w:r>
    </w:p>
    <w:p w14:paraId="3F6FA349"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Hirsh-Pasek, K., Golinkoff, R. M., Berk, L. E., &amp; Singer, D. G. (2009). </w:t>
      </w:r>
      <w:r w:rsidRPr="00E73583">
        <w:rPr>
          <w:rFonts w:ascii="Times New Roman" w:hAnsi="Times New Roman" w:cs="Times New Roman"/>
          <w:i/>
          <w:iCs/>
          <w:sz w:val="24"/>
          <w:szCs w:val="24"/>
        </w:rPr>
        <w:t>A mandate for playful learning in preschool: Presenting the evidence</w:t>
      </w:r>
      <w:r w:rsidRPr="00E73583">
        <w:rPr>
          <w:rFonts w:ascii="Times New Roman" w:hAnsi="Times New Roman" w:cs="Times New Roman"/>
          <w:sz w:val="24"/>
          <w:szCs w:val="24"/>
        </w:rPr>
        <w:t>. Oxford University Press.</w:t>
      </w:r>
    </w:p>
    <w:p w14:paraId="38D8087A" w14:textId="77777777" w:rsidR="00E73583" w:rsidRPr="00E73583" w:rsidRDefault="00E73583" w:rsidP="009C2C8B">
      <w:pPr>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Insect Lore. (2023). </w:t>
      </w:r>
      <w:r w:rsidRPr="00E73583">
        <w:rPr>
          <w:rFonts w:ascii="Times New Roman" w:eastAsia="Times New Roman" w:hAnsi="Times New Roman" w:cs="Times New Roman"/>
          <w:i/>
          <w:iCs/>
          <w:sz w:val="24"/>
          <w:szCs w:val="24"/>
          <w:lang w:eastAsia="en-GB"/>
        </w:rPr>
        <w:t>Butterfly Life Cycle Kits.</w:t>
      </w:r>
    </w:p>
    <w:p w14:paraId="52CA0BCF"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Jones, R. (2017). </w:t>
      </w:r>
      <w:r w:rsidRPr="00E73583">
        <w:rPr>
          <w:rFonts w:ascii="Times New Roman" w:eastAsia="Times New Roman" w:hAnsi="Times New Roman" w:cs="Times New Roman"/>
          <w:i/>
          <w:iCs/>
          <w:sz w:val="24"/>
          <w:szCs w:val="24"/>
          <w:lang w:eastAsia="en-GB"/>
        </w:rPr>
        <w:t>The Importance of Outdoor Play in Early Childhood Education</w:t>
      </w:r>
      <w:r w:rsidRPr="00E73583">
        <w:rPr>
          <w:rFonts w:ascii="Times New Roman" w:eastAsia="Times New Roman" w:hAnsi="Times New Roman" w:cs="Times New Roman"/>
          <w:sz w:val="24"/>
          <w:szCs w:val="24"/>
          <w:lang w:eastAsia="en-GB"/>
        </w:rPr>
        <w:t>. London: Early Learning Publications.</w:t>
      </w:r>
    </w:p>
    <w:p w14:paraId="2C33D5B9"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Ministry of Education (2017). </w:t>
      </w:r>
      <w:r w:rsidRPr="00AC337F">
        <w:rPr>
          <w:rFonts w:ascii="Times New Roman" w:hAnsi="Times New Roman" w:cs="Times New Roman"/>
          <w:i/>
          <w:iCs/>
          <w:sz w:val="24"/>
          <w:szCs w:val="24"/>
        </w:rPr>
        <w:t>Te Whāriki: Early Childhood Curriculum.</w:t>
      </w:r>
    </w:p>
    <w:p w14:paraId="5B9AE5A9" w14:textId="77777777" w:rsidR="00E73583" w:rsidRPr="00E73583" w:rsidRDefault="00E73583" w:rsidP="009C2C8B">
      <w:pPr>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Montessori, M. (2019). </w:t>
      </w:r>
      <w:r w:rsidRPr="00E73583">
        <w:rPr>
          <w:rFonts w:ascii="Times New Roman" w:eastAsia="Times New Roman" w:hAnsi="Times New Roman" w:cs="Times New Roman"/>
          <w:i/>
          <w:iCs/>
          <w:sz w:val="24"/>
          <w:szCs w:val="24"/>
          <w:lang w:eastAsia="en-GB"/>
        </w:rPr>
        <w:t>The Montessori Approach to Nature and Science.</w:t>
      </w:r>
    </w:p>
    <w:p w14:paraId="60695ADC" w14:textId="77777777" w:rsidR="00E73583" w:rsidRPr="00E73583" w:rsidRDefault="00E73583" w:rsidP="009C2C8B">
      <w:pPr>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National Gardening Association. (2023). </w:t>
      </w:r>
      <w:r w:rsidRPr="00E73583">
        <w:rPr>
          <w:rFonts w:ascii="Times New Roman" w:eastAsia="Times New Roman" w:hAnsi="Times New Roman" w:cs="Times New Roman"/>
          <w:i/>
          <w:iCs/>
          <w:sz w:val="24"/>
          <w:szCs w:val="24"/>
          <w:lang w:eastAsia="en-GB"/>
        </w:rPr>
        <w:t>Growing Plants with Children: A Hands-on Guide.</w:t>
      </w:r>
    </w:p>
    <w:p w14:paraId="44CF9B4A"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National Research Council. (2012). </w:t>
      </w:r>
      <w:r w:rsidRPr="00E73583">
        <w:rPr>
          <w:rFonts w:ascii="Times New Roman" w:hAnsi="Times New Roman" w:cs="Times New Roman"/>
          <w:i/>
          <w:iCs/>
          <w:sz w:val="24"/>
          <w:szCs w:val="24"/>
        </w:rPr>
        <w:t>A framework for K-12 science education: Practices, crosscutting concepts, and core ideas</w:t>
      </w:r>
      <w:r w:rsidRPr="00E73583">
        <w:rPr>
          <w:rFonts w:ascii="Times New Roman" w:hAnsi="Times New Roman" w:cs="Times New Roman"/>
          <w:sz w:val="24"/>
          <w:szCs w:val="24"/>
        </w:rPr>
        <w:t>. National Academies Press.</w:t>
      </w:r>
    </w:p>
    <w:p w14:paraId="6B8538E7"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Nutbrown, C. (2018). </w:t>
      </w:r>
      <w:r w:rsidRPr="00E73583">
        <w:rPr>
          <w:rStyle w:val="Emphasis"/>
          <w:rFonts w:ascii="Times New Roman" w:hAnsi="Times New Roman" w:cs="Times New Roman"/>
          <w:sz w:val="24"/>
          <w:szCs w:val="24"/>
        </w:rPr>
        <w:t>Early Childhood Educational Research: International Perspectives</w:t>
      </w:r>
      <w:r w:rsidRPr="00E73583">
        <w:rPr>
          <w:rFonts w:ascii="Times New Roman" w:hAnsi="Times New Roman" w:cs="Times New Roman"/>
          <w:sz w:val="24"/>
          <w:szCs w:val="24"/>
        </w:rPr>
        <w:t>. SAGE</w:t>
      </w:r>
      <w:r w:rsidRPr="00E73583">
        <w:rPr>
          <w:rFonts w:ascii="Times New Roman" w:hAnsi="Times New Roman" w:cs="Times New Roman"/>
          <w:sz w:val="24"/>
          <w:szCs w:val="24"/>
        </w:rPr>
        <w:t xml:space="preserve"> Publications.</w:t>
      </w:r>
    </w:p>
    <w:p w14:paraId="70E4D9A5"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Pellegrini, A. D., &amp; Smith, P. K. (1998). "Physical activity play: The nature and function of a neglected aspect of play." </w:t>
      </w:r>
      <w:r w:rsidRPr="00AC337F">
        <w:rPr>
          <w:rFonts w:ascii="Times New Roman" w:hAnsi="Times New Roman" w:cs="Times New Roman"/>
          <w:i/>
          <w:iCs/>
          <w:sz w:val="24"/>
          <w:szCs w:val="24"/>
        </w:rPr>
        <w:t>Child Development, 69</w:t>
      </w:r>
      <w:r w:rsidRPr="00AC337F">
        <w:rPr>
          <w:rFonts w:ascii="Times New Roman" w:hAnsi="Times New Roman" w:cs="Times New Roman"/>
          <w:sz w:val="24"/>
          <w:szCs w:val="24"/>
        </w:rPr>
        <w:t>(3), 577-598.</w:t>
      </w:r>
    </w:p>
    <w:p w14:paraId="167E8628"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Piaget, J. (1952). </w:t>
      </w:r>
      <w:r w:rsidRPr="00E73583">
        <w:rPr>
          <w:rFonts w:ascii="Times New Roman" w:eastAsia="Times New Roman" w:hAnsi="Times New Roman" w:cs="Times New Roman"/>
          <w:i/>
          <w:iCs/>
          <w:sz w:val="24"/>
          <w:szCs w:val="24"/>
          <w:lang w:eastAsia="en-GB"/>
        </w:rPr>
        <w:t>The Origins of Intelligence in Children</w:t>
      </w:r>
      <w:r w:rsidRPr="00E73583">
        <w:rPr>
          <w:rFonts w:ascii="Times New Roman" w:eastAsia="Times New Roman" w:hAnsi="Times New Roman" w:cs="Times New Roman"/>
          <w:sz w:val="24"/>
          <w:szCs w:val="24"/>
          <w:lang w:eastAsia="en-GB"/>
        </w:rPr>
        <w:t>. Norton.</w:t>
      </w:r>
    </w:p>
    <w:p w14:paraId="0EED5FB6"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Rogers, S. (2018). </w:t>
      </w:r>
      <w:r w:rsidRPr="00E73583">
        <w:rPr>
          <w:rStyle w:val="Emphasis"/>
          <w:rFonts w:ascii="Times New Roman" w:hAnsi="Times New Roman" w:cs="Times New Roman"/>
          <w:sz w:val="24"/>
          <w:szCs w:val="24"/>
        </w:rPr>
        <w:t>Play in the Early Years: Learning from Research</w:t>
      </w:r>
      <w:r w:rsidRPr="00E73583">
        <w:rPr>
          <w:rFonts w:ascii="Times New Roman" w:hAnsi="Times New Roman" w:cs="Times New Roman"/>
          <w:sz w:val="24"/>
          <w:szCs w:val="24"/>
        </w:rPr>
        <w:t>. SAGE.</w:t>
      </w:r>
    </w:p>
    <w:p w14:paraId="437D7EEA"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Sarama, J., &amp; Clements, D. H. (2009). </w:t>
      </w:r>
      <w:r w:rsidRPr="00E73583">
        <w:rPr>
          <w:rFonts w:ascii="Times New Roman" w:hAnsi="Times New Roman" w:cs="Times New Roman"/>
          <w:i/>
          <w:iCs/>
          <w:sz w:val="24"/>
          <w:szCs w:val="24"/>
        </w:rPr>
        <w:t>Early childhood mathematics education research: Learning trajectories for young children</w:t>
      </w:r>
      <w:r w:rsidRPr="00E73583">
        <w:rPr>
          <w:rFonts w:ascii="Times New Roman" w:hAnsi="Times New Roman" w:cs="Times New Roman"/>
          <w:sz w:val="24"/>
          <w:szCs w:val="24"/>
        </w:rPr>
        <w:t>. Routledge.</w:t>
      </w:r>
    </w:p>
    <w:p w14:paraId="407AC0E2" w14:textId="77777777" w:rsidR="00E73583" w:rsidRPr="00E73583" w:rsidRDefault="00E73583" w:rsidP="00002E52">
      <w:pPr>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Smith, R., &amp; Taylor, J. (2020). </w:t>
      </w:r>
      <w:r w:rsidRPr="00E73583">
        <w:rPr>
          <w:rFonts w:ascii="Times New Roman" w:eastAsia="Times New Roman" w:hAnsi="Times New Roman" w:cs="Times New Roman"/>
          <w:i/>
          <w:iCs/>
          <w:sz w:val="24"/>
          <w:szCs w:val="24"/>
          <w:lang w:eastAsia="en-GB"/>
        </w:rPr>
        <w:t>Using Technology in Early Childhood Science Education.</w:t>
      </w:r>
    </w:p>
    <w:p w14:paraId="40466AD4"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Verdine, B. N., Golinkoff, R. M., Hirsh-Pasek, K., &amp; Newcombe, N. S. (2014). </w:t>
      </w:r>
      <w:r w:rsidRPr="00E73583">
        <w:rPr>
          <w:rFonts w:ascii="Times New Roman" w:hAnsi="Times New Roman" w:cs="Times New Roman"/>
          <w:i/>
          <w:iCs/>
          <w:sz w:val="24"/>
          <w:szCs w:val="24"/>
        </w:rPr>
        <w:t>Links between spatial and mathematical skills across the preschool years</w:t>
      </w:r>
      <w:r w:rsidRPr="00E73583">
        <w:rPr>
          <w:rFonts w:ascii="Times New Roman" w:hAnsi="Times New Roman" w:cs="Times New Roman"/>
          <w:sz w:val="24"/>
          <w:szCs w:val="24"/>
        </w:rPr>
        <w:t>. Monographs of the Society for Research in Child Development, 79(1), 1-150.</w:t>
      </w:r>
    </w:p>
    <w:p w14:paraId="687D20DA"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Vygotsky, L. S. (1978). </w:t>
      </w:r>
      <w:r w:rsidRPr="00E73583">
        <w:rPr>
          <w:rFonts w:ascii="Times New Roman" w:eastAsia="Times New Roman" w:hAnsi="Times New Roman" w:cs="Times New Roman"/>
          <w:i/>
          <w:iCs/>
          <w:sz w:val="24"/>
          <w:szCs w:val="24"/>
          <w:lang w:eastAsia="en-GB"/>
        </w:rPr>
        <w:t>Mind in Society: The Development of Higher Psychological Processes</w:t>
      </w:r>
      <w:r w:rsidRPr="00E73583">
        <w:rPr>
          <w:rFonts w:ascii="Times New Roman" w:eastAsia="Times New Roman" w:hAnsi="Times New Roman" w:cs="Times New Roman"/>
          <w:sz w:val="24"/>
          <w:szCs w:val="24"/>
          <w:lang w:eastAsia="en-GB"/>
        </w:rPr>
        <w:t>. Harvard University Press.</w:t>
      </w:r>
    </w:p>
    <w:p w14:paraId="2362433C"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Vygotsky, L. S. (1978). </w:t>
      </w:r>
      <w:r w:rsidRPr="00AC337F">
        <w:rPr>
          <w:rFonts w:ascii="Times New Roman" w:hAnsi="Times New Roman" w:cs="Times New Roman"/>
          <w:i/>
          <w:iCs/>
          <w:sz w:val="24"/>
          <w:szCs w:val="24"/>
        </w:rPr>
        <w:t>Mind in Society: The Development of Higher Psychological Processes.</w:t>
      </w:r>
    </w:p>
    <w:p w14:paraId="0BBA07D4" w14:textId="77777777" w:rsidR="00E73583" w:rsidRPr="00E73583" w:rsidRDefault="00E73583" w:rsidP="00002E52">
      <w:pPr>
        <w:spacing w:line="276" w:lineRule="auto"/>
        <w:rPr>
          <w:rFonts w:ascii="Times New Roman" w:hAnsi="Times New Roman" w:cs="Times New Roman"/>
          <w:sz w:val="24"/>
          <w:szCs w:val="24"/>
        </w:rPr>
      </w:pPr>
      <w:r w:rsidRPr="00E73583">
        <w:rPr>
          <w:rFonts w:ascii="Times New Roman" w:hAnsi="Times New Roman" w:cs="Times New Roman"/>
          <w:sz w:val="24"/>
          <w:szCs w:val="24"/>
        </w:rPr>
        <w:t xml:space="preserve">Whitebread, D. (2012). </w:t>
      </w:r>
      <w:r w:rsidRPr="00E73583">
        <w:rPr>
          <w:rStyle w:val="Emphasis"/>
          <w:rFonts w:ascii="Times New Roman" w:hAnsi="Times New Roman" w:cs="Times New Roman"/>
          <w:sz w:val="24"/>
          <w:szCs w:val="24"/>
        </w:rPr>
        <w:t>Developmental Psychology and Early Childhood Education</w:t>
      </w:r>
      <w:r w:rsidRPr="00E73583">
        <w:rPr>
          <w:rFonts w:ascii="Times New Roman" w:hAnsi="Times New Roman" w:cs="Times New Roman"/>
          <w:sz w:val="24"/>
          <w:szCs w:val="24"/>
        </w:rPr>
        <w:t>. SAGE</w:t>
      </w:r>
      <w:r w:rsidRPr="00E73583">
        <w:rPr>
          <w:rFonts w:ascii="Times New Roman" w:hAnsi="Times New Roman" w:cs="Times New Roman"/>
          <w:sz w:val="24"/>
          <w:szCs w:val="24"/>
        </w:rPr>
        <w:t xml:space="preserve"> Publications.</w:t>
      </w:r>
    </w:p>
    <w:p w14:paraId="7ACAF7E0" w14:textId="77777777" w:rsidR="00E73583" w:rsidRPr="00AC337F" w:rsidRDefault="00E73583" w:rsidP="00AC337F">
      <w:pPr>
        <w:spacing w:line="276" w:lineRule="auto"/>
        <w:rPr>
          <w:rFonts w:ascii="Times New Roman" w:hAnsi="Times New Roman" w:cs="Times New Roman"/>
          <w:sz w:val="24"/>
          <w:szCs w:val="24"/>
        </w:rPr>
      </w:pPr>
      <w:r w:rsidRPr="00AC337F">
        <w:rPr>
          <w:rFonts w:ascii="Times New Roman" w:hAnsi="Times New Roman" w:cs="Times New Roman"/>
          <w:sz w:val="24"/>
          <w:szCs w:val="24"/>
        </w:rPr>
        <w:t xml:space="preserve">Whitebread, D. (2012). </w:t>
      </w:r>
      <w:r w:rsidRPr="00AC337F">
        <w:rPr>
          <w:rFonts w:ascii="Times New Roman" w:hAnsi="Times New Roman" w:cs="Times New Roman"/>
          <w:i/>
          <w:iCs/>
          <w:sz w:val="24"/>
          <w:szCs w:val="24"/>
        </w:rPr>
        <w:t>The Importance of Play in Early Childhood Development.</w:t>
      </w:r>
    </w:p>
    <w:p w14:paraId="57943E7D"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t xml:space="preserve">Wood, D., Bruner, J. S., &amp; Ross, G. (1976). The role of tutoring in problem solving. </w:t>
      </w:r>
      <w:r w:rsidRPr="00E73583">
        <w:rPr>
          <w:rFonts w:ascii="Times New Roman" w:eastAsia="Times New Roman" w:hAnsi="Times New Roman" w:cs="Times New Roman"/>
          <w:i/>
          <w:iCs/>
          <w:sz w:val="24"/>
          <w:szCs w:val="24"/>
          <w:lang w:eastAsia="en-GB"/>
        </w:rPr>
        <w:t>Journal of Child Psychology and Psychiatry, 17</w:t>
      </w:r>
      <w:r w:rsidRPr="00E73583">
        <w:rPr>
          <w:rFonts w:ascii="Times New Roman" w:eastAsia="Times New Roman" w:hAnsi="Times New Roman" w:cs="Times New Roman"/>
          <w:sz w:val="24"/>
          <w:szCs w:val="24"/>
          <w:lang w:eastAsia="en-GB"/>
        </w:rPr>
        <w:t>(2), 89-100.</w:t>
      </w:r>
    </w:p>
    <w:p w14:paraId="6D2E33D3" w14:textId="77777777" w:rsidR="00E73583" w:rsidRPr="00E73583" w:rsidRDefault="00E73583" w:rsidP="009C2C8B">
      <w:pPr>
        <w:jc w:val="both"/>
        <w:rPr>
          <w:rFonts w:ascii="Times New Roman" w:eastAsia="Times New Roman" w:hAnsi="Times New Roman" w:cs="Times New Roman"/>
          <w:sz w:val="24"/>
          <w:szCs w:val="24"/>
          <w:lang w:eastAsia="en-GB"/>
        </w:rPr>
      </w:pPr>
      <w:r w:rsidRPr="00E73583">
        <w:rPr>
          <w:rFonts w:ascii="Times New Roman" w:eastAsia="Times New Roman" w:hAnsi="Times New Roman" w:cs="Times New Roman"/>
          <w:sz w:val="24"/>
          <w:szCs w:val="24"/>
          <w:lang w:eastAsia="en-GB"/>
        </w:rPr>
        <w:lastRenderedPageBreak/>
        <w:t xml:space="preserve">Worth, K. (2010). Science in early childhood classrooms: Content and process. </w:t>
      </w:r>
      <w:r w:rsidRPr="00E73583">
        <w:rPr>
          <w:rFonts w:ascii="Times New Roman" w:eastAsia="Times New Roman" w:hAnsi="Times New Roman" w:cs="Times New Roman"/>
          <w:i/>
          <w:iCs/>
          <w:sz w:val="24"/>
          <w:szCs w:val="24"/>
          <w:lang w:eastAsia="en-GB"/>
        </w:rPr>
        <w:t>Early Childhood Research &amp; Practice, 12</w:t>
      </w:r>
      <w:r w:rsidRPr="00E73583">
        <w:rPr>
          <w:rFonts w:ascii="Times New Roman" w:eastAsia="Times New Roman" w:hAnsi="Times New Roman" w:cs="Times New Roman"/>
          <w:sz w:val="24"/>
          <w:szCs w:val="24"/>
          <w:lang w:eastAsia="en-GB"/>
        </w:rPr>
        <w:t>(2).</w:t>
      </w:r>
    </w:p>
    <w:sectPr w:rsidR="00E73583" w:rsidRPr="00E73583" w:rsidSect="0079757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6DD9D" w14:textId="77777777" w:rsidR="001263B3" w:rsidRDefault="001263B3" w:rsidP="00247A67">
      <w:pPr>
        <w:spacing w:after="0" w:line="240" w:lineRule="auto"/>
      </w:pPr>
      <w:r>
        <w:separator/>
      </w:r>
    </w:p>
  </w:endnote>
  <w:endnote w:type="continuationSeparator" w:id="0">
    <w:p w14:paraId="26BEAE50" w14:textId="77777777" w:rsidR="001263B3" w:rsidRDefault="001263B3" w:rsidP="00247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1C674" w14:textId="77777777" w:rsidR="001263B3" w:rsidRDefault="001263B3" w:rsidP="00247A67">
      <w:pPr>
        <w:spacing w:after="0" w:line="240" w:lineRule="auto"/>
      </w:pPr>
      <w:r>
        <w:separator/>
      </w:r>
    </w:p>
  </w:footnote>
  <w:footnote w:type="continuationSeparator" w:id="0">
    <w:p w14:paraId="53ABD76B" w14:textId="77777777" w:rsidR="001263B3" w:rsidRDefault="001263B3" w:rsidP="00247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FEF9B" w14:textId="77777777" w:rsidR="005961FF" w:rsidRDefault="005961FF">
    <w:pPr>
      <w:pStyle w:val="Header"/>
    </w:pPr>
    <w:r>
      <w:t>Rachel Thomas</w:t>
    </w:r>
    <w:r>
      <w:tab/>
      <w:t>ECEY5005</w:t>
    </w:r>
    <w:r>
      <w:tab/>
      <w:t>2312291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A6B4F"/>
    <w:multiLevelType w:val="multilevel"/>
    <w:tmpl w:val="FE60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3609C"/>
    <w:multiLevelType w:val="multilevel"/>
    <w:tmpl w:val="F828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B6D14"/>
    <w:multiLevelType w:val="multilevel"/>
    <w:tmpl w:val="EF9E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B67BB7"/>
    <w:multiLevelType w:val="multilevel"/>
    <w:tmpl w:val="D5F83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126C5"/>
    <w:multiLevelType w:val="multilevel"/>
    <w:tmpl w:val="31305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A120B"/>
    <w:multiLevelType w:val="hybridMultilevel"/>
    <w:tmpl w:val="B6FE9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C95ADE"/>
    <w:multiLevelType w:val="multilevel"/>
    <w:tmpl w:val="8B2A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C537E8"/>
    <w:multiLevelType w:val="multilevel"/>
    <w:tmpl w:val="D7CA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5F58DD"/>
    <w:multiLevelType w:val="multilevel"/>
    <w:tmpl w:val="9BF0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65167F"/>
    <w:multiLevelType w:val="multilevel"/>
    <w:tmpl w:val="9150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966504"/>
    <w:multiLevelType w:val="multilevel"/>
    <w:tmpl w:val="4DA4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794E98"/>
    <w:multiLevelType w:val="multilevel"/>
    <w:tmpl w:val="B10A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C84067"/>
    <w:multiLevelType w:val="multilevel"/>
    <w:tmpl w:val="D27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229320">
    <w:abstractNumId w:val="5"/>
  </w:num>
  <w:num w:numId="2" w16cid:durableId="2069836887">
    <w:abstractNumId w:val="3"/>
  </w:num>
  <w:num w:numId="3" w16cid:durableId="224682199">
    <w:abstractNumId w:val="12"/>
  </w:num>
  <w:num w:numId="4" w16cid:durableId="227693750">
    <w:abstractNumId w:val="9"/>
  </w:num>
  <w:num w:numId="5" w16cid:durableId="639304303">
    <w:abstractNumId w:val="7"/>
  </w:num>
  <w:num w:numId="6" w16cid:durableId="1352683267">
    <w:abstractNumId w:val="2"/>
  </w:num>
  <w:num w:numId="7" w16cid:durableId="1104502020">
    <w:abstractNumId w:val="4"/>
  </w:num>
  <w:num w:numId="8" w16cid:durableId="1795634188">
    <w:abstractNumId w:val="0"/>
  </w:num>
  <w:num w:numId="9" w16cid:durableId="429013258">
    <w:abstractNumId w:val="11"/>
  </w:num>
  <w:num w:numId="10" w16cid:durableId="582837228">
    <w:abstractNumId w:val="8"/>
  </w:num>
  <w:num w:numId="11" w16cid:durableId="515921645">
    <w:abstractNumId w:val="1"/>
  </w:num>
  <w:num w:numId="12" w16cid:durableId="1038041526">
    <w:abstractNumId w:val="6"/>
  </w:num>
  <w:num w:numId="13" w16cid:durableId="9787254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67"/>
    <w:rsid w:val="00002E52"/>
    <w:rsid w:val="00056BB7"/>
    <w:rsid w:val="000C27E0"/>
    <w:rsid w:val="000E19B7"/>
    <w:rsid w:val="001263B3"/>
    <w:rsid w:val="001B4B1A"/>
    <w:rsid w:val="00247A67"/>
    <w:rsid w:val="002613EF"/>
    <w:rsid w:val="002A0442"/>
    <w:rsid w:val="00345DC2"/>
    <w:rsid w:val="00357870"/>
    <w:rsid w:val="003E0F91"/>
    <w:rsid w:val="003F2863"/>
    <w:rsid w:val="00471A40"/>
    <w:rsid w:val="004A7718"/>
    <w:rsid w:val="005749D9"/>
    <w:rsid w:val="0059239E"/>
    <w:rsid w:val="005961FF"/>
    <w:rsid w:val="005A5A66"/>
    <w:rsid w:val="00654F2F"/>
    <w:rsid w:val="00683183"/>
    <w:rsid w:val="006C269F"/>
    <w:rsid w:val="006E25DC"/>
    <w:rsid w:val="00725963"/>
    <w:rsid w:val="0075267A"/>
    <w:rsid w:val="0079757F"/>
    <w:rsid w:val="00802407"/>
    <w:rsid w:val="00833153"/>
    <w:rsid w:val="008F3D98"/>
    <w:rsid w:val="00981FB6"/>
    <w:rsid w:val="009C2C8B"/>
    <w:rsid w:val="009C4512"/>
    <w:rsid w:val="00A53929"/>
    <w:rsid w:val="00A67D97"/>
    <w:rsid w:val="00A94830"/>
    <w:rsid w:val="00A954BD"/>
    <w:rsid w:val="00AB227C"/>
    <w:rsid w:val="00AB41CE"/>
    <w:rsid w:val="00AB7FE6"/>
    <w:rsid w:val="00AC337F"/>
    <w:rsid w:val="00BD15B9"/>
    <w:rsid w:val="00C61648"/>
    <w:rsid w:val="00C77B9F"/>
    <w:rsid w:val="00C97CA4"/>
    <w:rsid w:val="00CA3A99"/>
    <w:rsid w:val="00D60112"/>
    <w:rsid w:val="00D64A85"/>
    <w:rsid w:val="00E17561"/>
    <w:rsid w:val="00E73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9C583"/>
  <w15:chartTrackingRefBased/>
  <w15:docId w15:val="{2F9F2873-0438-4741-B7F2-15CCA53BB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7A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A67"/>
  </w:style>
  <w:style w:type="paragraph" w:styleId="Footer">
    <w:name w:val="footer"/>
    <w:basedOn w:val="Normal"/>
    <w:link w:val="FooterChar"/>
    <w:uiPriority w:val="99"/>
    <w:unhideWhenUsed/>
    <w:rsid w:val="00247A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A67"/>
  </w:style>
  <w:style w:type="table" w:customStyle="1" w:styleId="TableGrid1">
    <w:name w:val="Table Grid1"/>
    <w:basedOn w:val="TableNormal"/>
    <w:next w:val="TableGrid"/>
    <w:uiPriority w:val="59"/>
    <w:rsid w:val="00247A6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47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97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4A85"/>
    <w:pPr>
      <w:ind w:left="720"/>
      <w:contextualSpacing/>
    </w:pPr>
  </w:style>
  <w:style w:type="character" w:styleId="Emphasis">
    <w:name w:val="Emphasis"/>
    <w:basedOn w:val="DefaultParagraphFont"/>
    <w:uiPriority w:val="20"/>
    <w:qFormat/>
    <w:rsid w:val="00AB7F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69725">
      <w:bodyDiv w:val="1"/>
      <w:marLeft w:val="0"/>
      <w:marRight w:val="0"/>
      <w:marTop w:val="0"/>
      <w:marBottom w:val="0"/>
      <w:divBdr>
        <w:top w:val="none" w:sz="0" w:space="0" w:color="auto"/>
        <w:left w:val="none" w:sz="0" w:space="0" w:color="auto"/>
        <w:bottom w:val="none" w:sz="0" w:space="0" w:color="auto"/>
        <w:right w:val="none" w:sz="0" w:space="0" w:color="auto"/>
      </w:divBdr>
    </w:div>
    <w:div w:id="145711363">
      <w:bodyDiv w:val="1"/>
      <w:marLeft w:val="0"/>
      <w:marRight w:val="0"/>
      <w:marTop w:val="0"/>
      <w:marBottom w:val="0"/>
      <w:divBdr>
        <w:top w:val="none" w:sz="0" w:space="0" w:color="auto"/>
        <w:left w:val="none" w:sz="0" w:space="0" w:color="auto"/>
        <w:bottom w:val="none" w:sz="0" w:space="0" w:color="auto"/>
        <w:right w:val="none" w:sz="0" w:space="0" w:color="auto"/>
      </w:divBdr>
    </w:div>
    <w:div w:id="246496414">
      <w:bodyDiv w:val="1"/>
      <w:marLeft w:val="0"/>
      <w:marRight w:val="0"/>
      <w:marTop w:val="0"/>
      <w:marBottom w:val="0"/>
      <w:divBdr>
        <w:top w:val="none" w:sz="0" w:space="0" w:color="auto"/>
        <w:left w:val="none" w:sz="0" w:space="0" w:color="auto"/>
        <w:bottom w:val="none" w:sz="0" w:space="0" w:color="auto"/>
        <w:right w:val="none" w:sz="0" w:space="0" w:color="auto"/>
      </w:divBdr>
    </w:div>
    <w:div w:id="509757873">
      <w:bodyDiv w:val="1"/>
      <w:marLeft w:val="0"/>
      <w:marRight w:val="0"/>
      <w:marTop w:val="0"/>
      <w:marBottom w:val="0"/>
      <w:divBdr>
        <w:top w:val="none" w:sz="0" w:space="0" w:color="auto"/>
        <w:left w:val="none" w:sz="0" w:space="0" w:color="auto"/>
        <w:bottom w:val="none" w:sz="0" w:space="0" w:color="auto"/>
        <w:right w:val="none" w:sz="0" w:space="0" w:color="auto"/>
      </w:divBdr>
    </w:div>
    <w:div w:id="648635058">
      <w:bodyDiv w:val="1"/>
      <w:marLeft w:val="0"/>
      <w:marRight w:val="0"/>
      <w:marTop w:val="0"/>
      <w:marBottom w:val="0"/>
      <w:divBdr>
        <w:top w:val="none" w:sz="0" w:space="0" w:color="auto"/>
        <w:left w:val="none" w:sz="0" w:space="0" w:color="auto"/>
        <w:bottom w:val="none" w:sz="0" w:space="0" w:color="auto"/>
        <w:right w:val="none" w:sz="0" w:space="0" w:color="auto"/>
      </w:divBdr>
    </w:div>
    <w:div w:id="791940689">
      <w:bodyDiv w:val="1"/>
      <w:marLeft w:val="0"/>
      <w:marRight w:val="0"/>
      <w:marTop w:val="0"/>
      <w:marBottom w:val="0"/>
      <w:divBdr>
        <w:top w:val="none" w:sz="0" w:space="0" w:color="auto"/>
        <w:left w:val="none" w:sz="0" w:space="0" w:color="auto"/>
        <w:bottom w:val="none" w:sz="0" w:space="0" w:color="auto"/>
        <w:right w:val="none" w:sz="0" w:space="0" w:color="auto"/>
      </w:divBdr>
    </w:div>
    <w:div w:id="947079603">
      <w:bodyDiv w:val="1"/>
      <w:marLeft w:val="0"/>
      <w:marRight w:val="0"/>
      <w:marTop w:val="0"/>
      <w:marBottom w:val="0"/>
      <w:divBdr>
        <w:top w:val="none" w:sz="0" w:space="0" w:color="auto"/>
        <w:left w:val="none" w:sz="0" w:space="0" w:color="auto"/>
        <w:bottom w:val="none" w:sz="0" w:space="0" w:color="auto"/>
        <w:right w:val="none" w:sz="0" w:space="0" w:color="auto"/>
      </w:divBdr>
    </w:div>
    <w:div w:id="1031957689">
      <w:bodyDiv w:val="1"/>
      <w:marLeft w:val="0"/>
      <w:marRight w:val="0"/>
      <w:marTop w:val="0"/>
      <w:marBottom w:val="0"/>
      <w:divBdr>
        <w:top w:val="none" w:sz="0" w:space="0" w:color="auto"/>
        <w:left w:val="none" w:sz="0" w:space="0" w:color="auto"/>
        <w:bottom w:val="none" w:sz="0" w:space="0" w:color="auto"/>
        <w:right w:val="none" w:sz="0" w:space="0" w:color="auto"/>
      </w:divBdr>
    </w:div>
    <w:div w:id="1197696931">
      <w:bodyDiv w:val="1"/>
      <w:marLeft w:val="0"/>
      <w:marRight w:val="0"/>
      <w:marTop w:val="0"/>
      <w:marBottom w:val="0"/>
      <w:divBdr>
        <w:top w:val="none" w:sz="0" w:space="0" w:color="auto"/>
        <w:left w:val="none" w:sz="0" w:space="0" w:color="auto"/>
        <w:bottom w:val="none" w:sz="0" w:space="0" w:color="auto"/>
        <w:right w:val="none" w:sz="0" w:space="0" w:color="auto"/>
      </w:divBdr>
    </w:div>
    <w:div w:id="1244029213">
      <w:bodyDiv w:val="1"/>
      <w:marLeft w:val="0"/>
      <w:marRight w:val="0"/>
      <w:marTop w:val="0"/>
      <w:marBottom w:val="0"/>
      <w:divBdr>
        <w:top w:val="none" w:sz="0" w:space="0" w:color="auto"/>
        <w:left w:val="none" w:sz="0" w:space="0" w:color="auto"/>
        <w:bottom w:val="none" w:sz="0" w:space="0" w:color="auto"/>
        <w:right w:val="none" w:sz="0" w:space="0" w:color="auto"/>
      </w:divBdr>
    </w:div>
    <w:div w:id="1272857597">
      <w:bodyDiv w:val="1"/>
      <w:marLeft w:val="0"/>
      <w:marRight w:val="0"/>
      <w:marTop w:val="0"/>
      <w:marBottom w:val="0"/>
      <w:divBdr>
        <w:top w:val="none" w:sz="0" w:space="0" w:color="auto"/>
        <w:left w:val="none" w:sz="0" w:space="0" w:color="auto"/>
        <w:bottom w:val="none" w:sz="0" w:space="0" w:color="auto"/>
        <w:right w:val="none" w:sz="0" w:space="0" w:color="auto"/>
      </w:divBdr>
    </w:div>
    <w:div w:id="1663310390">
      <w:bodyDiv w:val="1"/>
      <w:marLeft w:val="0"/>
      <w:marRight w:val="0"/>
      <w:marTop w:val="0"/>
      <w:marBottom w:val="0"/>
      <w:divBdr>
        <w:top w:val="none" w:sz="0" w:space="0" w:color="auto"/>
        <w:left w:val="none" w:sz="0" w:space="0" w:color="auto"/>
        <w:bottom w:val="none" w:sz="0" w:space="0" w:color="auto"/>
        <w:right w:val="none" w:sz="0" w:space="0" w:color="auto"/>
      </w:divBdr>
    </w:div>
    <w:div w:id="1795102529">
      <w:bodyDiv w:val="1"/>
      <w:marLeft w:val="0"/>
      <w:marRight w:val="0"/>
      <w:marTop w:val="0"/>
      <w:marBottom w:val="0"/>
      <w:divBdr>
        <w:top w:val="none" w:sz="0" w:space="0" w:color="auto"/>
        <w:left w:val="none" w:sz="0" w:space="0" w:color="auto"/>
        <w:bottom w:val="none" w:sz="0" w:space="0" w:color="auto"/>
        <w:right w:val="none" w:sz="0" w:space="0" w:color="auto"/>
      </w:divBdr>
    </w:div>
    <w:div w:id="1801653345">
      <w:bodyDiv w:val="1"/>
      <w:marLeft w:val="0"/>
      <w:marRight w:val="0"/>
      <w:marTop w:val="0"/>
      <w:marBottom w:val="0"/>
      <w:divBdr>
        <w:top w:val="none" w:sz="0" w:space="0" w:color="auto"/>
        <w:left w:val="none" w:sz="0" w:space="0" w:color="auto"/>
        <w:bottom w:val="none" w:sz="0" w:space="0" w:color="auto"/>
        <w:right w:val="none" w:sz="0" w:space="0" w:color="auto"/>
      </w:divBdr>
    </w:div>
    <w:div w:id="1949700976">
      <w:bodyDiv w:val="1"/>
      <w:marLeft w:val="0"/>
      <w:marRight w:val="0"/>
      <w:marTop w:val="0"/>
      <w:marBottom w:val="0"/>
      <w:divBdr>
        <w:top w:val="none" w:sz="0" w:space="0" w:color="auto"/>
        <w:left w:val="none" w:sz="0" w:space="0" w:color="auto"/>
        <w:bottom w:val="none" w:sz="0" w:space="0" w:color="auto"/>
        <w:right w:val="none" w:sz="0" w:space="0" w:color="auto"/>
      </w:divBdr>
    </w:div>
    <w:div w:id="1998916245">
      <w:bodyDiv w:val="1"/>
      <w:marLeft w:val="0"/>
      <w:marRight w:val="0"/>
      <w:marTop w:val="0"/>
      <w:marBottom w:val="0"/>
      <w:divBdr>
        <w:top w:val="none" w:sz="0" w:space="0" w:color="auto"/>
        <w:left w:val="none" w:sz="0" w:space="0" w:color="auto"/>
        <w:bottom w:val="none" w:sz="0" w:space="0" w:color="auto"/>
        <w:right w:val="none" w:sz="0" w:space="0" w:color="auto"/>
      </w:divBdr>
      <w:divsChild>
        <w:div w:id="972709137">
          <w:marLeft w:val="0"/>
          <w:marRight w:val="0"/>
          <w:marTop w:val="0"/>
          <w:marBottom w:val="0"/>
          <w:divBdr>
            <w:top w:val="none" w:sz="0" w:space="0" w:color="auto"/>
            <w:left w:val="none" w:sz="0" w:space="0" w:color="auto"/>
            <w:bottom w:val="none" w:sz="0" w:space="0" w:color="auto"/>
            <w:right w:val="none" w:sz="0" w:space="0" w:color="auto"/>
          </w:divBdr>
          <w:divsChild>
            <w:div w:id="1238633154">
              <w:marLeft w:val="0"/>
              <w:marRight w:val="0"/>
              <w:marTop w:val="0"/>
              <w:marBottom w:val="0"/>
              <w:divBdr>
                <w:top w:val="none" w:sz="0" w:space="0" w:color="auto"/>
                <w:left w:val="none" w:sz="0" w:space="0" w:color="auto"/>
                <w:bottom w:val="none" w:sz="0" w:space="0" w:color="auto"/>
                <w:right w:val="none" w:sz="0" w:space="0" w:color="auto"/>
              </w:divBdr>
              <w:divsChild>
                <w:div w:id="1776166229">
                  <w:marLeft w:val="0"/>
                  <w:marRight w:val="0"/>
                  <w:marTop w:val="0"/>
                  <w:marBottom w:val="0"/>
                  <w:divBdr>
                    <w:top w:val="none" w:sz="0" w:space="0" w:color="auto"/>
                    <w:left w:val="none" w:sz="0" w:space="0" w:color="auto"/>
                    <w:bottom w:val="none" w:sz="0" w:space="0" w:color="auto"/>
                    <w:right w:val="none" w:sz="0" w:space="0" w:color="auto"/>
                  </w:divBdr>
                  <w:divsChild>
                    <w:div w:id="361907594">
                      <w:marLeft w:val="0"/>
                      <w:marRight w:val="0"/>
                      <w:marTop w:val="0"/>
                      <w:marBottom w:val="0"/>
                      <w:divBdr>
                        <w:top w:val="none" w:sz="0" w:space="0" w:color="auto"/>
                        <w:left w:val="none" w:sz="0" w:space="0" w:color="auto"/>
                        <w:bottom w:val="none" w:sz="0" w:space="0" w:color="auto"/>
                        <w:right w:val="none" w:sz="0" w:space="0" w:color="auto"/>
                      </w:divBdr>
                      <w:divsChild>
                        <w:div w:id="719280982">
                          <w:marLeft w:val="0"/>
                          <w:marRight w:val="0"/>
                          <w:marTop w:val="0"/>
                          <w:marBottom w:val="0"/>
                          <w:divBdr>
                            <w:top w:val="none" w:sz="0" w:space="0" w:color="auto"/>
                            <w:left w:val="none" w:sz="0" w:space="0" w:color="auto"/>
                            <w:bottom w:val="none" w:sz="0" w:space="0" w:color="auto"/>
                            <w:right w:val="none" w:sz="0" w:space="0" w:color="auto"/>
                          </w:divBdr>
                          <w:divsChild>
                            <w:div w:id="33083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232EB-2B15-4501-8C63-67A6D381E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15</Pages>
  <Words>4776</Words>
  <Characters>27226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dc:creator>
  <cp:keywords/>
  <dc:description/>
  <cp:lastModifiedBy>Rachel Thomas (2312291)</cp:lastModifiedBy>
  <cp:revision>4</cp:revision>
  <dcterms:created xsi:type="dcterms:W3CDTF">2025-02-26T21:14:00Z</dcterms:created>
  <dcterms:modified xsi:type="dcterms:W3CDTF">2025-02-27T19:32:00Z</dcterms:modified>
</cp:coreProperties>
</file>