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FEE77" w14:textId="77777777" w:rsidR="0012475C" w:rsidRPr="0012475C" w:rsidRDefault="0012475C" w:rsidP="0012475C">
      <w:pPr>
        <w:spacing w:after="240" w:line="360" w:lineRule="auto"/>
        <w:jc w:val="center"/>
      </w:pPr>
      <w:r w:rsidRPr="0012475C">
        <w:rPr>
          <w:noProof/>
          <w:lang w:val="en-US"/>
        </w:rPr>
        <w:drawing>
          <wp:inline distT="0" distB="0" distL="0" distR="0" wp14:anchorId="16FC5B4F" wp14:editId="6A479A3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12475C">
        <w:fldChar w:fldCharType="begin"/>
      </w:r>
      <w:r w:rsidRPr="0012475C">
        <w:instrText xml:space="preserve"> INCLUDEPICTURE "C:\\Users\\AzZedin01\\Library\\Group Containers\\UBF8T346G9.ms\\WebArchiveCopyPasteTempFiles\\com.microsoft.Word\\8P2xdp3q1g646AAAAAElFTkSuQmCC" \* MERGEFORMAT </w:instrText>
      </w:r>
      <w:r w:rsidRPr="0012475C">
        <w:fldChar w:fldCharType="end"/>
      </w:r>
    </w:p>
    <w:p w14:paraId="65FC012D" w14:textId="77777777" w:rsidR="0012475C" w:rsidRPr="0012475C" w:rsidRDefault="0012475C" w:rsidP="0012475C">
      <w:pPr>
        <w:spacing w:after="240" w:line="360" w:lineRule="auto"/>
        <w:jc w:val="center"/>
        <w:rPr>
          <w:sz w:val="28"/>
        </w:rPr>
      </w:pPr>
    </w:p>
    <w:p w14:paraId="0FC61329" w14:textId="2BA2868C" w:rsidR="0012475C" w:rsidRPr="0012475C" w:rsidRDefault="0012475C" w:rsidP="0012475C">
      <w:pPr>
        <w:spacing w:after="240" w:line="360" w:lineRule="auto"/>
        <w:jc w:val="center"/>
        <w:rPr>
          <w:b/>
          <w:bCs/>
          <w:sz w:val="32"/>
          <w:szCs w:val="28"/>
        </w:rPr>
      </w:pPr>
      <w:r w:rsidRPr="0012475C">
        <w:rPr>
          <w:b/>
          <w:bCs/>
          <w:sz w:val="32"/>
          <w:szCs w:val="28"/>
        </w:rPr>
        <w:t>Student Name:</w:t>
      </w:r>
      <w:r w:rsidR="00EE70CA">
        <w:rPr>
          <w:b/>
          <w:bCs/>
          <w:sz w:val="32"/>
          <w:szCs w:val="28"/>
        </w:rPr>
        <w:t xml:space="preserve"> Kartik Mukeshbhai Raval</w:t>
      </w:r>
    </w:p>
    <w:p w14:paraId="3CD9D061" w14:textId="0A78B3B5" w:rsidR="0012475C" w:rsidRPr="0012475C" w:rsidRDefault="0012475C" w:rsidP="0012475C">
      <w:pPr>
        <w:spacing w:after="240" w:line="360" w:lineRule="auto"/>
        <w:jc w:val="center"/>
        <w:rPr>
          <w:b/>
          <w:bCs/>
          <w:sz w:val="32"/>
          <w:szCs w:val="28"/>
        </w:rPr>
      </w:pPr>
      <w:r w:rsidRPr="0012475C">
        <w:rPr>
          <w:b/>
          <w:bCs/>
          <w:sz w:val="32"/>
          <w:szCs w:val="28"/>
        </w:rPr>
        <w:t>Student ID:</w:t>
      </w:r>
      <w:r w:rsidR="00EE70CA">
        <w:rPr>
          <w:b/>
          <w:bCs/>
          <w:sz w:val="32"/>
          <w:szCs w:val="28"/>
        </w:rPr>
        <w:t xml:space="preserve"> 2519361</w:t>
      </w:r>
    </w:p>
    <w:p w14:paraId="0B1BF3D5" w14:textId="77777777" w:rsidR="0012475C" w:rsidRPr="0012475C" w:rsidRDefault="0012475C" w:rsidP="0012475C">
      <w:pPr>
        <w:spacing w:after="240" w:line="360" w:lineRule="auto"/>
        <w:rPr>
          <w:sz w:val="32"/>
          <w:szCs w:val="28"/>
        </w:rPr>
      </w:pPr>
    </w:p>
    <w:p w14:paraId="4A65D6A5" w14:textId="3F6AE710" w:rsidR="0012475C" w:rsidRPr="0012475C" w:rsidRDefault="0012475C" w:rsidP="0012475C">
      <w:pPr>
        <w:spacing w:after="240" w:line="360" w:lineRule="auto"/>
        <w:jc w:val="center"/>
        <w:rPr>
          <w:b/>
          <w:bCs/>
          <w:sz w:val="32"/>
          <w:szCs w:val="28"/>
        </w:rPr>
      </w:pPr>
      <w:r w:rsidRPr="0012475C">
        <w:rPr>
          <w:b/>
          <w:bCs/>
          <w:sz w:val="32"/>
          <w:szCs w:val="28"/>
        </w:rPr>
        <w:t>Module Name: International Business Concepts</w:t>
      </w:r>
    </w:p>
    <w:p w14:paraId="3FE84E7C" w14:textId="1CE2456E" w:rsidR="0012475C" w:rsidRPr="0012475C" w:rsidRDefault="0012475C" w:rsidP="0012475C">
      <w:pPr>
        <w:spacing w:after="240" w:line="360" w:lineRule="auto"/>
        <w:jc w:val="center"/>
        <w:rPr>
          <w:b/>
          <w:bCs/>
          <w:sz w:val="32"/>
          <w:szCs w:val="28"/>
        </w:rPr>
      </w:pPr>
      <w:r w:rsidRPr="0012475C">
        <w:rPr>
          <w:b/>
          <w:bCs/>
          <w:sz w:val="32"/>
          <w:szCs w:val="28"/>
        </w:rPr>
        <w:t>Module Code: LCMB7034</w:t>
      </w:r>
    </w:p>
    <w:p w14:paraId="4E17BD05" w14:textId="77777777" w:rsidR="0012475C" w:rsidRPr="0012475C" w:rsidRDefault="0012475C" w:rsidP="0012475C">
      <w:pPr>
        <w:spacing w:after="240" w:line="360" w:lineRule="auto"/>
        <w:rPr>
          <w:b/>
          <w:bCs/>
          <w:sz w:val="32"/>
          <w:szCs w:val="28"/>
        </w:rPr>
      </w:pPr>
    </w:p>
    <w:p w14:paraId="7FBB37B6" w14:textId="781BC0B6" w:rsidR="0012475C" w:rsidRPr="0012475C" w:rsidRDefault="0012475C" w:rsidP="0012475C">
      <w:pPr>
        <w:spacing w:after="240" w:line="360" w:lineRule="auto"/>
        <w:jc w:val="center"/>
        <w:rPr>
          <w:b/>
          <w:bCs/>
          <w:sz w:val="32"/>
          <w:szCs w:val="28"/>
        </w:rPr>
      </w:pPr>
      <w:r w:rsidRPr="0012475C">
        <w:rPr>
          <w:b/>
          <w:bCs/>
          <w:sz w:val="32"/>
          <w:szCs w:val="28"/>
        </w:rPr>
        <w:t xml:space="preserve">Title: </w:t>
      </w:r>
      <w:r w:rsidR="009F3D82" w:rsidRPr="009F3D82">
        <w:rPr>
          <w:b/>
          <w:bCs/>
          <w:sz w:val="32"/>
          <w:szCs w:val="28"/>
        </w:rPr>
        <w:t>International Market Entry Strategy for Primark: A Critical Evaluation of Expansion into Brazil</w:t>
      </w:r>
    </w:p>
    <w:p w14:paraId="4C554B96" w14:textId="7C8F8065" w:rsidR="0012475C" w:rsidRPr="0012475C" w:rsidRDefault="0012475C" w:rsidP="0012475C">
      <w:pPr>
        <w:spacing w:after="240" w:line="360" w:lineRule="auto"/>
        <w:jc w:val="center"/>
        <w:rPr>
          <w:b/>
          <w:bCs/>
          <w:sz w:val="32"/>
          <w:szCs w:val="28"/>
        </w:rPr>
      </w:pPr>
      <w:r w:rsidRPr="0012475C">
        <w:rPr>
          <w:b/>
          <w:bCs/>
          <w:sz w:val="32"/>
          <w:szCs w:val="28"/>
        </w:rPr>
        <w:t>Lecturer’s Name:</w:t>
      </w:r>
      <w:r w:rsidR="00EE70CA">
        <w:rPr>
          <w:b/>
          <w:bCs/>
          <w:sz w:val="32"/>
          <w:szCs w:val="28"/>
        </w:rPr>
        <w:t xml:space="preserve"> Gladius Kulothungan </w:t>
      </w:r>
    </w:p>
    <w:p w14:paraId="0FDB0B48" w14:textId="5FD87A5A" w:rsidR="0012475C" w:rsidRPr="0012475C" w:rsidRDefault="0012475C" w:rsidP="0012475C">
      <w:pPr>
        <w:spacing w:after="240" w:line="360" w:lineRule="auto"/>
        <w:jc w:val="center"/>
        <w:rPr>
          <w:b/>
          <w:bCs/>
          <w:sz w:val="32"/>
          <w:szCs w:val="28"/>
        </w:rPr>
      </w:pPr>
      <w:r w:rsidRPr="0012475C">
        <w:rPr>
          <w:b/>
          <w:bCs/>
          <w:sz w:val="32"/>
          <w:szCs w:val="28"/>
        </w:rPr>
        <w:t xml:space="preserve">Term </w:t>
      </w:r>
      <w:r w:rsidR="00EE70CA">
        <w:rPr>
          <w:b/>
          <w:bCs/>
          <w:sz w:val="32"/>
          <w:szCs w:val="28"/>
        </w:rPr>
        <w:t>2</w:t>
      </w:r>
    </w:p>
    <w:p w14:paraId="22B864B6" w14:textId="6F3C4597" w:rsidR="0012475C" w:rsidRPr="001651B1" w:rsidRDefault="0012475C" w:rsidP="0012475C">
      <w:pPr>
        <w:spacing w:after="240" w:line="360" w:lineRule="auto"/>
        <w:rPr>
          <w:b/>
          <w:bCs/>
          <w:sz w:val="28"/>
          <w:szCs w:val="28"/>
        </w:rPr>
      </w:pPr>
      <w:r w:rsidRPr="0012475C">
        <w:rPr>
          <w:b/>
          <w:bCs/>
          <w:sz w:val="28"/>
          <w:szCs w:val="28"/>
        </w:rPr>
        <w:br w:type="page"/>
      </w:r>
    </w:p>
    <w:sdt>
      <w:sdtPr>
        <w:rPr>
          <w:rFonts w:ascii="Arial" w:eastAsia="Arial" w:hAnsi="Arial" w:cs="Arial"/>
          <w:color w:val="auto"/>
          <w:sz w:val="22"/>
          <w:szCs w:val="22"/>
          <w:lang w:val="en-GB" w:eastAsia="en-IN"/>
        </w:rPr>
        <w:id w:val="-988245365"/>
        <w:docPartObj>
          <w:docPartGallery w:val="Table of Contents"/>
          <w:docPartUnique/>
        </w:docPartObj>
      </w:sdtPr>
      <w:sdtEndPr>
        <w:rPr>
          <w:b/>
          <w:bCs/>
          <w:noProof/>
        </w:rPr>
      </w:sdtEndPr>
      <w:sdtContent>
        <w:p w14:paraId="0771AE3E" w14:textId="4BA3B612" w:rsidR="00953BCB" w:rsidRPr="0012475C" w:rsidRDefault="00953BCB" w:rsidP="0012475C">
          <w:pPr>
            <w:pStyle w:val="TOCHeading"/>
            <w:spacing w:after="240" w:line="360" w:lineRule="auto"/>
            <w:jc w:val="center"/>
            <w:rPr>
              <w:rFonts w:ascii="Arial" w:hAnsi="Arial" w:cs="Arial"/>
              <w:color w:val="auto"/>
              <w:sz w:val="28"/>
              <w:szCs w:val="24"/>
              <w:lang w:val="en-GB"/>
            </w:rPr>
          </w:pPr>
          <w:r w:rsidRPr="0012475C">
            <w:rPr>
              <w:rFonts w:ascii="Arial" w:hAnsi="Arial" w:cs="Arial"/>
              <w:b/>
              <w:bCs/>
              <w:color w:val="auto"/>
              <w:sz w:val="28"/>
              <w:szCs w:val="24"/>
              <w:lang w:val="en-GB"/>
            </w:rPr>
            <w:t>Table of Contents</w:t>
          </w:r>
        </w:p>
        <w:p w14:paraId="731BB842" w14:textId="51EB199F" w:rsidR="0012475C" w:rsidRPr="0012475C" w:rsidRDefault="00953BCB"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r w:rsidRPr="0012475C">
            <w:rPr>
              <w:sz w:val="24"/>
              <w:szCs w:val="24"/>
              <w:lang w:val="en-GB"/>
            </w:rPr>
            <w:fldChar w:fldCharType="begin"/>
          </w:r>
          <w:r w:rsidRPr="0012475C">
            <w:rPr>
              <w:sz w:val="24"/>
              <w:szCs w:val="24"/>
              <w:lang w:val="en-GB"/>
            </w:rPr>
            <w:instrText xml:space="preserve"> TOC \o "1-3" \h \z \u </w:instrText>
          </w:r>
          <w:r w:rsidRPr="0012475C">
            <w:rPr>
              <w:sz w:val="24"/>
              <w:szCs w:val="24"/>
              <w:lang w:val="en-GB"/>
            </w:rPr>
            <w:fldChar w:fldCharType="separate"/>
          </w:r>
          <w:hyperlink w:anchor="_Toc237289824" w:history="1">
            <w:r w:rsidR="0012475C" w:rsidRPr="0012475C">
              <w:rPr>
                <w:rStyle w:val="Hyperlink"/>
                <w:noProof/>
                <w:sz w:val="24"/>
                <w:szCs w:val="24"/>
                <w:lang w:val="en-GB"/>
              </w:rPr>
              <w:t>Section 1: Globalized Business Environment: Entering International Markets</w:t>
            </w:r>
            <w:r w:rsidR="0012475C" w:rsidRPr="0012475C">
              <w:rPr>
                <w:noProof/>
                <w:webHidden/>
                <w:sz w:val="24"/>
                <w:szCs w:val="24"/>
              </w:rPr>
              <w:tab/>
            </w:r>
            <w:r w:rsidR="0012475C" w:rsidRPr="0012475C">
              <w:rPr>
                <w:noProof/>
                <w:webHidden/>
                <w:sz w:val="24"/>
                <w:szCs w:val="24"/>
              </w:rPr>
              <w:fldChar w:fldCharType="begin"/>
            </w:r>
            <w:r w:rsidR="0012475C" w:rsidRPr="0012475C">
              <w:rPr>
                <w:noProof/>
                <w:webHidden/>
                <w:sz w:val="24"/>
                <w:szCs w:val="24"/>
              </w:rPr>
              <w:instrText xml:space="preserve"> PAGEREF _Toc237289824 \h </w:instrText>
            </w:r>
            <w:r w:rsidR="0012475C" w:rsidRPr="0012475C">
              <w:rPr>
                <w:noProof/>
                <w:webHidden/>
                <w:sz w:val="24"/>
                <w:szCs w:val="24"/>
              </w:rPr>
            </w:r>
            <w:r w:rsidR="0012475C" w:rsidRPr="0012475C">
              <w:rPr>
                <w:noProof/>
                <w:webHidden/>
                <w:sz w:val="24"/>
                <w:szCs w:val="24"/>
              </w:rPr>
              <w:fldChar w:fldCharType="separate"/>
            </w:r>
            <w:r w:rsidR="00D27288">
              <w:rPr>
                <w:noProof/>
                <w:webHidden/>
                <w:sz w:val="24"/>
                <w:szCs w:val="24"/>
              </w:rPr>
              <w:t>4</w:t>
            </w:r>
            <w:r w:rsidR="0012475C" w:rsidRPr="0012475C">
              <w:rPr>
                <w:noProof/>
                <w:webHidden/>
                <w:sz w:val="24"/>
                <w:szCs w:val="24"/>
              </w:rPr>
              <w:fldChar w:fldCharType="end"/>
            </w:r>
          </w:hyperlink>
        </w:p>
        <w:p w14:paraId="09789E83" w14:textId="71CECF86" w:rsidR="0012475C" w:rsidRPr="0012475C" w:rsidRDefault="0012475C"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25" w:history="1">
            <w:r w:rsidRPr="0012475C">
              <w:rPr>
                <w:rStyle w:val="Hyperlink"/>
                <w:noProof/>
                <w:sz w:val="24"/>
                <w:szCs w:val="24"/>
                <w:lang w:val="en-GB"/>
              </w:rPr>
              <w:t>Introduction</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_Toc237289825 \h </w:instrText>
            </w:r>
            <w:r w:rsidRPr="0012475C">
              <w:rPr>
                <w:noProof/>
                <w:webHidden/>
                <w:sz w:val="24"/>
                <w:szCs w:val="24"/>
              </w:rPr>
            </w:r>
            <w:r w:rsidRPr="0012475C">
              <w:rPr>
                <w:noProof/>
                <w:webHidden/>
                <w:sz w:val="24"/>
                <w:szCs w:val="24"/>
              </w:rPr>
              <w:fldChar w:fldCharType="separate"/>
            </w:r>
            <w:r w:rsidR="00D27288">
              <w:rPr>
                <w:noProof/>
                <w:webHidden/>
                <w:sz w:val="24"/>
                <w:szCs w:val="24"/>
              </w:rPr>
              <w:t>4</w:t>
            </w:r>
            <w:r w:rsidRPr="0012475C">
              <w:rPr>
                <w:noProof/>
                <w:webHidden/>
                <w:sz w:val="24"/>
                <w:szCs w:val="24"/>
              </w:rPr>
              <w:fldChar w:fldCharType="end"/>
            </w:r>
          </w:hyperlink>
        </w:p>
        <w:p w14:paraId="7365B5AB" w14:textId="55C6CFD1" w:rsidR="0012475C" w:rsidRPr="0012475C" w:rsidRDefault="0012475C"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26" w:history="1">
            <w:r w:rsidRPr="0012475C">
              <w:rPr>
                <w:rStyle w:val="Hyperlink"/>
                <w:noProof/>
                <w:sz w:val="24"/>
                <w:szCs w:val="24"/>
                <w:lang w:val="en-GB"/>
              </w:rPr>
              <w:t>1. Organizational Classification and Global Strategy</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_Toc237289826 \h </w:instrText>
            </w:r>
            <w:r w:rsidRPr="0012475C">
              <w:rPr>
                <w:noProof/>
                <w:webHidden/>
                <w:sz w:val="24"/>
                <w:szCs w:val="24"/>
              </w:rPr>
            </w:r>
            <w:r w:rsidRPr="0012475C">
              <w:rPr>
                <w:noProof/>
                <w:webHidden/>
                <w:sz w:val="24"/>
                <w:szCs w:val="24"/>
              </w:rPr>
              <w:fldChar w:fldCharType="separate"/>
            </w:r>
            <w:r w:rsidR="00D27288">
              <w:rPr>
                <w:noProof/>
                <w:webHidden/>
                <w:sz w:val="24"/>
                <w:szCs w:val="24"/>
              </w:rPr>
              <w:t>5</w:t>
            </w:r>
            <w:r w:rsidRPr="0012475C">
              <w:rPr>
                <w:noProof/>
                <w:webHidden/>
                <w:sz w:val="24"/>
                <w:szCs w:val="24"/>
              </w:rPr>
              <w:fldChar w:fldCharType="end"/>
            </w:r>
          </w:hyperlink>
        </w:p>
        <w:p w14:paraId="1FF75629" w14:textId="1B29E3DE"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27" w:history="1">
            <w:r w:rsidRPr="0012475C">
              <w:rPr>
                <w:rStyle w:val="Hyperlink"/>
                <w:noProof/>
                <w:sz w:val="24"/>
                <w:szCs w:val="24"/>
                <w:lang w:val="en-GB"/>
              </w:rPr>
              <w:t>1.1 Bartlett and Ghoshal’s Integration-Responsiveness Framework</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_Toc237289827 \h </w:instrText>
            </w:r>
            <w:r w:rsidRPr="0012475C">
              <w:rPr>
                <w:noProof/>
                <w:webHidden/>
                <w:sz w:val="24"/>
                <w:szCs w:val="24"/>
              </w:rPr>
            </w:r>
            <w:r w:rsidRPr="0012475C">
              <w:rPr>
                <w:noProof/>
                <w:webHidden/>
                <w:sz w:val="24"/>
                <w:szCs w:val="24"/>
              </w:rPr>
              <w:fldChar w:fldCharType="separate"/>
            </w:r>
            <w:r w:rsidR="00D27288">
              <w:rPr>
                <w:noProof/>
                <w:webHidden/>
                <w:sz w:val="24"/>
                <w:szCs w:val="24"/>
              </w:rPr>
              <w:t>5</w:t>
            </w:r>
            <w:r w:rsidRPr="0012475C">
              <w:rPr>
                <w:noProof/>
                <w:webHidden/>
                <w:sz w:val="24"/>
                <w:szCs w:val="24"/>
              </w:rPr>
              <w:fldChar w:fldCharType="end"/>
            </w:r>
          </w:hyperlink>
        </w:p>
        <w:p w14:paraId="6EB1323E" w14:textId="6C31433C"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28" w:history="1">
            <w:r w:rsidRPr="0012475C">
              <w:rPr>
                <w:rStyle w:val="Hyperlink"/>
                <w:noProof/>
                <w:sz w:val="24"/>
                <w:szCs w:val="24"/>
                <w:lang w:val="en-GB"/>
              </w:rPr>
              <w:t>1.2 Global Configuration of Primark</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_Toc237289828 \h </w:instrText>
            </w:r>
            <w:r w:rsidRPr="0012475C">
              <w:rPr>
                <w:noProof/>
                <w:webHidden/>
                <w:sz w:val="24"/>
                <w:szCs w:val="24"/>
              </w:rPr>
            </w:r>
            <w:r w:rsidRPr="0012475C">
              <w:rPr>
                <w:noProof/>
                <w:webHidden/>
                <w:sz w:val="24"/>
                <w:szCs w:val="24"/>
              </w:rPr>
              <w:fldChar w:fldCharType="separate"/>
            </w:r>
            <w:r w:rsidR="00D27288">
              <w:rPr>
                <w:noProof/>
                <w:webHidden/>
                <w:sz w:val="24"/>
                <w:szCs w:val="24"/>
              </w:rPr>
              <w:t>8</w:t>
            </w:r>
            <w:r w:rsidRPr="0012475C">
              <w:rPr>
                <w:noProof/>
                <w:webHidden/>
                <w:sz w:val="24"/>
                <w:szCs w:val="24"/>
              </w:rPr>
              <w:fldChar w:fldCharType="end"/>
            </w:r>
          </w:hyperlink>
        </w:p>
        <w:p w14:paraId="1EE15C14" w14:textId="7EEF0BDA" w:rsidR="0012475C" w:rsidRPr="0012475C" w:rsidRDefault="0012475C"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29" w:history="1">
            <w:r w:rsidRPr="0012475C">
              <w:rPr>
                <w:rStyle w:val="Hyperlink"/>
                <w:noProof/>
                <w:sz w:val="24"/>
                <w:szCs w:val="24"/>
                <w:lang w:val="en-GB"/>
              </w:rPr>
              <w:t>2. Macro-Environmental Appraisal and Market Attractiveness</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_Toc237289829 \h </w:instrText>
            </w:r>
            <w:r w:rsidRPr="0012475C">
              <w:rPr>
                <w:noProof/>
                <w:webHidden/>
                <w:sz w:val="24"/>
                <w:szCs w:val="24"/>
              </w:rPr>
            </w:r>
            <w:r w:rsidRPr="0012475C">
              <w:rPr>
                <w:noProof/>
                <w:webHidden/>
                <w:sz w:val="24"/>
                <w:szCs w:val="24"/>
              </w:rPr>
              <w:fldChar w:fldCharType="separate"/>
            </w:r>
            <w:r w:rsidR="00D27288">
              <w:rPr>
                <w:noProof/>
                <w:webHidden/>
                <w:sz w:val="24"/>
                <w:szCs w:val="24"/>
              </w:rPr>
              <w:t>9</w:t>
            </w:r>
            <w:r w:rsidRPr="0012475C">
              <w:rPr>
                <w:noProof/>
                <w:webHidden/>
                <w:sz w:val="24"/>
                <w:szCs w:val="24"/>
              </w:rPr>
              <w:fldChar w:fldCharType="end"/>
            </w:r>
          </w:hyperlink>
        </w:p>
        <w:p w14:paraId="46961FF1" w14:textId="1A4E8F1D"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0" w:history="1">
            <w:r w:rsidRPr="0012475C">
              <w:rPr>
                <w:rStyle w:val="Hyperlink"/>
                <w:noProof/>
                <w:sz w:val="24"/>
                <w:szCs w:val="24"/>
                <w:lang w:val="en-GB"/>
              </w:rPr>
              <w:t>2.1 Host Country Analysis</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_Toc237289830 \h </w:instrText>
            </w:r>
            <w:r w:rsidRPr="0012475C">
              <w:rPr>
                <w:noProof/>
                <w:webHidden/>
                <w:sz w:val="24"/>
                <w:szCs w:val="24"/>
              </w:rPr>
            </w:r>
            <w:r w:rsidRPr="0012475C">
              <w:rPr>
                <w:noProof/>
                <w:webHidden/>
                <w:sz w:val="24"/>
                <w:szCs w:val="24"/>
              </w:rPr>
              <w:fldChar w:fldCharType="separate"/>
            </w:r>
            <w:r w:rsidR="00D27288">
              <w:rPr>
                <w:noProof/>
                <w:webHidden/>
                <w:sz w:val="24"/>
                <w:szCs w:val="24"/>
              </w:rPr>
              <w:t>9</w:t>
            </w:r>
            <w:r w:rsidRPr="0012475C">
              <w:rPr>
                <w:noProof/>
                <w:webHidden/>
                <w:sz w:val="24"/>
                <w:szCs w:val="24"/>
              </w:rPr>
              <w:fldChar w:fldCharType="end"/>
            </w:r>
          </w:hyperlink>
        </w:p>
        <w:p w14:paraId="08542EA1" w14:textId="5324E6C8"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1" w:history="1">
            <w:r w:rsidRPr="0012475C">
              <w:rPr>
                <w:rStyle w:val="Hyperlink"/>
                <w:noProof/>
                <w:sz w:val="24"/>
                <w:szCs w:val="24"/>
                <w:lang w:val="en-GB"/>
              </w:rPr>
              <w:t>2.2 Synthesis: Dunning's Eclectic (OLI) Paradigm</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_Toc237289831 \h </w:instrText>
            </w:r>
            <w:r w:rsidRPr="0012475C">
              <w:rPr>
                <w:noProof/>
                <w:webHidden/>
                <w:sz w:val="24"/>
                <w:szCs w:val="24"/>
              </w:rPr>
            </w:r>
            <w:r w:rsidRPr="0012475C">
              <w:rPr>
                <w:noProof/>
                <w:webHidden/>
                <w:sz w:val="24"/>
                <w:szCs w:val="24"/>
              </w:rPr>
              <w:fldChar w:fldCharType="separate"/>
            </w:r>
            <w:r w:rsidR="00D27288">
              <w:rPr>
                <w:noProof/>
                <w:webHidden/>
                <w:sz w:val="24"/>
                <w:szCs w:val="24"/>
              </w:rPr>
              <w:t>15</w:t>
            </w:r>
            <w:r w:rsidRPr="0012475C">
              <w:rPr>
                <w:noProof/>
                <w:webHidden/>
                <w:sz w:val="24"/>
                <w:szCs w:val="24"/>
              </w:rPr>
              <w:fldChar w:fldCharType="end"/>
            </w:r>
          </w:hyperlink>
        </w:p>
        <w:p w14:paraId="208D944E" w14:textId="780D725C" w:rsidR="0012475C" w:rsidRPr="0012475C" w:rsidRDefault="0012475C"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2" w:history="1">
            <w:r w:rsidRPr="0012475C">
              <w:rPr>
                <w:rStyle w:val="Hyperlink"/>
                <w:noProof/>
                <w:sz w:val="24"/>
                <w:szCs w:val="24"/>
                <w:lang w:val="en-GB"/>
              </w:rPr>
              <w:t>3. Entry Mode Strategy and Strategic Synthesis</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_Toc237289832 \h </w:instrText>
            </w:r>
            <w:r w:rsidRPr="0012475C">
              <w:rPr>
                <w:noProof/>
                <w:webHidden/>
                <w:sz w:val="24"/>
                <w:szCs w:val="24"/>
              </w:rPr>
            </w:r>
            <w:r w:rsidRPr="0012475C">
              <w:rPr>
                <w:noProof/>
                <w:webHidden/>
                <w:sz w:val="24"/>
                <w:szCs w:val="24"/>
              </w:rPr>
              <w:fldChar w:fldCharType="separate"/>
            </w:r>
            <w:r w:rsidR="00D27288">
              <w:rPr>
                <w:noProof/>
                <w:webHidden/>
                <w:sz w:val="24"/>
                <w:szCs w:val="24"/>
              </w:rPr>
              <w:t>19</w:t>
            </w:r>
            <w:r w:rsidRPr="0012475C">
              <w:rPr>
                <w:noProof/>
                <w:webHidden/>
                <w:sz w:val="24"/>
                <w:szCs w:val="24"/>
              </w:rPr>
              <w:fldChar w:fldCharType="end"/>
            </w:r>
          </w:hyperlink>
        </w:p>
        <w:p w14:paraId="727F488D" w14:textId="2CB8E413"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3" w:history="1">
            <w:r w:rsidRPr="0012475C">
              <w:rPr>
                <w:rStyle w:val="Hyperlink"/>
                <w:noProof/>
                <w:sz w:val="24"/>
                <w:szCs w:val="24"/>
                <w:lang w:val="en-GB"/>
              </w:rPr>
              <w:t>3.1 Historical Pattern Recognition</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_Toc237289833 \h </w:instrText>
            </w:r>
            <w:r w:rsidRPr="0012475C">
              <w:rPr>
                <w:noProof/>
                <w:webHidden/>
                <w:sz w:val="24"/>
                <w:szCs w:val="24"/>
              </w:rPr>
            </w:r>
            <w:r w:rsidRPr="0012475C">
              <w:rPr>
                <w:noProof/>
                <w:webHidden/>
                <w:sz w:val="24"/>
                <w:szCs w:val="24"/>
              </w:rPr>
              <w:fldChar w:fldCharType="separate"/>
            </w:r>
            <w:r w:rsidR="00D27288">
              <w:rPr>
                <w:noProof/>
                <w:webHidden/>
                <w:sz w:val="24"/>
                <w:szCs w:val="24"/>
              </w:rPr>
              <w:t>19</w:t>
            </w:r>
            <w:r w:rsidRPr="0012475C">
              <w:rPr>
                <w:noProof/>
                <w:webHidden/>
                <w:sz w:val="24"/>
                <w:szCs w:val="24"/>
              </w:rPr>
              <w:fldChar w:fldCharType="end"/>
            </w:r>
          </w:hyperlink>
        </w:p>
        <w:p w14:paraId="180F4FB9" w14:textId="7DC518D2"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4" w:history="1">
            <w:r w:rsidRPr="0012475C">
              <w:rPr>
                <w:rStyle w:val="Hyperlink"/>
                <w:noProof/>
                <w:sz w:val="24"/>
                <w:szCs w:val="24"/>
                <w:lang w:val="en-GB"/>
              </w:rPr>
              <w:t>3.2 Strategic Fit and Justification</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_Toc237289834 \h </w:instrText>
            </w:r>
            <w:r w:rsidRPr="0012475C">
              <w:rPr>
                <w:noProof/>
                <w:webHidden/>
                <w:sz w:val="24"/>
                <w:szCs w:val="24"/>
              </w:rPr>
            </w:r>
            <w:r w:rsidRPr="0012475C">
              <w:rPr>
                <w:noProof/>
                <w:webHidden/>
                <w:sz w:val="24"/>
                <w:szCs w:val="24"/>
              </w:rPr>
              <w:fldChar w:fldCharType="separate"/>
            </w:r>
            <w:r w:rsidR="00D27288">
              <w:rPr>
                <w:noProof/>
                <w:webHidden/>
                <w:sz w:val="24"/>
                <w:szCs w:val="24"/>
              </w:rPr>
              <w:t>19</w:t>
            </w:r>
            <w:r w:rsidRPr="0012475C">
              <w:rPr>
                <w:noProof/>
                <w:webHidden/>
                <w:sz w:val="24"/>
                <w:szCs w:val="24"/>
              </w:rPr>
              <w:fldChar w:fldCharType="end"/>
            </w:r>
          </w:hyperlink>
        </w:p>
        <w:p w14:paraId="1E72217C" w14:textId="3F1BFD1C" w:rsidR="0012475C" w:rsidRPr="0012475C" w:rsidRDefault="0012475C" w:rsidP="0012475C">
          <w:pPr>
            <w:pStyle w:val="TOC2"/>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5" w:history="1">
            <w:r w:rsidRPr="0012475C">
              <w:rPr>
                <w:rStyle w:val="Hyperlink"/>
                <w:noProof/>
                <w:sz w:val="24"/>
                <w:szCs w:val="24"/>
                <w:lang w:val="en-GB"/>
              </w:rPr>
              <w:t>3.3 Conclusion and Recommendation</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_Toc237289835 \h </w:instrText>
            </w:r>
            <w:r w:rsidRPr="0012475C">
              <w:rPr>
                <w:noProof/>
                <w:webHidden/>
                <w:sz w:val="24"/>
                <w:szCs w:val="24"/>
              </w:rPr>
            </w:r>
            <w:r w:rsidRPr="0012475C">
              <w:rPr>
                <w:noProof/>
                <w:webHidden/>
                <w:sz w:val="24"/>
                <w:szCs w:val="24"/>
              </w:rPr>
              <w:fldChar w:fldCharType="separate"/>
            </w:r>
            <w:r w:rsidR="00D27288">
              <w:rPr>
                <w:noProof/>
                <w:webHidden/>
                <w:sz w:val="24"/>
                <w:szCs w:val="24"/>
              </w:rPr>
              <w:t>22</w:t>
            </w:r>
            <w:r w:rsidRPr="0012475C">
              <w:rPr>
                <w:noProof/>
                <w:webHidden/>
                <w:sz w:val="24"/>
                <w:szCs w:val="24"/>
              </w:rPr>
              <w:fldChar w:fldCharType="end"/>
            </w:r>
          </w:hyperlink>
        </w:p>
        <w:p w14:paraId="1B7B4B25" w14:textId="7033F7FE" w:rsidR="0012475C" w:rsidRPr="0012475C" w:rsidRDefault="0012475C"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6" w:history="1">
            <w:r w:rsidRPr="0012475C">
              <w:rPr>
                <w:rStyle w:val="Hyperlink"/>
                <w:noProof/>
                <w:sz w:val="24"/>
                <w:szCs w:val="24"/>
                <w:lang w:val="en-GB"/>
              </w:rPr>
              <w:t>Section 2: Reflection</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_Toc237289836 \h </w:instrText>
            </w:r>
            <w:r w:rsidRPr="0012475C">
              <w:rPr>
                <w:noProof/>
                <w:webHidden/>
                <w:sz w:val="24"/>
                <w:szCs w:val="24"/>
              </w:rPr>
            </w:r>
            <w:r w:rsidRPr="0012475C">
              <w:rPr>
                <w:noProof/>
                <w:webHidden/>
                <w:sz w:val="24"/>
                <w:szCs w:val="24"/>
              </w:rPr>
              <w:fldChar w:fldCharType="separate"/>
            </w:r>
            <w:r w:rsidR="00D27288">
              <w:rPr>
                <w:noProof/>
                <w:webHidden/>
                <w:sz w:val="24"/>
                <w:szCs w:val="24"/>
              </w:rPr>
              <w:t>24</w:t>
            </w:r>
            <w:r w:rsidRPr="0012475C">
              <w:rPr>
                <w:noProof/>
                <w:webHidden/>
                <w:sz w:val="24"/>
                <w:szCs w:val="24"/>
              </w:rPr>
              <w:fldChar w:fldCharType="end"/>
            </w:r>
          </w:hyperlink>
        </w:p>
        <w:p w14:paraId="63FE8DA6" w14:textId="50FA3011" w:rsidR="0012475C" w:rsidRPr="0012475C" w:rsidRDefault="0012475C" w:rsidP="0012475C">
          <w:pPr>
            <w:pStyle w:val="TOC1"/>
            <w:tabs>
              <w:tab w:val="right" w:leader="dot" w:pos="9350"/>
            </w:tabs>
            <w:spacing w:line="240" w:lineRule="auto"/>
            <w:jc w:val="both"/>
            <w:rPr>
              <w:rFonts w:asciiTheme="minorHAnsi" w:eastAsiaTheme="minorEastAsia" w:hAnsiTheme="minorHAnsi" w:cstheme="minorBidi"/>
              <w:noProof/>
              <w:sz w:val="24"/>
              <w:szCs w:val="24"/>
              <w:lang w:val="en-US" w:eastAsia="en-US"/>
            </w:rPr>
          </w:pPr>
          <w:hyperlink w:anchor="_Toc237289837" w:history="1">
            <w:r w:rsidRPr="0012475C">
              <w:rPr>
                <w:rStyle w:val="Hyperlink"/>
                <w:noProof/>
                <w:sz w:val="24"/>
                <w:szCs w:val="24"/>
                <w:lang w:val="en-GB"/>
              </w:rPr>
              <w:t>Reference List</w:t>
            </w:r>
            <w:r w:rsidRPr="0012475C">
              <w:rPr>
                <w:noProof/>
                <w:webHidden/>
                <w:sz w:val="24"/>
                <w:szCs w:val="24"/>
              </w:rPr>
              <w:tab/>
            </w:r>
            <w:r w:rsidRPr="0012475C">
              <w:rPr>
                <w:noProof/>
                <w:webHidden/>
                <w:sz w:val="24"/>
                <w:szCs w:val="24"/>
              </w:rPr>
              <w:fldChar w:fldCharType="begin"/>
            </w:r>
            <w:r w:rsidRPr="0012475C">
              <w:rPr>
                <w:noProof/>
                <w:webHidden/>
                <w:sz w:val="24"/>
                <w:szCs w:val="24"/>
              </w:rPr>
              <w:instrText xml:space="preserve"> PAGEREF _Toc237289837 \h </w:instrText>
            </w:r>
            <w:r w:rsidRPr="0012475C">
              <w:rPr>
                <w:noProof/>
                <w:webHidden/>
                <w:sz w:val="24"/>
                <w:szCs w:val="24"/>
              </w:rPr>
            </w:r>
            <w:r w:rsidRPr="0012475C">
              <w:rPr>
                <w:noProof/>
                <w:webHidden/>
                <w:sz w:val="24"/>
                <w:szCs w:val="24"/>
              </w:rPr>
              <w:fldChar w:fldCharType="separate"/>
            </w:r>
            <w:r w:rsidR="00D27288">
              <w:rPr>
                <w:noProof/>
                <w:webHidden/>
                <w:sz w:val="24"/>
                <w:szCs w:val="24"/>
              </w:rPr>
              <w:t>27</w:t>
            </w:r>
            <w:r w:rsidRPr="0012475C">
              <w:rPr>
                <w:noProof/>
                <w:webHidden/>
                <w:sz w:val="24"/>
                <w:szCs w:val="24"/>
              </w:rPr>
              <w:fldChar w:fldCharType="end"/>
            </w:r>
          </w:hyperlink>
        </w:p>
        <w:p w14:paraId="2F363E1E" w14:textId="3124FD71" w:rsidR="00953BCB" w:rsidRPr="0012475C" w:rsidRDefault="00953BCB" w:rsidP="0012475C">
          <w:pPr>
            <w:spacing w:after="240" w:line="240" w:lineRule="auto"/>
            <w:jc w:val="both"/>
            <w:rPr>
              <w:lang w:val="en-GB"/>
            </w:rPr>
          </w:pPr>
          <w:r w:rsidRPr="0012475C">
            <w:rPr>
              <w:b/>
              <w:bCs/>
              <w:noProof/>
              <w:sz w:val="24"/>
              <w:szCs w:val="24"/>
              <w:lang w:val="en-GB"/>
            </w:rPr>
            <w:fldChar w:fldCharType="end"/>
          </w:r>
        </w:p>
      </w:sdtContent>
    </w:sdt>
    <w:p w14:paraId="7D9B72A0" w14:textId="77777777" w:rsidR="00953BCB" w:rsidRPr="0012475C" w:rsidRDefault="00953BCB" w:rsidP="0012475C">
      <w:pPr>
        <w:pStyle w:val="Heading1"/>
        <w:spacing w:after="240"/>
        <w:rPr>
          <w:lang w:val="en-GB"/>
        </w:rPr>
      </w:pPr>
    </w:p>
    <w:p w14:paraId="7082A473" w14:textId="2D25ACCA" w:rsidR="00953BCB" w:rsidRPr="0012475C" w:rsidRDefault="00953BCB" w:rsidP="0012475C">
      <w:pPr>
        <w:spacing w:after="240" w:line="360" w:lineRule="auto"/>
        <w:rPr>
          <w:b/>
          <w:color w:val="000000" w:themeColor="text1"/>
          <w:sz w:val="28"/>
          <w:szCs w:val="40"/>
          <w:lang w:val="en-GB"/>
        </w:rPr>
      </w:pPr>
      <w:r w:rsidRPr="0012475C">
        <w:rPr>
          <w:lang w:val="en-GB"/>
        </w:rPr>
        <w:br w:type="page"/>
      </w:r>
    </w:p>
    <w:p w14:paraId="540D7F39" w14:textId="2D25ACCA" w:rsidR="00993521" w:rsidRPr="0012475C" w:rsidRDefault="004C1B23" w:rsidP="0012475C">
      <w:pPr>
        <w:pStyle w:val="Heading1"/>
        <w:spacing w:after="240"/>
        <w:rPr>
          <w:lang w:val="en-GB"/>
        </w:rPr>
      </w:pPr>
      <w:bookmarkStart w:id="0" w:name="_Toc237289824"/>
      <w:r w:rsidRPr="0012475C">
        <w:rPr>
          <w:lang w:val="en-GB"/>
        </w:rPr>
        <w:lastRenderedPageBreak/>
        <w:t>Section 1: Globalized Business Environment: Entering International Markets</w:t>
      </w:r>
      <w:bookmarkEnd w:id="0"/>
    </w:p>
    <w:p w14:paraId="24D69496" w14:textId="77777777" w:rsidR="00993521" w:rsidRPr="0012475C" w:rsidRDefault="004C1B23" w:rsidP="0012475C">
      <w:pPr>
        <w:pStyle w:val="Heading1"/>
        <w:spacing w:after="240"/>
        <w:rPr>
          <w:lang w:val="en-GB"/>
        </w:rPr>
      </w:pPr>
      <w:bookmarkStart w:id="1" w:name="_Toc237289825"/>
      <w:r w:rsidRPr="0012475C">
        <w:rPr>
          <w:lang w:val="en-GB"/>
        </w:rPr>
        <w:t>Introduction</w:t>
      </w:r>
      <w:bookmarkEnd w:id="1"/>
      <w:r w:rsidRPr="0012475C">
        <w:rPr>
          <w:lang w:val="en-GB"/>
        </w:rPr>
        <w:t xml:space="preserve"> </w:t>
      </w:r>
    </w:p>
    <w:p w14:paraId="570F0107"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Primark is the value-fashion business of Associated British Foods plc (ABF) and had 486 stores in 19 countries in Europe and North America by 2025-26, with plans to increase this to 530 stores globally by the end of the financial year 2026 (ABF, 2022; Primark.com, 2022). This had a retail contribution of around £9.5 billion (~$12.35 billion) in FY2025, representing around 60% of ABF's group operating profit (Fibre2fashion.com, 2025).</w:t>
      </w:r>
    </w:p>
    <w:p w14:paraId="75A74EC5"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noProof/>
          <w:sz w:val="24"/>
          <w:szCs w:val="24"/>
          <w:lang w:val="en-US" w:eastAsia="en-US"/>
        </w:rPr>
        <w:drawing>
          <wp:inline distT="114300" distB="114300" distL="114300" distR="114300" wp14:anchorId="354B4B9F" wp14:editId="2E17FC8E">
            <wp:extent cx="5405923" cy="3040831"/>
            <wp:effectExtent l="76200" t="76200" r="137795" b="14097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405923" cy="30408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85C49E"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 xml:space="preserve">Figure 1: Primark </w:t>
      </w:r>
    </w:p>
    <w:p w14:paraId="5CD4AE59"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(Moin, 2025)</w:t>
      </w:r>
    </w:p>
    <w:p w14:paraId="66317B13"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Given this scale, Primark has not yet entered the Latin American market. Brazil is the fifth most populous country in the world and the biggest apparel market in Latin America, a white space country. This report provides a critical analysis of the Brazilian context and </w:t>
      </w:r>
      <w:r w:rsidRPr="0012475C">
        <w:rPr>
          <w:rFonts w:eastAsia="Times New Roman"/>
          <w:sz w:val="24"/>
          <w:szCs w:val="24"/>
          <w:lang w:val="en-GB"/>
        </w:rPr>
        <w:lastRenderedPageBreak/>
        <w:t>why it might be considered by Primark as its next target market, its global strategy, the attractiveness of this target market, and an adequate entry mode.</w:t>
      </w:r>
    </w:p>
    <w:p w14:paraId="134B7394" w14:textId="77777777" w:rsidR="00993521" w:rsidRPr="0012475C" w:rsidRDefault="004C1B23" w:rsidP="0012475C">
      <w:pPr>
        <w:pStyle w:val="Heading1"/>
        <w:spacing w:after="240"/>
        <w:rPr>
          <w:b w:val="0"/>
          <w:lang w:val="en-GB"/>
        </w:rPr>
      </w:pPr>
      <w:bookmarkStart w:id="2" w:name="_30z0zfptcg17" w:colFirst="0" w:colLast="0"/>
      <w:bookmarkStart w:id="3" w:name="_Toc237289826"/>
      <w:bookmarkEnd w:id="2"/>
      <w:r w:rsidRPr="0012475C">
        <w:rPr>
          <w:lang w:val="en-GB"/>
        </w:rPr>
        <w:t>1. Organizational Classification and Global Strategy</w:t>
      </w:r>
      <w:bookmarkEnd w:id="3"/>
    </w:p>
    <w:p w14:paraId="509DA8EA" w14:textId="77777777" w:rsidR="00993521" w:rsidRPr="0012475C" w:rsidRDefault="004C1B23" w:rsidP="0012475C">
      <w:pPr>
        <w:pStyle w:val="Heading2"/>
        <w:spacing w:after="240"/>
        <w:rPr>
          <w:lang w:val="en-GB"/>
        </w:rPr>
      </w:pPr>
      <w:bookmarkStart w:id="4" w:name="_Toc237289827"/>
      <w:r w:rsidRPr="0012475C">
        <w:rPr>
          <w:lang w:val="en-GB"/>
        </w:rPr>
        <w:t>1.1 Bartlett and Ghoshal’s Integration-Responsiveness Framework</w:t>
      </w:r>
      <w:bookmarkEnd w:id="4"/>
    </w:p>
    <w:p w14:paraId="4B660308"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In the context of this explanation, Bartlett and Ghoshal's integration-responsiveness framework is utilized, where a multinational strategy is mapped on two axes: the pressure for global integration (efficiency, standardization) and the pressure for local responsiveness (local adaptation to tastes and so on) (Pudelko, 2023). In terms of this model, Primark is toward the "Global Strategy Quadrant" although there are clear international (or lean) elements, which are not high enough to be considered "global" as Zara's owner, Inditex (Eisenberg, 2019). The value proposition of Primark, which is extreme price leadership with centralized buying, limited variation in its one global product line that changes only on a seasonal basis, and standardized store formats, is replicated with very few variations in all of the 14 markets in which it sells (Virdi, 2025). This uniformity gives rise to significant scale economies in sourcing, logistics, and merchandising, in line with Verbeke's argument that firms choosing to follow a global strategy select for integration (to reap home country and firm advantages across markets) rather than pursuing costly local adaptation market by market.</w:t>
      </w:r>
    </w:p>
    <w:p w14:paraId="238F2492"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In parallel, certain degrees of market sensitivity are present in Primark, but they are not so extreme; minimal changes will be made in products for temperature and measurement standards, and the location selection for the stores is quite careful where the other department stores are struggling in the region (Norman, 2023).</w:t>
      </w:r>
    </w:p>
    <w:p w14:paraId="457AC6A3"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noProof/>
          <w:sz w:val="24"/>
          <w:szCs w:val="24"/>
          <w:lang w:val="en-US" w:eastAsia="en-US"/>
        </w:rPr>
        <w:lastRenderedPageBreak/>
        <w:drawing>
          <wp:inline distT="114300" distB="114300" distL="114300" distR="114300" wp14:anchorId="4AB057FD" wp14:editId="6F757559">
            <wp:extent cx="4791075" cy="3781425"/>
            <wp:effectExtent l="76200" t="76200" r="142875" b="142875"/>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91075" cy="3781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232DA4"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Figure 2: Ghemawat's ‘AAA’ Framework</w:t>
      </w:r>
    </w:p>
    <w:p w14:paraId="6A9A988F"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(Fischer and Roy, 2020)</w:t>
      </w:r>
    </w:p>
    <w:p w14:paraId="47DB97B1"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As proposed by Fischer and Roy (2020) and in light of Ghemawat's "AAA" (adaptation, aggregation, arbitrage) triangle, this hybrid pattern can best be described as an aggregation dominance strategy, namely one that maximizes aggregation scale and scope while issuing mere selective adaptations and arbitrages of the cross-border price and/or cost variety, typical of cross-border firms, in a limited way.</w:t>
      </w:r>
    </w:p>
    <w:p w14:paraId="4E5730CD"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noProof/>
          <w:sz w:val="24"/>
          <w:szCs w:val="24"/>
          <w:lang w:val="en-US" w:eastAsia="en-US"/>
        </w:rPr>
        <w:lastRenderedPageBreak/>
        <w:drawing>
          <wp:inline distT="114300" distB="114300" distL="114300" distR="114300" wp14:anchorId="4685F787" wp14:editId="1365C6B7">
            <wp:extent cx="5943600" cy="3365500"/>
            <wp:effectExtent l="76200" t="76200" r="133350" b="13970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3365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F7F79A"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Figure 3: CAGE Distance Framework</w:t>
      </w:r>
    </w:p>
    <w:p w14:paraId="20E27B3B"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(Cuofano, 2020)</w:t>
      </w:r>
    </w:p>
    <w:p w14:paraId="2B9E4753"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The complementary CAGE distance framework (cultural, administrative, geographic, and economic distance) is instructive here (Judijanto, 2025): Primark's historical expansion has systematically moved towards low-CAGE-distance markets, such as the UK and Ireland and later the United States, where currency regimes, legal systems, consumer tastes, and geographic proximity to its sourcing and logistics network are comparatively close to its home base. Comparatively, Brazil scores materially high on all the CAGE dimensions: use of a different language and legal traditions, significant geographic distance from Dublin/Reading and Primark's Asian supply base, and a lower-income, currency-volatile economic context than Primark's core markets (Supplychainmovement.com, 2020).</w:t>
      </w:r>
    </w:p>
    <w:p w14:paraId="7223112B" w14:textId="77777777" w:rsidR="00993521" w:rsidRPr="0012475C" w:rsidRDefault="004C1B23" w:rsidP="0012475C">
      <w:pPr>
        <w:pStyle w:val="Heading2"/>
        <w:spacing w:after="240"/>
        <w:rPr>
          <w:lang w:val="en-GB"/>
        </w:rPr>
      </w:pPr>
      <w:bookmarkStart w:id="5" w:name="_Toc237289828"/>
      <w:r w:rsidRPr="0012475C">
        <w:rPr>
          <w:lang w:val="en-GB"/>
        </w:rPr>
        <w:lastRenderedPageBreak/>
        <w:t>1.2 Global Configuration of Primark</w:t>
      </w:r>
      <w:bookmarkEnd w:id="5"/>
    </w:p>
    <w:p w14:paraId="46568C8A"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noProof/>
          <w:sz w:val="24"/>
          <w:szCs w:val="24"/>
          <w:lang w:val="en-US" w:eastAsia="en-US"/>
        </w:rPr>
        <w:drawing>
          <wp:inline distT="114300" distB="114300" distL="114300" distR="114300" wp14:anchorId="71A8E0C2" wp14:editId="06E53120">
            <wp:extent cx="5339953" cy="3833813"/>
            <wp:effectExtent l="76200" t="76200" r="127635" b="128905"/>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339953" cy="38338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5A75F5"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Figure 4: Porter’s Generic Strategy</w:t>
      </w:r>
    </w:p>
    <w:p w14:paraId="066BFA18"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 xml:space="preserve">Source: (Nanyangwe and Phiri, 2021) </w:t>
      </w:r>
    </w:p>
    <w:p w14:paraId="77662623" w14:textId="37FC2B12"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Fundamentally, Primark's global system intertwines with its supply-chain system (Lu, 2023): Primark's manufacturing takes place in low-cost sourcing hubs across South Asia and Southeast Asia, coordinated through its centralized buying office, Ireland (Dublin and Reading), enabling it to maintain gross margins while retail prices remain 30–50% below most competitors (Dean, 2026). In terms of Porter's generic strategy typology, this configuration reflects a direct source of competitive advantage as Primark is striving towards industry-wide cost leadership as opposed to differentiation and has an exceptionally asset-light growth (Ekren, 2026). Primark is bucking the trend of H&amp;M and Zara by selecting not to launch e-commerce as a core option but rather as a supporting service, aligning with Kupfer, Marchand and Hennig-Thurau's (2024) insight that value </w:t>
      </w:r>
      <w:r w:rsidRPr="0012475C">
        <w:rPr>
          <w:rFonts w:eastAsia="Times New Roman"/>
          <w:sz w:val="24"/>
          <w:szCs w:val="24"/>
          <w:lang w:val="en-GB"/>
        </w:rPr>
        <w:lastRenderedPageBreak/>
        <w:t xml:space="preserve">retailers are no longer primarily focusing on digital expansion but on physical reach. It also implies that, unlike the digitally native fast-fashion players, from an operational perspective, Primark and other brick-and-mortar brands </w:t>
      </w:r>
      <w:r w:rsidR="0012475C" w:rsidRPr="0012475C">
        <w:rPr>
          <w:rFonts w:eastAsia="Times New Roman"/>
          <w:sz w:val="24"/>
          <w:szCs w:val="24"/>
          <w:lang w:val="en-GB"/>
        </w:rPr>
        <w:t>cannot</w:t>
      </w:r>
      <w:r w:rsidRPr="0012475C">
        <w:rPr>
          <w:rFonts w:eastAsia="Times New Roman"/>
          <w:sz w:val="24"/>
          <w:szCs w:val="24"/>
          <w:lang w:val="en-GB"/>
        </w:rPr>
        <w:t xml:space="preserve"> undertake a low-cost “test” of a market by selling via cross-border e-commerce before opening a physical store, with each new country requiring “full fidelity” of investment in real estate and inventory from the beginning; thus raising the stakes and rigour of the entry-mode decision discussed in Section 3.</w:t>
      </w:r>
    </w:p>
    <w:p w14:paraId="24D1F3A0"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Standardization, low-cost sourcing, and store-led growth has given rise to a resilient international footprint: Primark did around £9.5 billion (~$12.35 billion) in retail sales in FY2025 and continues to make up about 60% of the group operating profit as ABF moves ahead with plans to transform the company into a separate listed entity by the end of 2027 (ABF, 2022). Recent trading, though, has been weaker: total group sales delivered around a 1% like-for-like negative in early FY2026, inclusive of strength on the back of resilient UK trading, which covered several regions that saw like-for-like declines which management has specifically pointed out, including continental Europe, as being the key driver for the 4-5% sales growth per annum it anticipates will come from new-store openings in the future. This new-country, new-store obsession and its ability to generate scale and returns that will enable Primark to have the capital to invest in new markets illustrates its strategy in seeking out new-market areas, like Brazil, to ensure the story of growth will continue to drive its post-demerger equity price.</w:t>
      </w:r>
    </w:p>
    <w:p w14:paraId="257C12B9" w14:textId="77777777" w:rsidR="00993521" w:rsidRPr="0012475C" w:rsidRDefault="004C1B23" w:rsidP="0012475C">
      <w:pPr>
        <w:pStyle w:val="Heading1"/>
        <w:spacing w:after="240"/>
        <w:rPr>
          <w:b w:val="0"/>
          <w:lang w:val="en-GB"/>
        </w:rPr>
      </w:pPr>
      <w:bookmarkStart w:id="6" w:name="_p12tzyc03428" w:colFirst="0" w:colLast="0"/>
      <w:bookmarkStart w:id="7" w:name="_Toc237289829"/>
      <w:bookmarkEnd w:id="6"/>
      <w:r w:rsidRPr="0012475C">
        <w:rPr>
          <w:lang w:val="en-GB"/>
        </w:rPr>
        <w:t>2. Macro-Environmental Appraisal and Market Attractiveness</w:t>
      </w:r>
      <w:bookmarkEnd w:id="7"/>
    </w:p>
    <w:p w14:paraId="23E715A1" w14:textId="77777777" w:rsidR="00993521" w:rsidRPr="0012475C" w:rsidRDefault="004C1B23" w:rsidP="0012475C">
      <w:pPr>
        <w:pStyle w:val="Heading2"/>
        <w:spacing w:after="240"/>
        <w:rPr>
          <w:lang w:val="en-GB"/>
        </w:rPr>
      </w:pPr>
      <w:bookmarkStart w:id="8" w:name="_Toc237289830"/>
      <w:r w:rsidRPr="0012475C">
        <w:rPr>
          <w:lang w:val="en-GB"/>
        </w:rPr>
        <w:t>2.1 Host Country Analysis</w:t>
      </w:r>
      <w:bookmarkEnd w:id="8"/>
      <w:r w:rsidRPr="0012475C">
        <w:rPr>
          <w:lang w:val="en-GB"/>
        </w:rPr>
        <w:t xml:space="preserve"> </w:t>
      </w:r>
    </w:p>
    <w:p w14:paraId="733593D5"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However, the external environment of the host country needs to be interrogated, as the factors most material for a value-fashion retailer's market entry decision are political and regulatory stability (which will affect the rollout of stores and FDI in general), macroeconomic conditions (which will affect consumer spending power), the legal and fiscal regime (which will affect importation and retailing), and cultural distance (which will affect consumer behaviour and organization fit) (Kusi, Gabrielsson, and Kontkanen, 2021). While not exhaustively discussing all the PESTLE dimensions, the analysis below </w:t>
      </w:r>
      <w:r w:rsidRPr="0012475C">
        <w:rPr>
          <w:rFonts w:eastAsia="Times New Roman"/>
          <w:sz w:val="24"/>
          <w:szCs w:val="24"/>
          <w:lang w:val="en-GB"/>
        </w:rPr>
        <w:lastRenderedPageBreak/>
        <w:t>is intentionally more focused on the factors that most directly impact Primark's commercial model, namely a model based on imported, centrally sourced finished goods that are sold in large-format physical stores at very low prices where a small increase in landed costs or regulatory friction can reduce the cost leadership that the brand is built upon. This PESTLE analysis of Brazil is summarized in table 1.</w:t>
      </w:r>
    </w:p>
    <w:p w14:paraId="6975441E"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The political landscape, in turn, Burrier (2020) wrote, "Brazil's federal structure and tradition of coalition government have historically led to volatility in policy, while foreign retailers have, at times, identified the unpredictability of tax rulings and foreign exchange policy as an operational risk. However, now the political context in which the decision window for Primark might occur is far more stable: the current government has been committed to fiscal discipline and has started considering re-engaging with bilateral and regional trade liberalization, most notably the EU-Mercosur Association Agreement, which was long in negotiation, and political ratification of it would have a significant impact on the tariff wall that an EU-based retailer like Primark faces.</w:t>
      </w:r>
    </w:p>
    <w:p w14:paraId="52C328E9"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noProof/>
          <w:sz w:val="24"/>
          <w:szCs w:val="24"/>
          <w:lang w:val="en-US" w:eastAsia="en-US"/>
        </w:rPr>
        <w:drawing>
          <wp:inline distT="114300" distB="114300" distL="114300" distR="114300" wp14:anchorId="418F4058" wp14:editId="7466C204">
            <wp:extent cx="5577840" cy="3474720"/>
            <wp:effectExtent l="76200" t="76200" r="137160" b="12573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577840" cy="3474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054FB5"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Figure 5: GDP in current prices worldwide from 1995 to 2026</w:t>
      </w:r>
    </w:p>
    <w:p w14:paraId="7ACF9D28"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lastRenderedPageBreak/>
        <w:t>Source: (Statista.com, 2026)</w:t>
      </w:r>
    </w:p>
    <w:p w14:paraId="09CCEF89"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noProof/>
          <w:sz w:val="24"/>
          <w:szCs w:val="24"/>
          <w:lang w:val="en-US" w:eastAsia="en-US"/>
        </w:rPr>
        <w:drawing>
          <wp:inline distT="114300" distB="114300" distL="114300" distR="114300" wp14:anchorId="49C4FD7F" wp14:editId="5B30E7FF">
            <wp:extent cx="5615940" cy="3756660"/>
            <wp:effectExtent l="76200" t="76200" r="137160" b="12954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615940" cy="3756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0E12BE"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Figure 7: Brazil Fast Fashion Market SIze (2022-2034)</w:t>
      </w:r>
    </w:p>
    <w:p w14:paraId="34F1D0CD"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 xml:space="preserve">Source: (Morgan, 2025) </w:t>
      </w:r>
    </w:p>
    <w:p w14:paraId="3BE410C7" w14:textId="77777777" w:rsidR="00993521" w:rsidRPr="0012475C" w:rsidRDefault="004C1B23" w:rsidP="0012475C">
      <w:pPr>
        <w:spacing w:after="240" w:line="360" w:lineRule="auto"/>
        <w:jc w:val="both"/>
        <w:rPr>
          <w:rFonts w:eastAsia="Times New Roman"/>
          <w:b/>
          <w:bCs/>
          <w:i/>
          <w:iCs/>
          <w:sz w:val="24"/>
          <w:szCs w:val="24"/>
          <w:lang w:val="en-GB"/>
        </w:rPr>
      </w:pPr>
      <w:r w:rsidRPr="0012475C">
        <w:rPr>
          <w:rFonts w:eastAsia="Times New Roman"/>
          <w:sz w:val="24"/>
          <w:szCs w:val="24"/>
          <w:lang w:val="en-GB"/>
        </w:rPr>
        <w:t xml:space="preserve">The economic scale of Brazil can't be ignored, as Statista.com (2026) reported it as the largest economy in Latin America, and the fast-fashion market alone is estimated to be valued at US$6.4 billion in 2025, with a projected CAGR of 10.7% and expected to reach more than US$16 billion by 2034, surpassing that of the more established markets, such as Western Europe, in which Primark primarily places its store estate by more than a factor of two (Morgan, 2025). This is counterbalanced by a legal and fiscal landscape often referred to as the "Custo Brasil" (Brazil Cost), characterized by a multi-level tax system including federal, state, and municipal taxes (ICMS, IPI, and PIS/COFINS); import taxes, which can be up to 35% for finished apparel; and onerous labour and consumer protection legislation, making it both costlier and more complex for brands to enter the </w:t>
      </w:r>
      <w:r w:rsidRPr="0012475C">
        <w:rPr>
          <w:rFonts w:eastAsia="Times New Roman"/>
          <w:sz w:val="24"/>
          <w:szCs w:val="24"/>
          <w:lang w:val="en-GB"/>
        </w:rPr>
        <w:lastRenderedPageBreak/>
        <w:t>direct market. These legal-fiscal factors dovetail into Primark's model of cost leadership, a model which is all about making thin margins per product, increases in tariffs and taxes therefore hit the business hard compared to those of premium or differentiated brands, which can absorb these costs and charge a higher price tag.</w:t>
      </w:r>
    </w:p>
    <w:tbl>
      <w:tblPr>
        <w:tblStyle w:val="GridTable5Dark-Accent6"/>
        <w:tblW w:w="9360" w:type="dxa"/>
        <w:tblLayout w:type="fixed"/>
        <w:tblLook w:val="0600" w:firstRow="0" w:lastRow="0" w:firstColumn="0" w:lastColumn="0" w:noHBand="1" w:noVBand="1"/>
      </w:tblPr>
      <w:tblGrid>
        <w:gridCol w:w="2055"/>
        <w:gridCol w:w="7305"/>
      </w:tblGrid>
      <w:tr w:rsidR="00993521" w:rsidRPr="0012475C" w14:paraId="409F17B7" w14:textId="77777777" w:rsidTr="00CC08CA">
        <w:trPr>
          <w:trHeight w:val="450"/>
        </w:trPr>
        <w:tc>
          <w:tcPr>
            <w:tcW w:w="2055" w:type="dxa"/>
          </w:tcPr>
          <w:p w14:paraId="376486FF"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Factor</w:t>
            </w:r>
          </w:p>
        </w:tc>
        <w:tc>
          <w:tcPr>
            <w:tcW w:w="7305" w:type="dxa"/>
          </w:tcPr>
          <w:p w14:paraId="269BC346"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Analysis</w:t>
            </w:r>
          </w:p>
        </w:tc>
      </w:tr>
      <w:tr w:rsidR="00993521" w:rsidRPr="0012475C" w14:paraId="7393BDEA" w14:textId="77777777" w:rsidTr="00CC08CA">
        <w:trPr>
          <w:trHeight w:val="1410"/>
        </w:trPr>
        <w:tc>
          <w:tcPr>
            <w:tcW w:w="2055" w:type="dxa"/>
          </w:tcPr>
          <w:p w14:paraId="325DA5AB"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Political</w:t>
            </w:r>
          </w:p>
        </w:tc>
        <w:tc>
          <w:tcPr>
            <w:tcW w:w="7305" w:type="dxa"/>
          </w:tcPr>
          <w:p w14:paraId="4DA950F6"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Brazil's federalism and coalition government are sources of policy incoherence, but Lula's post-2023 administration has been macro-fiscally orthodox and has reverted to a more liberal stance on trade, with a new pro-acceptance of the EU-Mercosur Free Trade, which, upon ratification, would reduce materially the tariff barrier against EU-based retailers like Primark (Spilimbergo and Srinivasan, 2019).</w:t>
            </w:r>
          </w:p>
        </w:tc>
      </w:tr>
      <w:tr w:rsidR="00993521" w:rsidRPr="0012475C" w14:paraId="1F6F6E3C" w14:textId="77777777" w:rsidTr="00CC08CA">
        <w:trPr>
          <w:trHeight w:val="1650"/>
        </w:trPr>
        <w:tc>
          <w:tcPr>
            <w:tcW w:w="2055" w:type="dxa"/>
          </w:tcPr>
          <w:p w14:paraId="05E99DF7"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Economic</w:t>
            </w:r>
          </w:p>
        </w:tc>
        <w:tc>
          <w:tcPr>
            <w:tcW w:w="7305" w:type="dxa"/>
          </w:tcPr>
          <w:p w14:paraId="6E5DCC31"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The country is the largest in Latin America in terms of GDP (over US$2.1 trillion), and with a slowing growth to around 2.0-2.4% real GDP growth estimates in 2025-26, the retail market is valued at approximately US$231 billion in 2025 and is forecast to grow at a CAGR of 5.4% until 2035, while the domestic fast-fashion retail market is valued at roughly US$6.4 billion and is estimated to triple by 2034 (Morgan, 2025; Bricsci.com, 2025).</w:t>
            </w:r>
          </w:p>
        </w:tc>
      </w:tr>
      <w:tr w:rsidR="00993521" w:rsidRPr="0012475C" w14:paraId="0D66FBCB" w14:textId="77777777" w:rsidTr="00CC08CA">
        <w:trPr>
          <w:trHeight w:val="1410"/>
        </w:trPr>
        <w:tc>
          <w:tcPr>
            <w:tcW w:w="2055" w:type="dxa"/>
          </w:tcPr>
          <w:p w14:paraId="10E4C625"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Legal/Regulatory</w:t>
            </w:r>
          </w:p>
        </w:tc>
        <w:tc>
          <w:tcPr>
            <w:tcW w:w="7305" w:type="dxa"/>
          </w:tcPr>
          <w:p w14:paraId="339244D2"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Directly compromising the centralized non-local sourcing model adopted by Primark, the high import tariffs (often 35% or higher on finished clothing) and the complicated tax structure comprised of ICMS/IPI/PIS-COFINS (Brazil's 'Custo Brasil') add to the cost of imports and their legal intricacies.</w:t>
            </w:r>
          </w:p>
        </w:tc>
      </w:tr>
      <w:tr w:rsidR="00993521" w:rsidRPr="0012475C" w14:paraId="6809E643" w14:textId="77777777" w:rsidTr="00CC08CA">
        <w:trPr>
          <w:trHeight w:val="1410"/>
        </w:trPr>
        <w:tc>
          <w:tcPr>
            <w:tcW w:w="2055" w:type="dxa"/>
          </w:tcPr>
          <w:p w14:paraId="42D64382"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Cultural/Social</w:t>
            </w:r>
          </w:p>
        </w:tc>
        <w:tc>
          <w:tcPr>
            <w:tcW w:w="7305" w:type="dxa"/>
          </w:tcPr>
          <w:p w14:paraId="30E8A4E0"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Compared with the UK, Brazil has significantly higher scores on power distance and uncertainty avoidance and a lower score on individualism (as measured by Hofstede, see Figure 8), which indicates that risk-averse regulatory compliance, hierarchical relationships, and dealing with suppliers on the basis of such </w:t>
            </w:r>
            <w:r w:rsidRPr="0012475C">
              <w:rPr>
                <w:rFonts w:eastAsia="Times New Roman"/>
                <w:sz w:val="24"/>
                <w:szCs w:val="24"/>
                <w:lang w:val="en-GB"/>
              </w:rPr>
              <w:lastRenderedPageBreak/>
              <w:t>relationships are more important in the retail environment in Brazil than they are in the UK, where Primark originated.</w:t>
            </w:r>
          </w:p>
        </w:tc>
      </w:tr>
    </w:tbl>
    <w:p w14:paraId="5ED37DB7"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lastRenderedPageBreak/>
        <w:t>Table 1: PESTLE Analysis of Brazil; Factors Relevant to Primark's Entry</w:t>
      </w:r>
    </w:p>
    <w:p w14:paraId="728ACC77"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(Self-Created)</w:t>
      </w:r>
    </w:p>
    <w:p w14:paraId="51D2DC27"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Table 2 quantifies these cultural distances based on Hofstede's six-dimensional framework (Zheng et al., 2025), with this still being one of the most commonly used models to measure "psychic distance" for international retail expansion. Cultural distance directly affects Primark's business model in at least three ways. In addition, Brazil scores high for power distance (69 against 35 in the UK), suggesting that contracts in Brazil are more hierarchical and personal, with implications for the speed and cost of Primark negotiating large-format retail stores, the backbone of its store-based model, which it does from its buying hub in Dublin, Reading. Second, Brazil has a relatively low score of individualism (36 compared to 76 for the UK), indicating a more collectivist, relationship- and family-driven culture, where brand trust might be more likely to be developed via word-of-mouth, social proof, and community reputation than through price-driven, self-determined shopping, which much of Primark's marketing campaigns in its own markets assume. Third and most important for market-depth risk, Brazil's high Uncertainty Avoidance (UA) score (76 compared with 35 in the UK) indicates a market that values formality (process-based) of both regulators and contracts, legal accuracy, and risk aversion, reinforcing the level of legal and fiscal complexity identified in Figure 8 and suggesting that Brazilian counterparties, landlords, tax authorities, customs officials, as well as consumers will look for a certain level of procedural rigour, which a lean and centralized European buying operation does not naturally support.</w:t>
      </w:r>
    </w:p>
    <w:p w14:paraId="476976F3" w14:textId="1B8E41D1" w:rsidR="00993521" w:rsidRPr="0012475C" w:rsidRDefault="004C1B23" w:rsidP="0012475C">
      <w:pPr>
        <w:spacing w:after="240" w:line="360" w:lineRule="auto"/>
        <w:jc w:val="center"/>
        <w:rPr>
          <w:rFonts w:eastAsia="Times New Roman"/>
          <w:sz w:val="24"/>
          <w:szCs w:val="24"/>
          <w:lang w:val="en-GB"/>
        </w:rPr>
      </w:pPr>
      <w:r w:rsidRPr="0012475C">
        <w:rPr>
          <w:rFonts w:eastAsia="Times New Roman"/>
          <w:noProof/>
          <w:sz w:val="24"/>
          <w:szCs w:val="24"/>
          <w:lang w:val="en-US" w:eastAsia="en-US"/>
        </w:rPr>
        <w:lastRenderedPageBreak/>
        <w:drawing>
          <wp:inline distT="114300" distB="114300" distL="114300" distR="114300" wp14:anchorId="4E27EFEC" wp14:editId="2EBEA657">
            <wp:extent cx="5745480" cy="3215640"/>
            <wp:effectExtent l="76200" t="76200" r="140970" b="13716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45480" cy="3215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051B13"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Figure 8: Hofstede Cultural Dimension Scores</w:t>
      </w:r>
    </w:p>
    <w:p w14:paraId="42EC76BA"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(The Culture Factor Group, 2025)</w:t>
      </w:r>
    </w:p>
    <w:p w14:paraId="04939AB6" w14:textId="77777777" w:rsidR="00993521" w:rsidRPr="0012475C" w:rsidRDefault="004C1B23" w:rsidP="0012475C">
      <w:pPr>
        <w:pStyle w:val="Heading2"/>
        <w:spacing w:after="240"/>
        <w:rPr>
          <w:b w:val="0"/>
          <w:lang w:val="en-GB"/>
        </w:rPr>
      </w:pPr>
      <w:bookmarkStart w:id="9" w:name="_f4d9nc3eyhp7" w:colFirst="0" w:colLast="0"/>
      <w:bookmarkStart w:id="10" w:name="_Toc237289831"/>
      <w:bookmarkEnd w:id="9"/>
      <w:r w:rsidRPr="0012475C">
        <w:rPr>
          <w:lang w:val="en-GB"/>
        </w:rPr>
        <w:lastRenderedPageBreak/>
        <w:t>2.2 Synthesis: Dunning's Eclectic (OLI) Paradigm</w:t>
      </w:r>
      <w:bookmarkEnd w:id="10"/>
    </w:p>
    <w:p w14:paraId="2DA2E321"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noProof/>
          <w:sz w:val="24"/>
          <w:szCs w:val="24"/>
          <w:lang w:val="en-US" w:eastAsia="en-US"/>
        </w:rPr>
        <w:drawing>
          <wp:inline distT="114300" distB="114300" distL="114300" distR="114300" wp14:anchorId="507E59F7" wp14:editId="178FE9F2">
            <wp:extent cx="4922579" cy="4110038"/>
            <wp:effectExtent l="76200" t="76200" r="125730" b="13843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922579" cy="4110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F02681"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b/>
          <w:bCs/>
          <w:sz w:val="24"/>
          <w:szCs w:val="24"/>
          <w:lang w:val="en-GB"/>
        </w:rPr>
        <w:t>Figure 9: Eclectic Paradigm</w:t>
      </w:r>
    </w:p>
    <w:p w14:paraId="04020194"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 xml:space="preserve">Source: (CFI, 2022) </w:t>
      </w:r>
    </w:p>
    <w:p w14:paraId="5C032EA8"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Dunning's paradigm of eclecticism can be used to synthesize all of the above findings related to the environment and cultural context, as it remains, as Cruz et al. (2020) highlighted, "a powerful and robust framework for examining contextually specific theories of foreign direct investment and international production" that have been around for over 30 years. Initially the OLI paradigm suggests that a firm will undertake FDI only if it has ownership-specific advantages (O), the host location offers location-specific advantages (L), and the internalization of the transaction is superior to either licensing or arm's-length trade (internalization, I). Recent uses of the framework for MNC entry into retail markets </w:t>
      </w:r>
      <w:r w:rsidRPr="0012475C">
        <w:rPr>
          <w:rFonts w:eastAsia="Times New Roman"/>
          <w:sz w:val="24"/>
          <w:szCs w:val="24"/>
          <w:lang w:val="en-GB"/>
        </w:rPr>
        <w:lastRenderedPageBreak/>
        <w:t>in emerging markets suggest its ongoing applicability to consider firm, location, and transaction fit at the same time and not sequentially (Rahman et al., 2018).</w:t>
      </w:r>
    </w:p>
    <w:p w14:paraId="0121BD19"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As summarized in Table 2, in the case of Primark–Brazil, Primark offers strong ownership advantages: an internationally recognized value-retail brand with a Gen Z/price-sensitive consumer presence in a market where it has not yet been; an unmatched sourcing scale, based on decades of strong relationships with suppliers; and a unique store format and merchandising playbook that has been repeatedly and successfully replicated across 14 markets (Norman, 2023). The transferability of these assets is also reasonably good, as they are the sorts of intangible and transferable assets that Dunning identified as ones that are likely to confer ownership advantage, and they are not necessarily bound to a particular country; they are corporate assets associated with the firm.</w:t>
      </w:r>
    </w:p>
    <w:p w14:paraId="0660284D"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noProof/>
          <w:sz w:val="24"/>
          <w:szCs w:val="24"/>
          <w:lang w:val="en-US" w:eastAsia="en-US"/>
        </w:rPr>
        <w:drawing>
          <wp:inline distT="114300" distB="114300" distL="114300" distR="114300" wp14:anchorId="47CB3C1F" wp14:editId="3D0ACD6A">
            <wp:extent cx="5798820" cy="2926080"/>
            <wp:effectExtent l="76200" t="76200" r="125730" b="14097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98820" cy="2926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F6B8A3"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b/>
          <w:bCs/>
          <w:sz w:val="24"/>
          <w:szCs w:val="24"/>
          <w:lang w:val="en-GB"/>
        </w:rPr>
        <w:t>Figure 10: Brazil Luxury Fashion Market Overview</w:t>
      </w:r>
    </w:p>
    <w:p w14:paraId="6116200F"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 xml:space="preserve">Source: (Imarcgroup.com, 2024) </w:t>
      </w:r>
    </w:p>
    <w:p w14:paraId="28D8CE02"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Location is mixed to favourable. Brazil has a very large, young, and fashion-engaging consumer base and a rapidly expanding clothing market; the fast fashion market is projected to reach a compounded annual growth rate (CAGR) of 3.65% by 2034, more </w:t>
      </w:r>
      <w:r w:rsidRPr="0012475C">
        <w:rPr>
          <w:rFonts w:eastAsia="Times New Roman"/>
          <w:sz w:val="24"/>
          <w:szCs w:val="24"/>
          <w:lang w:val="en-GB"/>
        </w:rPr>
        <w:lastRenderedPageBreak/>
        <w:t>than double the forecast rate of growth based on Primark's established consumer base in mature Europe, while the costs for running shops locally are relatively low, and the domestic retail real estate market is experiencing significant commercial real estate contraction due to the demise of several department store brands (Imarcgroup.com, 2024). Such location pull factors, however, are mitigated by push factors: landed cost is higher due to high import tariffs; logistical distance from Primark's core manufacturing base in Asia increases lead times and working-capital requirements compared to distribution across Primark's euro and sterling distribution base, and in Brazil the real (BRL) currency volatility introduces margin risk, which, to a greater extent, is absent from Primark's core markets across the euro and sterling.</w:t>
      </w:r>
    </w:p>
    <w:p w14:paraId="2063E9C3"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As is the most important outcome of the OLI analysis for the entry-mode decision to follow (Section 3), internalization advantages are the weakest leg of the triad. Internalization theory takes account of the question of whether it is more efficient for a firm to have its own wholly owned subsidiary or to license, franchise, or contract with a local partner to exploit its ownership advantages. However, Primark's ownership advantages are mainly based upon its centralised buying, its brand format, and the merchandising discipline, which are relatively easy and low-cost to transfer, unlike certain technologies or patents, which would not be afforded to its external partners due to this geographical location/ownership and cultural similarities with its main European countries, making the case for the wholly internalisation of its Brazilian operations much lower. Thus, from the perspective of the OLI theory, Brazil is a market where Primark's ownership advantages are high, its location advantages are strong (although partially compensated by potential tariff and currency risk) and its internalization advantages are relatively low, leading towards a non-equity or shared-equity model rather than full ownership.</w:t>
      </w:r>
    </w:p>
    <w:p w14:paraId="340B98CF"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This recent discovery is also corroborated by recent developments in the eclectic paradigm, which state that in institutionally distant, tariff-protected emerging markets, the internalization calculus relies not only on the ownership but also on a firm's previous regional experience (Cruz, Floriani and Amal, 2020). While Primark has been found in the United States for a decade, it has not previously operated in Latin America anywhere, notwithstanding its many decades of know-how and learning across Europe, which </w:t>
      </w:r>
      <w:r w:rsidRPr="0012475C">
        <w:rPr>
          <w:rFonts w:eastAsia="Times New Roman"/>
          <w:sz w:val="24"/>
          <w:szCs w:val="24"/>
          <w:lang w:val="en-GB"/>
        </w:rPr>
        <w:lastRenderedPageBreak/>
        <w:t>enabled it to leverage its world-class global supply chain to conquer that market. As per the results of Floriani and Amal's (2020) version of the paradigm, which is a refinement of Linzy and Doole's arguments, limited regional experience will increase the effective transaction cost of direct entry as the firm will not have access to an existing pool of managerially transferable knowledge from other region, supporting the key takeaway of the OLI paradigm; a start-up entry mode will likely be shared-risk in the case of Brazil, a shared-risk entry mode alongside a full-ownership mode, is the more defensible choice, despite the former being Primark's default mode globally.</w:t>
      </w:r>
    </w:p>
    <w:tbl>
      <w:tblPr>
        <w:tblStyle w:val="GridTable5Dark-Accent4"/>
        <w:tblW w:w="9360" w:type="dxa"/>
        <w:tblLayout w:type="fixed"/>
        <w:tblLook w:val="0600" w:firstRow="0" w:lastRow="0" w:firstColumn="0" w:lastColumn="0" w:noHBand="1" w:noVBand="1"/>
      </w:tblPr>
      <w:tblGrid>
        <w:gridCol w:w="1940"/>
        <w:gridCol w:w="7420"/>
      </w:tblGrid>
      <w:tr w:rsidR="00993521" w:rsidRPr="0012475C" w14:paraId="3F80AE76" w14:textId="77777777" w:rsidTr="00CC08CA">
        <w:trPr>
          <w:trHeight w:val="450"/>
        </w:trPr>
        <w:tc>
          <w:tcPr>
            <w:tcW w:w="1940" w:type="dxa"/>
          </w:tcPr>
          <w:p w14:paraId="3BF2152A"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OLI Element</w:t>
            </w:r>
          </w:p>
        </w:tc>
        <w:tc>
          <w:tcPr>
            <w:tcW w:w="7419" w:type="dxa"/>
          </w:tcPr>
          <w:p w14:paraId="5122CF89"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Assessment for Primark–Brazil</w:t>
            </w:r>
          </w:p>
        </w:tc>
      </w:tr>
      <w:tr w:rsidR="00993521" w:rsidRPr="0012475C" w14:paraId="4636189A" w14:textId="77777777" w:rsidTr="00CC08CA">
        <w:trPr>
          <w:trHeight w:val="930"/>
        </w:trPr>
        <w:tc>
          <w:tcPr>
            <w:tcW w:w="1940" w:type="dxa"/>
          </w:tcPr>
          <w:p w14:paraId="46B1A9BA"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Ownership (O)</w:t>
            </w:r>
          </w:p>
        </w:tc>
        <w:tc>
          <w:tcPr>
            <w:tcW w:w="7419" w:type="dxa"/>
          </w:tcPr>
          <w:p w14:paraId="28C91BA4"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Well recognised for value fashion brands across the globe; A centralised buying power; Low-cost store build proof of concept model; no proven local competitor brand equity to beat.</w:t>
            </w:r>
          </w:p>
        </w:tc>
      </w:tr>
      <w:tr w:rsidR="00993521" w:rsidRPr="0012475C" w14:paraId="3C2340C5" w14:textId="77777777" w:rsidTr="00CC08CA">
        <w:trPr>
          <w:trHeight w:val="1170"/>
        </w:trPr>
        <w:tc>
          <w:tcPr>
            <w:tcW w:w="1940" w:type="dxa"/>
          </w:tcPr>
          <w:p w14:paraId="245AA45D"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Location (L)</w:t>
            </w:r>
          </w:p>
        </w:tc>
        <w:tc>
          <w:tcPr>
            <w:tcW w:w="7419" w:type="dxa"/>
          </w:tcPr>
          <w:p w14:paraId="44604426"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A large youthful population and growing middle class; fast-fashion market projected to expand at ~10.7% CAGR (2025-2034); import tariffs and high rates of 'Custo Brasil', long lead times from Asian factories; and real (BRL) currency risk (Morgan, 2025).</w:t>
            </w:r>
          </w:p>
        </w:tc>
      </w:tr>
      <w:tr w:rsidR="00993521" w:rsidRPr="0012475C" w14:paraId="6F0E14DD" w14:textId="77777777" w:rsidTr="00CC08CA">
        <w:trPr>
          <w:trHeight w:val="1170"/>
        </w:trPr>
        <w:tc>
          <w:tcPr>
            <w:tcW w:w="1940" w:type="dxa"/>
          </w:tcPr>
          <w:p w14:paraId="2F788CAD"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Internalisation (I)</w:t>
            </w:r>
          </w:p>
        </w:tc>
        <w:tc>
          <w:tcPr>
            <w:tcW w:w="7419" w:type="dxa"/>
          </w:tcPr>
          <w:p w14:paraId="3EB98AC9"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Contractual/partnership requires less exposure to regulatory and tax risks; weak to moderate case for full ownership due to high cultural/legal distance, and Primark had no prior experience of the emerging markets other than the Middle East franchise model (Riaño, 2025).</w:t>
            </w:r>
          </w:p>
        </w:tc>
      </w:tr>
    </w:tbl>
    <w:p w14:paraId="0A4345F2"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Table 2: OLI (Eclectic Paradigm) Assessment of Primark's Potential Entry into Brazil</w:t>
      </w:r>
    </w:p>
    <w:p w14:paraId="51DEF881" w14:textId="77777777" w:rsidR="00993521" w:rsidRPr="0012475C" w:rsidRDefault="00993521" w:rsidP="0012475C">
      <w:pPr>
        <w:spacing w:after="240" w:line="360" w:lineRule="auto"/>
        <w:jc w:val="center"/>
        <w:rPr>
          <w:rFonts w:eastAsia="Times New Roman"/>
          <w:sz w:val="24"/>
          <w:szCs w:val="24"/>
          <w:lang w:val="en-GB"/>
        </w:rPr>
      </w:pPr>
    </w:p>
    <w:p w14:paraId="71F0516A" w14:textId="77777777" w:rsidR="00993521" w:rsidRPr="0012475C" w:rsidRDefault="004C1B23" w:rsidP="0012475C">
      <w:pPr>
        <w:pStyle w:val="Heading1"/>
        <w:spacing w:after="240"/>
        <w:rPr>
          <w:b w:val="0"/>
          <w:lang w:val="en-GB"/>
        </w:rPr>
      </w:pPr>
      <w:bookmarkStart w:id="11" w:name="_sded5bkwhboi" w:colFirst="0" w:colLast="0"/>
      <w:bookmarkStart w:id="12" w:name="_Toc237289832"/>
      <w:bookmarkEnd w:id="11"/>
      <w:r w:rsidRPr="0012475C">
        <w:rPr>
          <w:lang w:val="en-GB"/>
        </w:rPr>
        <w:lastRenderedPageBreak/>
        <w:t>3. Entry Mode Strategy and Strategic Synthesis</w:t>
      </w:r>
      <w:bookmarkEnd w:id="12"/>
    </w:p>
    <w:p w14:paraId="2B704692" w14:textId="77777777" w:rsidR="00993521" w:rsidRPr="0012475C" w:rsidRDefault="004C1B23" w:rsidP="0012475C">
      <w:pPr>
        <w:pStyle w:val="Heading2"/>
        <w:spacing w:after="240"/>
        <w:rPr>
          <w:lang w:val="en-GB"/>
        </w:rPr>
      </w:pPr>
      <w:bookmarkStart w:id="13" w:name="_Toc237289833"/>
      <w:r w:rsidRPr="0012475C">
        <w:rPr>
          <w:lang w:val="en-GB"/>
        </w:rPr>
        <w:t>3.1 Historical Pattern Recognition</w:t>
      </w:r>
      <w:bookmarkEnd w:id="13"/>
    </w:p>
    <w:p w14:paraId="0D501AA5"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In the past, Primark's entry into the market was primarily through an organic, fully-invested strategy, which involves investing in the company's own branded outlets rather than joint ventures, franchisees or acquisitions (Primark.com, 2026). This is a reflection of high control and high commitment to markets according to the Uppsala internationalization model, where the company's expansion to the different markets follows an incremental strategy, involving geographic, cultural and institutional proximity to the original market before risking resources to more distant markets (Johanson and Vahlne, 1977, Arvidsson and Arvidsson, 2020). Like the Uppsala 'establishment chain' for manufacturing companies (Roberts, 2019), Primark's sequencing (UK and Ireland, then Iberia and continental Europe, and only most recently Central/Eastern Europe, including Poland, Slovenia, and Czechia) is ‘exporting-then-subsidiary' with a small change: the first phase is ‘store-led retail'. </w:t>
      </w:r>
    </w:p>
    <w:p w14:paraId="551AE9FB"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The key exception to this pure-owned formula was seen in Primark's idea of engaging in franchise partnerships in culturally and institutionally different, riskier markets; most prominently, the one with the Kuwait-based Alshaya Group throughout the Middle East (Tradingview.com, 2025). There's a direct application to learn from this precedent, which delegated prime property negotiation, regulatory rigour, and operating risk in an environment where a wholly-owned expanded operation was deemed too political risk, to a capital-light locally embedded partner model. Wholly owned markets are markets with low psychic distance, and franchised ones are markets with high psychic distance, being exactly the pattern the Uppsala model would suggest and being directly relevant precedent when evaluating Brazil, which scores closer to the former markets Primark has invested in, on each of the CAGE and Hofstede measures in Sections 1 and 2.</w:t>
      </w:r>
    </w:p>
    <w:p w14:paraId="048F2B50" w14:textId="77777777" w:rsidR="00993521" w:rsidRPr="0012475C" w:rsidRDefault="004C1B23" w:rsidP="0012475C">
      <w:pPr>
        <w:pStyle w:val="Heading2"/>
        <w:spacing w:after="240"/>
        <w:rPr>
          <w:lang w:val="en-GB"/>
        </w:rPr>
      </w:pPr>
      <w:bookmarkStart w:id="14" w:name="_Toc237289834"/>
      <w:r w:rsidRPr="0012475C">
        <w:rPr>
          <w:lang w:val="en-GB"/>
        </w:rPr>
        <w:t>3.2 Strategic Fit and Justification</w:t>
      </w:r>
      <w:bookmarkEnd w:id="14"/>
    </w:p>
    <w:p w14:paraId="037D4979"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Table 3 tests each of the four potential entry modes in Brazil with the following variants of the criteria outlined in the brief: risk exposure, resource commitment, control versus </w:t>
      </w:r>
      <w:r w:rsidRPr="0012475C">
        <w:rPr>
          <w:rFonts w:eastAsia="Times New Roman"/>
          <w:sz w:val="24"/>
          <w:szCs w:val="24"/>
          <w:lang w:val="en-GB"/>
        </w:rPr>
        <w:lastRenderedPageBreak/>
        <w:t>flexibility, and strategic fit in the long term. Brazil's high level of asset specificity and the prohibitive cost of external contracting (via tariff scheme, tax complexity, and currency volatility) in the Brazil case support the aspects of transaction cost economics that predict that firms internalize transactions when the specification of assets and the cost of external contracting are high but employ hybrid or contractual forms when the uncertainty and behavioural risk are high. Primark's key assets; brand, buying relationships, and understanding of how to run stores are not very specific to any one Brazilian counterparty, so the transaction-cost rationale for insisting on complete ownership is weak, the bigger risk is in uncertainty relating to the environment, where the risk of uncertainty equals to a hybrid governance structure.</w:t>
      </w:r>
    </w:p>
    <w:p w14:paraId="78785D47"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noProof/>
          <w:sz w:val="24"/>
          <w:szCs w:val="24"/>
          <w:lang w:val="en-US" w:eastAsia="en-US"/>
        </w:rPr>
        <w:drawing>
          <wp:inline distT="114300" distB="114300" distL="114300" distR="114300" wp14:anchorId="36AB3B8D" wp14:editId="383692FD">
            <wp:extent cx="3895725" cy="3590925"/>
            <wp:effectExtent l="76200" t="76200" r="142875" b="142875"/>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3895725" cy="3590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9F6115"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b/>
          <w:bCs/>
          <w:sz w:val="24"/>
          <w:szCs w:val="24"/>
          <w:lang w:val="en-GB"/>
        </w:rPr>
        <w:t>Figure 11: Resource-Based View</w:t>
      </w:r>
    </w:p>
    <w:p w14:paraId="495C38DF"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(Jurevicius, 2023)</w:t>
      </w:r>
    </w:p>
    <w:p w14:paraId="71FE9F78"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This finding is confirmed from another perspective, the RBV (Mailani et al., 2024). The VRIO logic (valuable, rare, inimitable, organizationally embedded) would postulate that a </w:t>
      </w:r>
      <w:r w:rsidRPr="0012475C">
        <w:rPr>
          <w:rFonts w:eastAsia="Times New Roman"/>
          <w:sz w:val="24"/>
          <w:szCs w:val="24"/>
          <w:lang w:val="en-GB"/>
        </w:rPr>
        <w:lastRenderedPageBreak/>
        <w:t>company should keep under its control activities based on valuable and rare resources, while it is beneficial to change over to contracting out activities without such resources to the company. The key resource that Primark has is centralized buying and brand-format replication; their purported local market experience, legal and tax prowess, and government relations are not something they need. This is similar to the entry-mode framework developed by Lu, Karpova and Fiore (2013), which categorises the factors involved in the choice of entry modes as three groups: firm-specific (high asset specificity, high brand equity, adequate financial capacity, and international experience); country-specific (high country risk, high cultural distance, no government or tax restrictions); and market-specific (high market potential, high market competitiveness). firm-specific factors favouring ownership and country-specific factors with high country risk, high cultural distance and a restrictive government and/or tax policy dominate the choice for Primark's first-time entry to Latin America, where the company had little or no prior experience.</w:t>
      </w:r>
    </w:p>
    <w:p w14:paraId="5038C457"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An equally important consideration is the counter-argument in favour of an 'all or nothing entry' in line with a balanced and critical line of thinking. Primark would also be able to control the rollout of stores, both for the pace and location, ensuring that the brand experience and pricing structure are maintained as they are across Europe, avoiding the dilution of margins that would result from the asking of franchise fees and maintaining control over rate negotiations, which have been key to the company picking prime real estate for ideal Primark stores. Also, as noted by Reckendrees, Gehlen and Marx (2022), using local partners can in turn lead to information asymmetries and agency risk, as the local partners’ interests in making their stores profitable (short-term goal) might clash with the parent's interests in protecting its brand equity (long-term goal). </w:t>
      </w:r>
    </w:p>
    <w:tbl>
      <w:tblPr>
        <w:tblStyle w:val="GridTable5Dark-Accent2"/>
        <w:tblW w:w="9360" w:type="dxa"/>
        <w:tblLayout w:type="fixed"/>
        <w:tblLook w:val="0600" w:firstRow="0" w:lastRow="0" w:firstColumn="0" w:lastColumn="0" w:noHBand="1" w:noVBand="1"/>
      </w:tblPr>
      <w:tblGrid>
        <w:gridCol w:w="2011"/>
        <w:gridCol w:w="1524"/>
        <w:gridCol w:w="1848"/>
        <w:gridCol w:w="1789"/>
        <w:gridCol w:w="2188"/>
      </w:tblGrid>
      <w:tr w:rsidR="00993521" w:rsidRPr="0012475C" w14:paraId="170E8245" w14:textId="77777777" w:rsidTr="00CC08CA">
        <w:trPr>
          <w:trHeight w:val="690"/>
        </w:trPr>
        <w:tc>
          <w:tcPr>
            <w:tcW w:w="2010" w:type="dxa"/>
          </w:tcPr>
          <w:p w14:paraId="2CD1204A"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Entry Mode</w:t>
            </w:r>
          </w:p>
        </w:tc>
        <w:tc>
          <w:tcPr>
            <w:tcW w:w="1523" w:type="dxa"/>
          </w:tcPr>
          <w:p w14:paraId="6DD072D3"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Risk</w:t>
            </w:r>
          </w:p>
        </w:tc>
        <w:tc>
          <w:tcPr>
            <w:tcW w:w="1848" w:type="dxa"/>
          </w:tcPr>
          <w:p w14:paraId="70D1EE7A"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Resource Commitment</w:t>
            </w:r>
          </w:p>
        </w:tc>
        <w:tc>
          <w:tcPr>
            <w:tcW w:w="1789" w:type="dxa"/>
          </w:tcPr>
          <w:p w14:paraId="40B6B8D4"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Control vs Flexibility</w:t>
            </w:r>
          </w:p>
        </w:tc>
        <w:tc>
          <w:tcPr>
            <w:tcW w:w="2188" w:type="dxa"/>
          </w:tcPr>
          <w:p w14:paraId="3CDD7641" w14:textId="77777777" w:rsidR="00993521" w:rsidRPr="0012475C" w:rsidRDefault="004C1B23" w:rsidP="0012475C">
            <w:pPr>
              <w:spacing w:after="240" w:line="360" w:lineRule="auto"/>
              <w:jc w:val="center"/>
              <w:rPr>
                <w:rFonts w:eastAsia="Times New Roman"/>
                <w:b/>
                <w:bCs/>
                <w:sz w:val="24"/>
                <w:szCs w:val="24"/>
                <w:u w:val="single"/>
                <w:lang w:val="en-GB"/>
              </w:rPr>
            </w:pPr>
            <w:r w:rsidRPr="0012475C">
              <w:rPr>
                <w:rFonts w:eastAsia="Times New Roman"/>
                <w:b/>
                <w:bCs/>
                <w:sz w:val="24"/>
                <w:szCs w:val="24"/>
                <w:u w:val="single"/>
                <w:lang w:val="en-GB"/>
              </w:rPr>
              <w:t>Strategic Fit for Brazil</w:t>
            </w:r>
          </w:p>
        </w:tc>
      </w:tr>
      <w:tr w:rsidR="00993521" w:rsidRPr="0012475C" w14:paraId="57CB1B0F" w14:textId="77777777" w:rsidTr="00CC08CA">
        <w:trPr>
          <w:trHeight w:val="1170"/>
        </w:trPr>
        <w:tc>
          <w:tcPr>
            <w:tcW w:w="2010" w:type="dxa"/>
          </w:tcPr>
          <w:p w14:paraId="22A83EB3"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 xml:space="preserve">Wholly owned subsidiary </w:t>
            </w:r>
            <w:r w:rsidRPr="0012475C">
              <w:rPr>
                <w:rFonts w:eastAsia="Times New Roman"/>
                <w:b/>
                <w:bCs/>
                <w:sz w:val="24"/>
                <w:szCs w:val="24"/>
                <w:lang w:val="en-GB"/>
              </w:rPr>
              <w:lastRenderedPageBreak/>
              <w:t>(Primark's default mode)</w:t>
            </w:r>
          </w:p>
        </w:tc>
        <w:tc>
          <w:tcPr>
            <w:tcW w:w="1523" w:type="dxa"/>
          </w:tcPr>
          <w:p w14:paraId="2B7A2442"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lastRenderedPageBreak/>
              <w:t xml:space="preserve">High: full exposure to tariff, tax and </w:t>
            </w:r>
            <w:r w:rsidRPr="0012475C">
              <w:rPr>
                <w:rFonts w:eastAsia="Times New Roman"/>
                <w:sz w:val="24"/>
                <w:szCs w:val="24"/>
                <w:lang w:val="en-GB"/>
              </w:rPr>
              <w:lastRenderedPageBreak/>
              <w:t>currency risk</w:t>
            </w:r>
          </w:p>
        </w:tc>
        <w:tc>
          <w:tcPr>
            <w:tcW w:w="1848" w:type="dxa"/>
          </w:tcPr>
          <w:p w14:paraId="07CDB98B"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lastRenderedPageBreak/>
              <w:t xml:space="preserve">Very high: capital for stores, </w:t>
            </w:r>
            <w:r w:rsidRPr="0012475C">
              <w:rPr>
                <w:rFonts w:eastAsia="Times New Roman"/>
                <w:sz w:val="24"/>
                <w:szCs w:val="24"/>
                <w:lang w:val="en-GB"/>
              </w:rPr>
              <w:lastRenderedPageBreak/>
              <w:t>logistics, compliance</w:t>
            </w:r>
          </w:p>
        </w:tc>
        <w:tc>
          <w:tcPr>
            <w:tcW w:w="1789" w:type="dxa"/>
          </w:tcPr>
          <w:p w14:paraId="7A53BA7F"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lastRenderedPageBreak/>
              <w:t>Maximum control, low flexibility</w:t>
            </w:r>
          </w:p>
        </w:tc>
        <w:tc>
          <w:tcPr>
            <w:tcW w:w="2188" w:type="dxa"/>
          </w:tcPr>
          <w:p w14:paraId="79269265"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 xml:space="preserve">Weak in the short term; mismatched to high </w:t>
            </w:r>
            <w:r w:rsidRPr="0012475C">
              <w:rPr>
                <w:rFonts w:eastAsia="Times New Roman"/>
                <w:sz w:val="24"/>
                <w:szCs w:val="24"/>
                <w:lang w:val="en-GB"/>
              </w:rPr>
              <w:lastRenderedPageBreak/>
              <w:t>cultural/legal distance</w:t>
            </w:r>
          </w:p>
        </w:tc>
      </w:tr>
      <w:tr w:rsidR="00993521" w:rsidRPr="0012475C" w14:paraId="7D3918D3" w14:textId="77777777" w:rsidTr="00CC08CA">
        <w:trPr>
          <w:trHeight w:val="1170"/>
        </w:trPr>
        <w:tc>
          <w:tcPr>
            <w:tcW w:w="2010" w:type="dxa"/>
          </w:tcPr>
          <w:p w14:paraId="25D9FDB8"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lastRenderedPageBreak/>
              <w:t>Master franchise (Alshaya-style)</w:t>
            </w:r>
          </w:p>
        </w:tc>
        <w:tc>
          <w:tcPr>
            <w:tcW w:w="1523" w:type="dxa"/>
          </w:tcPr>
          <w:p w14:paraId="36E74B91"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Low-moderate: risk transferred to local partner</w:t>
            </w:r>
          </w:p>
        </w:tc>
        <w:tc>
          <w:tcPr>
            <w:tcW w:w="1848" w:type="dxa"/>
          </w:tcPr>
          <w:p w14:paraId="624ADDB4"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Low: partner funds stores and working capital</w:t>
            </w:r>
          </w:p>
        </w:tc>
        <w:tc>
          <w:tcPr>
            <w:tcW w:w="1789" w:type="dxa"/>
          </w:tcPr>
          <w:p w14:paraId="6D282F09"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Lower control, high flexibility</w:t>
            </w:r>
          </w:p>
        </w:tc>
        <w:tc>
          <w:tcPr>
            <w:tcW w:w="2188" w:type="dxa"/>
          </w:tcPr>
          <w:p w14:paraId="39A154A5"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Strong: mirrors Primark's own precedent for distant markets</w:t>
            </w:r>
          </w:p>
        </w:tc>
      </w:tr>
      <w:tr w:rsidR="00993521" w:rsidRPr="0012475C" w14:paraId="1C5030B9" w14:textId="77777777" w:rsidTr="00CC08CA">
        <w:trPr>
          <w:trHeight w:val="1170"/>
        </w:trPr>
        <w:tc>
          <w:tcPr>
            <w:tcW w:w="2010" w:type="dxa"/>
          </w:tcPr>
          <w:p w14:paraId="127A6385"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Joint venture with local retailer</w:t>
            </w:r>
          </w:p>
        </w:tc>
        <w:tc>
          <w:tcPr>
            <w:tcW w:w="1523" w:type="dxa"/>
          </w:tcPr>
          <w:p w14:paraId="7C48AB5F"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Moderate: shared risk and reward</w:t>
            </w:r>
          </w:p>
        </w:tc>
        <w:tc>
          <w:tcPr>
            <w:tcW w:w="1848" w:type="dxa"/>
          </w:tcPr>
          <w:p w14:paraId="0AE35559" w14:textId="67767B86" w:rsidR="00993521" w:rsidRPr="0012475C" w:rsidRDefault="0012475C" w:rsidP="0012475C">
            <w:pPr>
              <w:spacing w:after="240" w:line="360" w:lineRule="auto"/>
              <w:jc w:val="center"/>
              <w:rPr>
                <w:rFonts w:eastAsia="Times New Roman"/>
                <w:sz w:val="24"/>
                <w:szCs w:val="24"/>
                <w:lang w:val="en-GB"/>
              </w:rPr>
            </w:pPr>
            <w:r w:rsidRPr="0012475C">
              <w:rPr>
                <w:rFonts w:eastAsia="Times New Roman"/>
                <w:sz w:val="24"/>
                <w:szCs w:val="24"/>
                <w:lang w:val="en-GB"/>
              </w:rPr>
              <w:t>Moderate: shared</w:t>
            </w:r>
            <w:r w:rsidR="004C1B23" w:rsidRPr="0012475C">
              <w:rPr>
                <w:rFonts w:eastAsia="Times New Roman"/>
                <w:sz w:val="24"/>
                <w:szCs w:val="24"/>
                <w:lang w:val="en-GB"/>
              </w:rPr>
              <w:t xml:space="preserve"> capital</w:t>
            </w:r>
          </w:p>
        </w:tc>
        <w:tc>
          <w:tcPr>
            <w:tcW w:w="1789" w:type="dxa"/>
          </w:tcPr>
          <w:p w14:paraId="4E4DF84B"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Shared control, moderate flexibility</w:t>
            </w:r>
          </w:p>
        </w:tc>
        <w:tc>
          <w:tcPr>
            <w:tcW w:w="2188" w:type="dxa"/>
          </w:tcPr>
          <w:p w14:paraId="203B4198"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Moderate: useful for navigating ICMS/tax complexity but dilutes standardisation</w:t>
            </w:r>
          </w:p>
        </w:tc>
      </w:tr>
      <w:tr w:rsidR="00993521" w:rsidRPr="0012475C" w14:paraId="3F72AC38" w14:textId="77777777" w:rsidTr="00CC08CA">
        <w:trPr>
          <w:trHeight w:val="1170"/>
        </w:trPr>
        <w:tc>
          <w:tcPr>
            <w:tcW w:w="2010" w:type="dxa"/>
          </w:tcPr>
          <w:p w14:paraId="4B69EE24"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Wholesale/licensing</w:t>
            </w:r>
          </w:p>
        </w:tc>
        <w:tc>
          <w:tcPr>
            <w:tcW w:w="1523" w:type="dxa"/>
          </w:tcPr>
          <w:p w14:paraId="39E1B91D"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Low</w:t>
            </w:r>
          </w:p>
        </w:tc>
        <w:tc>
          <w:tcPr>
            <w:tcW w:w="1848" w:type="dxa"/>
          </w:tcPr>
          <w:p w14:paraId="238765CE"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Very low</w:t>
            </w:r>
          </w:p>
        </w:tc>
        <w:tc>
          <w:tcPr>
            <w:tcW w:w="1789" w:type="dxa"/>
          </w:tcPr>
          <w:p w14:paraId="1C594244"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Very low control, high flexibility</w:t>
            </w:r>
          </w:p>
        </w:tc>
        <w:tc>
          <w:tcPr>
            <w:tcW w:w="2188" w:type="dxa"/>
          </w:tcPr>
          <w:p w14:paraId="274FE78C"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Weak: inconsistent with Primark's brand-experience-led store format</w:t>
            </w:r>
          </w:p>
        </w:tc>
      </w:tr>
    </w:tbl>
    <w:p w14:paraId="2D45A953" w14:textId="77777777" w:rsidR="00993521" w:rsidRPr="0012475C" w:rsidRDefault="004C1B23" w:rsidP="0012475C">
      <w:pPr>
        <w:spacing w:after="240" w:line="360" w:lineRule="auto"/>
        <w:jc w:val="center"/>
        <w:rPr>
          <w:rFonts w:eastAsia="Times New Roman"/>
          <w:b/>
          <w:bCs/>
          <w:sz w:val="24"/>
          <w:szCs w:val="24"/>
          <w:lang w:val="en-GB"/>
        </w:rPr>
      </w:pPr>
      <w:r w:rsidRPr="0012475C">
        <w:rPr>
          <w:rFonts w:eastAsia="Times New Roman"/>
          <w:b/>
          <w:bCs/>
          <w:sz w:val="24"/>
          <w:szCs w:val="24"/>
          <w:lang w:val="en-GB"/>
        </w:rPr>
        <w:t>Table 3: Comparative Evaluation of Entry Mode Options for Primark in Brazil</w:t>
      </w:r>
    </w:p>
    <w:p w14:paraId="647DABD8" w14:textId="77777777" w:rsidR="00993521" w:rsidRPr="0012475C" w:rsidRDefault="004C1B23" w:rsidP="0012475C">
      <w:pPr>
        <w:spacing w:after="240" w:line="360" w:lineRule="auto"/>
        <w:jc w:val="center"/>
        <w:rPr>
          <w:rFonts w:eastAsia="Times New Roman"/>
          <w:sz w:val="24"/>
          <w:szCs w:val="24"/>
          <w:lang w:val="en-GB"/>
        </w:rPr>
      </w:pPr>
      <w:r w:rsidRPr="0012475C">
        <w:rPr>
          <w:rFonts w:eastAsia="Times New Roman"/>
          <w:sz w:val="24"/>
          <w:szCs w:val="24"/>
          <w:lang w:val="en-GB"/>
        </w:rPr>
        <w:t>Source: (Self-Created)</w:t>
      </w:r>
    </w:p>
    <w:p w14:paraId="44365D61" w14:textId="77777777" w:rsidR="00993521" w:rsidRPr="0012475C" w:rsidRDefault="004C1B23" w:rsidP="0012475C">
      <w:pPr>
        <w:pStyle w:val="Heading2"/>
        <w:spacing w:after="240"/>
        <w:rPr>
          <w:lang w:val="en-GB"/>
        </w:rPr>
      </w:pPr>
      <w:bookmarkStart w:id="15" w:name="_Toc237289835"/>
      <w:r w:rsidRPr="0012475C">
        <w:rPr>
          <w:lang w:val="en-GB"/>
        </w:rPr>
        <w:t>3.3 Conclusion and Recommendation</w:t>
      </w:r>
      <w:bookmarkEnd w:id="15"/>
    </w:p>
    <w:p w14:paraId="74A918E5"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The foundation of Primark's global strategy is still one of aggregation and cost leadership: a reasonably standardized product, sourcing from Asia, and an asset-light, store-led strategy that takes a relatively less-adapted global approach focused on economies of scale. In markets all over Europe and the United States, this setup has proven to be effective over and over without being delivered in markets with high CAGE distance. </w:t>
      </w:r>
      <w:r w:rsidRPr="0012475C">
        <w:rPr>
          <w:rFonts w:eastAsia="Times New Roman"/>
          <w:sz w:val="24"/>
          <w:szCs w:val="24"/>
          <w:lang w:val="en-GB"/>
        </w:rPr>
        <w:lastRenderedPageBreak/>
        <w:t>Brazil is an entirely different story, however. The many pluses of this country are the vast number of young people and its booming fast-fashion market (expected to expand at close to 10.7% CAGR until 2034); however, these are counterbalanced by high cultural and administrative distances and high import taxes, as well as the “Custo Brasil” multi-layer tax regime and currency fluctuations.</w:t>
      </w:r>
    </w:p>
    <w:p w14:paraId="162CEE0C"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One way to visualize the strategic implication is Dunning's OLI. Primark has high ownership advantages (brand equity, buying power, and store-format replication) but limited internalization advantages due to a lack of previous experience in the Latin American region and high transaction costs to deal with institutions in Brazil. Thus, the transaction cost and resource-based logic favour a hybrid, as opposed to a full ownership, transaction mode.</w:t>
      </w:r>
    </w:p>
    <w:p w14:paraId="54B508B7"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The preferred approach is to establish a master-franchise collaboration to be based on a similar model put in place by Primark in the Middle East and Alshaya Group. A thoughtfully chosen Brazilian partner would be responsible for capital investment, local real estate negotiation, regulatory compliance, and the day-to-day risk of operation, while Primark would manage brand standards, merchandising, and sourcing globally. This restricts downside risk and speeds up the market learning process and allows the ability to convert successful stores into full-time stores at a later stage when institutional knowledge and scale are present. A phased strategy (first stores in São Paulo and Rio de Janeiro, then a gradual expansion) is in line with the Uppsala incrementalism and reduces the liability of foreignness.</w:t>
      </w:r>
    </w:p>
    <w:p w14:paraId="4D23FD61" w14:textId="77777777" w:rsidR="00953BCB" w:rsidRPr="0012475C" w:rsidRDefault="00953BCB" w:rsidP="0012475C">
      <w:pPr>
        <w:spacing w:after="240" w:line="360" w:lineRule="auto"/>
        <w:rPr>
          <w:b/>
          <w:color w:val="000000" w:themeColor="text1"/>
          <w:sz w:val="28"/>
          <w:szCs w:val="40"/>
          <w:lang w:val="en-GB"/>
        </w:rPr>
      </w:pPr>
      <w:r w:rsidRPr="0012475C">
        <w:rPr>
          <w:lang w:val="en-GB"/>
        </w:rPr>
        <w:br w:type="page"/>
      </w:r>
    </w:p>
    <w:p w14:paraId="401C43D3" w14:textId="1C10D765" w:rsidR="00993521" w:rsidRPr="0012475C" w:rsidRDefault="004C1B23" w:rsidP="0012475C">
      <w:pPr>
        <w:pStyle w:val="Heading1"/>
        <w:spacing w:after="240"/>
        <w:rPr>
          <w:lang w:val="en-GB"/>
        </w:rPr>
      </w:pPr>
      <w:bookmarkStart w:id="16" w:name="_Toc237289836"/>
      <w:r w:rsidRPr="0012475C">
        <w:rPr>
          <w:lang w:val="en-GB"/>
        </w:rPr>
        <w:lastRenderedPageBreak/>
        <w:t>Section 2: Reflection</w:t>
      </w:r>
      <w:bookmarkEnd w:id="16"/>
      <w:r w:rsidRPr="0012475C">
        <w:rPr>
          <w:lang w:val="en-GB"/>
        </w:rPr>
        <w:t xml:space="preserve"> </w:t>
      </w:r>
    </w:p>
    <w:p w14:paraId="1762CC59" w14:textId="77777777" w:rsidR="00993521" w:rsidRPr="0012475C" w:rsidRDefault="004C1B23" w:rsidP="0012475C">
      <w:pPr>
        <w:numPr>
          <w:ilvl w:val="0"/>
          <w:numId w:val="3"/>
        </w:numPr>
        <w:spacing w:after="240" w:line="360" w:lineRule="auto"/>
        <w:jc w:val="both"/>
        <w:rPr>
          <w:rFonts w:eastAsia="Times New Roman"/>
          <w:b/>
          <w:bCs/>
          <w:sz w:val="24"/>
          <w:szCs w:val="24"/>
          <w:lang w:val="en-GB"/>
        </w:rPr>
      </w:pPr>
      <w:r w:rsidRPr="0012475C">
        <w:rPr>
          <w:rFonts w:eastAsia="Times New Roman"/>
          <w:b/>
          <w:bCs/>
          <w:sz w:val="24"/>
          <w:szCs w:val="24"/>
          <w:lang w:val="en-GB"/>
        </w:rPr>
        <w:t>Concrete Experience</w:t>
      </w:r>
    </w:p>
    <w:p w14:paraId="44462BE1" w14:textId="698FD3BF"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To create the Conclusion and Recommendations section of the Primark–Brazil international business assessment, I needed to combine the previous analysis of the organizational strategy, host country attractiveness, and entry mode options and make the judgments at the end, supported by the evidence. The challenge was to create around 300 words that accurately communicate Primark's aggregation-based global strategy while accounting for the scale and rapid expansion of the Brazilian fast-fashion market, combined with high CAGE, tariff, and institutional hurdles and complexities, and highlight the recommendation for a master-franchise opportunity based on the firm's aggregation approach with Alshaya. I started with a re-read of the entire report, pulled out the most significant points in regard to the Bartlett-Ghoshal, PESTLE/OLI tables, and the comparative evaluation of entry modes, and wrote successive versions for which opportunity matched risk and which were consistent with how the firm has behaved in the </w:t>
      </w:r>
      <w:r w:rsidR="0012475C" w:rsidRPr="0012475C">
        <w:rPr>
          <w:rFonts w:eastAsia="Times New Roman"/>
          <w:sz w:val="24"/>
          <w:szCs w:val="24"/>
          <w:lang w:val="en-GB"/>
        </w:rPr>
        <w:t>past; wholly</w:t>
      </w:r>
      <w:r w:rsidRPr="0012475C">
        <w:rPr>
          <w:rFonts w:eastAsia="Times New Roman"/>
          <w:sz w:val="24"/>
          <w:szCs w:val="24"/>
          <w:lang w:val="en-GB"/>
        </w:rPr>
        <w:t xml:space="preserve"> owned entry in nearby markets and contractual entry in faraway markets.</w:t>
      </w:r>
    </w:p>
    <w:p w14:paraId="530E1D65" w14:textId="77777777" w:rsidR="00993521" w:rsidRPr="0012475C" w:rsidRDefault="004C1B23" w:rsidP="0012475C">
      <w:pPr>
        <w:numPr>
          <w:ilvl w:val="0"/>
          <w:numId w:val="1"/>
        </w:numPr>
        <w:spacing w:after="240" w:line="360" w:lineRule="auto"/>
        <w:jc w:val="both"/>
        <w:rPr>
          <w:rFonts w:eastAsia="Times New Roman"/>
          <w:b/>
          <w:bCs/>
          <w:sz w:val="24"/>
          <w:szCs w:val="24"/>
          <w:lang w:val="en-GB"/>
        </w:rPr>
      </w:pPr>
      <w:r w:rsidRPr="0012475C">
        <w:rPr>
          <w:rFonts w:eastAsia="Times New Roman"/>
          <w:b/>
          <w:bCs/>
          <w:sz w:val="24"/>
          <w:szCs w:val="24"/>
          <w:lang w:val="en-GB"/>
        </w:rPr>
        <w:t>Reflective Observation</w:t>
      </w:r>
    </w:p>
    <w:p w14:paraId="5F8A908B"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In making various copies, I noticed a few patterns. First, the desire to merely restate earlier portions was strong; each revision had to be more selective and ensure that the conclusion was moving forward and not simply replicating the argument. Second, there was some pain in the analysis around the tension between market attractiveness (scale and growth) and the lack of internalization advantages identified in the OLI analysis. I was originally inclined to go with the totally owned subsidiary, as it is what Primark normally does; however, the information on cultural distance, the risk of “Custo Brasil” and the lack of experience working in Latin America pushed the recommendation in favour of the less ambitious route of a franchise. From the context, I knew from myself how decisions are made; I was able to see how much confirmation bias trumps context-specific evidence in favour of familiar organizational routines. The text length was a challenge, as incorporating several frameworks into such a short word count also meant prioritising certain factors over others and a constant discarding of detail: ownership strength, </w:t>
      </w:r>
      <w:r w:rsidRPr="0012475C">
        <w:rPr>
          <w:rFonts w:eastAsia="Times New Roman"/>
          <w:sz w:val="24"/>
          <w:szCs w:val="24"/>
          <w:lang w:val="en-GB"/>
        </w:rPr>
        <w:lastRenderedPageBreak/>
        <w:t>location advantages, and the weakness of the internalisation framework were the key points.</w:t>
      </w:r>
    </w:p>
    <w:p w14:paraId="61D81111" w14:textId="77777777" w:rsidR="00993521" w:rsidRPr="0012475C" w:rsidRDefault="004C1B23" w:rsidP="0012475C">
      <w:pPr>
        <w:numPr>
          <w:ilvl w:val="0"/>
          <w:numId w:val="4"/>
        </w:numPr>
        <w:spacing w:after="240" w:line="360" w:lineRule="auto"/>
        <w:jc w:val="both"/>
        <w:rPr>
          <w:rFonts w:eastAsia="Times New Roman"/>
          <w:b/>
          <w:bCs/>
          <w:sz w:val="24"/>
          <w:szCs w:val="24"/>
          <w:lang w:val="en-GB"/>
        </w:rPr>
      </w:pPr>
      <w:r w:rsidRPr="0012475C">
        <w:rPr>
          <w:rFonts w:eastAsia="Times New Roman"/>
          <w:b/>
          <w:bCs/>
          <w:sz w:val="24"/>
          <w:szCs w:val="24"/>
          <w:lang w:val="en-GB"/>
        </w:rPr>
        <w:t>Abstract Conceptualisation</w:t>
      </w:r>
    </w:p>
    <w:p w14:paraId="39139A95"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t>These observations became more articulate in the form of theories. The Kolb cycle itself got crystallized: the concrete experience of writing the conclusion, the reflective observation by me relating to my own biases, and the end conceptualization by me of why hybrid governance many times would triumph in high-distance emerging markets. All course readings and lectures about the Uppsala model reinforced the lessons of incremental commitment, while Primark's strategy of targeting markets first and starting out with franchising in the Middle East confirmed that the model was still relevant. The OLI paradigm was revisited in the recent applications, which ensured that strong ownership advantages do not necessarily result in full ownership as is the case when internalization advantages are weak (Amankwah-Amoah et al., 2022). The transaction costs theory and resource view also supported why Primark's key assets such as centralized purchasing and the format of the Primark brand can be secured in contracts, and local knowledge can be secured through a partner (Wan et al., 2022). Discussions in seminars and classes led me to explore the CAGE framework postulated by Ghemawat and Bartlett and Ghoshal's integration-responsiveness lens, which allowed me to think of Brazil as a high-distance market, where aggregation needed to be balanced with some selective adaptation through a local franchisee. Literature for reflective practice in business education also revealed advantages for critical thinking in the field of international business in relation to formal reflection mechanisms to assess internationally complex entry decisions (Elo, Torkkeli and Velt, 2022). Finally, efforts on non-traditional and hybrid entry modes highlighted that franchising can act as a bridge of real options instead of a loss of management control for good (Brouthers et al., 2022). These ideas combined themselves to create an integrated decision logic out of previously stand-alone analytical tools.</w:t>
      </w:r>
    </w:p>
    <w:p w14:paraId="401E2510" w14:textId="77777777" w:rsidR="00993521" w:rsidRPr="0012475C" w:rsidRDefault="004C1B23" w:rsidP="0012475C">
      <w:pPr>
        <w:numPr>
          <w:ilvl w:val="0"/>
          <w:numId w:val="2"/>
        </w:numPr>
        <w:spacing w:after="240" w:line="360" w:lineRule="auto"/>
        <w:jc w:val="both"/>
        <w:rPr>
          <w:rFonts w:eastAsia="Times New Roman"/>
          <w:b/>
          <w:bCs/>
          <w:sz w:val="24"/>
          <w:szCs w:val="24"/>
          <w:lang w:val="en-GB"/>
        </w:rPr>
      </w:pPr>
      <w:r w:rsidRPr="0012475C">
        <w:rPr>
          <w:rFonts w:eastAsia="Times New Roman"/>
          <w:b/>
          <w:bCs/>
          <w:sz w:val="24"/>
          <w:szCs w:val="24"/>
          <w:lang w:val="en-GB"/>
        </w:rPr>
        <w:t>Active Experimentation</w:t>
      </w:r>
    </w:p>
    <w:p w14:paraId="5F80B5F8" w14:textId="77777777" w:rsidR="00993521" w:rsidRPr="0012475C" w:rsidRDefault="004C1B23"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The learning generated by this cycle will influence practice. In later reviews I will start the synthesis earlier, making a 1-page ‘decision matrix’ of entry modes against the determining OLI and CAGE factors, then write the prose text; this should minimize the iterative process seen here. In my analysis of real or case-based expansion opportunities, I will intentionally explore the original "default" preference for high control modes in the light of institutional distance and preceding regional experience, using the franchising or joint venture modes as first rather than second choice options. I plan to use Kolb's cycle more deliberately in group work. After the completion of every big analytical phase, the group will stop and do a structured reflection and then go to the conceptualization and recommendation phase. Foreignness and the importance and value of local complementary assets in course material have forever changed a previous belief that having scale and a strong brand in the emerging markets was enough for full ownership. The Primark–Brazil exercise therefore reminds me of two things: first, how valuable multi-framework analysis is; and second, how dangerous it is to apply home-market practices to very distant institutions.</w:t>
      </w:r>
      <w:r w:rsidRPr="0012475C">
        <w:rPr>
          <w:lang w:val="en-GB"/>
        </w:rPr>
        <w:br w:type="page"/>
      </w:r>
    </w:p>
    <w:p w14:paraId="67D1DF28" w14:textId="77777777" w:rsidR="00993521" w:rsidRPr="0012475C" w:rsidRDefault="004C1B23" w:rsidP="0012475C">
      <w:pPr>
        <w:pStyle w:val="Heading1"/>
        <w:spacing w:after="240"/>
        <w:rPr>
          <w:b w:val="0"/>
          <w:lang w:val="en-GB"/>
        </w:rPr>
      </w:pPr>
      <w:bookmarkStart w:id="17" w:name="_pnebf5unmd3u" w:colFirst="0" w:colLast="0"/>
      <w:bookmarkStart w:id="18" w:name="_Toc237289837"/>
      <w:bookmarkEnd w:id="17"/>
      <w:r w:rsidRPr="0012475C">
        <w:rPr>
          <w:lang w:val="en-GB"/>
        </w:rPr>
        <w:lastRenderedPageBreak/>
        <w:t>Reference List</w:t>
      </w:r>
      <w:bookmarkEnd w:id="18"/>
    </w:p>
    <w:p w14:paraId="32FA1176"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ABF (2022). </w:t>
      </w:r>
      <w:r w:rsidRPr="0012475C">
        <w:rPr>
          <w:rFonts w:eastAsia="Times New Roman"/>
          <w:i/>
          <w:iCs/>
          <w:sz w:val="24"/>
          <w:szCs w:val="24"/>
          <w:lang w:val="en-GB"/>
        </w:rPr>
        <w:t>Retail</w:t>
      </w:r>
      <w:r w:rsidRPr="0012475C">
        <w:rPr>
          <w:rFonts w:eastAsia="Times New Roman"/>
          <w:sz w:val="24"/>
          <w:szCs w:val="24"/>
          <w:lang w:val="en-GB"/>
        </w:rPr>
        <w:t xml:space="preserve">. [online] </w:t>
      </w:r>
      <w:r w:rsidRPr="0012475C">
        <w:rPr>
          <w:rFonts w:eastAsia="Times New Roman"/>
          <w:i/>
          <w:iCs/>
          <w:sz w:val="24"/>
          <w:szCs w:val="24"/>
          <w:lang w:val="en-GB"/>
        </w:rPr>
        <w:t>ABF Corporate</w:t>
      </w:r>
      <w:r w:rsidRPr="0012475C">
        <w:rPr>
          <w:rFonts w:eastAsia="Times New Roman"/>
          <w:sz w:val="24"/>
          <w:szCs w:val="24"/>
          <w:lang w:val="en-GB"/>
        </w:rPr>
        <w:t xml:space="preserve">. Available at: </w:t>
      </w:r>
      <w:hyperlink r:id="rId19">
        <w:r w:rsidRPr="0012475C">
          <w:rPr>
            <w:rFonts w:eastAsia="Times New Roman"/>
            <w:color w:val="1155CC"/>
            <w:sz w:val="24"/>
            <w:szCs w:val="24"/>
            <w:u w:val="single"/>
            <w:lang w:val="en-GB"/>
          </w:rPr>
          <w:t>https://www.abf.co.uk/our-businesses/retail</w:t>
        </w:r>
      </w:hyperlink>
      <w:r w:rsidRPr="0012475C">
        <w:rPr>
          <w:rFonts w:eastAsia="Times New Roman"/>
          <w:sz w:val="24"/>
          <w:szCs w:val="24"/>
          <w:lang w:val="en-GB"/>
        </w:rPr>
        <w:t xml:space="preserve"> [Accessed 10 Aug. 2026].</w:t>
      </w:r>
    </w:p>
    <w:p w14:paraId="3E7CA54D"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Amankwah-Amoah, J., Adomako, S., Danquah, J.K., Opoku, R.A. and Zahoor, N. (2022). Foreign market knowledge, entry mode choice and SME international performance in an emerging market. </w:t>
      </w:r>
      <w:r w:rsidRPr="0012475C">
        <w:rPr>
          <w:rFonts w:eastAsia="Times New Roman"/>
          <w:i/>
          <w:iCs/>
          <w:sz w:val="24"/>
          <w:szCs w:val="24"/>
          <w:lang w:val="en-GB"/>
        </w:rPr>
        <w:t>Journal of International Management</w:t>
      </w:r>
      <w:r w:rsidRPr="0012475C">
        <w:rPr>
          <w:rFonts w:eastAsia="Times New Roman"/>
          <w:sz w:val="24"/>
          <w:szCs w:val="24"/>
          <w:lang w:val="en-GB"/>
        </w:rPr>
        <w:t>, [online] 28(4), p.100955. doi:10.1016/j.intman.2022.100955.</w:t>
      </w:r>
    </w:p>
    <w:p w14:paraId="4EDE45C0"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Arvidsson, H.G.S. and Arvidsson, R. (2020). </w:t>
      </w:r>
      <w:r w:rsidRPr="0012475C">
        <w:rPr>
          <w:rFonts w:eastAsia="Times New Roman"/>
          <w:i/>
          <w:iCs/>
          <w:sz w:val="24"/>
          <w:szCs w:val="24"/>
          <w:lang w:val="en-GB"/>
        </w:rPr>
        <w:t>The uppsala model of internationalisation and beyond:</w:t>
      </w:r>
      <w:r w:rsidRPr="0012475C">
        <w:rPr>
          <w:rFonts w:eastAsia="Times New Roman"/>
          <w:sz w:val="24"/>
          <w:szCs w:val="24"/>
          <w:lang w:val="en-GB"/>
        </w:rPr>
        <w:t xml:space="preserve">. [online] </w:t>
      </w:r>
      <w:r w:rsidRPr="0012475C">
        <w:rPr>
          <w:rFonts w:eastAsia="Times New Roman"/>
          <w:i/>
          <w:iCs/>
          <w:sz w:val="24"/>
          <w:szCs w:val="24"/>
          <w:lang w:val="en-GB"/>
        </w:rPr>
        <w:t>ResearchGate</w:t>
      </w:r>
      <w:r w:rsidRPr="0012475C">
        <w:rPr>
          <w:rFonts w:eastAsia="Times New Roman"/>
          <w:sz w:val="24"/>
          <w:szCs w:val="24"/>
          <w:lang w:val="en-GB"/>
        </w:rPr>
        <w:t xml:space="preserve">. Available at: </w:t>
      </w:r>
      <w:hyperlink r:id="rId20">
        <w:r w:rsidRPr="0012475C">
          <w:rPr>
            <w:rFonts w:eastAsia="Times New Roman"/>
            <w:color w:val="1155CC"/>
            <w:sz w:val="24"/>
            <w:szCs w:val="24"/>
            <w:u w:val="single"/>
            <w:lang w:val="en-GB"/>
          </w:rPr>
          <w:t>https://www.researchgate.net/publication/340756944_The_Uppsala_Model_of_internationalisation_and_beyond</w:t>
        </w:r>
      </w:hyperlink>
      <w:r w:rsidRPr="0012475C">
        <w:rPr>
          <w:rFonts w:eastAsia="Times New Roman"/>
          <w:sz w:val="24"/>
          <w:szCs w:val="24"/>
          <w:lang w:val="en-GB"/>
        </w:rPr>
        <w:t xml:space="preserve"> [Accessed 10 Aug. 2026].</w:t>
      </w:r>
    </w:p>
    <w:p w14:paraId="4026BB3B"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Bricscci.com (2025). </w:t>
      </w:r>
      <w:r w:rsidRPr="0012475C">
        <w:rPr>
          <w:rFonts w:eastAsia="Times New Roman"/>
          <w:i/>
          <w:iCs/>
          <w:sz w:val="24"/>
          <w:szCs w:val="24"/>
          <w:lang w:val="en-GB"/>
        </w:rPr>
        <w:t>Brazil – BRICS CCI</w:t>
      </w:r>
      <w:r w:rsidRPr="0012475C">
        <w:rPr>
          <w:rFonts w:eastAsia="Times New Roman"/>
          <w:sz w:val="24"/>
          <w:szCs w:val="24"/>
          <w:lang w:val="en-GB"/>
        </w:rPr>
        <w:t xml:space="preserve">. [online] </w:t>
      </w:r>
      <w:r w:rsidRPr="0012475C">
        <w:rPr>
          <w:rFonts w:eastAsia="Times New Roman"/>
          <w:i/>
          <w:iCs/>
          <w:sz w:val="24"/>
          <w:szCs w:val="24"/>
          <w:lang w:val="en-GB"/>
        </w:rPr>
        <w:t>Bricscci.com</w:t>
      </w:r>
      <w:r w:rsidRPr="0012475C">
        <w:rPr>
          <w:rFonts w:eastAsia="Times New Roman"/>
          <w:sz w:val="24"/>
          <w:szCs w:val="24"/>
          <w:lang w:val="en-GB"/>
        </w:rPr>
        <w:t xml:space="preserve">. Available at: </w:t>
      </w:r>
      <w:hyperlink r:id="rId21">
        <w:r w:rsidRPr="0012475C">
          <w:rPr>
            <w:rFonts w:eastAsia="Times New Roman"/>
            <w:color w:val="1155CC"/>
            <w:sz w:val="24"/>
            <w:szCs w:val="24"/>
            <w:u w:val="single"/>
            <w:lang w:val="en-GB"/>
          </w:rPr>
          <w:t>https://bricscci.com/brics-countries/brazil/</w:t>
        </w:r>
      </w:hyperlink>
      <w:r w:rsidRPr="0012475C">
        <w:rPr>
          <w:rFonts w:eastAsia="Times New Roman"/>
          <w:sz w:val="24"/>
          <w:szCs w:val="24"/>
          <w:lang w:val="en-GB"/>
        </w:rPr>
        <w:t xml:space="preserve"> [Accessed 10 Aug. 2026].</w:t>
      </w:r>
    </w:p>
    <w:p w14:paraId="28E9902A"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Brouthers, K.D., Chen, L., Li, S. and Shaheer, N. (2022). Charting new courses to enter foreign markets: Conceptualization, theoretical framework, and research directions on non-traditional entry modes. </w:t>
      </w:r>
      <w:r w:rsidRPr="0012475C">
        <w:rPr>
          <w:rFonts w:eastAsia="Times New Roman"/>
          <w:i/>
          <w:iCs/>
          <w:sz w:val="24"/>
          <w:szCs w:val="24"/>
          <w:lang w:val="en-GB"/>
        </w:rPr>
        <w:t>Journal of International Business Studies</w:t>
      </w:r>
      <w:r w:rsidRPr="0012475C">
        <w:rPr>
          <w:rFonts w:eastAsia="Times New Roman"/>
          <w:sz w:val="24"/>
          <w:szCs w:val="24"/>
          <w:lang w:val="en-GB"/>
        </w:rPr>
        <w:t>, [online] 53(9), pp.2088–2115. doi:</w:t>
      </w:r>
      <w:hyperlink r:id="rId22">
        <w:r w:rsidRPr="0012475C">
          <w:rPr>
            <w:rFonts w:eastAsia="Times New Roman"/>
            <w:color w:val="1155CC"/>
            <w:sz w:val="24"/>
            <w:szCs w:val="24"/>
            <w:u w:val="single"/>
            <w:lang w:val="en-GB"/>
          </w:rPr>
          <w:t>https://www.ncbi.nlm.nih.gov/pmc/articles/PMC9030681/</w:t>
        </w:r>
      </w:hyperlink>
      <w:r w:rsidRPr="0012475C">
        <w:rPr>
          <w:rFonts w:eastAsia="Times New Roman"/>
          <w:sz w:val="24"/>
          <w:szCs w:val="24"/>
          <w:lang w:val="en-GB"/>
        </w:rPr>
        <w:t xml:space="preserve">. </w:t>
      </w:r>
    </w:p>
    <w:p w14:paraId="234C6AE9"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Burrier, G. (2020). </w:t>
      </w:r>
      <w:r w:rsidRPr="0012475C">
        <w:rPr>
          <w:rFonts w:eastAsia="Times New Roman"/>
          <w:i/>
          <w:iCs/>
          <w:sz w:val="24"/>
          <w:szCs w:val="24"/>
          <w:lang w:val="en-GB"/>
        </w:rPr>
        <w:t>(Brazil) government structure and processes</w:t>
      </w:r>
      <w:r w:rsidRPr="0012475C">
        <w:rPr>
          <w:rFonts w:eastAsia="Times New Roman"/>
          <w:sz w:val="24"/>
          <w:szCs w:val="24"/>
          <w:lang w:val="en-GB"/>
        </w:rPr>
        <w:t xml:space="preserve">. [online] </w:t>
      </w:r>
      <w:r w:rsidRPr="0012475C">
        <w:rPr>
          <w:rFonts w:eastAsia="Times New Roman"/>
          <w:i/>
          <w:iCs/>
          <w:sz w:val="24"/>
          <w:szCs w:val="24"/>
          <w:lang w:val="en-GB"/>
        </w:rPr>
        <w:t>ResearchGate</w:t>
      </w:r>
      <w:r w:rsidRPr="0012475C">
        <w:rPr>
          <w:rFonts w:eastAsia="Times New Roman"/>
          <w:sz w:val="24"/>
          <w:szCs w:val="24"/>
          <w:lang w:val="en-GB"/>
        </w:rPr>
        <w:t xml:space="preserve">. unknown. Available at: </w:t>
      </w:r>
      <w:hyperlink r:id="rId23">
        <w:r w:rsidRPr="0012475C">
          <w:rPr>
            <w:rFonts w:eastAsia="Times New Roman"/>
            <w:color w:val="1155CC"/>
            <w:sz w:val="24"/>
            <w:szCs w:val="24"/>
            <w:u w:val="single"/>
            <w:lang w:val="en-GB"/>
          </w:rPr>
          <w:t>https://www.researchgate.net/publication/346966428_6_Brazil_Government_Structure_and_Processes</w:t>
        </w:r>
      </w:hyperlink>
      <w:r w:rsidRPr="0012475C">
        <w:rPr>
          <w:rFonts w:eastAsia="Times New Roman"/>
          <w:sz w:val="24"/>
          <w:szCs w:val="24"/>
          <w:lang w:val="en-GB"/>
        </w:rPr>
        <w:t xml:space="preserve"> [Accessed 10 Aug. 2026].</w:t>
      </w:r>
    </w:p>
    <w:p w14:paraId="45AE2358"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CFI (2022). </w:t>
      </w:r>
      <w:r w:rsidRPr="0012475C">
        <w:rPr>
          <w:rFonts w:eastAsia="Times New Roman"/>
          <w:i/>
          <w:iCs/>
          <w:sz w:val="24"/>
          <w:szCs w:val="24"/>
          <w:lang w:val="en-GB"/>
        </w:rPr>
        <w:t>Eclectic paradigm</w:t>
      </w:r>
      <w:r w:rsidRPr="0012475C">
        <w:rPr>
          <w:rFonts w:eastAsia="Times New Roman"/>
          <w:sz w:val="24"/>
          <w:szCs w:val="24"/>
          <w:lang w:val="en-GB"/>
        </w:rPr>
        <w:t xml:space="preserve">. [online] </w:t>
      </w:r>
      <w:r w:rsidRPr="0012475C">
        <w:rPr>
          <w:rFonts w:eastAsia="Times New Roman"/>
          <w:i/>
          <w:iCs/>
          <w:sz w:val="24"/>
          <w:szCs w:val="24"/>
          <w:lang w:val="en-GB"/>
        </w:rPr>
        <w:t>Corporate Finance Institute</w:t>
      </w:r>
      <w:r w:rsidRPr="0012475C">
        <w:rPr>
          <w:rFonts w:eastAsia="Times New Roman"/>
          <w:sz w:val="24"/>
          <w:szCs w:val="24"/>
          <w:lang w:val="en-GB"/>
        </w:rPr>
        <w:t xml:space="preserve">. Available at: </w:t>
      </w:r>
      <w:hyperlink r:id="rId24">
        <w:r w:rsidRPr="0012475C">
          <w:rPr>
            <w:rFonts w:eastAsia="Times New Roman"/>
            <w:color w:val="1155CC"/>
            <w:sz w:val="24"/>
            <w:szCs w:val="24"/>
            <w:u w:val="single"/>
            <w:lang w:val="en-GB"/>
          </w:rPr>
          <w:t>https://corporatefinanceinstitute.com/resources/management/eclectic-paradigm/</w:t>
        </w:r>
      </w:hyperlink>
      <w:r w:rsidRPr="0012475C">
        <w:rPr>
          <w:rFonts w:eastAsia="Times New Roman"/>
          <w:sz w:val="24"/>
          <w:szCs w:val="24"/>
          <w:lang w:val="en-GB"/>
        </w:rPr>
        <w:t xml:space="preserve"> [Accessed 10 Aug. 2026].</w:t>
      </w:r>
    </w:p>
    <w:p w14:paraId="448EB15F"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 xml:space="preserve">Commission.europa.eu (2024). </w:t>
      </w:r>
      <w:r w:rsidRPr="0012475C">
        <w:rPr>
          <w:rFonts w:eastAsia="Times New Roman"/>
          <w:i/>
          <w:iCs/>
          <w:sz w:val="24"/>
          <w:szCs w:val="24"/>
          <w:lang w:val="en-GB"/>
        </w:rPr>
        <w:t>The EU-Mercosur trade agreement</w:t>
      </w:r>
      <w:r w:rsidRPr="0012475C">
        <w:rPr>
          <w:rFonts w:eastAsia="Times New Roman"/>
          <w:sz w:val="24"/>
          <w:szCs w:val="24"/>
          <w:lang w:val="en-GB"/>
        </w:rPr>
        <w:t xml:space="preserve">. [online] </w:t>
      </w:r>
      <w:r w:rsidRPr="0012475C">
        <w:rPr>
          <w:rFonts w:eastAsia="Times New Roman"/>
          <w:i/>
          <w:iCs/>
          <w:sz w:val="24"/>
          <w:szCs w:val="24"/>
          <w:lang w:val="en-GB"/>
        </w:rPr>
        <w:t>European Commission</w:t>
      </w:r>
      <w:r w:rsidRPr="0012475C">
        <w:rPr>
          <w:rFonts w:eastAsia="Times New Roman"/>
          <w:sz w:val="24"/>
          <w:szCs w:val="24"/>
          <w:lang w:val="en-GB"/>
        </w:rPr>
        <w:t xml:space="preserve">. Available at: </w:t>
      </w:r>
      <w:hyperlink r:id="rId25">
        <w:r w:rsidRPr="0012475C">
          <w:rPr>
            <w:rFonts w:eastAsia="Times New Roman"/>
            <w:color w:val="1155CC"/>
            <w:sz w:val="24"/>
            <w:szCs w:val="24"/>
            <w:u w:val="single"/>
            <w:lang w:val="en-GB"/>
          </w:rPr>
          <w:t>https://commission.europa.eu/topics/trade/eu-mercosur-trade-agreement_en</w:t>
        </w:r>
      </w:hyperlink>
      <w:r w:rsidRPr="0012475C">
        <w:rPr>
          <w:rFonts w:eastAsia="Times New Roman"/>
          <w:sz w:val="24"/>
          <w:szCs w:val="24"/>
          <w:lang w:val="en-GB"/>
        </w:rPr>
        <w:t xml:space="preserve"> [Accessed 10 Aug. 2026].</w:t>
      </w:r>
    </w:p>
    <w:p w14:paraId="31377183"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Cruz, C.B.B. da, Floriani, D.E. and Amal, M. (2020). The OLI paradigm as a comprehensive model of FDI determinants: A sub-national approach. </w:t>
      </w:r>
      <w:r w:rsidRPr="0012475C">
        <w:rPr>
          <w:rFonts w:eastAsia="Times New Roman"/>
          <w:i/>
          <w:iCs/>
          <w:sz w:val="24"/>
          <w:szCs w:val="24"/>
          <w:lang w:val="en-GB"/>
        </w:rPr>
        <w:t>International Journal of Emerging Markets</w:t>
      </w:r>
      <w:r w:rsidRPr="0012475C">
        <w:rPr>
          <w:rFonts w:eastAsia="Times New Roman"/>
          <w:sz w:val="24"/>
          <w:szCs w:val="24"/>
          <w:lang w:val="en-GB"/>
        </w:rPr>
        <w:t>, [online] 17(1), pp.145–176. doi:</w:t>
      </w:r>
      <w:hyperlink r:id="rId26">
        <w:r w:rsidRPr="0012475C">
          <w:rPr>
            <w:rFonts w:eastAsia="Times New Roman"/>
            <w:color w:val="1155CC"/>
            <w:sz w:val="24"/>
            <w:szCs w:val="24"/>
            <w:u w:val="single"/>
            <w:lang w:val="en-GB"/>
          </w:rPr>
          <w:t>https://doi.org/10.1108/IJOEM-07-2019-0517</w:t>
        </w:r>
      </w:hyperlink>
      <w:r w:rsidRPr="0012475C">
        <w:rPr>
          <w:rFonts w:eastAsia="Times New Roman"/>
          <w:sz w:val="24"/>
          <w:szCs w:val="24"/>
          <w:lang w:val="en-GB"/>
        </w:rPr>
        <w:t xml:space="preserve">. </w:t>
      </w:r>
    </w:p>
    <w:p w14:paraId="370A8CED"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Cuofano, G. (2020). </w:t>
      </w:r>
      <w:r w:rsidRPr="0012475C">
        <w:rPr>
          <w:rFonts w:eastAsia="Times New Roman"/>
          <w:i/>
          <w:iCs/>
          <w:sz w:val="24"/>
          <w:szCs w:val="24"/>
          <w:lang w:val="en-GB"/>
        </w:rPr>
        <w:t>What is the CAGE distance framework and how to use it</w:t>
      </w:r>
      <w:r w:rsidRPr="0012475C">
        <w:rPr>
          <w:rFonts w:eastAsia="Times New Roman"/>
          <w:sz w:val="24"/>
          <w:szCs w:val="24"/>
          <w:lang w:val="en-GB"/>
        </w:rPr>
        <w:t xml:space="preserve">. [online] </w:t>
      </w:r>
      <w:r w:rsidRPr="0012475C">
        <w:rPr>
          <w:rFonts w:eastAsia="Times New Roman"/>
          <w:i/>
          <w:iCs/>
          <w:sz w:val="24"/>
          <w:szCs w:val="24"/>
          <w:lang w:val="en-GB"/>
        </w:rPr>
        <w:t>FourWeekMBA</w:t>
      </w:r>
      <w:r w:rsidRPr="0012475C">
        <w:rPr>
          <w:rFonts w:eastAsia="Times New Roman"/>
          <w:sz w:val="24"/>
          <w:szCs w:val="24"/>
          <w:lang w:val="en-GB"/>
        </w:rPr>
        <w:t xml:space="preserve">. Available at: </w:t>
      </w:r>
      <w:hyperlink r:id="rId27">
        <w:r w:rsidRPr="0012475C">
          <w:rPr>
            <w:rFonts w:eastAsia="Times New Roman"/>
            <w:color w:val="1155CC"/>
            <w:sz w:val="24"/>
            <w:szCs w:val="24"/>
            <w:u w:val="single"/>
            <w:lang w:val="en-GB"/>
          </w:rPr>
          <w:t>https://fourweekmba.com/cage-distance-framework/</w:t>
        </w:r>
      </w:hyperlink>
      <w:r w:rsidRPr="0012475C">
        <w:rPr>
          <w:rFonts w:eastAsia="Times New Roman"/>
          <w:sz w:val="24"/>
          <w:szCs w:val="24"/>
          <w:lang w:val="en-GB"/>
        </w:rPr>
        <w:t xml:space="preserve"> [Accessed 10 Aug. 2026].</w:t>
      </w:r>
    </w:p>
    <w:p w14:paraId="2ACD2DE0"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Dean, G. (2026). Primark cuts prices as it feels pressure from Shein and Temu. </w:t>
      </w:r>
      <w:r w:rsidRPr="0012475C">
        <w:rPr>
          <w:rFonts w:eastAsia="Times New Roman"/>
          <w:i/>
          <w:iCs/>
          <w:sz w:val="24"/>
          <w:szCs w:val="24"/>
          <w:lang w:val="en-GB"/>
        </w:rPr>
        <w:t>BBC</w:t>
      </w:r>
      <w:r w:rsidRPr="0012475C">
        <w:rPr>
          <w:rFonts w:eastAsia="Times New Roman"/>
          <w:sz w:val="24"/>
          <w:szCs w:val="24"/>
          <w:lang w:val="en-GB"/>
        </w:rPr>
        <w:t xml:space="preserve">. [online] 26 July. Available at: </w:t>
      </w:r>
      <w:hyperlink r:id="rId28">
        <w:r w:rsidRPr="0012475C">
          <w:rPr>
            <w:rFonts w:eastAsia="Times New Roman"/>
            <w:color w:val="1155CC"/>
            <w:sz w:val="24"/>
            <w:szCs w:val="24"/>
            <w:u w:val="single"/>
            <w:lang w:val="en-GB"/>
          </w:rPr>
          <w:t>https://www.bbc.com/news/articles/c4g3x4j8pgro</w:t>
        </w:r>
      </w:hyperlink>
      <w:r w:rsidRPr="0012475C">
        <w:rPr>
          <w:rFonts w:eastAsia="Times New Roman"/>
          <w:sz w:val="24"/>
          <w:szCs w:val="24"/>
          <w:lang w:val="en-GB"/>
        </w:rPr>
        <w:t xml:space="preserve"> [Accessed 10 Aug. 2026].</w:t>
      </w:r>
    </w:p>
    <w:p w14:paraId="1C65B2AF"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Eisenberg, P. (2019). </w:t>
      </w:r>
      <w:r w:rsidRPr="0012475C">
        <w:rPr>
          <w:rFonts w:eastAsia="Times New Roman"/>
          <w:i/>
          <w:iCs/>
          <w:sz w:val="24"/>
          <w:szCs w:val="24"/>
          <w:lang w:val="en-GB"/>
        </w:rPr>
        <w:t>Financial analysis of Primark Stores Ltd. with regard to a stock exchange floatation (IPO)</w:t>
      </w:r>
      <w:r w:rsidRPr="0012475C">
        <w:rPr>
          <w:rFonts w:eastAsia="Times New Roman"/>
          <w:sz w:val="24"/>
          <w:szCs w:val="24"/>
          <w:lang w:val="en-GB"/>
        </w:rPr>
        <w:t xml:space="preserve">. [online] </w:t>
      </w:r>
      <w:r w:rsidRPr="0012475C">
        <w:rPr>
          <w:rFonts w:eastAsia="Times New Roman"/>
          <w:i/>
          <w:iCs/>
          <w:sz w:val="24"/>
          <w:szCs w:val="24"/>
          <w:lang w:val="en-GB"/>
        </w:rPr>
        <w:t>ResearchGate</w:t>
      </w:r>
      <w:r w:rsidRPr="0012475C">
        <w:rPr>
          <w:rFonts w:eastAsia="Times New Roman"/>
          <w:sz w:val="24"/>
          <w:szCs w:val="24"/>
          <w:lang w:val="en-GB"/>
        </w:rPr>
        <w:t xml:space="preserve">. unknown. Available at: </w:t>
      </w:r>
      <w:hyperlink r:id="rId29">
        <w:r w:rsidRPr="0012475C">
          <w:rPr>
            <w:rFonts w:eastAsia="Times New Roman"/>
            <w:color w:val="1155CC"/>
            <w:sz w:val="24"/>
            <w:szCs w:val="24"/>
            <w:u w:val="single"/>
            <w:lang w:val="en-GB"/>
          </w:rPr>
          <w:t>https://www.researchgate.net/publication/330676430_Financial_Analysis_of_Primark_Stores_Ltd_with_regard_to_a_Stock_Exchange_Floatation_IPO</w:t>
        </w:r>
      </w:hyperlink>
      <w:r w:rsidRPr="0012475C">
        <w:rPr>
          <w:rFonts w:eastAsia="Times New Roman"/>
          <w:sz w:val="24"/>
          <w:szCs w:val="24"/>
          <w:lang w:val="en-GB"/>
        </w:rPr>
        <w:t xml:space="preserve"> [Accessed 10 Aug. 2026].</w:t>
      </w:r>
    </w:p>
    <w:p w14:paraId="0484A1EB"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Ekren, C. (2026). </w:t>
      </w:r>
      <w:r w:rsidRPr="0012475C">
        <w:rPr>
          <w:rFonts w:eastAsia="Times New Roman"/>
          <w:i/>
          <w:iCs/>
          <w:sz w:val="24"/>
          <w:szCs w:val="24"/>
          <w:lang w:val="en-GB"/>
        </w:rPr>
        <w:t>Inside marketing strategy of Primark: How their advertising win without breaking the Bank</w:t>
      </w:r>
      <w:r w:rsidRPr="0012475C">
        <w:rPr>
          <w:rFonts w:eastAsia="Times New Roman"/>
          <w:sz w:val="24"/>
          <w:szCs w:val="24"/>
          <w:lang w:val="en-GB"/>
        </w:rPr>
        <w:t xml:space="preserve">. [online] </w:t>
      </w:r>
      <w:r w:rsidRPr="0012475C">
        <w:rPr>
          <w:rFonts w:eastAsia="Times New Roman"/>
          <w:i/>
          <w:iCs/>
          <w:sz w:val="24"/>
          <w:szCs w:val="24"/>
          <w:lang w:val="en-GB"/>
        </w:rPr>
        <w:t>Digital Agency Network</w:t>
      </w:r>
      <w:r w:rsidRPr="0012475C">
        <w:rPr>
          <w:rFonts w:eastAsia="Times New Roman"/>
          <w:sz w:val="24"/>
          <w:szCs w:val="24"/>
          <w:lang w:val="en-GB"/>
        </w:rPr>
        <w:t xml:space="preserve">. Available at: </w:t>
      </w:r>
      <w:hyperlink r:id="rId30">
        <w:r w:rsidRPr="0012475C">
          <w:rPr>
            <w:rFonts w:eastAsia="Times New Roman"/>
            <w:color w:val="1155CC"/>
            <w:sz w:val="24"/>
            <w:szCs w:val="24"/>
            <w:u w:val="single"/>
            <w:lang w:val="en-GB"/>
          </w:rPr>
          <w:t>https://digitalagencynetwork.com/marketing-strategy-of-primark/</w:t>
        </w:r>
      </w:hyperlink>
      <w:r w:rsidRPr="0012475C">
        <w:rPr>
          <w:rFonts w:eastAsia="Times New Roman"/>
          <w:sz w:val="24"/>
          <w:szCs w:val="24"/>
          <w:lang w:val="en-GB"/>
        </w:rPr>
        <w:t xml:space="preserve"> [Accessed 10 Aug. 2026].</w:t>
      </w:r>
    </w:p>
    <w:p w14:paraId="6F446CA4"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Elo, M., Torkkeli, L. and Velt, H. (2022). Matching international business teaching with the UN sustainable development goals: Introducing bi-directional reflective learning. </w:t>
      </w:r>
      <w:r w:rsidRPr="0012475C">
        <w:rPr>
          <w:rFonts w:eastAsia="Times New Roman"/>
          <w:i/>
          <w:iCs/>
          <w:sz w:val="24"/>
          <w:szCs w:val="24"/>
          <w:lang w:val="en-GB"/>
        </w:rPr>
        <w:t>Journal of Teaching in International Business</w:t>
      </w:r>
      <w:r w:rsidRPr="0012475C">
        <w:rPr>
          <w:rFonts w:eastAsia="Times New Roman"/>
          <w:sz w:val="24"/>
          <w:szCs w:val="24"/>
          <w:lang w:val="en-GB"/>
        </w:rPr>
        <w:t>, [online] 33(4), pp.247–270. doi:10.1080/08975930.2022.2137277.</w:t>
      </w:r>
    </w:p>
    <w:p w14:paraId="2F08B93A"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 xml:space="preserve">Fibre2fashion.com (2025). </w:t>
      </w:r>
      <w:r w:rsidRPr="0012475C">
        <w:rPr>
          <w:rFonts w:eastAsia="Times New Roman"/>
          <w:i/>
          <w:iCs/>
          <w:sz w:val="24"/>
          <w:szCs w:val="24"/>
          <w:lang w:val="en-GB"/>
        </w:rPr>
        <w:t>UK’s Primark sales rise 1% to $12.35 bn, fuelling ABF’s resilient FY25</w:t>
      </w:r>
      <w:r w:rsidRPr="0012475C">
        <w:rPr>
          <w:rFonts w:eastAsia="Times New Roman"/>
          <w:sz w:val="24"/>
          <w:szCs w:val="24"/>
          <w:lang w:val="en-GB"/>
        </w:rPr>
        <w:t xml:space="preserve">. [online] </w:t>
      </w:r>
      <w:r w:rsidRPr="0012475C">
        <w:rPr>
          <w:rFonts w:eastAsia="Times New Roman"/>
          <w:i/>
          <w:iCs/>
          <w:sz w:val="24"/>
          <w:szCs w:val="24"/>
          <w:lang w:val="en-GB"/>
        </w:rPr>
        <w:t>Fibre2fashion.com</w:t>
      </w:r>
      <w:r w:rsidRPr="0012475C">
        <w:rPr>
          <w:rFonts w:eastAsia="Times New Roman"/>
          <w:sz w:val="24"/>
          <w:szCs w:val="24"/>
          <w:lang w:val="en-GB"/>
        </w:rPr>
        <w:t xml:space="preserve">. Fibre2Fashion. Available at: </w:t>
      </w:r>
      <w:hyperlink r:id="rId31">
        <w:r w:rsidRPr="0012475C">
          <w:rPr>
            <w:rFonts w:eastAsia="Times New Roman"/>
            <w:color w:val="1155CC"/>
            <w:sz w:val="24"/>
            <w:szCs w:val="24"/>
            <w:u w:val="single"/>
            <w:lang w:val="en-GB"/>
          </w:rPr>
          <w:t>https://www.fibre2fashion.com/news/retail-results/uk-s-primark-sales-rise-1-to-12-35-bn-fuelling-abf-s-resilient-fy25-306243-newsdetails.htm</w:t>
        </w:r>
      </w:hyperlink>
      <w:r w:rsidRPr="0012475C">
        <w:rPr>
          <w:rFonts w:eastAsia="Times New Roman"/>
          <w:sz w:val="24"/>
          <w:szCs w:val="24"/>
          <w:lang w:val="en-GB"/>
        </w:rPr>
        <w:t xml:space="preserve"> [Accessed 10 Aug. 2026].</w:t>
      </w:r>
    </w:p>
    <w:p w14:paraId="7CB6C467"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Fischer, D. and Roy, K. (2020). </w:t>
      </w:r>
      <w:r w:rsidRPr="0012475C">
        <w:rPr>
          <w:rFonts w:eastAsia="Times New Roman"/>
          <w:i/>
          <w:iCs/>
          <w:sz w:val="24"/>
          <w:szCs w:val="24"/>
          <w:lang w:val="en-GB"/>
        </w:rPr>
        <w:t>Market entry in India: The curious case of Starbucks</w:t>
      </w:r>
      <w:r w:rsidRPr="0012475C">
        <w:rPr>
          <w:rFonts w:eastAsia="Times New Roman"/>
          <w:sz w:val="24"/>
          <w:szCs w:val="24"/>
          <w:lang w:val="en-GB"/>
        </w:rPr>
        <w:t xml:space="preserve">. [online] </w:t>
      </w:r>
      <w:r w:rsidRPr="0012475C">
        <w:rPr>
          <w:rFonts w:eastAsia="Times New Roman"/>
          <w:i/>
          <w:iCs/>
          <w:sz w:val="24"/>
          <w:szCs w:val="24"/>
          <w:lang w:val="en-GB"/>
        </w:rPr>
        <w:t>papers.ssrn.com</w:t>
      </w:r>
      <w:r w:rsidRPr="0012475C">
        <w:rPr>
          <w:rFonts w:eastAsia="Times New Roman"/>
          <w:sz w:val="24"/>
          <w:szCs w:val="24"/>
          <w:lang w:val="en-GB"/>
        </w:rPr>
        <w:t xml:space="preserve">. Rochester, NY. Available at: </w:t>
      </w:r>
      <w:hyperlink r:id="rId32">
        <w:r w:rsidRPr="0012475C">
          <w:rPr>
            <w:rFonts w:eastAsia="Times New Roman"/>
            <w:color w:val="1155CC"/>
            <w:sz w:val="24"/>
            <w:szCs w:val="24"/>
            <w:u w:val="single"/>
            <w:lang w:val="en-GB"/>
          </w:rPr>
          <w:t>https://papers.ssrn.com/sol3/papers.cfm?abstract_id=3518799</w:t>
        </w:r>
      </w:hyperlink>
      <w:r w:rsidRPr="0012475C">
        <w:rPr>
          <w:rFonts w:eastAsia="Times New Roman"/>
          <w:sz w:val="24"/>
          <w:szCs w:val="24"/>
          <w:lang w:val="en-GB"/>
        </w:rPr>
        <w:t xml:space="preserve"> [Accessed 10 Aug. 2026].</w:t>
      </w:r>
    </w:p>
    <w:p w14:paraId="0A99978F"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Hanson, I. (2026). </w:t>
      </w:r>
      <w:r w:rsidRPr="0012475C">
        <w:rPr>
          <w:rFonts w:eastAsia="Times New Roman"/>
          <w:i/>
          <w:iCs/>
          <w:sz w:val="24"/>
          <w:szCs w:val="24"/>
          <w:lang w:val="en-GB"/>
        </w:rPr>
        <w:t>Primark reportedly to ‘launch e-commerce’ for first time</w:t>
      </w:r>
      <w:r w:rsidRPr="0012475C">
        <w:rPr>
          <w:rFonts w:eastAsia="Times New Roman"/>
          <w:sz w:val="24"/>
          <w:szCs w:val="24"/>
          <w:lang w:val="en-GB"/>
        </w:rPr>
        <w:t xml:space="preserve">. [online] Retail Systems. Available at: </w:t>
      </w:r>
      <w:hyperlink r:id="rId33">
        <w:r w:rsidRPr="0012475C">
          <w:rPr>
            <w:rFonts w:eastAsia="Times New Roman"/>
            <w:color w:val="1155CC"/>
            <w:sz w:val="24"/>
            <w:szCs w:val="24"/>
            <w:u w:val="single"/>
            <w:lang w:val="en-GB"/>
          </w:rPr>
          <w:t>https://retail-systems.com/rs/Primark_reportedly_to_launch_e_commerce_for_first_time.php</w:t>
        </w:r>
      </w:hyperlink>
      <w:r w:rsidRPr="0012475C">
        <w:rPr>
          <w:rFonts w:eastAsia="Times New Roman"/>
          <w:sz w:val="24"/>
          <w:szCs w:val="24"/>
          <w:lang w:val="en-GB"/>
        </w:rPr>
        <w:t xml:space="preserve"> [Accessed 10 Aug. 2026].</w:t>
      </w:r>
    </w:p>
    <w:p w14:paraId="41581168"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Imarcgroup.com (2024). </w:t>
      </w:r>
      <w:r w:rsidRPr="0012475C">
        <w:rPr>
          <w:rFonts w:eastAsia="Times New Roman"/>
          <w:i/>
          <w:iCs/>
          <w:sz w:val="24"/>
          <w:szCs w:val="24"/>
          <w:lang w:val="en-GB"/>
        </w:rPr>
        <w:t>Brazil luxury fashion market size, share, growth, 2033</w:t>
      </w:r>
      <w:r w:rsidRPr="0012475C">
        <w:rPr>
          <w:rFonts w:eastAsia="Times New Roman"/>
          <w:sz w:val="24"/>
          <w:szCs w:val="24"/>
          <w:lang w:val="en-GB"/>
        </w:rPr>
        <w:t xml:space="preserve">. [online] </w:t>
      </w:r>
      <w:r w:rsidRPr="0012475C">
        <w:rPr>
          <w:rFonts w:eastAsia="Times New Roman"/>
          <w:i/>
          <w:iCs/>
          <w:sz w:val="24"/>
          <w:szCs w:val="24"/>
          <w:lang w:val="en-GB"/>
        </w:rPr>
        <w:t>Imarcgroup.com</w:t>
      </w:r>
      <w:r w:rsidRPr="0012475C">
        <w:rPr>
          <w:rFonts w:eastAsia="Times New Roman"/>
          <w:sz w:val="24"/>
          <w:szCs w:val="24"/>
          <w:lang w:val="en-GB"/>
        </w:rPr>
        <w:t xml:space="preserve">. Available at: </w:t>
      </w:r>
      <w:hyperlink r:id="rId34">
        <w:r w:rsidRPr="0012475C">
          <w:rPr>
            <w:rFonts w:eastAsia="Times New Roman"/>
            <w:color w:val="1155CC"/>
            <w:sz w:val="24"/>
            <w:szCs w:val="24"/>
            <w:u w:val="single"/>
            <w:lang w:val="en-GB"/>
          </w:rPr>
          <w:t>https://www.imarcgroup.com/brazil-luxury-fashion-market</w:t>
        </w:r>
      </w:hyperlink>
      <w:r w:rsidRPr="0012475C">
        <w:rPr>
          <w:rFonts w:eastAsia="Times New Roman"/>
          <w:sz w:val="24"/>
          <w:szCs w:val="24"/>
          <w:lang w:val="en-GB"/>
        </w:rPr>
        <w:t xml:space="preserve"> [Accessed 10 Aug. 2026].</w:t>
      </w:r>
    </w:p>
    <w:p w14:paraId="6AA08F0E"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ITA (2023). </w:t>
      </w:r>
      <w:r w:rsidRPr="0012475C">
        <w:rPr>
          <w:rFonts w:eastAsia="Times New Roman"/>
          <w:i/>
          <w:iCs/>
          <w:sz w:val="24"/>
          <w:szCs w:val="24"/>
          <w:lang w:val="en-GB"/>
        </w:rPr>
        <w:t>Brazil - import tariffs</w:t>
      </w:r>
      <w:r w:rsidRPr="0012475C">
        <w:rPr>
          <w:rFonts w:eastAsia="Times New Roman"/>
          <w:sz w:val="24"/>
          <w:szCs w:val="24"/>
          <w:lang w:val="en-GB"/>
        </w:rPr>
        <w:t xml:space="preserve">. [online] </w:t>
      </w:r>
      <w:r w:rsidRPr="0012475C">
        <w:rPr>
          <w:rFonts w:eastAsia="Times New Roman"/>
          <w:i/>
          <w:iCs/>
          <w:sz w:val="24"/>
          <w:szCs w:val="24"/>
          <w:lang w:val="en-GB"/>
        </w:rPr>
        <w:t>www.trade.gov</w:t>
      </w:r>
      <w:r w:rsidRPr="0012475C">
        <w:rPr>
          <w:rFonts w:eastAsia="Times New Roman"/>
          <w:sz w:val="24"/>
          <w:szCs w:val="24"/>
          <w:lang w:val="en-GB"/>
        </w:rPr>
        <w:t xml:space="preserve">. Available at: </w:t>
      </w:r>
      <w:hyperlink r:id="rId35">
        <w:r w:rsidRPr="0012475C">
          <w:rPr>
            <w:rFonts w:eastAsia="Times New Roman"/>
            <w:color w:val="1155CC"/>
            <w:sz w:val="24"/>
            <w:szCs w:val="24"/>
            <w:u w:val="single"/>
            <w:lang w:val="en-GB"/>
          </w:rPr>
          <w:t>https://www.trade.gov/country-commercial-guides/brazil-import-tariffs</w:t>
        </w:r>
      </w:hyperlink>
      <w:r w:rsidRPr="0012475C">
        <w:rPr>
          <w:rFonts w:eastAsia="Times New Roman"/>
          <w:sz w:val="24"/>
          <w:szCs w:val="24"/>
          <w:lang w:val="en-GB"/>
        </w:rPr>
        <w:t xml:space="preserve"> [Accessed 10 Aug. 2026].</w:t>
      </w:r>
    </w:p>
    <w:p w14:paraId="2C9D08D8"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Judijanto, L. (2025). Bibliometric analysis of research on the CAGE distance framework in international business. </w:t>
      </w:r>
      <w:r w:rsidRPr="0012475C">
        <w:rPr>
          <w:rFonts w:eastAsia="Times New Roman"/>
          <w:i/>
          <w:iCs/>
          <w:sz w:val="24"/>
          <w:szCs w:val="24"/>
          <w:lang w:val="en-GB"/>
        </w:rPr>
        <w:t>The Eastasouth Management and Business</w:t>
      </w:r>
      <w:r w:rsidRPr="0012475C">
        <w:rPr>
          <w:rFonts w:eastAsia="Times New Roman"/>
          <w:sz w:val="24"/>
          <w:szCs w:val="24"/>
          <w:lang w:val="en-GB"/>
        </w:rPr>
        <w:t>, [online] 4(01), pp.143 – 151–143 – 151. doi:10.58812/esmb.v4i01.736.</w:t>
      </w:r>
    </w:p>
    <w:p w14:paraId="1F690A82"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Jurevicius, O. (2023). </w:t>
      </w:r>
      <w:r w:rsidRPr="0012475C">
        <w:rPr>
          <w:rFonts w:eastAsia="Times New Roman"/>
          <w:i/>
          <w:iCs/>
          <w:sz w:val="24"/>
          <w:szCs w:val="24"/>
          <w:lang w:val="en-GB"/>
        </w:rPr>
        <w:t>Resource-based view</w:t>
      </w:r>
      <w:r w:rsidRPr="0012475C">
        <w:rPr>
          <w:rFonts w:eastAsia="Times New Roman"/>
          <w:sz w:val="24"/>
          <w:szCs w:val="24"/>
          <w:lang w:val="en-GB"/>
        </w:rPr>
        <w:t xml:space="preserve">. [online] </w:t>
      </w:r>
      <w:r w:rsidRPr="0012475C">
        <w:rPr>
          <w:rFonts w:eastAsia="Times New Roman"/>
          <w:i/>
          <w:iCs/>
          <w:sz w:val="24"/>
          <w:szCs w:val="24"/>
          <w:lang w:val="en-GB"/>
        </w:rPr>
        <w:t>Strategic Management Insight</w:t>
      </w:r>
      <w:r w:rsidRPr="0012475C">
        <w:rPr>
          <w:rFonts w:eastAsia="Times New Roman"/>
          <w:sz w:val="24"/>
          <w:szCs w:val="24"/>
          <w:lang w:val="en-GB"/>
        </w:rPr>
        <w:t xml:space="preserve">. Available at: </w:t>
      </w:r>
      <w:hyperlink r:id="rId36">
        <w:r w:rsidRPr="0012475C">
          <w:rPr>
            <w:rFonts w:eastAsia="Times New Roman"/>
            <w:color w:val="1155CC"/>
            <w:sz w:val="24"/>
            <w:szCs w:val="24"/>
            <w:u w:val="single"/>
            <w:lang w:val="en-GB"/>
          </w:rPr>
          <w:t>https://strategicmanagementinsight.com/tools/resource-based-view/</w:t>
        </w:r>
      </w:hyperlink>
      <w:r w:rsidRPr="0012475C">
        <w:rPr>
          <w:rFonts w:eastAsia="Times New Roman"/>
          <w:sz w:val="24"/>
          <w:szCs w:val="24"/>
          <w:lang w:val="en-GB"/>
        </w:rPr>
        <w:t xml:space="preserve"> [Accessed 10 Aug. 2026].</w:t>
      </w:r>
    </w:p>
    <w:p w14:paraId="1BC4CE02"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Kupfer, A.-K., Marchand, A. and Hennig-Thurau, T. (2024). Explaining physical retail store closures in digital times. </w:t>
      </w:r>
      <w:r w:rsidRPr="0012475C">
        <w:rPr>
          <w:rFonts w:eastAsia="Times New Roman"/>
          <w:i/>
          <w:iCs/>
          <w:sz w:val="24"/>
          <w:szCs w:val="24"/>
          <w:lang w:val="en-GB"/>
        </w:rPr>
        <w:t>Journal of Retailing</w:t>
      </w:r>
      <w:r w:rsidRPr="0012475C">
        <w:rPr>
          <w:rFonts w:eastAsia="Times New Roman"/>
          <w:sz w:val="24"/>
          <w:szCs w:val="24"/>
          <w:lang w:val="en-GB"/>
        </w:rPr>
        <w:t>, [online] 100(4). doi:10.1016/j.jretai.2024.07.001.</w:t>
      </w:r>
    </w:p>
    <w:p w14:paraId="681FDFB7"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 xml:space="preserve">Kusi, S.Y., Gabrielsson, P. and Kontkanen, M. (2021). Developing brand identities for international new ventures under uncertainty: Decision-making logics and psychic distance. </w:t>
      </w:r>
      <w:r w:rsidRPr="0012475C">
        <w:rPr>
          <w:rFonts w:eastAsia="Times New Roman"/>
          <w:i/>
          <w:iCs/>
          <w:sz w:val="24"/>
          <w:szCs w:val="24"/>
          <w:lang w:val="en-GB"/>
        </w:rPr>
        <w:t>International Business Review</w:t>
      </w:r>
      <w:r w:rsidRPr="0012475C">
        <w:rPr>
          <w:rFonts w:eastAsia="Times New Roman"/>
          <w:sz w:val="24"/>
          <w:szCs w:val="24"/>
          <w:lang w:val="en-GB"/>
        </w:rPr>
        <w:t>, [online] 30(6), p.101867. doi:10.1016/j.ibusrev.2021.101867.</w:t>
      </w:r>
    </w:p>
    <w:p w14:paraId="29D66A24"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Lo, D.H.F., Zanarone, G. and Ghosh, M. (2022). Contracting to (DIS)incentivize? An integrative transaction</w:t>
      </w:r>
      <w:r w:rsidRPr="0012475C">
        <w:rPr>
          <w:rFonts w:ascii="Cambria Math" w:eastAsia="Times New Roman" w:hAnsi="Cambria Math" w:cs="Cambria Math"/>
          <w:sz w:val="24"/>
          <w:szCs w:val="24"/>
          <w:lang w:val="en-GB"/>
        </w:rPr>
        <w:t>‐</w:t>
      </w:r>
      <w:r w:rsidRPr="0012475C">
        <w:rPr>
          <w:rFonts w:eastAsia="Times New Roman"/>
          <w:sz w:val="24"/>
          <w:szCs w:val="24"/>
          <w:lang w:val="en-GB"/>
        </w:rPr>
        <w:t xml:space="preserve">cost approach on how contracts govern specific investments. </w:t>
      </w:r>
      <w:r w:rsidRPr="0012475C">
        <w:rPr>
          <w:rFonts w:eastAsia="Times New Roman"/>
          <w:i/>
          <w:iCs/>
          <w:sz w:val="24"/>
          <w:szCs w:val="24"/>
          <w:lang w:val="en-GB"/>
        </w:rPr>
        <w:t>Strategic Management Journal</w:t>
      </w:r>
      <w:r w:rsidRPr="0012475C">
        <w:rPr>
          <w:rFonts w:eastAsia="Times New Roman"/>
          <w:sz w:val="24"/>
          <w:szCs w:val="24"/>
          <w:lang w:val="en-GB"/>
        </w:rPr>
        <w:t>, [online] 43(8), pp.1528–1555. doi:10.1002/smj.3376.</w:t>
      </w:r>
    </w:p>
    <w:p w14:paraId="21B2A7D1"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Lu, S. (2023). </w:t>
      </w:r>
      <w:r w:rsidRPr="0012475C">
        <w:rPr>
          <w:rFonts w:eastAsia="Times New Roman"/>
          <w:i/>
          <w:iCs/>
          <w:sz w:val="24"/>
          <w:szCs w:val="24"/>
          <w:lang w:val="en-GB"/>
        </w:rPr>
        <w:t>Primark’s global sourcing for apparel (updated september 2023)</w:t>
      </w:r>
      <w:r w:rsidRPr="0012475C">
        <w:rPr>
          <w:rFonts w:eastAsia="Times New Roman"/>
          <w:sz w:val="24"/>
          <w:szCs w:val="24"/>
          <w:lang w:val="en-GB"/>
        </w:rPr>
        <w:t xml:space="preserve">. [online] </w:t>
      </w:r>
      <w:r w:rsidRPr="0012475C">
        <w:rPr>
          <w:rFonts w:eastAsia="Times New Roman"/>
          <w:i/>
          <w:iCs/>
          <w:sz w:val="24"/>
          <w:szCs w:val="24"/>
          <w:lang w:val="en-GB"/>
        </w:rPr>
        <w:t>FASH455 Global Apparel &amp; Textile Trade and Sourcing</w:t>
      </w:r>
      <w:r w:rsidRPr="0012475C">
        <w:rPr>
          <w:rFonts w:eastAsia="Times New Roman"/>
          <w:sz w:val="24"/>
          <w:szCs w:val="24"/>
          <w:lang w:val="en-GB"/>
        </w:rPr>
        <w:t xml:space="preserve">. Available at: </w:t>
      </w:r>
      <w:hyperlink r:id="rId37">
        <w:r w:rsidRPr="0012475C">
          <w:rPr>
            <w:rFonts w:eastAsia="Times New Roman"/>
            <w:color w:val="1155CC"/>
            <w:sz w:val="24"/>
            <w:szCs w:val="24"/>
            <w:u w:val="single"/>
            <w:lang w:val="en-GB"/>
          </w:rPr>
          <w:t>https://shenglufashion.com/2023/09/11/primarks-global-sourcing-for-apparel-updated-september-2023/</w:t>
        </w:r>
      </w:hyperlink>
      <w:r w:rsidRPr="0012475C">
        <w:rPr>
          <w:rFonts w:eastAsia="Times New Roman"/>
          <w:sz w:val="24"/>
          <w:szCs w:val="24"/>
          <w:lang w:val="en-GB"/>
        </w:rPr>
        <w:t xml:space="preserve"> [Accessed 10 Aug. 2026].</w:t>
      </w:r>
    </w:p>
    <w:p w14:paraId="5DDCD45E"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Mailani, D., Hulu, M.Z.T., Simamora, M.R. and Kesuma, S.A. (2024). Resource-based view theory to achieve a sustainable competitive advantage of the firm: Systematic literature review. </w:t>
      </w:r>
      <w:r w:rsidRPr="0012475C">
        <w:rPr>
          <w:rFonts w:eastAsia="Times New Roman"/>
          <w:i/>
          <w:iCs/>
          <w:sz w:val="24"/>
          <w:szCs w:val="24"/>
          <w:lang w:val="en-GB"/>
        </w:rPr>
        <w:t>International Journal of Entrepreneurship and Sustainability Studies</w:t>
      </w:r>
      <w:r w:rsidRPr="0012475C">
        <w:rPr>
          <w:rFonts w:eastAsia="Times New Roman"/>
          <w:sz w:val="24"/>
          <w:szCs w:val="24"/>
          <w:lang w:val="en-GB"/>
        </w:rPr>
        <w:t>, [online] 4(1), pp.1–15. doi:10.31098/ijeass.v4i1.2002.</w:t>
      </w:r>
    </w:p>
    <w:p w14:paraId="7BCBF303"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Moin, D. (2025). </w:t>
      </w:r>
      <w:r w:rsidRPr="0012475C">
        <w:rPr>
          <w:rFonts w:eastAsia="Times New Roman"/>
          <w:i/>
          <w:iCs/>
          <w:sz w:val="24"/>
          <w:szCs w:val="24"/>
          <w:lang w:val="en-GB"/>
        </w:rPr>
        <w:t>How Primark plans to get the word out</w:t>
      </w:r>
      <w:r w:rsidRPr="0012475C">
        <w:rPr>
          <w:rFonts w:eastAsia="Times New Roman"/>
          <w:sz w:val="24"/>
          <w:szCs w:val="24"/>
          <w:lang w:val="en-GB"/>
        </w:rPr>
        <w:t xml:space="preserve">. [online] </w:t>
      </w:r>
      <w:r w:rsidRPr="0012475C">
        <w:rPr>
          <w:rFonts w:eastAsia="Times New Roman"/>
          <w:i/>
          <w:iCs/>
          <w:sz w:val="24"/>
          <w:szCs w:val="24"/>
          <w:lang w:val="en-GB"/>
        </w:rPr>
        <w:t>WWD</w:t>
      </w:r>
      <w:r w:rsidRPr="0012475C">
        <w:rPr>
          <w:rFonts w:eastAsia="Times New Roman"/>
          <w:sz w:val="24"/>
          <w:szCs w:val="24"/>
          <w:lang w:val="en-GB"/>
        </w:rPr>
        <w:t xml:space="preserve">. Available at: </w:t>
      </w:r>
      <w:hyperlink r:id="rId38">
        <w:r w:rsidRPr="0012475C">
          <w:rPr>
            <w:rFonts w:eastAsia="Times New Roman"/>
            <w:color w:val="1155CC"/>
            <w:sz w:val="24"/>
            <w:szCs w:val="24"/>
            <w:u w:val="single"/>
            <w:lang w:val="en-GB"/>
          </w:rPr>
          <w:t>https://wwd.com/business-news/retail/how-primark-is-working-to-get-the-word-out-1236847340/</w:t>
        </w:r>
      </w:hyperlink>
      <w:r w:rsidRPr="0012475C">
        <w:rPr>
          <w:rFonts w:eastAsia="Times New Roman"/>
          <w:sz w:val="24"/>
          <w:szCs w:val="24"/>
          <w:lang w:val="en-GB"/>
        </w:rPr>
        <w:t xml:space="preserve"> [Accessed 10 Aug. 2026].</w:t>
      </w:r>
    </w:p>
    <w:p w14:paraId="5A36A443"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Morgan, A. (2025). </w:t>
      </w:r>
      <w:r w:rsidRPr="0012475C">
        <w:rPr>
          <w:rFonts w:eastAsia="Times New Roman"/>
          <w:i/>
          <w:iCs/>
          <w:sz w:val="24"/>
          <w:szCs w:val="24"/>
          <w:lang w:val="en-GB"/>
        </w:rPr>
        <w:t>Brazil fast fashion market size, share &amp; growth report By [2033]</w:t>
      </w:r>
      <w:r w:rsidRPr="0012475C">
        <w:rPr>
          <w:rFonts w:eastAsia="Times New Roman"/>
          <w:sz w:val="24"/>
          <w:szCs w:val="24"/>
          <w:lang w:val="en-GB"/>
        </w:rPr>
        <w:t xml:space="preserve">. [online] </w:t>
      </w:r>
      <w:r w:rsidRPr="0012475C">
        <w:rPr>
          <w:rFonts w:eastAsia="Times New Roman"/>
          <w:i/>
          <w:iCs/>
          <w:sz w:val="24"/>
          <w:szCs w:val="24"/>
          <w:lang w:val="en-GB"/>
        </w:rPr>
        <w:t>Deepmarketinsights.com</w:t>
      </w:r>
      <w:r w:rsidRPr="0012475C">
        <w:rPr>
          <w:rFonts w:eastAsia="Times New Roman"/>
          <w:sz w:val="24"/>
          <w:szCs w:val="24"/>
          <w:lang w:val="en-GB"/>
        </w:rPr>
        <w:t xml:space="preserve">. Deep Market Insights. Available at: </w:t>
      </w:r>
      <w:hyperlink r:id="rId39">
        <w:r w:rsidRPr="0012475C">
          <w:rPr>
            <w:rFonts w:eastAsia="Times New Roman"/>
            <w:color w:val="1155CC"/>
            <w:sz w:val="24"/>
            <w:szCs w:val="24"/>
            <w:u w:val="single"/>
            <w:lang w:val="en-GB"/>
          </w:rPr>
          <w:t>https://deepmarketinsights.com/vista/insights/fast-fashion-market/brazil</w:t>
        </w:r>
      </w:hyperlink>
      <w:r w:rsidRPr="0012475C">
        <w:rPr>
          <w:rFonts w:eastAsia="Times New Roman"/>
          <w:sz w:val="24"/>
          <w:szCs w:val="24"/>
          <w:lang w:val="en-GB"/>
        </w:rPr>
        <w:t xml:space="preserve"> [Accessed 10 Aug. 2026].</w:t>
      </w:r>
    </w:p>
    <w:p w14:paraId="7D488703"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Nanyangwe, J. and Phiri, J. (2021). The influence of marketing strategies on growth and sustainability in the original equipment manufacturing industry. </w:t>
      </w:r>
      <w:r w:rsidRPr="0012475C">
        <w:rPr>
          <w:rFonts w:eastAsia="Times New Roman"/>
          <w:i/>
          <w:iCs/>
          <w:sz w:val="24"/>
          <w:szCs w:val="24"/>
          <w:lang w:val="en-GB"/>
        </w:rPr>
        <w:t>Open Journal of Business and Management</w:t>
      </w:r>
      <w:r w:rsidRPr="0012475C">
        <w:rPr>
          <w:rFonts w:eastAsia="Times New Roman"/>
          <w:sz w:val="24"/>
          <w:szCs w:val="24"/>
          <w:lang w:val="en-GB"/>
        </w:rPr>
        <w:t>, [online] 09(03), pp.1446–1461. doi:10.4236/ojbm.2021.93077.</w:t>
      </w:r>
    </w:p>
    <w:p w14:paraId="627074C6"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 xml:space="preserve">Norman, P. (2023). </w:t>
      </w:r>
      <w:r w:rsidRPr="0012475C">
        <w:rPr>
          <w:rFonts w:eastAsia="Times New Roman"/>
          <w:i/>
          <w:iCs/>
          <w:sz w:val="24"/>
          <w:szCs w:val="24"/>
          <w:lang w:val="en-GB"/>
        </w:rPr>
        <w:t>How Primark’s physical store model is ready for lift-off in the US</w:t>
      </w:r>
      <w:r w:rsidRPr="0012475C">
        <w:rPr>
          <w:rFonts w:eastAsia="Times New Roman"/>
          <w:sz w:val="24"/>
          <w:szCs w:val="24"/>
          <w:lang w:val="en-GB"/>
        </w:rPr>
        <w:t xml:space="preserve">. [online] </w:t>
      </w:r>
      <w:r w:rsidRPr="0012475C">
        <w:rPr>
          <w:rFonts w:eastAsia="Times New Roman"/>
          <w:i/>
          <w:iCs/>
          <w:sz w:val="24"/>
          <w:szCs w:val="24"/>
          <w:lang w:val="en-GB"/>
        </w:rPr>
        <w:t>CoStar</w:t>
      </w:r>
      <w:r w:rsidRPr="0012475C">
        <w:rPr>
          <w:rFonts w:eastAsia="Times New Roman"/>
          <w:sz w:val="24"/>
          <w:szCs w:val="24"/>
          <w:lang w:val="en-GB"/>
        </w:rPr>
        <w:t xml:space="preserve">. Available at: </w:t>
      </w:r>
      <w:hyperlink r:id="rId40">
        <w:r w:rsidRPr="0012475C">
          <w:rPr>
            <w:rFonts w:eastAsia="Times New Roman"/>
            <w:color w:val="1155CC"/>
            <w:sz w:val="24"/>
            <w:szCs w:val="24"/>
            <w:u w:val="single"/>
            <w:lang w:val="en-GB"/>
          </w:rPr>
          <w:t>https://www.costar.com/article/702512605/how-primarks-physical-store-model-is-ready-for-lift-off-in-the-us</w:t>
        </w:r>
      </w:hyperlink>
      <w:r w:rsidRPr="0012475C">
        <w:rPr>
          <w:rFonts w:eastAsia="Times New Roman"/>
          <w:sz w:val="24"/>
          <w:szCs w:val="24"/>
          <w:lang w:val="en-GB"/>
        </w:rPr>
        <w:t xml:space="preserve"> [Accessed 10 Aug. 2026].</w:t>
      </w:r>
    </w:p>
    <w:p w14:paraId="0F3CC558"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Primark.com (2022). </w:t>
      </w:r>
      <w:r w:rsidRPr="0012475C">
        <w:rPr>
          <w:rFonts w:eastAsia="Times New Roman"/>
          <w:i/>
          <w:iCs/>
          <w:sz w:val="24"/>
          <w:szCs w:val="24"/>
          <w:lang w:val="en-GB"/>
        </w:rPr>
        <w:t>About us | Primark</w:t>
      </w:r>
      <w:r w:rsidRPr="0012475C">
        <w:rPr>
          <w:rFonts w:eastAsia="Times New Roman"/>
          <w:sz w:val="24"/>
          <w:szCs w:val="24"/>
          <w:lang w:val="en-GB"/>
        </w:rPr>
        <w:t xml:space="preserve">. [online] </w:t>
      </w:r>
      <w:r w:rsidRPr="0012475C">
        <w:rPr>
          <w:rFonts w:eastAsia="Times New Roman"/>
          <w:i/>
          <w:iCs/>
          <w:sz w:val="24"/>
          <w:szCs w:val="24"/>
          <w:lang w:val="en-GB"/>
        </w:rPr>
        <w:t>Primark.com</w:t>
      </w:r>
      <w:r w:rsidRPr="0012475C">
        <w:rPr>
          <w:rFonts w:eastAsia="Times New Roman"/>
          <w:sz w:val="24"/>
          <w:szCs w:val="24"/>
          <w:lang w:val="en-GB"/>
        </w:rPr>
        <w:t xml:space="preserve">. Available at: </w:t>
      </w:r>
      <w:hyperlink r:id="rId41">
        <w:r w:rsidRPr="0012475C">
          <w:rPr>
            <w:rFonts w:eastAsia="Times New Roman"/>
            <w:color w:val="1155CC"/>
            <w:sz w:val="24"/>
            <w:szCs w:val="24"/>
            <w:u w:val="single"/>
            <w:lang w:val="en-GB"/>
          </w:rPr>
          <w:t>https://www.primark.com/about-us</w:t>
        </w:r>
      </w:hyperlink>
      <w:r w:rsidRPr="0012475C">
        <w:rPr>
          <w:rFonts w:eastAsia="Times New Roman"/>
          <w:sz w:val="24"/>
          <w:szCs w:val="24"/>
          <w:lang w:val="en-GB"/>
        </w:rPr>
        <w:t xml:space="preserve"> [Accessed 10 Aug. 2026].</w:t>
      </w:r>
    </w:p>
    <w:p w14:paraId="296B8CA6"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Primark.com (2026). </w:t>
      </w:r>
      <w:r w:rsidRPr="0012475C">
        <w:rPr>
          <w:rFonts w:eastAsia="Times New Roman"/>
          <w:i/>
          <w:iCs/>
          <w:sz w:val="24"/>
          <w:szCs w:val="24"/>
          <w:lang w:val="en-GB"/>
        </w:rPr>
        <w:t>Primark</w:t>
      </w:r>
      <w:r w:rsidRPr="0012475C">
        <w:rPr>
          <w:rFonts w:eastAsia="Times New Roman"/>
          <w:sz w:val="24"/>
          <w:szCs w:val="24"/>
          <w:lang w:val="en-GB"/>
        </w:rPr>
        <w:t xml:space="preserve">. [online] </w:t>
      </w:r>
      <w:r w:rsidRPr="0012475C">
        <w:rPr>
          <w:rFonts w:eastAsia="Times New Roman"/>
          <w:i/>
          <w:iCs/>
          <w:sz w:val="24"/>
          <w:szCs w:val="24"/>
          <w:lang w:val="en-GB"/>
        </w:rPr>
        <w:t>www.primark.com</w:t>
      </w:r>
      <w:r w:rsidRPr="0012475C">
        <w:rPr>
          <w:rFonts w:eastAsia="Times New Roman"/>
          <w:sz w:val="24"/>
          <w:szCs w:val="24"/>
          <w:lang w:val="en-GB"/>
        </w:rPr>
        <w:t xml:space="preserve">. Available at: </w:t>
      </w:r>
      <w:hyperlink r:id="rId42">
        <w:r w:rsidRPr="0012475C">
          <w:rPr>
            <w:rFonts w:eastAsia="Times New Roman"/>
            <w:color w:val="1155CC"/>
            <w:sz w:val="24"/>
            <w:szCs w:val="24"/>
            <w:u w:val="single"/>
            <w:lang w:val="en-GB"/>
          </w:rPr>
          <w:t>https://www.primark.com/en-us/franchise-scam</w:t>
        </w:r>
      </w:hyperlink>
      <w:r w:rsidRPr="0012475C">
        <w:rPr>
          <w:rFonts w:eastAsia="Times New Roman"/>
          <w:sz w:val="24"/>
          <w:szCs w:val="24"/>
          <w:lang w:val="en-GB"/>
        </w:rPr>
        <w:t xml:space="preserve"> [Accessed 10 Aug. 2026].</w:t>
      </w:r>
    </w:p>
    <w:p w14:paraId="1DFF8151"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Pudelko, M. (2023). Global integration versus local responsiveness. </w:t>
      </w:r>
      <w:r w:rsidRPr="0012475C">
        <w:rPr>
          <w:rFonts w:eastAsia="Times New Roman"/>
          <w:i/>
          <w:iCs/>
          <w:sz w:val="24"/>
          <w:szCs w:val="24"/>
          <w:lang w:val="en-GB"/>
        </w:rPr>
        <w:t>Routledge eBooks</w:t>
      </w:r>
      <w:r w:rsidRPr="0012475C">
        <w:rPr>
          <w:rFonts w:eastAsia="Times New Roman"/>
          <w:sz w:val="24"/>
          <w:szCs w:val="24"/>
          <w:lang w:val="en-GB"/>
        </w:rPr>
        <w:t>, [online] pp.49–71. doi:10.4324/9781003247272-4.</w:t>
      </w:r>
    </w:p>
    <w:p w14:paraId="6E10BF10"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Rahman, A., Bridge, A.J., Rowlinson, S., Hubbard, B. and Xia, B. (2018). Multinational contracting and the eclectic paradigm of internationalization. </w:t>
      </w:r>
      <w:r w:rsidRPr="0012475C">
        <w:rPr>
          <w:rFonts w:eastAsia="Times New Roman"/>
          <w:i/>
          <w:iCs/>
          <w:sz w:val="24"/>
          <w:szCs w:val="24"/>
          <w:lang w:val="en-GB"/>
        </w:rPr>
        <w:t>Engineering, Construction and Architectural Management</w:t>
      </w:r>
      <w:r w:rsidRPr="0012475C">
        <w:rPr>
          <w:rFonts w:eastAsia="Times New Roman"/>
          <w:sz w:val="24"/>
          <w:szCs w:val="24"/>
          <w:lang w:val="en-GB"/>
        </w:rPr>
        <w:t>, [online] 25(11), pp.1418–1435. doi:10.1108/ecam-10-2017-0216.</w:t>
      </w:r>
    </w:p>
    <w:p w14:paraId="137EC353" w14:textId="77777777" w:rsidR="0012475C" w:rsidRPr="0012475C" w:rsidRDefault="0012475C" w:rsidP="0012475C">
      <w:pPr>
        <w:spacing w:after="240" w:line="360" w:lineRule="auto"/>
        <w:jc w:val="both"/>
        <w:rPr>
          <w:rFonts w:eastAsia="Times New Roman"/>
          <w:sz w:val="24"/>
          <w:szCs w:val="24"/>
          <w:lang w:val="en-GB"/>
        </w:rPr>
      </w:pPr>
      <w:r w:rsidRPr="001651B1">
        <w:rPr>
          <w:rFonts w:eastAsia="Times New Roman"/>
          <w:sz w:val="24"/>
          <w:szCs w:val="24"/>
          <w:lang w:val="de-DE"/>
        </w:rPr>
        <w:t xml:space="preserve">Reckendrees, A., Gehlen, B. and Marx, C. (2022). </w:t>
      </w:r>
      <w:r w:rsidRPr="0012475C">
        <w:rPr>
          <w:rFonts w:eastAsia="Times New Roman"/>
          <w:sz w:val="24"/>
          <w:szCs w:val="24"/>
          <w:lang w:val="en-GB"/>
        </w:rPr>
        <w:t xml:space="preserve">International Business, multinational enterprises and nationality of the company: A constructive review of literature. </w:t>
      </w:r>
      <w:r w:rsidRPr="0012475C">
        <w:rPr>
          <w:rFonts w:eastAsia="Times New Roman"/>
          <w:i/>
          <w:iCs/>
          <w:sz w:val="24"/>
          <w:szCs w:val="24"/>
          <w:lang w:val="en-GB"/>
        </w:rPr>
        <w:t>Business History</w:t>
      </w:r>
      <w:r w:rsidRPr="0012475C">
        <w:rPr>
          <w:rFonts w:eastAsia="Times New Roman"/>
          <w:sz w:val="24"/>
          <w:szCs w:val="24"/>
          <w:lang w:val="en-GB"/>
        </w:rPr>
        <w:t>, [online] 64(9), pp.1–33. doi:10.1080/00076791.2022.2118718.</w:t>
      </w:r>
    </w:p>
    <w:p w14:paraId="0117FA08"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Riaño, P. (2025). </w:t>
      </w:r>
      <w:r w:rsidRPr="0012475C">
        <w:rPr>
          <w:rFonts w:eastAsia="Times New Roman"/>
          <w:i/>
          <w:iCs/>
          <w:sz w:val="24"/>
          <w:szCs w:val="24"/>
          <w:lang w:val="en-GB"/>
        </w:rPr>
        <w:t>Primark’s reign faces a hurdle as it returns to basics - modaes global</w:t>
      </w:r>
      <w:r w:rsidRPr="0012475C">
        <w:rPr>
          <w:rFonts w:eastAsia="Times New Roman"/>
          <w:sz w:val="24"/>
          <w:szCs w:val="24"/>
          <w:lang w:val="en-GB"/>
        </w:rPr>
        <w:t xml:space="preserve">. [online] </w:t>
      </w:r>
      <w:r w:rsidRPr="0012475C">
        <w:rPr>
          <w:rFonts w:eastAsia="Times New Roman"/>
          <w:i/>
          <w:iCs/>
          <w:sz w:val="24"/>
          <w:szCs w:val="24"/>
          <w:lang w:val="en-GB"/>
        </w:rPr>
        <w:t>@</w:t>
      </w:r>
      <w:r w:rsidRPr="0012475C">
        <w:rPr>
          <w:rFonts w:eastAsia="Times New Roman"/>
          <w:sz w:val="24"/>
          <w:szCs w:val="24"/>
          <w:lang w:val="en-GB"/>
        </w:rPr>
        <w:t xml:space="preserve">. Modaes Global. Available at: </w:t>
      </w:r>
      <w:hyperlink r:id="rId43">
        <w:r w:rsidRPr="0012475C">
          <w:rPr>
            <w:rFonts w:eastAsia="Times New Roman"/>
            <w:color w:val="1155CC"/>
            <w:sz w:val="24"/>
            <w:szCs w:val="24"/>
            <w:u w:val="single"/>
            <w:lang w:val="en-GB"/>
          </w:rPr>
          <w:t>https://www.modaes.com/global/companies/primark-the-king-of-low-cost-stumbles-and-goes-back-to-basics</w:t>
        </w:r>
      </w:hyperlink>
      <w:r w:rsidRPr="0012475C">
        <w:rPr>
          <w:rFonts w:eastAsia="Times New Roman"/>
          <w:sz w:val="24"/>
          <w:szCs w:val="24"/>
          <w:lang w:val="en-GB"/>
        </w:rPr>
        <w:t xml:space="preserve"> [Accessed 10 Aug. 2026].</w:t>
      </w:r>
    </w:p>
    <w:p w14:paraId="0FDFC533"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Roberts, L. (2019). </w:t>
      </w:r>
      <w:r w:rsidRPr="0012475C">
        <w:rPr>
          <w:rFonts w:eastAsia="Times New Roman"/>
          <w:i/>
          <w:iCs/>
          <w:sz w:val="24"/>
          <w:szCs w:val="24"/>
          <w:lang w:val="en-GB"/>
        </w:rPr>
        <w:t>50 Years of Primark: Key milestones in the history of a retail icon</w:t>
      </w:r>
      <w:r w:rsidRPr="0012475C">
        <w:rPr>
          <w:rFonts w:eastAsia="Times New Roman"/>
          <w:sz w:val="24"/>
          <w:szCs w:val="24"/>
          <w:lang w:val="en-GB"/>
        </w:rPr>
        <w:t xml:space="preserve">. [online] </w:t>
      </w:r>
      <w:r w:rsidRPr="0012475C">
        <w:rPr>
          <w:rFonts w:eastAsia="Times New Roman"/>
          <w:i/>
          <w:iCs/>
          <w:sz w:val="24"/>
          <w:szCs w:val="24"/>
          <w:lang w:val="en-GB"/>
        </w:rPr>
        <w:t>TheIndustry.fashion</w:t>
      </w:r>
      <w:r w:rsidRPr="0012475C">
        <w:rPr>
          <w:rFonts w:eastAsia="Times New Roman"/>
          <w:sz w:val="24"/>
          <w:szCs w:val="24"/>
          <w:lang w:val="en-GB"/>
        </w:rPr>
        <w:t xml:space="preserve">. Available at: </w:t>
      </w:r>
      <w:hyperlink r:id="rId44">
        <w:r w:rsidRPr="0012475C">
          <w:rPr>
            <w:rFonts w:eastAsia="Times New Roman"/>
            <w:color w:val="1155CC"/>
            <w:sz w:val="24"/>
            <w:szCs w:val="24"/>
            <w:u w:val="single"/>
            <w:lang w:val="en-GB"/>
          </w:rPr>
          <w:t>https://www.theindustry.fashion/50-years-of-primark-key-milestones-in-the-history-of-a-retail-icon/</w:t>
        </w:r>
      </w:hyperlink>
      <w:r w:rsidRPr="0012475C">
        <w:rPr>
          <w:rFonts w:eastAsia="Times New Roman"/>
          <w:sz w:val="24"/>
          <w:szCs w:val="24"/>
          <w:lang w:val="en-GB"/>
        </w:rPr>
        <w:t xml:space="preserve"> [Accessed 10 Aug. 2026].</w:t>
      </w:r>
    </w:p>
    <w:p w14:paraId="169CE32A"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Spilimbergo, Mr.A. and Srinivasan, Mr.K. (2019). </w:t>
      </w:r>
      <w:r w:rsidRPr="0012475C">
        <w:rPr>
          <w:rFonts w:eastAsia="Times New Roman"/>
          <w:i/>
          <w:iCs/>
          <w:sz w:val="24"/>
          <w:szCs w:val="24"/>
          <w:lang w:val="en-GB"/>
        </w:rPr>
        <w:t>Brazil: BOOM, BUST and ROAD to RECOVERY</w:t>
      </w:r>
      <w:r w:rsidRPr="0012475C">
        <w:rPr>
          <w:rFonts w:eastAsia="Times New Roman"/>
          <w:sz w:val="24"/>
          <w:szCs w:val="24"/>
          <w:lang w:val="en-GB"/>
        </w:rPr>
        <w:t xml:space="preserve">. [online] International Monetary Fund. Available at: </w:t>
      </w:r>
      <w:hyperlink r:id="rId45">
        <w:r w:rsidRPr="0012475C">
          <w:rPr>
            <w:rFonts w:eastAsia="Times New Roman"/>
            <w:color w:val="1155CC"/>
            <w:sz w:val="24"/>
            <w:szCs w:val="24"/>
            <w:u w:val="single"/>
            <w:lang w:val="en-GB"/>
          </w:rPr>
          <w:t>https://www.elibrary.imf.org/downloadpdf/display/book/9781484339749/9781484339749.pdf</w:t>
        </w:r>
      </w:hyperlink>
      <w:r w:rsidRPr="0012475C">
        <w:rPr>
          <w:rFonts w:eastAsia="Times New Roman"/>
          <w:sz w:val="24"/>
          <w:szCs w:val="24"/>
          <w:lang w:val="en-GB"/>
        </w:rPr>
        <w:t xml:space="preserve"> [Accessed 10 Aug. 2026].</w:t>
      </w:r>
    </w:p>
    <w:p w14:paraId="1BC372A0"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 xml:space="preserve">Statista.com (2026). </w:t>
      </w:r>
      <w:r w:rsidRPr="0012475C">
        <w:rPr>
          <w:rFonts w:eastAsia="Times New Roman"/>
          <w:i/>
          <w:iCs/>
          <w:sz w:val="24"/>
          <w:szCs w:val="24"/>
          <w:lang w:val="en-GB"/>
        </w:rPr>
        <w:t>Gross domestic product (GDP) in current prices worldwide 1995-2026, by territory</w:t>
      </w:r>
      <w:r w:rsidRPr="0012475C">
        <w:rPr>
          <w:rFonts w:eastAsia="Times New Roman"/>
          <w:sz w:val="24"/>
          <w:szCs w:val="24"/>
          <w:lang w:val="en-GB"/>
        </w:rPr>
        <w:t xml:space="preserve">. [online] Statista. Available at: </w:t>
      </w:r>
      <w:hyperlink r:id="rId46">
        <w:r w:rsidRPr="0012475C">
          <w:rPr>
            <w:rFonts w:eastAsia="Times New Roman"/>
            <w:color w:val="1155CC"/>
            <w:sz w:val="24"/>
            <w:szCs w:val="24"/>
            <w:u w:val="single"/>
            <w:lang w:val="en-GB"/>
          </w:rPr>
          <w:t>https://www.statista.com/statistics/802640/gross-domestic-product-gdp-latin-america-caribbean-country/?srsltid=AfmBOoro-SB31bijcREGnmNAFAmkKYtDZwInnJcniHzHf2FYoTv1MtL1</w:t>
        </w:r>
      </w:hyperlink>
      <w:r w:rsidRPr="0012475C">
        <w:rPr>
          <w:rFonts w:eastAsia="Times New Roman"/>
          <w:sz w:val="24"/>
          <w:szCs w:val="24"/>
          <w:lang w:val="en-GB"/>
        </w:rPr>
        <w:t xml:space="preserve"> [Accessed 10 Aug. 2026].</w:t>
      </w:r>
    </w:p>
    <w:p w14:paraId="34113456"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Supplychainmovement.com (2020). </w:t>
      </w:r>
      <w:r w:rsidRPr="0012475C">
        <w:rPr>
          <w:rFonts w:eastAsia="Times New Roman"/>
          <w:i/>
          <w:iCs/>
          <w:sz w:val="24"/>
          <w:szCs w:val="24"/>
          <w:lang w:val="en-GB"/>
        </w:rPr>
        <w:t>Primark doesn’t drop suppliers in Asia</w:t>
      </w:r>
      <w:r w:rsidRPr="0012475C">
        <w:rPr>
          <w:rFonts w:eastAsia="Times New Roman"/>
          <w:sz w:val="24"/>
          <w:szCs w:val="24"/>
          <w:lang w:val="en-GB"/>
        </w:rPr>
        <w:t xml:space="preserve">. [online] </w:t>
      </w:r>
      <w:r w:rsidRPr="0012475C">
        <w:rPr>
          <w:rFonts w:eastAsia="Times New Roman"/>
          <w:i/>
          <w:iCs/>
          <w:sz w:val="24"/>
          <w:szCs w:val="24"/>
          <w:lang w:val="en-GB"/>
        </w:rPr>
        <w:t>Supply Chain Movement</w:t>
      </w:r>
      <w:r w:rsidRPr="0012475C">
        <w:rPr>
          <w:rFonts w:eastAsia="Times New Roman"/>
          <w:sz w:val="24"/>
          <w:szCs w:val="24"/>
          <w:lang w:val="en-GB"/>
        </w:rPr>
        <w:t xml:space="preserve">. Available at: </w:t>
      </w:r>
      <w:hyperlink r:id="rId47">
        <w:r w:rsidRPr="0012475C">
          <w:rPr>
            <w:rFonts w:eastAsia="Times New Roman"/>
            <w:color w:val="1155CC"/>
            <w:sz w:val="24"/>
            <w:szCs w:val="24"/>
            <w:u w:val="single"/>
            <w:lang w:val="en-GB"/>
          </w:rPr>
          <w:t>https://www.supplychainmovement.com/primark-doesnt-drop-suppliers-in-asia/</w:t>
        </w:r>
      </w:hyperlink>
      <w:r w:rsidRPr="0012475C">
        <w:rPr>
          <w:rFonts w:eastAsia="Times New Roman"/>
          <w:sz w:val="24"/>
          <w:szCs w:val="24"/>
          <w:lang w:val="en-GB"/>
        </w:rPr>
        <w:t xml:space="preserve"> [Accessed 10 Aug. 2026].</w:t>
      </w:r>
    </w:p>
    <w:p w14:paraId="13119F06"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The Culture Factor Group (2025). </w:t>
      </w:r>
      <w:r w:rsidRPr="0012475C">
        <w:rPr>
          <w:rFonts w:eastAsia="Times New Roman"/>
          <w:i/>
          <w:iCs/>
          <w:sz w:val="24"/>
          <w:szCs w:val="24"/>
          <w:lang w:val="en-GB"/>
        </w:rPr>
        <w:t>Country comparison tool</w:t>
      </w:r>
      <w:r w:rsidRPr="0012475C">
        <w:rPr>
          <w:rFonts w:eastAsia="Times New Roman"/>
          <w:sz w:val="24"/>
          <w:szCs w:val="24"/>
          <w:lang w:val="en-GB"/>
        </w:rPr>
        <w:t xml:space="preserve">. [online] </w:t>
      </w:r>
      <w:r w:rsidRPr="0012475C">
        <w:rPr>
          <w:rFonts w:eastAsia="Times New Roman"/>
          <w:i/>
          <w:iCs/>
          <w:sz w:val="24"/>
          <w:szCs w:val="24"/>
          <w:lang w:val="en-GB"/>
        </w:rPr>
        <w:t>Theculturefactor.com</w:t>
      </w:r>
      <w:r w:rsidRPr="0012475C">
        <w:rPr>
          <w:rFonts w:eastAsia="Times New Roman"/>
          <w:sz w:val="24"/>
          <w:szCs w:val="24"/>
          <w:lang w:val="en-GB"/>
        </w:rPr>
        <w:t xml:space="preserve">. Available at: </w:t>
      </w:r>
      <w:hyperlink r:id="rId48">
        <w:r w:rsidRPr="0012475C">
          <w:rPr>
            <w:rFonts w:eastAsia="Times New Roman"/>
            <w:color w:val="1155CC"/>
            <w:sz w:val="24"/>
            <w:szCs w:val="24"/>
            <w:u w:val="single"/>
            <w:lang w:val="en-GB"/>
          </w:rPr>
          <w:t>https://www.theculturefactor.com/country-comparison-tool?countries=brazil%2Cunited+kingdom</w:t>
        </w:r>
      </w:hyperlink>
      <w:r w:rsidRPr="0012475C">
        <w:rPr>
          <w:rFonts w:eastAsia="Times New Roman"/>
          <w:sz w:val="24"/>
          <w:szCs w:val="24"/>
          <w:lang w:val="en-GB"/>
        </w:rPr>
        <w:t xml:space="preserve"> [Accessed 10 Aug. 2026].</w:t>
      </w:r>
    </w:p>
    <w:p w14:paraId="260E67DC"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Tradingview.com (2025). </w:t>
      </w:r>
      <w:r w:rsidRPr="0012475C">
        <w:rPr>
          <w:rFonts w:eastAsia="Times New Roman"/>
          <w:i/>
          <w:iCs/>
          <w:sz w:val="24"/>
          <w:szCs w:val="24"/>
          <w:lang w:val="en-GB"/>
        </w:rPr>
        <w:t>ZAWYA-PRESSR: Primark confirms next steps of expansion In the Middle East in partnership with Alshaya Group</w:t>
      </w:r>
      <w:r w:rsidRPr="0012475C">
        <w:rPr>
          <w:rFonts w:eastAsia="Times New Roman"/>
          <w:sz w:val="24"/>
          <w:szCs w:val="24"/>
          <w:lang w:val="en-GB"/>
        </w:rPr>
        <w:t xml:space="preserve">. [online] </w:t>
      </w:r>
      <w:r w:rsidRPr="0012475C">
        <w:rPr>
          <w:rFonts w:eastAsia="Times New Roman"/>
          <w:i/>
          <w:iCs/>
          <w:sz w:val="24"/>
          <w:szCs w:val="24"/>
          <w:lang w:val="en-GB"/>
        </w:rPr>
        <w:t>Tradingview.com</w:t>
      </w:r>
      <w:r w:rsidRPr="0012475C">
        <w:rPr>
          <w:rFonts w:eastAsia="Times New Roman"/>
          <w:sz w:val="24"/>
          <w:szCs w:val="24"/>
          <w:lang w:val="en-GB"/>
        </w:rPr>
        <w:t xml:space="preserve">. Available at: </w:t>
      </w:r>
      <w:hyperlink r:id="rId49">
        <w:r w:rsidRPr="0012475C">
          <w:rPr>
            <w:rFonts w:eastAsia="Times New Roman"/>
            <w:color w:val="1155CC"/>
            <w:sz w:val="24"/>
            <w:szCs w:val="24"/>
            <w:u w:val="single"/>
            <w:lang w:val="en-GB"/>
          </w:rPr>
          <w:t>https://www.tradingview.com/news/reuters.com</w:t>
        </w:r>
      </w:hyperlink>
      <w:r w:rsidRPr="0012475C">
        <w:rPr>
          <w:rFonts w:eastAsia="Times New Roman"/>
          <w:sz w:val="24"/>
          <w:szCs w:val="24"/>
          <w:lang w:val="en-GB"/>
        </w:rPr>
        <w:t xml:space="preserve"> [Accessed 10 Aug. 2026].</w:t>
      </w:r>
    </w:p>
    <w:p w14:paraId="11B3275F"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Verbeke, A. (2026). The future of international business strategy research. </w:t>
      </w:r>
      <w:r w:rsidRPr="0012475C">
        <w:rPr>
          <w:rFonts w:eastAsia="Times New Roman"/>
          <w:i/>
          <w:iCs/>
          <w:sz w:val="24"/>
          <w:szCs w:val="24"/>
          <w:lang w:val="en-GB"/>
        </w:rPr>
        <w:t>International Business Review</w:t>
      </w:r>
      <w:r w:rsidRPr="0012475C">
        <w:rPr>
          <w:rFonts w:eastAsia="Times New Roman"/>
          <w:sz w:val="24"/>
          <w:szCs w:val="24"/>
          <w:lang w:val="en-GB"/>
        </w:rPr>
        <w:t>, [online] 35(4), p.102596. doi:10.1016/j.ibusrev.2026.102596.</w:t>
      </w:r>
    </w:p>
    <w:p w14:paraId="20FA2B70"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Virdi, A. (2025). </w:t>
      </w:r>
      <w:r w:rsidRPr="0012475C">
        <w:rPr>
          <w:rFonts w:eastAsia="Times New Roman"/>
          <w:i/>
          <w:iCs/>
          <w:sz w:val="24"/>
          <w:szCs w:val="24"/>
          <w:lang w:val="en-GB"/>
        </w:rPr>
        <w:t>Primark to shift focus from fashion to price to help people ‘rediscover’ its ‘value</w:t>
      </w:r>
      <w:r w:rsidRPr="0012475C">
        <w:rPr>
          <w:rFonts w:eastAsia="Times New Roman"/>
          <w:sz w:val="24"/>
          <w:szCs w:val="24"/>
          <w:lang w:val="en-GB"/>
        </w:rPr>
        <w:t xml:space="preserve">. [online] </w:t>
      </w:r>
      <w:r w:rsidRPr="0012475C">
        <w:rPr>
          <w:rFonts w:eastAsia="Times New Roman"/>
          <w:i/>
          <w:iCs/>
          <w:sz w:val="24"/>
          <w:szCs w:val="24"/>
          <w:lang w:val="en-GB"/>
        </w:rPr>
        <w:t>Marketing Week</w:t>
      </w:r>
      <w:r w:rsidRPr="0012475C">
        <w:rPr>
          <w:rFonts w:eastAsia="Times New Roman"/>
          <w:sz w:val="24"/>
          <w:szCs w:val="24"/>
          <w:lang w:val="en-GB"/>
        </w:rPr>
        <w:t xml:space="preserve">. Available at: </w:t>
      </w:r>
      <w:hyperlink r:id="rId50">
        <w:r w:rsidRPr="0012475C">
          <w:rPr>
            <w:rFonts w:eastAsia="Times New Roman"/>
            <w:color w:val="1155CC"/>
            <w:sz w:val="24"/>
            <w:szCs w:val="24"/>
            <w:u w:val="single"/>
            <w:lang w:val="en-GB"/>
          </w:rPr>
          <w:t>https://www.marketingweek.com/primark-value-disruptor-marketing/</w:t>
        </w:r>
      </w:hyperlink>
      <w:r w:rsidRPr="0012475C">
        <w:rPr>
          <w:rFonts w:eastAsia="Times New Roman"/>
          <w:sz w:val="24"/>
          <w:szCs w:val="24"/>
          <w:lang w:val="en-GB"/>
        </w:rPr>
        <w:t xml:space="preserve"> [Accessed 10 Aug. 2026].</w:t>
      </w:r>
    </w:p>
    <w:p w14:paraId="38612132"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Wan, C., Sousa, C.M.P., Lengler, J. and Tan, Q. (2023). Entry mode choice: A meta-analysis of antecedents and outcomes. </w:t>
      </w:r>
      <w:r w:rsidRPr="0012475C">
        <w:rPr>
          <w:rFonts w:eastAsia="Times New Roman"/>
          <w:i/>
          <w:iCs/>
          <w:sz w:val="24"/>
          <w:szCs w:val="24"/>
          <w:lang w:val="en-GB"/>
        </w:rPr>
        <w:t>Management International Review</w:t>
      </w:r>
      <w:r w:rsidRPr="0012475C">
        <w:rPr>
          <w:rFonts w:eastAsia="Times New Roman"/>
          <w:sz w:val="24"/>
          <w:szCs w:val="24"/>
          <w:lang w:val="en-GB"/>
        </w:rPr>
        <w:t>, [online] 63(2), pp.193–246. doi:10.1007/s11575-022-00499-6.</w:t>
      </w:r>
    </w:p>
    <w:p w14:paraId="01435186"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t xml:space="preserve">Wang, Z. (2023). The reasons of Primark brand loyalty in the post-epidemic era based on marketing mix theory. </w:t>
      </w:r>
      <w:r w:rsidRPr="0012475C">
        <w:rPr>
          <w:rFonts w:eastAsia="Times New Roman"/>
          <w:i/>
          <w:iCs/>
          <w:sz w:val="24"/>
          <w:szCs w:val="24"/>
          <w:lang w:val="en-GB"/>
        </w:rPr>
        <w:t>Highlights in Business, Economics and Management</w:t>
      </w:r>
      <w:r w:rsidRPr="0012475C">
        <w:rPr>
          <w:rFonts w:eastAsia="Times New Roman"/>
          <w:sz w:val="24"/>
          <w:szCs w:val="24"/>
          <w:lang w:val="en-GB"/>
        </w:rPr>
        <w:t>, [online] 23, pp.590–596. doi:10.54097/p8f3e715.</w:t>
      </w:r>
    </w:p>
    <w:p w14:paraId="0E9B2F17" w14:textId="77777777" w:rsidR="0012475C" w:rsidRPr="0012475C" w:rsidRDefault="0012475C" w:rsidP="0012475C">
      <w:pPr>
        <w:spacing w:after="240" w:line="360" w:lineRule="auto"/>
        <w:jc w:val="both"/>
        <w:rPr>
          <w:rFonts w:eastAsia="Times New Roman"/>
          <w:sz w:val="24"/>
          <w:szCs w:val="24"/>
          <w:lang w:val="en-GB"/>
        </w:rPr>
      </w:pPr>
      <w:r w:rsidRPr="0012475C">
        <w:rPr>
          <w:rFonts w:eastAsia="Times New Roman"/>
          <w:sz w:val="24"/>
          <w:szCs w:val="24"/>
          <w:lang w:val="en-GB"/>
        </w:rPr>
        <w:lastRenderedPageBreak/>
        <w:t xml:space="preserve">Zheng, F., Zhao, C., Yasmin, F. and Sokolova, M. (2025). Hofstede’s cultural dimensions and proactive behavior as the antecedents of entrepreneurial innovativeness. </w:t>
      </w:r>
      <w:r w:rsidRPr="0012475C">
        <w:rPr>
          <w:rFonts w:eastAsia="Times New Roman"/>
          <w:i/>
          <w:iCs/>
          <w:sz w:val="24"/>
          <w:szCs w:val="24"/>
          <w:lang w:val="en-GB"/>
        </w:rPr>
        <w:t>Acta Psychologica</w:t>
      </w:r>
      <w:r w:rsidRPr="0012475C">
        <w:rPr>
          <w:rFonts w:eastAsia="Times New Roman"/>
          <w:sz w:val="24"/>
          <w:szCs w:val="24"/>
          <w:lang w:val="en-GB"/>
        </w:rPr>
        <w:t>, [online] 256, pp.1–12. doi:10.1016/j.actpsy.2025.104948.</w:t>
      </w:r>
    </w:p>
    <w:p w14:paraId="720A6818" w14:textId="77777777" w:rsidR="00993521" w:rsidRPr="0012475C" w:rsidRDefault="00993521" w:rsidP="0012475C">
      <w:pPr>
        <w:spacing w:after="240" w:line="360" w:lineRule="auto"/>
        <w:jc w:val="both"/>
        <w:rPr>
          <w:rFonts w:eastAsia="Times New Roman"/>
          <w:sz w:val="24"/>
          <w:szCs w:val="24"/>
          <w:lang w:val="en-GB"/>
        </w:rPr>
      </w:pPr>
    </w:p>
    <w:p w14:paraId="144850AA" w14:textId="77777777" w:rsidR="00993521" w:rsidRPr="0012475C" w:rsidRDefault="00993521" w:rsidP="0012475C">
      <w:pPr>
        <w:spacing w:after="240" w:line="360" w:lineRule="auto"/>
        <w:jc w:val="both"/>
        <w:rPr>
          <w:rFonts w:eastAsia="Times New Roman"/>
          <w:sz w:val="24"/>
          <w:szCs w:val="24"/>
          <w:lang w:val="en-GB"/>
        </w:rPr>
      </w:pPr>
    </w:p>
    <w:sectPr w:rsidR="00993521" w:rsidRPr="0012475C" w:rsidSect="00953BCB">
      <w:footerReference w:type="default" r:id="rId5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FAA2B" w14:textId="77777777" w:rsidR="008264EE" w:rsidRDefault="008264EE" w:rsidP="00953BCB">
      <w:pPr>
        <w:spacing w:line="240" w:lineRule="auto"/>
      </w:pPr>
      <w:r>
        <w:separator/>
      </w:r>
    </w:p>
  </w:endnote>
  <w:endnote w:type="continuationSeparator" w:id="0">
    <w:p w14:paraId="6F95EBB7" w14:textId="77777777" w:rsidR="008264EE" w:rsidRDefault="008264EE" w:rsidP="00953B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D6D7998-17EE-4882-B55D-640ACE5F464F}"/>
  </w:font>
  <w:font w:name="Shruti">
    <w:panose1 w:val="020B0502040204020203"/>
    <w:charset w:val="00"/>
    <w:family w:val="swiss"/>
    <w:pitch w:val="variable"/>
    <w:sig w:usb0="00040003" w:usb1="00000000" w:usb2="00000000" w:usb3="00000000" w:csb0="00000001" w:csb1="00000000"/>
    <w:embedRegular r:id="rId2" w:fontKey="{028EBCCE-E545-4CE8-8DF3-C01A001309C5}"/>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3" w:fontKey="{4EBCFB47-B179-4FE3-86CB-F4D42A1F26D5}"/>
  </w:font>
  <w:font w:name="Cambria Math">
    <w:panose1 w:val="02040503050406030204"/>
    <w:charset w:val="00"/>
    <w:family w:val="roman"/>
    <w:pitch w:val="variable"/>
    <w:sig w:usb0="E00006FF" w:usb1="420024FF" w:usb2="02000000" w:usb3="00000000" w:csb0="0000019F" w:csb1="00000000"/>
    <w:embedRegular r:id="rId4" w:fontKey="{26603BD4-95A7-427A-864E-9898F9E0AF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62157141"/>
      <w:docPartObj>
        <w:docPartGallery w:val="Page Numbers (Bottom of Page)"/>
        <w:docPartUnique/>
      </w:docPartObj>
    </w:sdtPr>
    <w:sdtContent>
      <w:p w14:paraId="624835FD" w14:textId="0B6B2DEF" w:rsidR="00953BCB" w:rsidRPr="00953BCB" w:rsidRDefault="00953BCB">
        <w:pPr>
          <w:pStyle w:val="Footer"/>
          <w:jc w:val="right"/>
          <w:rPr>
            <w:rFonts w:ascii="Times New Roman" w:hAnsi="Times New Roman" w:cs="Times New Roman"/>
            <w:sz w:val="24"/>
            <w:szCs w:val="24"/>
          </w:rPr>
        </w:pPr>
        <w:r w:rsidRPr="00953BCB">
          <w:rPr>
            <w:rFonts w:ascii="Times New Roman" w:hAnsi="Times New Roman" w:cs="Times New Roman"/>
            <w:sz w:val="24"/>
            <w:szCs w:val="24"/>
          </w:rPr>
          <w:t xml:space="preserve">Page | </w:t>
        </w:r>
        <w:r w:rsidRPr="00953BCB">
          <w:rPr>
            <w:rFonts w:ascii="Times New Roman" w:hAnsi="Times New Roman" w:cs="Times New Roman"/>
            <w:sz w:val="24"/>
            <w:szCs w:val="24"/>
          </w:rPr>
          <w:fldChar w:fldCharType="begin"/>
        </w:r>
        <w:r w:rsidRPr="00953BCB">
          <w:rPr>
            <w:rFonts w:ascii="Times New Roman" w:hAnsi="Times New Roman" w:cs="Times New Roman"/>
            <w:sz w:val="24"/>
            <w:szCs w:val="24"/>
          </w:rPr>
          <w:instrText xml:space="preserve"> PAGE   \* MERGEFORMAT </w:instrText>
        </w:r>
        <w:r w:rsidRPr="00953BCB">
          <w:rPr>
            <w:rFonts w:ascii="Times New Roman" w:hAnsi="Times New Roman" w:cs="Times New Roman"/>
            <w:sz w:val="24"/>
            <w:szCs w:val="24"/>
          </w:rPr>
          <w:fldChar w:fldCharType="separate"/>
        </w:r>
        <w:r w:rsidR="00D27288">
          <w:rPr>
            <w:rFonts w:ascii="Times New Roman" w:hAnsi="Times New Roman" w:cs="Times New Roman"/>
            <w:noProof/>
            <w:sz w:val="24"/>
            <w:szCs w:val="24"/>
          </w:rPr>
          <w:t>24</w:t>
        </w:r>
        <w:r w:rsidRPr="00953BCB">
          <w:rPr>
            <w:rFonts w:ascii="Times New Roman" w:hAnsi="Times New Roman" w:cs="Times New Roman"/>
            <w:noProof/>
            <w:sz w:val="24"/>
            <w:szCs w:val="24"/>
          </w:rPr>
          <w:fldChar w:fldCharType="end"/>
        </w:r>
        <w:r w:rsidRPr="00953BCB">
          <w:rPr>
            <w:rFonts w:ascii="Times New Roman" w:hAnsi="Times New Roman" w:cs="Times New Roman"/>
            <w:sz w:val="24"/>
            <w:szCs w:val="24"/>
          </w:rPr>
          <w:t xml:space="preserve"> </w:t>
        </w:r>
      </w:p>
    </w:sdtContent>
  </w:sdt>
  <w:p w14:paraId="1E0AFEEC" w14:textId="77777777" w:rsidR="00953BCB" w:rsidRDefault="00953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EA947" w14:textId="77777777" w:rsidR="008264EE" w:rsidRDefault="008264EE" w:rsidP="00953BCB">
      <w:pPr>
        <w:spacing w:line="240" w:lineRule="auto"/>
      </w:pPr>
      <w:r>
        <w:separator/>
      </w:r>
    </w:p>
  </w:footnote>
  <w:footnote w:type="continuationSeparator" w:id="0">
    <w:p w14:paraId="25D43BD6" w14:textId="77777777" w:rsidR="008264EE" w:rsidRDefault="008264EE" w:rsidP="00953B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C4466"/>
    <w:multiLevelType w:val="multilevel"/>
    <w:tmpl w:val="60A63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4D5C61"/>
    <w:multiLevelType w:val="multilevel"/>
    <w:tmpl w:val="5EC64E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6F564D"/>
    <w:multiLevelType w:val="multilevel"/>
    <w:tmpl w:val="02526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7E44499"/>
    <w:multiLevelType w:val="multilevel"/>
    <w:tmpl w:val="C97E9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3070789">
    <w:abstractNumId w:val="1"/>
  </w:num>
  <w:num w:numId="2" w16cid:durableId="1553614453">
    <w:abstractNumId w:val="3"/>
  </w:num>
  <w:num w:numId="3" w16cid:durableId="566385285">
    <w:abstractNumId w:val="0"/>
  </w:num>
  <w:num w:numId="4" w16cid:durableId="711032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3521"/>
    <w:rsid w:val="0012475C"/>
    <w:rsid w:val="001651B1"/>
    <w:rsid w:val="00274DBB"/>
    <w:rsid w:val="002778BF"/>
    <w:rsid w:val="0030220B"/>
    <w:rsid w:val="004C1B23"/>
    <w:rsid w:val="005958B7"/>
    <w:rsid w:val="005A6E41"/>
    <w:rsid w:val="005B43A6"/>
    <w:rsid w:val="00712AEA"/>
    <w:rsid w:val="008264EE"/>
    <w:rsid w:val="00953BCB"/>
    <w:rsid w:val="00993521"/>
    <w:rsid w:val="009F0D61"/>
    <w:rsid w:val="009F3D82"/>
    <w:rsid w:val="00CA0038"/>
    <w:rsid w:val="00CC08CA"/>
    <w:rsid w:val="00D27288"/>
    <w:rsid w:val="00E75F06"/>
    <w:rsid w:val="00EE70CA"/>
    <w:rsid w:val="00FB7F8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17F74C"/>
  <w15:docId w15:val="{20DBF4B7-99DA-418D-AF72-05E009223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2475C"/>
    <w:pPr>
      <w:keepNext/>
      <w:keepLines/>
      <w:spacing w:before="120" w:after="120" w:line="36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12475C"/>
    <w:pPr>
      <w:keepNext/>
      <w:keepLines/>
      <w:spacing w:before="120" w:after="120" w:line="360" w:lineRule="auto"/>
      <w:jc w:val="both"/>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953BCB"/>
    <w:pPr>
      <w:tabs>
        <w:tab w:val="center" w:pos="4513"/>
        <w:tab w:val="right" w:pos="9026"/>
      </w:tabs>
      <w:spacing w:line="240" w:lineRule="auto"/>
    </w:pPr>
  </w:style>
  <w:style w:type="character" w:customStyle="1" w:styleId="HeaderChar">
    <w:name w:val="Header Char"/>
    <w:basedOn w:val="DefaultParagraphFont"/>
    <w:link w:val="Header"/>
    <w:uiPriority w:val="99"/>
    <w:rsid w:val="00953BCB"/>
  </w:style>
  <w:style w:type="paragraph" w:styleId="Footer">
    <w:name w:val="footer"/>
    <w:basedOn w:val="Normal"/>
    <w:link w:val="FooterChar"/>
    <w:uiPriority w:val="99"/>
    <w:unhideWhenUsed/>
    <w:rsid w:val="00953BCB"/>
    <w:pPr>
      <w:tabs>
        <w:tab w:val="center" w:pos="4513"/>
        <w:tab w:val="right" w:pos="9026"/>
      </w:tabs>
      <w:spacing w:line="240" w:lineRule="auto"/>
    </w:pPr>
  </w:style>
  <w:style w:type="character" w:customStyle="1" w:styleId="FooterChar">
    <w:name w:val="Footer Char"/>
    <w:basedOn w:val="DefaultParagraphFont"/>
    <w:link w:val="Footer"/>
    <w:uiPriority w:val="99"/>
    <w:rsid w:val="00953BCB"/>
  </w:style>
  <w:style w:type="paragraph" w:styleId="TOCHeading">
    <w:name w:val="TOC Heading"/>
    <w:basedOn w:val="Heading1"/>
    <w:next w:val="Normal"/>
    <w:uiPriority w:val="39"/>
    <w:unhideWhenUsed/>
    <w:qFormat/>
    <w:rsid w:val="00953BC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53BCB"/>
    <w:pPr>
      <w:spacing w:after="100"/>
    </w:pPr>
  </w:style>
  <w:style w:type="paragraph" w:styleId="TOC2">
    <w:name w:val="toc 2"/>
    <w:basedOn w:val="Normal"/>
    <w:next w:val="Normal"/>
    <w:autoRedefine/>
    <w:uiPriority w:val="39"/>
    <w:unhideWhenUsed/>
    <w:rsid w:val="00953BCB"/>
    <w:pPr>
      <w:spacing w:after="100"/>
      <w:ind w:left="220"/>
    </w:pPr>
  </w:style>
  <w:style w:type="character" w:styleId="Hyperlink">
    <w:name w:val="Hyperlink"/>
    <w:basedOn w:val="DefaultParagraphFont"/>
    <w:uiPriority w:val="99"/>
    <w:unhideWhenUsed/>
    <w:rsid w:val="00953BCB"/>
    <w:rPr>
      <w:color w:val="0000FF" w:themeColor="hyperlink"/>
      <w:u w:val="single"/>
    </w:rPr>
  </w:style>
  <w:style w:type="table" w:styleId="GridTable5Dark-Accent6">
    <w:name w:val="Grid Table 5 Dark Accent 6"/>
    <w:basedOn w:val="TableNormal"/>
    <w:uiPriority w:val="50"/>
    <w:rsid w:val="00CC08C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4">
    <w:name w:val="Grid Table 5 Dark Accent 4"/>
    <w:basedOn w:val="TableNormal"/>
    <w:uiPriority w:val="50"/>
    <w:rsid w:val="00CC08C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2">
    <w:name w:val="Grid Table 5 Dark Accent 2"/>
    <w:basedOn w:val="TableNormal"/>
    <w:uiPriority w:val="50"/>
    <w:rsid w:val="00CC08C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paragraph" w:customStyle="1" w:styleId="TableParagraph">
    <w:name w:val="Table Paragraph"/>
    <w:basedOn w:val="Normal"/>
    <w:uiPriority w:val="1"/>
    <w:qFormat/>
    <w:rsid w:val="0012475C"/>
    <w:pPr>
      <w:widowControl w:val="0"/>
      <w:autoSpaceDE w:val="0"/>
      <w:autoSpaceDN w:val="0"/>
      <w:spacing w:line="240" w:lineRule="auto"/>
      <w:ind w:left="108"/>
    </w:pPr>
    <w:rPr>
      <w:rFonts w:ascii="Arial MT" w:eastAsia="Arial MT" w:hAnsi="Arial MT" w:cs="Arial MT"/>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844379">
      <w:bodyDiv w:val="1"/>
      <w:marLeft w:val="0"/>
      <w:marRight w:val="0"/>
      <w:marTop w:val="0"/>
      <w:marBottom w:val="0"/>
      <w:divBdr>
        <w:top w:val="none" w:sz="0" w:space="0" w:color="auto"/>
        <w:left w:val="none" w:sz="0" w:space="0" w:color="auto"/>
        <w:bottom w:val="none" w:sz="0" w:space="0" w:color="auto"/>
        <w:right w:val="none" w:sz="0" w:space="0" w:color="auto"/>
      </w:divBdr>
      <w:divsChild>
        <w:div w:id="253632211">
          <w:marLeft w:val="0"/>
          <w:marRight w:val="0"/>
          <w:marTop w:val="0"/>
          <w:marBottom w:val="0"/>
          <w:divBdr>
            <w:top w:val="none" w:sz="0" w:space="0" w:color="auto"/>
            <w:left w:val="none" w:sz="0" w:space="0" w:color="auto"/>
            <w:bottom w:val="none" w:sz="0" w:space="0" w:color="auto"/>
            <w:right w:val="none" w:sz="0" w:space="0" w:color="auto"/>
          </w:divBdr>
          <w:divsChild>
            <w:div w:id="122118815">
              <w:marLeft w:val="0"/>
              <w:marRight w:val="0"/>
              <w:marTop w:val="0"/>
              <w:marBottom w:val="0"/>
              <w:divBdr>
                <w:top w:val="none" w:sz="0" w:space="0" w:color="auto"/>
                <w:left w:val="none" w:sz="0" w:space="0" w:color="auto"/>
                <w:bottom w:val="none" w:sz="0" w:space="0" w:color="auto"/>
                <w:right w:val="none" w:sz="0" w:space="0" w:color="auto"/>
              </w:divBdr>
              <w:divsChild>
                <w:div w:id="533539473">
                  <w:marLeft w:val="0"/>
                  <w:marRight w:val="0"/>
                  <w:marTop w:val="120"/>
                  <w:marBottom w:val="0"/>
                  <w:divBdr>
                    <w:top w:val="none" w:sz="0" w:space="0" w:color="auto"/>
                    <w:left w:val="none" w:sz="0" w:space="0" w:color="auto"/>
                    <w:bottom w:val="none" w:sz="0" w:space="0" w:color="auto"/>
                    <w:right w:val="none" w:sz="0" w:space="0" w:color="auto"/>
                  </w:divBdr>
                  <w:divsChild>
                    <w:div w:id="898174254">
                      <w:marLeft w:val="0"/>
                      <w:marRight w:val="0"/>
                      <w:marTop w:val="0"/>
                      <w:marBottom w:val="0"/>
                      <w:divBdr>
                        <w:top w:val="none" w:sz="0" w:space="0" w:color="auto"/>
                        <w:left w:val="none" w:sz="0" w:space="0" w:color="auto"/>
                        <w:bottom w:val="none" w:sz="0" w:space="0" w:color="auto"/>
                        <w:right w:val="none" w:sz="0" w:space="0" w:color="auto"/>
                      </w:divBdr>
                      <w:divsChild>
                        <w:div w:id="1067799179">
                          <w:marLeft w:val="0"/>
                          <w:marRight w:val="0"/>
                          <w:marTop w:val="0"/>
                          <w:marBottom w:val="0"/>
                          <w:divBdr>
                            <w:top w:val="none" w:sz="0" w:space="0" w:color="auto"/>
                            <w:left w:val="none" w:sz="0" w:space="0" w:color="auto"/>
                            <w:bottom w:val="none" w:sz="0" w:space="0" w:color="auto"/>
                            <w:right w:val="none" w:sz="0" w:space="0" w:color="auto"/>
                          </w:divBdr>
                          <w:divsChild>
                            <w:div w:id="952907975">
                              <w:marLeft w:val="0"/>
                              <w:marRight w:val="0"/>
                              <w:marTop w:val="0"/>
                              <w:marBottom w:val="0"/>
                              <w:divBdr>
                                <w:top w:val="none" w:sz="0" w:space="0" w:color="auto"/>
                                <w:left w:val="none" w:sz="0" w:space="0" w:color="auto"/>
                                <w:bottom w:val="none" w:sz="0" w:space="0" w:color="auto"/>
                                <w:right w:val="none" w:sz="0" w:space="0" w:color="auto"/>
                              </w:divBdr>
                              <w:divsChild>
                                <w:div w:id="186563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108/IJOEM-07-2019-0517" TargetMode="External"/><Relationship Id="rId39" Type="http://schemas.openxmlformats.org/officeDocument/2006/relationships/hyperlink" Target="https://deepmarketinsights.com/vista/insights/fast-fashion-market/brazil" TargetMode="External"/><Relationship Id="rId21" Type="http://schemas.openxmlformats.org/officeDocument/2006/relationships/hyperlink" Target="https://bricscci.com/brics-countries/brazil/" TargetMode="External"/><Relationship Id="rId34" Type="http://schemas.openxmlformats.org/officeDocument/2006/relationships/hyperlink" Target="https://www.imarcgroup.com/brazil-luxury-fashion-market" TargetMode="External"/><Relationship Id="rId42" Type="http://schemas.openxmlformats.org/officeDocument/2006/relationships/hyperlink" Target="https://www.primark.com/en-us/franchise-scam" TargetMode="External"/><Relationship Id="rId47" Type="http://schemas.openxmlformats.org/officeDocument/2006/relationships/hyperlink" Target="https://www.supplychainmovement.com/primark-doesnt-drop-suppliers-in-asia/" TargetMode="External"/><Relationship Id="rId50" Type="http://schemas.openxmlformats.org/officeDocument/2006/relationships/hyperlink" Target="https://www.marketingweek.com/primark-value-disruptor-market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researchgate.net/publication/330676430_Financial_Analysis_of_Primark_Stores_Ltd_with_regard_to_a_Stock_Exchange_Floatation_IPO" TargetMode="External"/><Relationship Id="rId11" Type="http://schemas.openxmlformats.org/officeDocument/2006/relationships/image" Target="media/image4.png"/><Relationship Id="rId24" Type="http://schemas.openxmlformats.org/officeDocument/2006/relationships/hyperlink" Target="https://corporatefinanceinstitute.com/resources/management/eclectic-paradigm/" TargetMode="External"/><Relationship Id="rId32" Type="http://schemas.openxmlformats.org/officeDocument/2006/relationships/hyperlink" Target="https://papers.ssrn.com/sol3/papers.cfm?abstract_id=3518799" TargetMode="External"/><Relationship Id="rId37" Type="http://schemas.openxmlformats.org/officeDocument/2006/relationships/hyperlink" Target="https://shenglufashion.com/2023/09/11/primarks-global-sourcing-for-apparel-updated-september-2023/" TargetMode="External"/><Relationship Id="rId40" Type="http://schemas.openxmlformats.org/officeDocument/2006/relationships/hyperlink" Target="https://www.costar.com/article/702512605/how-primarks-physical-store-model-is-ready-for-lift-off-in-the-us" TargetMode="External"/><Relationship Id="rId45" Type="http://schemas.openxmlformats.org/officeDocument/2006/relationships/hyperlink" Target="https://www.elibrary.imf.org/downloadpdf/display/book/9781484339749/9781484339749.pdf"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abf.co.uk/our-businesses/retail" TargetMode="External"/><Relationship Id="rId31" Type="http://schemas.openxmlformats.org/officeDocument/2006/relationships/hyperlink" Target="https://www.fibre2fashion.com/news/retail-results/uk-s-primark-sales-rise-1-to-12-35-bn-fuelling-abf-s-resilient-fy25-306243-newsdetails.htm" TargetMode="External"/><Relationship Id="rId44" Type="http://schemas.openxmlformats.org/officeDocument/2006/relationships/hyperlink" Target="https://www.theindustry.fashion/50-years-of-primark-key-milestones-in-the-history-of-a-retail-icon/"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cbi.nlm.nih.gov/pmc/articles/PMC9030681/" TargetMode="External"/><Relationship Id="rId27" Type="http://schemas.openxmlformats.org/officeDocument/2006/relationships/hyperlink" Target="https://fourweekmba.com/cage-distance-framework/" TargetMode="External"/><Relationship Id="rId30" Type="http://schemas.openxmlformats.org/officeDocument/2006/relationships/hyperlink" Target="https://digitalagencynetwork.com/marketing-strategy-of-primark/" TargetMode="External"/><Relationship Id="rId35" Type="http://schemas.openxmlformats.org/officeDocument/2006/relationships/hyperlink" Target="https://www.trade.gov/country-commercial-guides/brazil-import-tariffs" TargetMode="External"/><Relationship Id="rId43" Type="http://schemas.openxmlformats.org/officeDocument/2006/relationships/hyperlink" Target="https://www.modaes.com/global/companies/primark-the-king-of-low-cost-stumbles-and-goes-back-to-basics" TargetMode="External"/><Relationship Id="rId48" Type="http://schemas.openxmlformats.org/officeDocument/2006/relationships/hyperlink" Target="https://www.theculturefactor.com/country-comparison-tool?countries=brazil%2Cunited+kingdom"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mmission.europa.eu/topics/trade/eu-mercosur-trade-agreement_en" TargetMode="External"/><Relationship Id="rId33" Type="http://schemas.openxmlformats.org/officeDocument/2006/relationships/hyperlink" Target="https://retail-systems.com/rs/Primark_reportedly_to_launch_e_commerce_for_first_time.php" TargetMode="External"/><Relationship Id="rId38" Type="http://schemas.openxmlformats.org/officeDocument/2006/relationships/hyperlink" Target="https://wwd.com/business-news/retail/how-primark-is-working-to-get-the-word-out-1236847340/" TargetMode="External"/><Relationship Id="rId46" Type="http://schemas.openxmlformats.org/officeDocument/2006/relationships/hyperlink" Target="https://www.statista.com/statistics/802640/gross-domestic-product-gdp-latin-america-caribbean-country/?srsltid=AfmBOoro-SB31bijcREGnmNAFAmkKYtDZwInnJcniHzHf2FYoTv1MtL1" TargetMode="External"/><Relationship Id="rId20" Type="http://schemas.openxmlformats.org/officeDocument/2006/relationships/hyperlink" Target="https://www.researchgate.net/publication/340756944_The_Uppsala_Model_of_internationalisation_and_beyond" TargetMode="External"/><Relationship Id="rId41" Type="http://schemas.openxmlformats.org/officeDocument/2006/relationships/hyperlink" Target="https://www.primark.com/about-u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ublication/346966428_6_Brazil_Government_Structure_and_Processes" TargetMode="External"/><Relationship Id="rId28" Type="http://schemas.openxmlformats.org/officeDocument/2006/relationships/hyperlink" Target="https://www.bbc.com/news/articles/c4g3x4j8pgro" TargetMode="External"/><Relationship Id="rId36" Type="http://schemas.openxmlformats.org/officeDocument/2006/relationships/hyperlink" Target="https://strategicmanagementinsight.com/tools/resource-based-view/" TargetMode="External"/><Relationship Id="rId49" Type="http://schemas.openxmlformats.org/officeDocument/2006/relationships/hyperlink" Target="https://www.tradingview.com/news/reuters.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8DC413-5873-4413-AA04-B35317F99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32</Pages>
  <Words>7404</Words>
  <Characters>42206</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Kartik Raval</cp:lastModifiedBy>
  <cp:revision>5</cp:revision>
  <dcterms:created xsi:type="dcterms:W3CDTF">2026-08-10T15:49:00Z</dcterms:created>
  <dcterms:modified xsi:type="dcterms:W3CDTF">2026-08-13T17:41:00Z</dcterms:modified>
</cp:coreProperties>
</file>