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0F35" w:rsidRDefault="00A41C62" w:rsidP="00230F35">
      <w:pPr>
        <w:pStyle w:val="StandardWeb"/>
        <w:spacing w:before="0" w:beforeAutospacing="0" w:after="0" w:afterAutospacing="0"/>
        <w:ind w:left="-180" w:right="-334"/>
      </w:pPr>
      <w:r>
        <w:rPr>
          <w:noProof/>
        </w:rPr>
        <w:drawing>
          <wp:inline distT="0" distB="0" distL="0" distR="0">
            <wp:extent cx="1910715" cy="633095"/>
            <wp:effectExtent l="25400" t="25400" r="6985" b="14605"/>
            <wp:docPr id="4" name="Bild 4"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3095"/>
                    </a:xfrm>
                    <a:prstGeom prst="rect">
                      <a:avLst/>
                    </a:prstGeom>
                    <a:noFill/>
                    <a:ln w="19050" cmpd="sng">
                      <a:solidFill>
                        <a:srgbClr val="000000"/>
                      </a:solidFill>
                      <a:miter lim="800000"/>
                      <a:headEnd/>
                      <a:tailEnd/>
                    </a:ln>
                    <a:effectLst/>
                  </pic:spPr>
                </pic:pic>
              </a:graphicData>
            </a:graphic>
          </wp:inline>
        </w:drawing>
      </w:r>
    </w:p>
    <w:p w:rsidR="00230F35" w:rsidRDefault="00230F35" w:rsidP="00230F35">
      <w:pPr>
        <w:pStyle w:val="StandardWeb"/>
        <w:spacing w:before="0" w:beforeAutospacing="0" w:after="0" w:afterAutospacing="0"/>
        <w:ind w:left="-180" w:right="-334"/>
      </w:pPr>
    </w:p>
    <w:p w:rsidR="00A745B6" w:rsidRDefault="00A745B6" w:rsidP="00230F35">
      <w:pPr>
        <w:pStyle w:val="StandardWeb"/>
        <w:spacing w:before="0" w:beforeAutospacing="0" w:after="0" w:afterAutospacing="0"/>
        <w:ind w:left="-180" w:right="-334"/>
      </w:pPr>
    </w:p>
    <w:p w:rsidR="00CB5E37" w:rsidRDefault="00901157" w:rsidP="00230F35">
      <w:pPr>
        <w:pStyle w:val="Standard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rsidR="002E67CE" w:rsidRPr="00230F35" w:rsidRDefault="00CB5E37" w:rsidP="00230F35">
      <w:pPr>
        <w:pStyle w:val="Standard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rsidR="002E67CE" w:rsidRPr="00230F35" w:rsidRDefault="002E67CE" w:rsidP="002E67CE">
      <w:pPr>
        <w:rPr>
          <w:rFonts w:ascii="Arial" w:hAnsi="Arial" w:cs="Arial"/>
          <w:sz w:val="28"/>
          <w:szCs w:val="28"/>
          <w:lang w:val="cy-GB"/>
        </w:rPr>
      </w:pPr>
    </w:p>
    <w:p w:rsidR="002E67CE" w:rsidRDefault="002E67CE" w:rsidP="002E67CE">
      <w:pPr>
        <w:pStyle w:val="berschrift3"/>
        <w:jc w:val="center"/>
        <w:rPr>
          <w:lang w:val="cy-GB"/>
        </w:rPr>
      </w:pPr>
      <w:r>
        <w:rPr>
          <w:lang w:val="cy-GB"/>
        </w:rPr>
        <w:t>THIS SHEET MUST BE THE FIRST PAGE OF THE ASSIGNMENT YOU ARE SUBMITTING  (DO NOT SEND AS A SEPARATE FILE)</w:t>
      </w:r>
    </w:p>
    <w:p w:rsidR="00230F35" w:rsidRDefault="00230F35" w:rsidP="002E67CE">
      <w:pPr>
        <w:pStyle w:val="berschrift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1"/>
        <w:gridCol w:w="423"/>
        <w:gridCol w:w="1514"/>
        <w:gridCol w:w="286"/>
        <w:gridCol w:w="1792"/>
      </w:tblGrid>
      <w:tr w:rsidR="00E57529" w:rsidRPr="00230F35" w:rsidTr="00A745B6">
        <w:trPr>
          <w:trHeight w:val="614"/>
        </w:trPr>
        <w:tc>
          <w:tcPr>
            <w:tcW w:w="8856" w:type="dxa"/>
            <w:gridSpan w:val="5"/>
          </w:tcPr>
          <w:p w:rsidR="0058726A" w:rsidRPr="00230F35" w:rsidRDefault="00E57529" w:rsidP="002F467C">
            <w:pPr>
              <w:pStyle w:val="Standard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rsidTr="00A745B6">
        <w:trPr>
          <w:trHeight w:val="718"/>
        </w:trPr>
        <w:tc>
          <w:tcPr>
            <w:tcW w:w="8856" w:type="dxa"/>
            <w:gridSpan w:val="5"/>
          </w:tcPr>
          <w:p w:rsidR="0065654E" w:rsidRDefault="0065654E"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A92CBE">
              <w:rPr>
                <w:rFonts w:ascii="Arial" w:hAnsi="Arial" w:cs="Arial"/>
                <w:sz w:val="22"/>
                <w:szCs w:val="22"/>
              </w:rPr>
              <w:t xml:space="preserve"> Andrea Konrad</w:t>
            </w:r>
          </w:p>
          <w:p w:rsidR="00FA2A4C" w:rsidRPr="00230F35" w:rsidRDefault="00FA2A4C" w:rsidP="002F467C">
            <w:pPr>
              <w:pStyle w:val="StandardWeb"/>
              <w:spacing w:before="0" w:beforeAutospacing="0" w:after="0" w:afterAutospacing="0"/>
              <w:ind w:right="34"/>
              <w:rPr>
                <w:rFonts w:ascii="Arial" w:hAnsi="Arial" w:cs="Arial"/>
                <w:sz w:val="22"/>
                <w:szCs w:val="22"/>
              </w:rPr>
            </w:pPr>
          </w:p>
        </w:tc>
      </w:tr>
      <w:tr w:rsidR="00CE3B79" w:rsidRPr="00230F35" w:rsidTr="00A745B6">
        <w:trPr>
          <w:trHeight w:val="849"/>
        </w:trPr>
        <w:tc>
          <w:tcPr>
            <w:tcW w:w="4788" w:type="dxa"/>
          </w:tcPr>
          <w:p w:rsidR="00D67BF8"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A92CBE">
              <w:rPr>
                <w:rFonts w:ascii="Arial" w:hAnsi="Arial" w:cs="Arial"/>
                <w:sz w:val="22"/>
                <w:szCs w:val="22"/>
              </w:rPr>
              <w:t xml:space="preserve"> HPCA 7005</w:t>
            </w:r>
          </w:p>
          <w:p w:rsidR="00D67BF8" w:rsidRPr="00230F35" w:rsidRDefault="00D67BF8" w:rsidP="002F467C">
            <w:pPr>
              <w:pStyle w:val="StandardWeb"/>
              <w:spacing w:before="0" w:beforeAutospacing="0" w:after="0" w:afterAutospacing="0"/>
              <w:ind w:right="34"/>
              <w:rPr>
                <w:rFonts w:ascii="Arial" w:hAnsi="Arial" w:cs="Arial"/>
                <w:sz w:val="22"/>
                <w:szCs w:val="22"/>
              </w:rPr>
            </w:pPr>
          </w:p>
          <w:p w:rsidR="00CE3B79"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92CBE">
              <w:rPr>
                <w:rFonts w:ascii="Arial" w:hAnsi="Arial" w:cs="Arial"/>
                <w:sz w:val="22"/>
                <w:szCs w:val="22"/>
              </w:rPr>
              <w:t xml:space="preserve"> Cosmology, Magic and Divination</w:t>
            </w:r>
          </w:p>
          <w:p w:rsidR="00A745B6" w:rsidRDefault="00A745B6" w:rsidP="002F467C">
            <w:pPr>
              <w:pStyle w:val="StandardWeb"/>
              <w:spacing w:before="0" w:beforeAutospacing="0" w:after="0" w:afterAutospacing="0"/>
              <w:ind w:right="34"/>
              <w:rPr>
                <w:rFonts w:ascii="Arial" w:hAnsi="Arial" w:cs="Arial"/>
                <w:sz w:val="22"/>
                <w:szCs w:val="22"/>
              </w:rPr>
            </w:pPr>
          </w:p>
          <w:p w:rsidR="00A745B6" w:rsidRPr="00230F35" w:rsidRDefault="00A745B6" w:rsidP="002F467C">
            <w:pPr>
              <w:pStyle w:val="StandardWeb"/>
              <w:spacing w:before="0" w:beforeAutospacing="0" w:after="0" w:afterAutospacing="0"/>
              <w:ind w:right="34"/>
              <w:rPr>
                <w:rFonts w:ascii="Arial" w:hAnsi="Arial" w:cs="Arial"/>
                <w:sz w:val="22"/>
                <w:szCs w:val="22"/>
              </w:rPr>
            </w:pPr>
          </w:p>
        </w:tc>
        <w:tc>
          <w:tcPr>
            <w:tcW w:w="2266" w:type="dxa"/>
            <w:gridSpan w:val="3"/>
          </w:tcPr>
          <w:p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A92CBE">
              <w:rPr>
                <w:rFonts w:ascii="Arial" w:hAnsi="Arial" w:cs="Arial"/>
                <w:sz w:val="22"/>
                <w:szCs w:val="22"/>
              </w:rPr>
              <w:t xml:space="preserve"> 1905426</w:t>
            </w:r>
          </w:p>
        </w:tc>
        <w:tc>
          <w:tcPr>
            <w:tcW w:w="1802" w:type="dxa"/>
          </w:tcPr>
          <w:p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E3B79" w:rsidRPr="00230F35" w:rsidRDefault="00CE3B79"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rsidTr="00A745B6">
        <w:trPr>
          <w:trHeight w:val="1139"/>
        </w:trPr>
        <w:tc>
          <w:tcPr>
            <w:tcW w:w="8856" w:type="dxa"/>
            <w:gridSpan w:val="5"/>
          </w:tcPr>
          <w:p w:rsidR="00CE3B79" w:rsidRPr="00230F35" w:rsidRDefault="00F75EB5" w:rsidP="002F467C">
            <w:pPr>
              <w:pStyle w:val="StandardWeb"/>
              <w:spacing w:before="0" w:beforeAutospacing="0" w:after="0" w:afterAutospacing="0"/>
              <w:ind w:right="34"/>
              <w:rPr>
                <w:rFonts w:ascii="Arial" w:hAnsi="Arial" w:cs="Arial"/>
                <w:sz w:val="22"/>
                <w:szCs w:val="22"/>
              </w:rPr>
            </w:pPr>
            <w:r>
              <w:rPr>
                <w:rFonts w:ascii="Arial" w:hAnsi="Arial" w:cs="Arial"/>
                <w:sz w:val="22"/>
                <w:szCs w:val="22"/>
              </w:rPr>
              <w:t>Module tutor:</w:t>
            </w:r>
            <w:r w:rsidR="00A92CBE">
              <w:rPr>
                <w:rFonts w:ascii="Arial" w:hAnsi="Arial" w:cs="Arial"/>
                <w:sz w:val="22"/>
                <w:szCs w:val="22"/>
              </w:rPr>
              <w:t xml:space="preserve"> </w:t>
            </w:r>
            <w:proofErr w:type="spellStart"/>
            <w:r w:rsidR="00A92CBE">
              <w:rPr>
                <w:rFonts w:ascii="Arial" w:hAnsi="Arial" w:cs="Arial"/>
                <w:sz w:val="22"/>
                <w:szCs w:val="22"/>
              </w:rPr>
              <w:t>Dr.</w:t>
            </w:r>
            <w:proofErr w:type="spellEnd"/>
            <w:r w:rsidR="00A92CBE">
              <w:rPr>
                <w:rFonts w:ascii="Arial" w:hAnsi="Arial" w:cs="Arial"/>
                <w:sz w:val="22"/>
                <w:szCs w:val="22"/>
              </w:rPr>
              <w:t xml:space="preserve"> Dorian Greenbaum</w:t>
            </w:r>
          </w:p>
          <w:p w:rsidR="00D67BF8" w:rsidRPr="00230F35" w:rsidRDefault="00D67BF8" w:rsidP="002F467C">
            <w:pPr>
              <w:pStyle w:val="StandardWeb"/>
              <w:spacing w:before="0" w:beforeAutospacing="0" w:after="0" w:afterAutospacing="0"/>
              <w:ind w:right="34"/>
              <w:rPr>
                <w:rFonts w:ascii="Arial" w:hAnsi="Arial" w:cs="Arial"/>
                <w:sz w:val="22"/>
                <w:szCs w:val="22"/>
              </w:rPr>
            </w:pPr>
          </w:p>
          <w:p w:rsidR="00230F35" w:rsidRDefault="00230F35" w:rsidP="002F467C">
            <w:pPr>
              <w:pStyle w:val="StandardWeb"/>
              <w:spacing w:before="0" w:beforeAutospacing="0" w:after="0" w:afterAutospacing="0"/>
              <w:ind w:right="34"/>
              <w:rPr>
                <w:rFonts w:ascii="Arial" w:hAnsi="Arial" w:cs="Arial"/>
                <w:sz w:val="22"/>
                <w:szCs w:val="22"/>
              </w:rPr>
            </w:pPr>
          </w:p>
          <w:p w:rsidR="00D67BF8" w:rsidRPr="00230F35" w:rsidRDefault="00B42501"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92CBE">
              <w:rPr>
                <w:rFonts w:ascii="Arial" w:hAnsi="Arial" w:cs="Arial"/>
                <w:sz w:val="22"/>
                <w:szCs w:val="22"/>
              </w:rPr>
              <w:t xml:space="preserve"> 08 June 2020</w:t>
            </w:r>
          </w:p>
        </w:tc>
      </w:tr>
      <w:tr w:rsidR="00230F35" w:rsidRPr="00230F35" w:rsidTr="00A745B6">
        <w:trPr>
          <w:trHeight w:val="978"/>
        </w:trPr>
        <w:tc>
          <w:tcPr>
            <w:tcW w:w="8856" w:type="dxa"/>
            <w:gridSpan w:val="5"/>
            <w:tcBorders>
              <w:bottom w:val="single" w:sz="4" w:space="0" w:color="000000"/>
            </w:tcBorders>
          </w:tcPr>
          <w:p w:rsidR="00F75EB5" w:rsidRDefault="00F75EB5" w:rsidP="00F75EB5">
            <w:pPr>
              <w:rPr>
                <w:rFonts w:ascii="Arial" w:hAnsi="Arial" w:cs="Arial"/>
                <w:sz w:val="22"/>
                <w:szCs w:val="22"/>
              </w:rPr>
            </w:pPr>
            <w:r>
              <w:rPr>
                <w:rFonts w:ascii="Arial" w:hAnsi="Arial" w:cs="Arial"/>
                <w:sz w:val="22"/>
                <w:szCs w:val="22"/>
              </w:rPr>
              <w:t>If your module has multiple submissions please indicate which piece of work this is.</w:t>
            </w:r>
          </w:p>
          <w:p w:rsidR="00F75EB5" w:rsidRDefault="00F75EB5" w:rsidP="00F75EB5">
            <w:pPr>
              <w:rPr>
                <w:rFonts w:ascii="Arial" w:hAnsi="Arial" w:cs="Arial"/>
                <w:sz w:val="22"/>
                <w:szCs w:val="22"/>
              </w:rPr>
            </w:pPr>
          </w:p>
          <w:p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A92CBE">
              <w:rPr>
                <w:rFonts w:ascii="Arial" w:hAnsi="Arial" w:cs="Arial"/>
                <w:sz w:val="22"/>
                <w:szCs w:val="22"/>
              </w:rPr>
              <w:fldChar w:fldCharType="begin">
                <w:ffData>
                  <w:name w:val="Check13"/>
                  <w:enabled/>
                  <w:calcOnExit w:val="0"/>
                  <w:checkBox>
                    <w:sizeAuto/>
                    <w:default w:val="1"/>
                  </w:checkBox>
                </w:ffData>
              </w:fldChar>
            </w:r>
            <w:bookmarkStart w:id="0" w:name="Check13"/>
            <w:r w:rsidR="00A92CBE">
              <w:rPr>
                <w:rFonts w:ascii="Arial" w:hAnsi="Arial" w:cs="Arial"/>
                <w:sz w:val="22"/>
                <w:szCs w:val="22"/>
              </w:rPr>
              <w:instrText xml:space="preserve"> FORMCHECKBOX </w:instrText>
            </w:r>
            <w:r w:rsidR="00A92CBE">
              <w:rPr>
                <w:rFonts w:ascii="Arial" w:hAnsi="Arial" w:cs="Arial"/>
                <w:sz w:val="22"/>
                <w:szCs w:val="22"/>
              </w:rPr>
            </w:r>
            <w:r w:rsidR="00A92CBE">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901157" w:rsidRPr="00230F35" w:rsidTr="00A745B6">
        <w:trPr>
          <w:trHeight w:val="978"/>
        </w:trPr>
        <w:tc>
          <w:tcPr>
            <w:tcW w:w="8856" w:type="dxa"/>
            <w:gridSpan w:val="5"/>
            <w:shd w:val="clear" w:color="auto" w:fill="D9D9D9"/>
          </w:tcPr>
          <w:p w:rsidR="00901157" w:rsidRPr="00230F35" w:rsidRDefault="00901157"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01157" w:rsidRDefault="00901157" w:rsidP="002F467C">
            <w:pPr>
              <w:pStyle w:val="Standard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rsidR="00B462B1" w:rsidRDefault="00B462B1" w:rsidP="00B462B1">
            <w:pPr>
              <w:pStyle w:val="Standard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A92CBE">
              <w:rPr>
                <w:rFonts w:ascii="Calibri" w:hAnsi="Calibri" w:cs="Calibri"/>
                <w:b/>
                <w:sz w:val="44"/>
                <w:szCs w:val="44"/>
              </w:rPr>
              <w:t>X</w:t>
            </w:r>
          </w:p>
          <w:p w:rsidR="00B462B1" w:rsidRPr="00230F35" w:rsidRDefault="00B462B1" w:rsidP="00B462B1">
            <w:pPr>
              <w:pStyle w:val="Standard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rsidTr="00A745B6">
        <w:trPr>
          <w:trHeight w:val="3972"/>
        </w:trPr>
        <w:tc>
          <w:tcPr>
            <w:tcW w:w="8856" w:type="dxa"/>
            <w:gridSpan w:val="5"/>
          </w:tcPr>
          <w:p w:rsidR="00A745B6" w:rsidRDefault="00A745B6" w:rsidP="00A745B6">
            <w:pPr>
              <w:rPr>
                <w:rFonts w:ascii="Arial" w:hAnsi="Arial"/>
                <w:b/>
              </w:rPr>
            </w:pPr>
          </w:p>
          <w:p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rsidR="00A745B6" w:rsidRPr="00116CE6" w:rsidRDefault="00A745B6" w:rsidP="009C1A08">
                  <w:pPr>
                    <w:rPr>
                      <w:rFonts w:ascii="Arial" w:hAnsi="Arial"/>
                      <w:sz w:val="20"/>
                      <w:szCs w:val="20"/>
                    </w:rPr>
                  </w:pPr>
                </w:p>
              </w:tc>
            </w:tr>
            <w:tr w:rsidR="00963B31" w:rsidRPr="00116CE6" w:rsidTr="00022345">
              <w:tc>
                <w:tcPr>
                  <w:tcW w:w="6970" w:type="dxa"/>
                </w:tcPr>
                <w:p w:rsidR="00963B31" w:rsidRPr="006367FD" w:rsidRDefault="00963B31" w:rsidP="009C1A08">
                  <w:pPr>
                    <w:rPr>
                      <w:rFonts w:ascii="Arial" w:hAnsi="Arial"/>
                      <w:color w:val="000000"/>
                      <w:sz w:val="20"/>
                      <w:szCs w:val="20"/>
                    </w:rPr>
                  </w:pPr>
                  <w:r w:rsidRPr="006367FD">
                    <w:rPr>
                      <w:rFonts w:ascii="Arial" w:hAnsi="Arial"/>
                      <w:color w:val="000000"/>
                      <w:sz w:val="20"/>
                      <w:szCs w:val="20"/>
                    </w:rPr>
                    <w:t xml:space="preserve">Agreed Internal Mark: </w:t>
                  </w:r>
                </w:p>
                <w:p w:rsidR="00963B31" w:rsidRPr="00E14D2E" w:rsidRDefault="00963B31" w:rsidP="009C1A08">
                  <w:pPr>
                    <w:rPr>
                      <w:rFonts w:ascii="Arial" w:hAnsi="Arial"/>
                      <w:sz w:val="20"/>
                      <w:szCs w:val="20"/>
                      <w:highlight w:val="yellow"/>
                    </w:rPr>
                  </w:pPr>
                </w:p>
              </w:tc>
              <w:tc>
                <w:tcPr>
                  <w:tcW w:w="1660" w:type="dxa"/>
                </w:tcPr>
                <w:p w:rsidR="00963B31" w:rsidRPr="00E14D2E" w:rsidRDefault="00963B31" w:rsidP="009C1A08">
                  <w:pPr>
                    <w:rPr>
                      <w:rFonts w:ascii="Arial" w:hAnsi="Arial"/>
                      <w:sz w:val="20"/>
                      <w:szCs w:val="20"/>
                      <w:highlight w:val="yellow"/>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Default="00A745B6" w:rsidP="009C1A08">
                  <w:pPr>
                    <w:rPr>
                      <w:rFonts w:ascii="Arial" w:hAnsi="Arial"/>
                      <w:sz w:val="20"/>
                      <w:szCs w:val="20"/>
                    </w:rPr>
                  </w:pPr>
                </w:p>
                <w:p w:rsidR="00A745B6" w:rsidRPr="00022345" w:rsidRDefault="00A745B6" w:rsidP="009C1A08">
                  <w:pPr>
                    <w:rPr>
                      <w:rFonts w:ascii="Arial" w:hAnsi="Arial"/>
                      <w:b/>
                      <w:sz w:val="20"/>
                      <w:szCs w:val="20"/>
                    </w:rPr>
                  </w:pPr>
                  <w:r w:rsidRPr="00022345">
                    <w:rPr>
                      <w:rFonts w:ascii="Arial" w:hAnsi="Arial"/>
                      <w:b/>
                      <w:sz w:val="20"/>
                      <w:szCs w:val="20"/>
                    </w:rPr>
                    <w:t>Final Mark</w:t>
                  </w:r>
                </w:p>
                <w:p w:rsidR="00A745B6" w:rsidRPr="00116CE6" w:rsidRDefault="00A745B6" w:rsidP="009C1A08">
                  <w:pPr>
                    <w:rPr>
                      <w:rFonts w:ascii="Arial" w:hAnsi="Arial"/>
                      <w:sz w:val="20"/>
                      <w:szCs w:val="20"/>
                    </w:rPr>
                  </w:pPr>
                </w:p>
              </w:tc>
              <w:tc>
                <w:tcPr>
                  <w:tcW w:w="1660" w:type="dxa"/>
                </w:tcPr>
                <w:p w:rsidR="00A745B6" w:rsidRPr="00116CE6" w:rsidRDefault="00A745B6" w:rsidP="009C1A08">
                  <w:pPr>
                    <w:rPr>
                      <w:rFonts w:ascii="Arial" w:hAnsi="Arial"/>
                      <w:sz w:val="20"/>
                      <w:szCs w:val="20"/>
                    </w:rPr>
                  </w:pPr>
                </w:p>
              </w:tc>
            </w:tr>
          </w:tbl>
          <w:p w:rsidR="00022345" w:rsidRDefault="00022345" w:rsidP="00A745B6">
            <w:pPr>
              <w:pStyle w:val="StandardWeb"/>
              <w:spacing w:before="0" w:beforeAutospacing="0" w:after="0" w:afterAutospacing="0"/>
              <w:ind w:left="142" w:right="34"/>
              <w:rPr>
                <w:rFonts w:ascii="Arial" w:hAnsi="Arial" w:cs="Arial"/>
                <w:b/>
                <w:sz w:val="22"/>
                <w:szCs w:val="22"/>
              </w:rPr>
            </w:pPr>
          </w:p>
          <w:p w:rsidR="00A745B6" w:rsidRPr="00230F35" w:rsidRDefault="00A745B6" w:rsidP="00A745B6">
            <w:pPr>
              <w:pStyle w:val="Standard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B462B1" w:rsidRDefault="00B462B1" w:rsidP="002F467C">
            <w:pPr>
              <w:pStyle w:val="StandardWeb"/>
              <w:spacing w:before="0" w:beforeAutospacing="0" w:after="0" w:afterAutospacing="0"/>
              <w:rPr>
                <w:rFonts w:ascii="Arial" w:hAnsi="Arial" w:cs="Arial"/>
                <w:b/>
                <w:sz w:val="22"/>
                <w:szCs w:val="22"/>
              </w:rPr>
            </w:pPr>
          </w:p>
          <w:p w:rsidR="00F75EB5" w:rsidRDefault="00F75EB5" w:rsidP="002F467C">
            <w:pPr>
              <w:pStyle w:val="StandardWeb"/>
              <w:spacing w:before="0" w:beforeAutospacing="0" w:after="0" w:afterAutospacing="0"/>
              <w:rPr>
                <w:rFonts w:ascii="Arial" w:hAnsi="Arial" w:cs="Arial"/>
                <w:b/>
                <w:sz w:val="22"/>
                <w:szCs w:val="22"/>
              </w:rPr>
            </w:pPr>
          </w:p>
          <w:p w:rsidR="00F75EB5" w:rsidRDefault="00F75EB5" w:rsidP="002F467C">
            <w:pPr>
              <w:pStyle w:val="StandardWeb"/>
              <w:spacing w:before="0" w:beforeAutospacing="0" w:after="0" w:afterAutospacing="0"/>
              <w:rPr>
                <w:rFonts w:ascii="Arial" w:hAnsi="Arial" w:cs="Arial"/>
                <w:b/>
                <w:sz w:val="22"/>
                <w:szCs w:val="22"/>
              </w:rPr>
            </w:pPr>
          </w:p>
          <w:p w:rsidR="00B462B1" w:rsidRDefault="00B462B1" w:rsidP="002F467C">
            <w:pPr>
              <w:pStyle w:val="StandardWeb"/>
              <w:spacing w:before="0" w:beforeAutospacing="0" w:after="0" w:afterAutospacing="0"/>
              <w:rPr>
                <w:rFonts w:ascii="Arial" w:hAnsi="Arial" w:cs="Arial"/>
                <w:b/>
                <w:sz w:val="22"/>
                <w:szCs w:val="22"/>
              </w:rPr>
            </w:pPr>
          </w:p>
          <w:p w:rsidR="00590E9A" w:rsidRPr="00230F35" w:rsidRDefault="00E67719" w:rsidP="002F467C">
            <w:pPr>
              <w:pStyle w:val="Standard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rsidR="00230F35" w:rsidRDefault="00590E9A" w:rsidP="00043549">
            <w:pPr>
              <w:pStyle w:val="Standard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rsidR="00B56E7B" w:rsidRPr="00001C3B" w:rsidRDefault="00B56E7B" w:rsidP="00043549">
            <w:pPr>
              <w:pStyle w:val="StandardWeb"/>
              <w:rPr>
                <w:rFonts w:ascii="Arial" w:hAnsi="Arial" w:cs="Arial"/>
                <w:sz w:val="22"/>
                <w:szCs w:val="22"/>
              </w:rPr>
            </w:pPr>
          </w:p>
        </w:tc>
      </w:tr>
      <w:tr w:rsidR="00EC7546" w:rsidRPr="00230F35" w:rsidTr="00A745B6">
        <w:trPr>
          <w:trHeight w:val="492"/>
        </w:trPr>
        <w:tc>
          <w:tcPr>
            <w:tcW w:w="6768" w:type="dxa"/>
            <w:gridSpan w:val="3"/>
          </w:tcPr>
          <w:p w:rsidR="00230F35" w:rsidRPr="00230F35" w:rsidRDefault="00E3766D" w:rsidP="00230F35">
            <w:pPr>
              <w:pStyle w:val="Standard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rsidR="00EC7546" w:rsidRPr="00230F35" w:rsidRDefault="0065654E" w:rsidP="002F467C">
            <w:pPr>
              <w:pStyle w:val="Standard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rsidTr="002F467C">
        <w:tc>
          <w:tcPr>
            <w:tcW w:w="8856" w:type="dxa"/>
            <w:gridSpan w:val="5"/>
          </w:tcPr>
          <w:p w:rsidR="00D67BF8" w:rsidRPr="00230F35" w:rsidRDefault="00D67BF8" w:rsidP="002F467C">
            <w:pPr>
              <w:pStyle w:val="StandardWeb"/>
              <w:spacing w:before="0" w:beforeAutospacing="0" w:after="0" w:afterAutospacing="0"/>
              <w:ind w:right="-334"/>
              <w:rPr>
                <w:rFonts w:ascii="Arial" w:hAnsi="Arial" w:cs="Arial"/>
                <w:bCs/>
                <w:i/>
                <w:sz w:val="22"/>
                <w:szCs w:val="22"/>
              </w:rPr>
            </w:pPr>
          </w:p>
          <w:p w:rsidR="00D67BF8" w:rsidRPr="00230F35" w:rsidRDefault="00E67719" w:rsidP="002F467C">
            <w:pPr>
              <w:pStyle w:val="Standard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rsidR="00D67BF8" w:rsidRPr="00230F35" w:rsidRDefault="00D67BF8" w:rsidP="002F467C">
            <w:pPr>
              <w:pStyle w:val="StandardWeb"/>
              <w:spacing w:before="0" w:beforeAutospacing="0" w:after="0" w:afterAutospacing="0"/>
              <w:ind w:right="-334"/>
              <w:rPr>
                <w:rFonts w:ascii="Arial" w:hAnsi="Arial" w:cs="Arial"/>
                <w:b/>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p w:rsidR="00D67BF8" w:rsidRPr="00230F35" w:rsidRDefault="00D67BF8" w:rsidP="002F467C">
            <w:pPr>
              <w:pStyle w:val="StandardWeb"/>
              <w:spacing w:before="0" w:beforeAutospacing="0" w:after="0" w:afterAutospacing="0"/>
              <w:ind w:right="-334"/>
              <w:rPr>
                <w:rFonts w:ascii="Arial" w:hAnsi="Arial" w:cs="Arial"/>
                <w:bCs/>
                <w:sz w:val="22"/>
                <w:szCs w:val="22"/>
              </w:rPr>
            </w:pPr>
          </w:p>
        </w:tc>
      </w:tr>
      <w:tr w:rsidR="00D67BF8" w:rsidRPr="002F467C" w:rsidTr="008D674F">
        <w:trPr>
          <w:trHeight w:val="720"/>
        </w:trPr>
        <w:tc>
          <w:tcPr>
            <w:tcW w:w="5211" w:type="dxa"/>
            <w:gridSpan w:val="2"/>
          </w:tcPr>
          <w:p w:rsidR="00B56E7B"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rsidR="00D67BF8" w:rsidRPr="00230F35" w:rsidRDefault="00D67BF8" w:rsidP="002F467C">
            <w:pPr>
              <w:pStyle w:val="Standard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65C65" w:rsidRPr="002F467C" w:rsidTr="009C1A08">
        <w:trPr>
          <w:trHeight w:val="720"/>
        </w:trPr>
        <w:tc>
          <w:tcPr>
            <w:tcW w:w="8856" w:type="dxa"/>
            <w:gridSpan w:val="5"/>
          </w:tcPr>
          <w:p w:rsidR="00665C65" w:rsidRPr="006367FD" w:rsidRDefault="00665C65" w:rsidP="00230F35">
            <w:pPr>
              <w:rPr>
                <w:rFonts w:ascii="Arial" w:hAnsi="Arial" w:cs="Arial"/>
                <w:b/>
                <w:sz w:val="22"/>
                <w:szCs w:val="22"/>
              </w:rPr>
            </w:pPr>
            <w:r w:rsidRPr="006367FD">
              <w:rPr>
                <w:rFonts w:ascii="Arial" w:hAnsi="Arial" w:cs="Arial"/>
                <w:b/>
                <w:sz w:val="22"/>
                <w:szCs w:val="22"/>
              </w:rPr>
              <w:t>AGREED INTERNAL MARK (where necessary):</w:t>
            </w:r>
          </w:p>
          <w:p w:rsidR="00963B31" w:rsidRPr="006367FD" w:rsidRDefault="00963B31" w:rsidP="00230F35">
            <w:pPr>
              <w:rPr>
                <w:rFonts w:ascii="Arial" w:hAnsi="Arial" w:cs="Arial"/>
                <w:b/>
                <w:sz w:val="22"/>
                <w:szCs w:val="22"/>
              </w:rPr>
            </w:pPr>
          </w:p>
          <w:p w:rsidR="00963B31" w:rsidRDefault="00963B31" w:rsidP="00230F35">
            <w:pPr>
              <w:rPr>
                <w:rFonts w:ascii="Arial" w:hAnsi="Arial" w:cs="Arial"/>
                <w:b/>
                <w:sz w:val="22"/>
                <w:szCs w:val="22"/>
              </w:rPr>
            </w:pPr>
            <w:r w:rsidRPr="006367FD">
              <w:rPr>
                <w:rFonts w:ascii="Arial" w:hAnsi="Arial" w:cs="Arial"/>
                <w:b/>
                <w:sz w:val="22"/>
                <w:szCs w:val="22"/>
              </w:rPr>
              <w:t>Comment on process o</w:t>
            </w:r>
            <w:r w:rsidR="000F1DE6" w:rsidRPr="006367FD">
              <w:rPr>
                <w:rFonts w:ascii="Arial" w:hAnsi="Arial" w:cs="Arial"/>
                <w:b/>
                <w:sz w:val="22"/>
                <w:szCs w:val="22"/>
              </w:rPr>
              <w:t>f</w:t>
            </w:r>
            <w:r w:rsidRPr="006367FD">
              <w:rPr>
                <w:rFonts w:ascii="Arial" w:hAnsi="Arial" w:cs="Arial"/>
                <w:b/>
                <w:sz w:val="22"/>
                <w:szCs w:val="22"/>
              </w:rPr>
              <w:t xml:space="preserve"> arriving at agreed mark:</w:t>
            </w:r>
          </w:p>
          <w:p w:rsidR="000F1DE6" w:rsidRDefault="000F1DE6" w:rsidP="00230F35">
            <w:pPr>
              <w:rPr>
                <w:rFonts w:ascii="Arial" w:hAnsi="Arial" w:cs="Arial"/>
                <w:b/>
                <w:sz w:val="22"/>
                <w:szCs w:val="22"/>
              </w:rPr>
            </w:pPr>
          </w:p>
          <w:p w:rsidR="000F1DE6" w:rsidRDefault="000F1DE6" w:rsidP="00230F35">
            <w:pPr>
              <w:rPr>
                <w:rFonts w:ascii="Arial" w:hAnsi="Arial" w:cs="Arial"/>
                <w:b/>
                <w:sz w:val="22"/>
                <w:szCs w:val="22"/>
              </w:rPr>
            </w:pPr>
          </w:p>
          <w:p w:rsidR="00D00BDC" w:rsidRDefault="00D00BDC" w:rsidP="00230F35">
            <w:pPr>
              <w:rPr>
                <w:rFonts w:ascii="Arial" w:hAnsi="Arial" w:cs="Arial"/>
                <w:b/>
                <w:sz w:val="22"/>
                <w:szCs w:val="22"/>
              </w:rPr>
            </w:pPr>
          </w:p>
          <w:p w:rsidR="00D00BDC" w:rsidRDefault="00D00BDC" w:rsidP="00230F35">
            <w:pPr>
              <w:rPr>
                <w:rFonts w:ascii="Arial" w:hAnsi="Arial" w:cs="Arial"/>
                <w:b/>
                <w:sz w:val="22"/>
                <w:szCs w:val="22"/>
              </w:rPr>
            </w:pPr>
          </w:p>
          <w:p w:rsidR="00D00BDC" w:rsidRDefault="00D00BDC" w:rsidP="00230F35">
            <w:pPr>
              <w:rPr>
                <w:rFonts w:ascii="Arial" w:hAnsi="Arial" w:cs="Arial"/>
                <w:b/>
                <w:sz w:val="22"/>
                <w:szCs w:val="22"/>
              </w:rPr>
            </w:pPr>
          </w:p>
          <w:p w:rsidR="000F1DE6" w:rsidRDefault="000F1DE6" w:rsidP="00230F35">
            <w:pPr>
              <w:rPr>
                <w:rFonts w:ascii="Arial" w:hAnsi="Arial" w:cs="Arial"/>
                <w:b/>
                <w:sz w:val="22"/>
                <w:szCs w:val="22"/>
              </w:rPr>
            </w:pPr>
          </w:p>
          <w:p w:rsidR="00963B31" w:rsidRDefault="00963B31" w:rsidP="00230F35">
            <w:pPr>
              <w:rPr>
                <w:rFonts w:ascii="Arial" w:hAnsi="Arial" w:cs="Arial"/>
                <w:b/>
                <w:sz w:val="22"/>
                <w:szCs w:val="22"/>
              </w:rPr>
            </w:pPr>
          </w:p>
          <w:p w:rsidR="00963B31" w:rsidRPr="00B34964" w:rsidRDefault="00963B31" w:rsidP="00230F35">
            <w:pPr>
              <w:rPr>
                <w:rFonts w:ascii="Arial" w:hAnsi="Arial" w:cs="Arial"/>
                <w:b/>
                <w:sz w:val="22"/>
                <w:szCs w:val="22"/>
              </w:rPr>
            </w:pPr>
          </w:p>
        </w:tc>
      </w:tr>
      <w:tr w:rsidR="00230F35" w:rsidRPr="002F467C" w:rsidTr="009C1A08">
        <w:trPr>
          <w:trHeight w:val="720"/>
        </w:trPr>
        <w:tc>
          <w:tcPr>
            <w:tcW w:w="8856" w:type="dxa"/>
            <w:gridSpan w:val="5"/>
          </w:tcPr>
          <w:p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rsidR="00230F35" w:rsidRDefault="00230F35" w:rsidP="002F467C">
            <w:pPr>
              <w:pStyle w:val="StandardWeb"/>
              <w:spacing w:before="0" w:beforeAutospacing="0" w:after="0" w:afterAutospacing="0"/>
              <w:ind w:right="-334"/>
              <w:rPr>
                <w:rFonts w:ascii="Arial" w:hAnsi="Arial" w:cs="Arial"/>
                <w:bCs/>
                <w:sz w:val="22"/>
                <w:szCs w:val="22"/>
              </w:rPr>
            </w:pPr>
          </w:p>
          <w:p w:rsidR="00D00BDC" w:rsidRDefault="00D00BDC" w:rsidP="002F467C">
            <w:pPr>
              <w:pStyle w:val="StandardWeb"/>
              <w:spacing w:before="0" w:beforeAutospacing="0" w:after="0" w:afterAutospacing="0"/>
              <w:ind w:right="-334"/>
              <w:rPr>
                <w:rFonts w:ascii="Arial" w:hAnsi="Arial" w:cs="Arial"/>
                <w:bCs/>
                <w:sz w:val="22"/>
                <w:szCs w:val="22"/>
              </w:rPr>
            </w:pPr>
          </w:p>
          <w:p w:rsidR="00D00BDC" w:rsidRDefault="00D00BDC" w:rsidP="002F467C">
            <w:pPr>
              <w:pStyle w:val="StandardWeb"/>
              <w:spacing w:before="0" w:beforeAutospacing="0" w:after="0" w:afterAutospacing="0"/>
              <w:ind w:right="-334"/>
              <w:rPr>
                <w:rFonts w:ascii="Arial" w:hAnsi="Arial" w:cs="Arial"/>
                <w:bCs/>
                <w:sz w:val="22"/>
                <w:szCs w:val="22"/>
              </w:rPr>
            </w:pPr>
          </w:p>
          <w:p w:rsidR="00D00BDC" w:rsidRDefault="00D00BDC" w:rsidP="002F467C">
            <w:pPr>
              <w:pStyle w:val="StandardWeb"/>
              <w:spacing w:before="0" w:beforeAutospacing="0" w:after="0" w:afterAutospacing="0"/>
              <w:ind w:right="-334"/>
              <w:rPr>
                <w:rFonts w:ascii="Arial" w:hAnsi="Arial" w:cs="Arial"/>
                <w:bCs/>
                <w:sz w:val="22"/>
                <w:szCs w:val="22"/>
              </w:rPr>
            </w:pPr>
          </w:p>
          <w:p w:rsidR="00D00BDC" w:rsidRPr="00230F35" w:rsidRDefault="00D00BDC" w:rsidP="002F467C">
            <w:pPr>
              <w:pStyle w:val="StandardWeb"/>
              <w:spacing w:before="0" w:beforeAutospacing="0" w:after="0" w:afterAutospacing="0"/>
              <w:ind w:right="-334"/>
              <w:rPr>
                <w:rFonts w:ascii="Arial" w:hAnsi="Arial" w:cs="Arial"/>
                <w:bCs/>
                <w:sz w:val="22"/>
                <w:szCs w:val="22"/>
              </w:rPr>
            </w:pPr>
          </w:p>
          <w:p w:rsidR="00B56E7B" w:rsidRPr="00230F35" w:rsidRDefault="00B56E7B" w:rsidP="002F467C">
            <w:pPr>
              <w:pStyle w:val="StandardWeb"/>
              <w:spacing w:before="0" w:beforeAutospacing="0" w:after="0" w:afterAutospacing="0"/>
              <w:ind w:right="-334"/>
              <w:rPr>
                <w:rFonts w:ascii="Arial" w:hAnsi="Arial" w:cs="Arial"/>
                <w:bCs/>
                <w:sz w:val="22"/>
                <w:szCs w:val="22"/>
              </w:rPr>
            </w:pPr>
          </w:p>
          <w:p w:rsidR="00230F35" w:rsidRPr="00230F35" w:rsidRDefault="00230F35" w:rsidP="002F467C">
            <w:pPr>
              <w:pStyle w:val="StandardWeb"/>
              <w:spacing w:before="0" w:beforeAutospacing="0" w:after="0" w:afterAutospacing="0"/>
              <w:ind w:right="-334"/>
              <w:rPr>
                <w:rFonts w:ascii="Arial" w:hAnsi="Arial" w:cs="Arial"/>
                <w:bCs/>
                <w:sz w:val="22"/>
                <w:szCs w:val="22"/>
              </w:rPr>
            </w:pPr>
          </w:p>
        </w:tc>
      </w:tr>
      <w:tr w:rsidR="00230F35" w:rsidRPr="002F467C" w:rsidTr="00230F35">
        <w:trPr>
          <w:trHeight w:val="720"/>
        </w:trPr>
        <w:tc>
          <w:tcPr>
            <w:tcW w:w="5211" w:type="dxa"/>
            <w:gridSpan w:val="2"/>
          </w:tcPr>
          <w:p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rsidR="00EC7546" w:rsidRDefault="00EC7546" w:rsidP="00FA07E9">
      <w:pPr>
        <w:pStyle w:val="StandardWeb"/>
        <w:spacing w:before="0" w:beforeAutospacing="0" w:after="0" w:afterAutospacing="0"/>
        <w:ind w:right="-334"/>
        <w:rPr>
          <w:rFonts w:ascii="Trebuchet MS" w:hAnsi="Trebuchet MS" w:cs="Tahoma"/>
          <w:bCs/>
          <w:sz w:val="24"/>
          <w:szCs w:val="24"/>
        </w:rPr>
      </w:pPr>
    </w:p>
    <w:p w:rsidR="00CD0D88" w:rsidRDefault="00CD0D88" w:rsidP="00FA07E9">
      <w:pPr>
        <w:pStyle w:val="StandardWeb"/>
        <w:spacing w:before="0" w:beforeAutospacing="0" w:after="0" w:afterAutospacing="0"/>
        <w:ind w:right="-334"/>
        <w:rPr>
          <w:rFonts w:ascii="Trebuchet MS" w:hAnsi="Trebuchet MS" w:cs="Tahoma"/>
          <w:bCs/>
          <w:sz w:val="24"/>
          <w:szCs w:val="24"/>
        </w:rPr>
      </w:pPr>
    </w:p>
    <w:p w:rsidR="00CD0D88" w:rsidRDefault="00CD0D88" w:rsidP="00FA07E9">
      <w:pPr>
        <w:pStyle w:val="StandardWeb"/>
        <w:spacing w:before="0" w:beforeAutospacing="0" w:after="0" w:afterAutospacing="0"/>
        <w:ind w:right="-334"/>
        <w:rPr>
          <w:rFonts w:ascii="Trebuchet MS" w:hAnsi="Trebuchet MS" w:cs="Tahoma"/>
          <w:bCs/>
          <w:sz w:val="24"/>
          <w:szCs w:val="24"/>
        </w:rPr>
      </w:pPr>
    </w:p>
    <w:p w:rsidR="00CD0D88" w:rsidRDefault="00CD0D88" w:rsidP="00FA07E9">
      <w:pPr>
        <w:pStyle w:val="StandardWeb"/>
        <w:spacing w:before="0" w:beforeAutospacing="0" w:after="0" w:afterAutospacing="0"/>
        <w:ind w:right="-334"/>
        <w:rPr>
          <w:rFonts w:ascii="Trebuchet MS" w:hAnsi="Trebuchet MS" w:cs="Tahoma"/>
          <w:bCs/>
          <w:sz w:val="24"/>
          <w:szCs w:val="24"/>
        </w:rPr>
      </w:pPr>
    </w:p>
    <w:p w:rsidR="00CD0D88" w:rsidRDefault="00CD0D88" w:rsidP="00FA07E9">
      <w:pPr>
        <w:pStyle w:val="StandardWeb"/>
        <w:spacing w:before="0" w:beforeAutospacing="0" w:after="0" w:afterAutospacing="0"/>
        <w:ind w:right="-334"/>
        <w:rPr>
          <w:rFonts w:ascii="Trebuchet MS" w:hAnsi="Trebuchet MS" w:cs="Tahoma"/>
          <w:bCs/>
          <w:sz w:val="24"/>
          <w:szCs w:val="24"/>
        </w:rPr>
      </w:pPr>
    </w:p>
    <w:p w:rsidR="00CD0D88" w:rsidRDefault="00CD0D88" w:rsidP="00FA07E9">
      <w:pPr>
        <w:pStyle w:val="StandardWeb"/>
        <w:spacing w:before="0" w:beforeAutospacing="0" w:after="0" w:afterAutospacing="0"/>
        <w:ind w:right="-334"/>
        <w:rPr>
          <w:rFonts w:ascii="Trebuchet MS" w:hAnsi="Trebuchet MS" w:cs="Tahoma"/>
          <w:bCs/>
          <w:sz w:val="24"/>
          <w:szCs w:val="24"/>
        </w:rPr>
      </w:pPr>
    </w:p>
    <w:p w:rsidR="00CD0D88" w:rsidRDefault="00CD0D88" w:rsidP="00945E82">
      <w:pPr>
        <w:pStyle w:val="StandardWeb"/>
        <w:spacing w:before="0" w:beforeAutospacing="0" w:after="0" w:afterAutospacing="0"/>
        <w:ind w:right="-334"/>
        <w:jc w:val="center"/>
        <w:rPr>
          <w:rFonts w:ascii="Arial" w:hAnsi="Arial" w:cs="Arial"/>
          <w:b/>
          <w:color w:val="auto"/>
          <w:sz w:val="22"/>
          <w:szCs w:val="22"/>
        </w:rPr>
      </w:pPr>
      <w:r w:rsidRPr="00CD0D88">
        <w:rPr>
          <w:rFonts w:ascii="Arial" w:hAnsi="Arial" w:cs="Arial"/>
          <w:b/>
          <w:color w:val="auto"/>
          <w:sz w:val="22"/>
          <w:szCs w:val="22"/>
        </w:rPr>
        <w:t xml:space="preserve">A Critical Review of Plutarch’s arguments for divination </w:t>
      </w:r>
      <w:r w:rsidR="00945E82">
        <w:rPr>
          <w:rFonts w:ascii="Arial" w:hAnsi="Arial" w:cs="Arial"/>
          <w:b/>
          <w:color w:val="auto"/>
          <w:sz w:val="22"/>
          <w:szCs w:val="22"/>
        </w:rPr>
        <w:br/>
      </w:r>
      <w:r w:rsidRPr="00CD0D88">
        <w:rPr>
          <w:rFonts w:ascii="Arial" w:hAnsi="Arial" w:cs="Arial"/>
          <w:b/>
          <w:color w:val="auto"/>
          <w:sz w:val="22"/>
          <w:szCs w:val="22"/>
        </w:rPr>
        <w:t xml:space="preserve">in De </w:t>
      </w:r>
      <w:proofErr w:type="spellStart"/>
      <w:r w:rsidR="00012A22">
        <w:rPr>
          <w:rFonts w:ascii="Arial" w:hAnsi="Arial" w:cs="Arial"/>
          <w:b/>
          <w:color w:val="auto"/>
          <w:sz w:val="22"/>
          <w:szCs w:val="22"/>
        </w:rPr>
        <w:t>D</w:t>
      </w:r>
      <w:r w:rsidRPr="00CD0D88">
        <w:rPr>
          <w:rFonts w:ascii="Arial" w:hAnsi="Arial" w:cs="Arial"/>
          <w:b/>
          <w:color w:val="auto"/>
          <w:sz w:val="22"/>
          <w:szCs w:val="22"/>
        </w:rPr>
        <w:t>efectu</w:t>
      </w:r>
      <w:proofErr w:type="spellEnd"/>
      <w:r w:rsidRPr="00CD0D88">
        <w:rPr>
          <w:rFonts w:ascii="Arial" w:hAnsi="Arial" w:cs="Arial"/>
          <w:b/>
          <w:color w:val="auto"/>
          <w:sz w:val="22"/>
          <w:szCs w:val="22"/>
        </w:rPr>
        <w:t xml:space="preserve"> </w:t>
      </w:r>
      <w:proofErr w:type="spellStart"/>
      <w:r w:rsidR="00012A22">
        <w:rPr>
          <w:rFonts w:ascii="Arial" w:hAnsi="Arial" w:cs="Arial"/>
          <w:b/>
          <w:color w:val="auto"/>
          <w:sz w:val="22"/>
          <w:szCs w:val="22"/>
        </w:rPr>
        <w:t>O</w:t>
      </w:r>
      <w:r w:rsidRPr="00CD0D88">
        <w:rPr>
          <w:rFonts w:ascii="Arial" w:hAnsi="Arial" w:cs="Arial"/>
          <w:b/>
          <w:color w:val="auto"/>
          <w:sz w:val="22"/>
          <w:szCs w:val="22"/>
        </w:rPr>
        <w:t>raculorum</w:t>
      </w:r>
      <w:proofErr w:type="spellEnd"/>
      <w:r w:rsidRPr="00CD0D88">
        <w:rPr>
          <w:rFonts w:ascii="Arial" w:hAnsi="Arial" w:cs="Arial"/>
          <w:b/>
          <w:color w:val="auto"/>
          <w:sz w:val="22"/>
          <w:szCs w:val="22"/>
        </w:rPr>
        <w:t xml:space="preserve"> (On the Obsolescence of Oracles</w:t>
      </w:r>
      <w:r>
        <w:rPr>
          <w:rFonts w:ascii="Arial" w:hAnsi="Arial" w:cs="Arial"/>
          <w:b/>
          <w:color w:val="auto"/>
          <w:sz w:val="22"/>
          <w:szCs w:val="22"/>
        </w:rPr>
        <w:t>)</w:t>
      </w:r>
    </w:p>
    <w:p w:rsidR="00945E82" w:rsidRDefault="00945E82" w:rsidP="00945E82">
      <w:pPr>
        <w:pStyle w:val="StandardWeb"/>
        <w:spacing w:before="0" w:beforeAutospacing="0" w:after="0" w:afterAutospacing="0"/>
        <w:ind w:right="-334"/>
        <w:jc w:val="center"/>
        <w:rPr>
          <w:rFonts w:ascii="Arial" w:hAnsi="Arial" w:cs="Arial"/>
          <w:b/>
          <w:color w:val="auto"/>
          <w:sz w:val="22"/>
          <w:szCs w:val="22"/>
        </w:rPr>
      </w:pPr>
    </w:p>
    <w:p w:rsidR="00945E82" w:rsidRDefault="00945E82" w:rsidP="00945E82">
      <w:pPr>
        <w:pStyle w:val="StandardWeb"/>
        <w:spacing w:before="0" w:beforeAutospacing="0" w:after="0" w:afterAutospacing="0"/>
        <w:ind w:right="-334"/>
        <w:jc w:val="center"/>
        <w:rPr>
          <w:rFonts w:ascii="Arial" w:hAnsi="Arial" w:cs="Arial"/>
          <w:color w:val="FF0000"/>
          <w:sz w:val="22"/>
          <w:szCs w:val="22"/>
        </w:rPr>
      </w:pPr>
      <w:r w:rsidRPr="00012A22">
        <w:rPr>
          <w:rFonts w:ascii="Arial" w:hAnsi="Arial" w:cs="Arial"/>
          <w:color w:val="auto"/>
          <w:sz w:val="22"/>
          <w:szCs w:val="22"/>
        </w:rPr>
        <w:t xml:space="preserve">Word count: </w:t>
      </w:r>
      <w:r w:rsidRPr="00012A22">
        <w:rPr>
          <w:rFonts w:ascii="Arial" w:hAnsi="Arial" w:cs="Arial"/>
          <w:color w:val="FF0000"/>
          <w:sz w:val="22"/>
          <w:szCs w:val="22"/>
        </w:rPr>
        <w:t>XXXX</w:t>
      </w:r>
    </w:p>
    <w:p w:rsidR="00012A22" w:rsidRDefault="00012A22" w:rsidP="00945E82">
      <w:pPr>
        <w:pStyle w:val="StandardWeb"/>
        <w:spacing w:before="0" w:beforeAutospacing="0" w:after="0" w:afterAutospacing="0"/>
        <w:ind w:right="-334"/>
        <w:jc w:val="center"/>
        <w:rPr>
          <w:rFonts w:ascii="Arial" w:hAnsi="Arial" w:cs="Arial"/>
          <w:color w:val="auto"/>
          <w:sz w:val="22"/>
          <w:szCs w:val="22"/>
        </w:rPr>
      </w:pPr>
    </w:p>
    <w:p w:rsidR="00012A22" w:rsidRPr="00012A22" w:rsidRDefault="00012A22" w:rsidP="00945E82">
      <w:pPr>
        <w:pStyle w:val="StandardWeb"/>
        <w:spacing w:before="0" w:beforeAutospacing="0" w:after="0" w:afterAutospacing="0"/>
        <w:ind w:right="-334"/>
        <w:jc w:val="center"/>
        <w:rPr>
          <w:rFonts w:ascii="Arial" w:hAnsi="Arial" w:cs="Arial"/>
          <w:b/>
          <w:color w:val="auto"/>
          <w:sz w:val="22"/>
          <w:szCs w:val="22"/>
        </w:rPr>
      </w:pPr>
    </w:p>
    <w:p w:rsidR="00012A22" w:rsidRDefault="00012A22" w:rsidP="00012A22">
      <w:pPr>
        <w:pStyle w:val="StandardWeb"/>
        <w:spacing w:before="0" w:beforeAutospacing="0" w:after="0" w:afterAutospacing="0"/>
        <w:ind w:right="-334"/>
        <w:rPr>
          <w:rFonts w:ascii="Arial" w:hAnsi="Arial" w:cs="Arial"/>
          <w:b/>
          <w:color w:val="auto"/>
          <w:sz w:val="22"/>
          <w:szCs w:val="22"/>
        </w:rPr>
      </w:pPr>
      <w:r w:rsidRPr="00012A22">
        <w:rPr>
          <w:rFonts w:ascii="Arial" w:hAnsi="Arial" w:cs="Arial"/>
          <w:b/>
          <w:color w:val="auto"/>
          <w:sz w:val="22"/>
          <w:szCs w:val="22"/>
        </w:rPr>
        <w:t>Introduction</w:t>
      </w:r>
    </w:p>
    <w:p w:rsidR="00012A22" w:rsidRPr="00012A22" w:rsidRDefault="00012A22" w:rsidP="00012A22">
      <w:pPr>
        <w:pStyle w:val="StandardWeb"/>
        <w:spacing w:before="0" w:beforeAutospacing="0" w:after="0" w:afterAutospacing="0"/>
        <w:ind w:right="-334"/>
        <w:rPr>
          <w:rFonts w:ascii="Arial" w:hAnsi="Arial" w:cs="Arial"/>
          <w:b/>
          <w:color w:val="auto"/>
          <w:sz w:val="22"/>
          <w:szCs w:val="22"/>
        </w:rPr>
      </w:pPr>
    </w:p>
    <w:p w:rsidR="00956FD5" w:rsidRPr="004E5308" w:rsidRDefault="00012A22" w:rsidP="00012A22">
      <w:pPr>
        <w:pStyle w:val="StandardWeb"/>
        <w:spacing w:before="0" w:beforeAutospacing="0" w:after="0" w:afterAutospacing="0"/>
        <w:ind w:right="-334"/>
        <w:rPr>
          <w:rFonts w:ascii="Arial" w:hAnsi="Arial" w:cs="Arial"/>
          <w:color w:val="auto"/>
          <w:sz w:val="22"/>
          <w:szCs w:val="22"/>
          <w:lang w:val="de-AT"/>
        </w:rPr>
      </w:pPr>
      <w:r>
        <w:rPr>
          <w:rFonts w:ascii="Arial" w:hAnsi="Arial" w:cs="Arial"/>
          <w:color w:val="auto"/>
          <w:sz w:val="22"/>
          <w:szCs w:val="22"/>
        </w:rPr>
        <w:t xml:space="preserve">This essay critically discusses Plutarch’s arguments for divination in </w:t>
      </w:r>
      <w:r w:rsidRPr="00012A22">
        <w:rPr>
          <w:rFonts w:ascii="Arial" w:hAnsi="Arial" w:cs="Arial"/>
          <w:i/>
          <w:color w:val="auto"/>
          <w:sz w:val="22"/>
          <w:szCs w:val="22"/>
        </w:rPr>
        <w:t xml:space="preserve">De </w:t>
      </w:r>
      <w:proofErr w:type="spellStart"/>
      <w:r w:rsidRPr="00012A22">
        <w:rPr>
          <w:rFonts w:ascii="Arial" w:hAnsi="Arial" w:cs="Arial"/>
          <w:i/>
          <w:color w:val="auto"/>
          <w:sz w:val="22"/>
          <w:szCs w:val="22"/>
        </w:rPr>
        <w:t>Defectu</w:t>
      </w:r>
      <w:proofErr w:type="spellEnd"/>
      <w:r w:rsidRPr="00012A22">
        <w:rPr>
          <w:rFonts w:ascii="Arial" w:hAnsi="Arial" w:cs="Arial"/>
          <w:i/>
          <w:color w:val="auto"/>
          <w:sz w:val="22"/>
          <w:szCs w:val="22"/>
        </w:rPr>
        <w:t xml:space="preserve"> </w:t>
      </w:r>
      <w:proofErr w:type="spellStart"/>
      <w:r w:rsidRPr="00012A22">
        <w:rPr>
          <w:rFonts w:ascii="Arial" w:hAnsi="Arial" w:cs="Arial"/>
          <w:i/>
          <w:color w:val="auto"/>
          <w:sz w:val="22"/>
          <w:szCs w:val="22"/>
        </w:rPr>
        <w:t>Oraculorum</w:t>
      </w:r>
      <w:proofErr w:type="spellEnd"/>
      <w:r>
        <w:rPr>
          <w:rFonts w:ascii="Arial" w:hAnsi="Arial" w:cs="Arial"/>
          <w:color w:val="auto"/>
          <w:sz w:val="22"/>
          <w:szCs w:val="22"/>
        </w:rPr>
        <w:t>.</w:t>
      </w:r>
      <w:r w:rsidR="006551F0">
        <w:rPr>
          <w:rStyle w:val="Funotenzeichen"/>
          <w:rFonts w:ascii="Arial" w:hAnsi="Arial" w:cs="Arial"/>
          <w:color w:val="auto"/>
          <w:sz w:val="22"/>
          <w:szCs w:val="22"/>
        </w:rPr>
        <w:footnoteReference w:id="1"/>
      </w:r>
      <w:r w:rsidR="00543B29" w:rsidRPr="00543B29">
        <w:rPr>
          <w:rFonts w:ascii="Arial" w:hAnsi="Arial" w:cs="Arial"/>
          <w:color w:val="auto"/>
          <w:sz w:val="22"/>
          <w:szCs w:val="22"/>
        </w:rPr>
        <w:t xml:space="preserve"> </w:t>
      </w:r>
      <w:r>
        <w:rPr>
          <w:rFonts w:ascii="Arial" w:hAnsi="Arial" w:cs="Arial"/>
          <w:color w:val="auto"/>
          <w:sz w:val="22"/>
          <w:szCs w:val="22"/>
        </w:rPr>
        <w:t xml:space="preserve">The treatise </w:t>
      </w:r>
      <w:r w:rsidR="00956FD5">
        <w:rPr>
          <w:rFonts w:ascii="Arial" w:hAnsi="Arial" w:cs="Arial"/>
          <w:color w:val="auto"/>
          <w:sz w:val="22"/>
          <w:szCs w:val="22"/>
        </w:rPr>
        <w:t>by</w:t>
      </w:r>
      <w:r>
        <w:rPr>
          <w:rFonts w:ascii="Arial" w:hAnsi="Arial" w:cs="Arial"/>
          <w:color w:val="auto"/>
          <w:sz w:val="22"/>
          <w:szCs w:val="22"/>
        </w:rPr>
        <w:t xml:space="preserve"> </w:t>
      </w:r>
      <w:r w:rsidR="00BF6227">
        <w:rPr>
          <w:rFonts w:ascii="Arial" w:hAnsi="Arial" w:cs="Arial"/>
          <w:color w:val="auto"/>
          <w:sz w:val="22"/>
          <w:szCs w:val="22"/>
        </w:rPr>
        <w:t>the</w:t>
      </w:r>
      <w:r>
        <w:rPr>
          <w:rFonts w:ascii="Arial" w:hAnsi="Arial" w:cs="Arial"/>
          <w:color w:val="auto"/>
          <w:sz w:val="22"/>
          <w:szCs w:val="22"/>
        </w:rPr>
        <w:t xml:space="preserve"> Gre</w:t>
      </w:r>
      <w:r w:rsidR="00BF6227">
        <w:rPr>
          <w:rFonts w:ascii="Arial" w:hAnsi="Arial" w:cs="Arial"/>
          <w:color w:val="auto"/>
          <w:sz w:val="22"/>
          <w:szCs w:val="22"/>
        </w:rPr>
        <w:t xml:space="preserve">ek </w:t>
      </w:r>
      <w:r w:rsidR="00404CAE">
        <w:rPr>
          <w:rFonts w:ascii="Arial" w:hAnsi="Arial" w:cs="Arial"/>
          <w:color w:val="auto"/>
          <w:sz w:val="22"/>
          <w:szCs w:val="22"/>
        </w:rPr>
        <w:t>Neop</w:t>
      </w:r>
      <w:r w:rsidR="001D7817">
        <w:rPr>
          <w:rFonts w:ascii="Arial" w:hAnsi="Arial" w:cs="Arial"/>
          <w:color w:val="auto"/>
          <w:sz w:val="22"/>
          <w:szCs w:val="22"/>
        </w:rPr>
        <w:t>latonist philoso</w:t>
      </w:r>
      <w:r w:rsidR="00956FD5">
        <w:rPr>
          <w:rFonts w:ascii="Arial" w:hAnsi="Arial" w:cs="Arial"/>
          <w:color w:val="auto"/>
          <w:sz w:val="22"/>
          <w:szCs w:val="22"/>
        </w:rPr>
        <w:t xml:space="preserve">pher, biographer and essayist (46 – c. 119 CE) and priest at the temple of Apollo at Delphi, </w:t>
      </w:r>
      <w:r w:rsidR="00940A8F">
        <w:rPr>
          <w:rFonts w:ascii="Arial" w:hAnsi="Arial" w:cs="Arial"/>
          <w:color w:val="auto"/>
          <w:sz w:val="22"/>
          <w:szCs w:val="22"/>
        </w:rPr>
        <w:t xml:space="preserve">is a </w:t>
      </w:r>
      <w:r w:rsidR="00956FD5">
        <w:rPr>
          <w:rFonts w:ascii="Arial" w:hAnsi="Arial" w:cs="Arial"/>
          <w:color w:val="auto"/>
          <w:sz w:val="22"/>
          <w:szCs w:val="22"/>
        </w:rPr>
        <w:t>part of</w:t>
      </w:r>
      <w:r>
        <w:rPr>
          <w:rFonts w:ascii="Arial" w:hAnsi="Arial" w:cs="Arial"/>
          <w:color w:val="auto"/>
          <w:sz w:val="22"/>
          <w:szCs w:val="22"/>
        </w:rPr>
        <w:t xml:space="preserve"> </w:t>
      </w:r>
      <w:r w:rsidR="00E37E8A">
        <w:rPr>
          <w:rFonts w:ascii="Arial" w:hAnsi="Arial" w:cs="Arial"/>
          <w:color w:val="auto"/>
          <w:sz w:val="22"/>
          <w:szCs w:val="22"/>
        </w:rPr>
        <w:t xml:space="preserve">the </w:t>
      </w:r>
      <w:proofErr w:type="spellStart"/>
      <w:r w:rsidR="00E37E8A" w:rsidRPr="00E37E8A">
        <w:rPr>
          <w:rFonts w:ascii="Arial" w:hAnsi="Arial" w:cs="Arial"/>
          <w:i/>
          <w:color w:val="auto"/>
          <w:sz w:val="22"/>
          <w:szCs w:val="22"/>
        </w:rPr>
        <w:t>Moralia</w:t>
      </w:r>
      <w:proofErr w:type="spellEnd"/>
      <w:r w:rsidR="00E37E8A">
        <w:rPr>
          <w:rFonts w:ascii="Arial" w:hAnsi="Arial" w:cs="Arial"/>
          <w:color w:val="auto"/>
          <w:sz w:val="22"/>
          <w:szCs w:val="22"/>
        </w:rPr>
        <w:t xml:space="preserve">, </w:t>
      </w:r>
      <w:r w:rsidR="00F80EE8">
        <w:rPr>
          <w:rFonts w:ascii="Arial" w:hAnsi="Arial" w:cs="Arial"/>
          <w:color w:val="auto"/>
          <w:sz w:val="22"/>
          <w:szCs w:val="22"/>
        </w:rPr>
        <w:t xml:space="preserve">which is </w:t>
      </w:r>
      <w:r w:rsidR="00E37E8A">
        <w:rPr>
          <w:rFonts w:ascii="Arial" w:hAnsi="Arial" w:cs="Arial"/>
          <w:color w:val="auto"/>
          <w:sz w:val="22"/>
          <w:szCs w:val="22"/>
        </w:rPr>
        <w:t>a collection of works that according to Harrison was ‘composed</w:t>
      </w:r>
      <w:r w:rsidR="00C650C0">
        <w:rPr>
          <w:rFonts w:ascii="Arial" w:hAnsi="Arial" w:cs="Arial"/>
          <w:color w:val="auto"/>
          <w:sz w:val="22"/>
          <w:szCs w:val="22"/>
        </w:rPr>
        <w:t xml:space="preserve"> to instruct men and women in virtue (</w:t>
      </w:r>
      <w:proofErr w:type="spellStart"/>
      <w:r w:rsidR="00C650C0" w:rsidRPr="00C650C0">
        <w:rPr>
          <w:rFonts w:ascii="Arial" w:hAnsi="Arial" w:cs="Arial"/>
          <w:i/>
          <w:color w:val="auto"/>
          <w:sz w:val="22"/>
          <w:szCs w:val="22"/>
        </w:rPr>
        <w:t>aratea</w:t>
      </w:r>
      <w:proofErr w:type="spellEnd"/>
      <w:r w:rsidR="00C650C0">
        <w:rPr>
          <w:rFonts w:ascii="Arial" w:hAnsi="Arial" w:cs="Arial"/>
          <w:color w:val="auto"/>
          <w:sz w:val="22"/>
          <w:szCs w:val="22"/>
        </w:rPr>
        <w:t>)’.</w:t>
      </w:r>
      <w:r w:rsidR="00543B29">
        <w:rPr>
          <w:rStyle w:val="Funotenzeichen"/>
          <w:rFonts w:ascii="Arial" w:hAnsi="Arial" w:cs="Arial"/>
          <w:color w:val="auto"/>
          <w:sz w:val="22"/>
          <w:szCs w:val="22"/>
        </w:rPr>
        <w:footnoteReference w:id="2"/>
      </w:r>
      <w:r w:rsidR="00C650C0">
        <w:rPr>
          <w:rFonts w:ascii="Arial" w:hAnsi="Arial" w:cs="Arial"/>
          <w:color w:val="auto"/>
          <w:sz w:val="22"/>
          <w:szCs w:val="22"/>
        </w:rPr>
        <w:t xml:space="preserve"> </w:t>
      </w:r>
      <w:r w:rsidR="00C52BB0" w:rsidRPr="00C52BB0">
        <w:rPr>
          <w:rFonts w:ascii="Arial" w:hAnsi="Arial" w:cs="Arial"/>
          <w:color w:val="auto"/>
          <w:sz w:val="22"/>
          <w:szCs w:val="22"/>
        </w:rPr>
        <w:t xml:space="preserve"> </w:t>
      </w:r>
      <w:r w:rsidR="00600E19" w:rsidRPr="00600E19">
        <w:rPr>
          <w:rFonts w:ascii="Arial" w:hAnsi="Arial" w:cs="Arial"/>
          <w:color w:val="auto"/>
          <w:sz w:val="22"/>
          <w:szCs w:val="22"/>
        </w:rPr>
        <w:t>With P</w:t>
      </w:r>
      <w:r w:rsidR="00600E19">
        <w:rPr>
          <w:rFonts w:ascii="Arial" w:hAnsi="Arial" w:cs="Arial"/>
          <w:color w:val="auto"/>
          <w:sz w:val="22"/>
          <w:szCs w:val="22"/>
        </w:rPr>
        <w:t xml:space="preserve">lutarch being </w:t>
      </w:r>
      <w:r w:rsidR="00785360">
        <w:rPr>
          <w:rFonts w:ascii="Arial" w:hAnsi="Arial" w:cs="Arial"/>
          <w:color w:val="auto"/>
          <w:sz w:val="22"/>
          <w:szCs w:val="22"/>
        </w:rPr>
        <w:t xml:space="preserve">deeply involved </w:t>
      </w:r>
      <w:r w:rsidR="00600E19">
        <w:rPr>
          <w:rFonts w:ascii="Arial" w:hAnsi="Arial" w:cs="Arial"/>
          <w:color w:val="auto"/>
          <w:sz w:val="22"/>
          <w:szCs w:val="22"/>
        </w:rPr>
        <w:t>in the priestly office</w:t>
      </w:r>
      <w:r w:rsidR="00785360">
        <w:rPr>
          <w:rFonts w:ascii="Arial" w:hAnsi="Arial" w:cs="Arial"/>
          <w:color w:val="auto"/>
          <w:sz w:val="22"/>
          <w:szCs w:val="22"/>
        </w:rPr>
        <w:t xml:space="preserve">, as </w:t>
      </w:r>
      <w:proofErr w:type="spellStart"/>
      <w:r w:rsidR="00785360">
        <w:rPr>
          <w:rFonts w:ascii="Arial" w:hAnsi="Arial" w:cs="Arial"/>
          <w:color w:val="auto"/>
          <w:sz w:val="22"/>
          <w:szCs w:val="22"/>
        </w:rPr>
        <w:t>Schröder</w:t>
      </w:r>
      <w:proofErr w:type="spellEnd"/>
      <w:r w:rsidR="00785360">
        <w:rPr>
          <w:rFonts w:ascii="Arial" w:hAnsi="Arial" w:cs="Arial"/>
          <w:color w:val="auto"/>
          <w:sz w:val="22"/>
          <w:szCs w:val="22"/>
        </w:rPr>
        <w:t xml:space="preserve"> puts in more detail,</w:t>
      </w:r>
      <w:r w:rsidR="00600E19">
        <w:rPr>
          <w:rFonts w:ascii="Arial" w:hAnsi="Arial" w:cs="Arial"/>
          <w:color w:val="auto"/>
          <w:sz w:val="22"/>
          <w:szCs w:val="22"/>
        </w:rPr>
        <w:t xml:space="preserve"> it is the view and arguments of an insider that will be anal</w:t>
      </w:r>
      <w:r w:rsidR="00940A8F">
        <w:rPr>
          <w:rFonts w:ascii="Arial" w:hAnsi="Arial" w:cs="Arial"/>
          <w:color w:val="auto"/>
          <w:sz w:val="22"/>
          <w:szCs w:val="22"/>
        </w:rPr>
        <w:t>y</w:t>
      </w:r>
      <w:r w:rsidR="00600E19">
        <w:rPr>
          <w:rFonts w:ascii="Arial" w:hAnsi="Arial" w:cs="Arial"/>
          <w:color w:val="auto"/>
          <w:sz w:val="22"/>
          <w:szCs w:val="22"/>
        </w:rPr>
        <w:t>sed in the following paragraphs</w:t>
      </w:r>
      <w:r w:rsidR="00785360">
        <w:rPr>
          <w:rFonts w:ascii="Arial" w:hAnsi="Arial" w:cs="Arial"/>
          <w:color w:val="auto"/>
          <w:sz w:val="22"/>
          <w:szCs w:val="22"/>
        </w:rPr>
        <w:t>.</w:t>
      </w:r>
      <w:r w:rsidR="00C52BB0">
        <w:rPr>
          <w:rStyle w:val="Funotenzeichen"/>
          <w:rFonts w:ascii="Arial" w:hAnsi="Arial" w:cs="Arial"/>
          <w:color w:val="auto"/>
          <w:sz w:val="22"/>
          <w:szCs w:val="22"/>
        </w:rPr>
        <w:footnoteReference w:id="3"/>
      </w:r>
    </w:p>
    <w:p w:rsidR="00600E19" w:rsidRPr="004E5308" w:rsidRDefault="00600E19" w:rsidP="00012A22">
      <w:pPr>
        <w:pStyle w:val="StandardWeb"/>
        <w:spacing w:before="0" w:beforeAutospacing="0" w:after="0" w:afterAutospacing="0"/>
        <w:ind w:right="-334"/>
        <w:rPr>
          <w:rFonts w:ascii="Arial" w:hAnsi="Arial" w:cs="Arial"/>
          <w:color w:val="auto"/>
          <w:sz w:val="22"/>
          <w:szCs w:val="22"/>
          <w:lang w:val="de-AT"/>
        </w:rPr>
      </w:pPr>
    </w:p>
    <w:p w:rsidR="00D96486" w:rsidRDefault="008126C1" w:rsidP="00012A22">
      <w:pPr>
        <w:pStyle w:val="StandardWeb"/>
        <w:spacing w:before="0" w:beforeAutospacing="0" w:after="0" w:afterAutospacing="0"/>
        <w:ind w:right="-334"/>
        <w:rPr>
          <w:rFonts w:ascii="Arial" w:hAnsi="Arial" w:cs="Arial"/>
          <w:color w:val="auto"/>
          <w:sz w:val="22"/>
          <w:szCs w:val="22"/>
          <w:lang w:val="en-US"/>
        </w:rPr>
      </w:pPr>
      <w:r w:rsidRPr="008126C1">
        <w:rPr>
          <w:rFonts w:ascii="Arial" w:hAnsi="Arial" w:cs="Arial"/>
          <w:color w:val="auto"/>
          <w:sz w:val="22"/>
          <w:szCs w:val="22"/>
          <w:lang w:val="en-US"/>
        </w:rPr>
        <w:t>The main arguments considered are the existence of the gods and their willingness to help humans, the assumption that communication</w:t>
      </w:r>
      <w:r>
        <w:rPr>
          <w:rFonts w:ascii="Arial" w:hAnsi="Arial" w:cs="Arial"/>
          <w:color w:val="auto"/>
          <w:sz w:val="22"/>
          <w:szCs w:val="22"/>
          <w:lang w:val="en-US"/>
        </w:rPr>
        <w:t xml:space="preserve"> between gods and humans is possible through suitable intermediaries and </w:t>
      </w:r>
      <w:r w:rsidR="00D96486">
        <w:rPr>
          <w:rFonts w:ascii="Arial" w:hAnsi="Arial" w:cs="Arial"/>
          <w:color w:val="auto"/>
          <w:sz w:val="22"/>
          <w:szCs w:val="22"/>
          <w:lang w:val="en-US"/>
        </w:rPr>
        <w:t xml:space="preserve">under </w:t>
      </w:r>
      <w:r>
        <w:rPr>
          <w:rFonts w:ascii="Arial" w:hAnsi="Arial" w:cs="Arial"/>
          <w:color w:val="auto"/>
          <w:sz w:val="22"/>
          <w:szCs w:val="22"/>
          <w:lang w:val="en-US"/>
        </w:rPr>
        <w:t xml:space="preserve">proper conditions, </w:t>
      </w:r>
      <w:r w:rsidR="00D96486">
        <w:rPr>
          <w:rFonts w:ascii="Arial" w:hAnsi="Arial" w:cs="Arial"/>
          <w:color w:val="auto"/>
          <w:sz w:val="22"/>
          <w:szCs w:val="22"/>
          <w:lang w:val="en-US"/>
        </w:rPr>
        <w:t>and that the gods do listen to all sorts of requests.</w:t>
      </w:r>
    </w:p>
    <w:p w:rsidR="00D96486" w:rsidRDefault="00D96486" w:rsidP="00012A22">
      <w:pPr>
        <w:pStyle w:val="StandardWeb"/>
        <w:spacing w:before="0" w:beforeAutospacing="0" w:after="0" w:afterAutospacing="0"/>
        <w:ind w:right="-334"/>
        <w:rPr>
          <w:rFonts w:ascii="Arial" w:hAnsi="Arial" w:cs="Arial"/>
          <w:b/>
          <w:color w:val="auto"/>
          <w:sz w:val="22"/>
          <w:szCs w:val="22"/>
          <w:lang w:val="en-US"/>
        </w:rPr>
      </w:pPr>
    </w:p>
    <w:p w:rsidR="00FA7EFB" w:rsidRPr="00FA7EFB" w:rsidRDefault="00FA7EFB" w:rsidP="00012A22">
      <w:pPr>
        <w:pStyle w:val="StandardWeb"/>
        <w:spacing w:before="0" w:beforeAutospacing="0" w:after="0" w:afterAutospacing="0"/>
        <w:ind w:right="-334"/>
        <w:rPr>
          <w:rFonts w:ascii="Arial" w:hAnsi="Arial" w:cs="Arial"/>
          <w:b/>
          <w:color w:val="auto"/>
          <w:sz w:val="22"/>
          <w:szCs w:val="22"/>
          <w:lang w:val="en-US"/>
        </w:rPr>
      </w:pPr>
      <w:r w:rsidRPr="00FA7EFB">
        <w:rPr>
          <w:rFonts w:ascii="Arial" w:hAnsi="Arial" w:cs="Arial"/>
          <w:b/>
          <w:color w:val="auto"/>
          <w:sz w:val="22"/>
          <w:szCs w:val="22"/>
          <w:lang w:val="en-US"/>
        </w:rPr>
        <w:t>Some definition and context</w:t>
      </w:r>
    </w:p>
    <w:p w:rsidR="00FA7EFB" w:rsidRPr="00FA7EFB" w:rsidRDefault="00FA7EFB" w:rsidP="00012A22">
      <w:pPr>
        <w:pStyle w:val="StandardWeb"/>
        <w:spacing w:before="0" w:beforeAutospacing="0" w:after="0" w:afterAutospacing="0"/>
        <w:ind w:right="-334"/>
        <w:rPr>
          <w:rFonts w:ascii="Arial" w:hAnsi="Arial" w:cs="Arial"/>
          <w:color w:val="auto"/>
          <w:sz w:val="22"/>
          <w:szCs w:val="22"/>
          <w:lang w:val="en-US"/>
        </w:rPr>
      </w:pPr>
    </w:p>
    <w:p w:rsidR="002E1A5A" w:rsidRDefault="003E6F83" w:rsidP="00012A22">
      <w:pPr>
        <w:pStyle w:val="StandardWeb"/>
        <w:spacing w:before="0" w:beforeAutospacing="0" w:after="0" w:afterAutospacing="0"/>
        <w:ind w:right="-334"/>
        <w:rPr>
          <w:rFonts w:ascii="Arial" w:hAnsi="Arial" w:cs="Arial"/>
          <w:color w:val="auto"/>
          <w:sz w:val="22"/>
          <w:szCs w:val="22"/>
          <w:lang w:val="en-US"/>
        </w:rPr>
      </w:pPr>
      <w:r>
        <w:rPr>
          <w:rFonts w:ascii="Arial" w:hAnsi="Arial" w:cs="Arial"/>
          <w:color w:val="auto"/>
          <w:sz w:val="22"/>
          <w:szCs w:val="22"/>
          <w:lang w:val="en-US"/>
        </w:rPr>
        <w:t xml:space="preserve">The term divination is defined by Blacker and Loewe as an attempt to elicit from some higher power or supernatural </w:t>
      </w:r>
      <w:r w:rsidR="001E12A1">
        <w:rPr>
          <w:rFonts w:ascii="Arial" w:hAnsi="Arial" w:cs="Arial"/>
          <w:color w:val="auto"/>
          <w:sz w:val="22"/>
          <w:szCs w:val="22"/>
          <w:lang w:val="en-US"/>
        </w:rPr>
        <w:t>to give</w:t>
      </w:r>
      <w:r>
        <w:rPr>
          <w:rFonts w:ascii="Arial" w:hAnsi="Arial" w:cs="Arial"/>
          <w:color w:val="auto"/>
          <w:sz w:val="22"/>
          <w:szCs w:val="22"/>
          <w:lang w:val="en-US"/>
        </w:rPr>
        <w:t xml:space="preserve"> the answers to questions beyond the range of ordinary human understanding.</w:t>
      </w:r>
      <w:r w:rsidR="00A50192">
        <w:rPr>
          <w:rStyle w:val="Funotenzeichen"/>
          <w:rFonts w:ascii="Arial" w:hAnsi="Arial" w:cs="Arial"/>
          <w:color w:val="auto"/>
          <w:sz w:val="22"/>
          <w:szCs w:val="22"/>
          <w:lang w:val="en-US"/>
        </w:rPr>
        <w:footnoteReference w:id="4"/>
      </w:r>
      <w:r>
        <w:rPr>
          <w:rFonts w:ascii="Arial" w:hAnsi="Arial" w:cs="Arial"/>
          <w:color w:val="auto"/>
          <w:sz w:val="22"/>
          <w:szCs w:val="22"/>
          <w:lang w:val="en-US"/>
        </w:rPr>
        <w:t xml:space="preserve"> Although there are further distinctions as to the various types of divination, t</w:t>
      </w:r>
      <w:r w:rsidR="002E1A5A">
        <w:rPr>
          <w:rFonts w:ascii="Arial" w:hAnsi="Arial" w:cs="Arial"/>
          <w:color w:val="auto"/>
          <w:sz w:val="22"/>
          <w:szCs w:val="22"/>
          <w:lang w:val="en-US"/>
        </w:rPr>
        <w:t>he arguments in the text refer to divination in a wider context, so the broad definition mentioned above seems suitable to serve the purpose at hand.</w:t>
      </w:r>
    </w:p>
    <w:p w:rsidR="002E1A5A" w:rsidRDefault="002E1A5A" w:rsidP="00012A22">
      <w:pPr>
        <w:pStyle w:val="StandardWeb"/>
        <w:spacing w:before="0" w:beforeAutospacing="0" w:after="0" w:afterAutospacing="0"/>
        <w:ind w:right="-334"/>
        <w:rPr>
          <w:rFonts w:ascii="Arial" w:hAnsi="Arial" w:cs="Arial"/>
          <w:color w:val="auto"/>
          <w:sz w:val="22"/>
          <w:szCs w:val="22"/>
          <w:lang w:val="en-US"/>
        </w:rPr>
      </w:pPr>
    </w:p>
    <w:p w:rsidR="001916D8" w:rsidRPr="00FA7EFB" w:rsidRDefault="001E12A1" w:rsidP="00012A22">
      <w:pPr>
        <w:pStyle w:val="StandardWeb"/>
        <w:spacing w:before="0" w:beforeAutospacing="0" w:after="0" w:afterAutospacing="0"/>
        <w:ind w:right="-334"/>
        <w:rPr>
          <w:rFonts w:ascii="Arial" w:hAnsi="Arial" w:cs="Arial"/>
          <w:color w:val="auto"/>
          <w:sz w:val="22"/>
          <w:szCs w:val="22"/>
          <w:lang w:val="en-US"/>
        </w:rPr>
      </w:pPr>
      <w:r>
        <w:rPr>
          <w:rFonts w:ascii="Arial" w:hAnsi="Arial" w:cs="Arial"/>
          <w:color w:val="auto"/>
          <w:sz w:val="22"/>
          <w:szCs w:val="22"/>
          <w:lang w:val="en-US"/>
        </w:rPr>
        <w:t>Aside from</w:t>
      </w:r>
      <w:r w:rsidR="00FA7EFB" w:rsidRPr="00FA7EFB">
        <w:rPr>
          <w:rFonts w:ascii="Arial" w:hAnsi="Arial" w:cs="Arial"/>
          <w:color w:val="auto"/>
          <w:sz w:val="22"/>
          <w:szCs w:val="22"/>
          <w:lang w:val="en-US"/>
        </w:rPr>
        <w:t xml:space="preserve"> Plutarch</w:t>
      </w:r>
      <w:r w:rsidR="00940A8F">
        <w:rPr>
          <w:rFonts w:ascii="Arial" w:hAnsi="Arial" w:cs="Arial"/>
          <w:color w:val="auto"/>
          <w:sz w:val="22"/>
          <w:szCs w:val="22"/>
          <w:lang w:val="en-US"/>
        </w:rPr>
        <w:t>’</w:t>
      </w:r>
      <w:r w:rsidR="00FA7EFB" w:rsidRPr="00FA7EFB">
        <w:rPr>
          <w:rFonts w:ascii="Arial" w:hAnsi="Arial" w:cs="Arial"/>
          <w:color w:val="auto"/>
          <w:sz w:val="22"/>
          <w:szCs w:val="22"/>
          <w:lang w:val="en-US"/>
        </w:rPr>
        <w:t xml:space="preserve">s </w:t>
      </w:r>
      <w:r w:rsidR="002E1A5A">
        <w:rPr>
          <w:rFonts w:ascii="Arial" w:hAnsi="Arial" w:cs="Arial"/>
          <w:color w:val="auto"/>
          <w:sz w:val="22"/>
          <w:szCs w:val="22"/>
          <w:lang w:val="en-US"/>
        </w:rPr>
        <w:t xml:space="preserve">obvious connection to divination </w:t>
      </w:r>
      <w:r>
        <w:rPr>
          <w:rFonts w:ascii="Arial" w:hAnsi="Arial" w:cs="Arial"/>
          <w:color w:val="auto"/>
          <w:sz w:val="22"/>
          <w:szCs w:val="22"/>
          <w:lang w:val="en-US"/>
        </w:rPr>
        <w:t>due to</w:t>
      </w:r>
      <w:r w:rsidR="002E1A5A">
        <w:rPr>
          <w:rFonts w:ascii="Arial" w:hAnsi="Arial" w:cs="Arial"/>
          <w:color w:val="auto"/>
          <w:sz w:val="22"/>
          <w:szCs w:val="22"/>
          <w:lang w:val="en-US"/>
        </w:rPr>
        <w:t xml:space="preserve"> his </w:t>
      </w:r>
      <w:r w:rsidR="00FA7EFB" w:rsidRPr="00FA7EFB">
        <w:rPr>
          <w:rFonts w:ascii="Arial" w:hAnsi="Arial" w:cs="Arial"/>
          <w:color w:val="auto"/>
          <w:sz w:val="22"/>
          <w:szCs w:val="22"/>
          <w:lang w:val="en-US"/>
        </w:rPr>
        <w:t>professional context</w:t>
      </w:r>
      <w:r w:rsidR="002E1A5A">
        <w:rPr>
          <w:rFonts w:ascii="Arial" w:hAnsi="Arial" w:cs="Arial"/>
          <w:color w:val="auto"/>
          <w:sz w:val="22"/>
          <w:szCs w:val="22"/>
          <w:lang w:val="en-US"/>
        </w:rPr>
        <w:t>,</w:t>
      </w:r>
    </w:p>
    <w:p w:rsidR="0065018F" w:rsidRDefault="002E1A5A" w:rsidP="00012A22">
      <w:pPr>
        <w:pStyle w:val="StandardWeb"/>
        <w:spacing w:before="0" w:beforeAutospacing="0" w:after="0" w:afterAutospacing="0"/>
        <w:ind w:right="-334"/>
        <w:rPr>
          <w:rFonts w:ascii="Arial" w:hAnsi="Arial" w:cs="Arial"/>
          <w:color w:val="auto"/>
          <w:sz w:val="22"/>
          <w:szCs w:val="22"/>
          <w:lang w:val="en-US"/>
        </w:rPr>
      </w:pPr>
      <w:proofErr w:type="spellStart"/>
      <w:r>
        <w:rPr>
          <w:rFonts w:ascii="Arial" w:hAnsi="Arial" w:cs="Arial"/>
          <w:color w:val="auto"/>
          <w:sz w:val="22"/>
          <w:szCs w:val="22"/>
          <w:lang w:val="en-US"/>
        </w:rPr>
        <w:t>Schröder</w:t>
      </w:r>
      <w:proofErr w:type="spellEnd"/>
      <w:r>
        <w:rPr>
          <w:rFonts w:ascii="Arial" w:hAnsi="Arial" w:cs="Arial"/>
          <w:color w:val="auto"/>
          <w:sz w:val="22"/>
          <w:szCs w:val="22"/>
          <w:lang w:val="en-US"/>
        </w:rPr>
        <w:t xml:space="preserve"> mentions that </w:t>
      </w:r>
      <w:r w:rsidR="00803FDA" w:rsidRPr="00803FDA">
        <w:rPr>
          <w:rFonts w:ascii="Arial" w:hAnsi="Arial" w:cs="Arial"/>
          <w:color w:val="auto"/>
          <w:sz w:val="22"/>
          <w:szCs w:val="22"/>
          <w:lang w:val="en-US"/>
        </w:rPr>
        <w:t>Plutarch</w:t>
      </w:r>
      <w:r w:rsidR="00940A8F">
        <w:rPr>
          <w:rFonts w:ascii="Arial" w:hAnsi="Arial" w:cs="Arial"/>
          <w:color w:val="auto"/>
          <w:sz w:val="22"/>
          <w:szCs w:val="22"/>
          <w:lang w:val="en-US"/>
        </w:rPr>
        <w:t>’</w:t>
      </w:r>
      <w:r w:rsidR="00803FDA" w:rsidRPr="00803FDA">
        <w:rPr>
          <w:rFonts w:ascii="Arial" w:hAnsi="Arial" w:cs="Arial"/>
          <w:color w:val="auto"/>
          <w:sz w:val="22"/>
          <w:szCs w:val="22"/>
          <w:lang w:val="en-US"/>
        </w:rPr>
        <w:t>s w</w:t>
      </w:r>
      <w:r w:rsidR="00803FDA">
        <w:rPr>
          <w:rFonts w:ascii="Arial" w:hAnsi="Arial" w:cs="Arial"/>
          <w:color w:val="auto"/>
          <w:sz w:val="22"/>
          <w:szCs w:val="22"/>
          <w:lang w:val="en-US"/>
        </w:rPr>
        <w:t xml:space="preserve">ritings show a very vivid interest of the author in all forms of prophecy, as well as a tendency to discuss ‘such things whenever opportunity offers’, and that Plutarch defended academic philosophy </w:t>
      </w:r>
      <w:r w:rsidR="001E12A1">
        <w:rPr>
          <w:rFonts w:ascii="Arial" w:hAnsi="Arial" w:cs="Arial"/>
          <w:color w:val="auto"/>
          <w:sz w:val="22"/>
          <w:szCs w:val="22"/>
          <w:lang w:val="en-US"/>
        </w:rPr>
        <w:t>as</w:t>
      </w:r>
      <w:r w:rsidR="0065018F">
        <w:rPr>
          <w:rFonts w:ascii="Arial" w:hAnsi="Arial" w:cs="Arial"/>
          <w:color w:val="auto"/>
          <w:sz w:val="22"/>
          <w:szCs w:val="22"/>
          <w:lang w:val="en-US"/>
        </w:rPr>
        <w:t xml:space="preserve"> compatible with</w:t>
      </w:r>
      <w:r w:rsidR="00803FDA">
        <w:rPr>
          <w:rFonts w:ascii="Arial" w:hAnsi="Arial" w:cs="Arial"/>
          <w:color w:val="auto"/>
          <w:sz w:val="22"/>
          <w:szCs w:val="22"/>
          <w:lang w:val="en-US"/>
        </w:rPr>
        <w:t xml:space="preserve"> a belief in divination.</w:t>
      </w:r>
      <w:r w:rsidR="00A50192">
        <w:rPr>
          <w:rStyle w:val="Funotenzeichen"/>
          <w:rFonts w:ascii="Arial" w:hAnsi="Arial" w:cs="Arial"/>
          <w:color w:val="auto"/>
          <w:sz w:val="22"/>
          <w:szCs w:val="22"/>
          <w:lang w:val="en-US"/>
        </w:rPr>
        <w:footnoteReference w:id="5"/>
      </w:r>
      <w:r w:rsidR="00803FDA">
        <w:rPr>
          <w:rFonts w:ascii="Arial" w:hAnsi="Arial" w:cs="Arial"/>
          <w:color w:val="auto"/>
          <w:sz w:val="22"/>
          <w:szCs w:val="22"/>
          <w:lang w:val="en-US"/>
        </w:rPr>
        <w:t xml:space="preserve"> </w:t>
      </w:r>
      <w:r w:rsidR="0065018F">
        <w:rPr>
          <w:rFonts w:ascii="Arial" w:hAnsi="Arial" w:cs="Arial"/>
          <w:color w:val="auto"/>
          <w:sz w:val="22"/>
          <w:szCs w:val="22"/>
          <w:lang w:val="en-US"/>
        </w:rPr>
        <w:t>The importance of a ‘k</w:t>
      </w:r>
      <w:r w:rsidR="006460FE">
        <w:rPr>
          <w:rFonts w:ascii="Arial" w:hAnsi="Arial" w:cs="Arial"/>
          <w:color w:val="auto"/>
          <w:sz w:val="22"/>
          <w:szCs w:val="22"/>
          <w:lang w:val="en-US"/>
        </w:rPr>
        <w:t xml:space="preserve">nowledge of the </w:t>
      </w:r>
      <w:r w:rsidR="0065018F">
        <w:rPr>
          <w:rFonts w:ascii="Arial" w:hAnsi="Arial" w:cs="Arial"/>
          <w:color w:val="auto"/>
          <w:sz w:val="22"/>
          <w:szCs w:val="22"/>
          <w:lang w:val="en-US"/>
        </w:rPr>
        <w:t>g</w:t>
      </w:r>
      <w:r w:rsidR="006460FE">
        <w:rPr>
          <w:rFonts w:ascii="Arial" w:hAnsi="Arial" w:cs="Arial"/>
          <w:color w:val="auto"/>
          <w:sz w:val="22"/>
          <w:szCs w:val="22"/>
          <w:lang w:val="en-US"/>
        </w:rPr>
        <w:t>ods</w:t>
      </w:r>
      <w:r w:rsidR="0065018F">
        <w:rPr>
          <w:rFonts w:ascii="Arial" w:hAnsi="Arial" w:cs="Arial"/>
          <w:color w:val="auto"/>
          <w:sz w:val="22"/>
          <w:szCs w:val="22"/>
          <w:lang w:val="en-US"/>
        </w:rPr>
        <w:t xml:space="preserve"> as the final goal of human beings’ </w:t>
      </w:r>
      <w:r w:rsidR="001916D8">
        <w:rPr>
          <w:rFonts w:ascii="Arial" w:hAnsi="Arial" w:cs="Arial"/>
          <w:color w:val="auto"/>
          <w:sz w:val="22"/>
          <w:szCs w:val="22"/>
          <w:lang w:val="en-US"/>
        </w:rPr>
        <w:t>as</w:t>
      </w:r>
      <w:r w:rsidR="0065018F">
        <w:rPr>
          <w:rFonts w:ascii="Arial" w:hAnsi="Arial" w:cs="Arial"/>
          <w:color w:val="auto"/>
          <w:sz w:val="22"/>
          <w:szCs w:val="22"/>
          <w:lang w:val="en-US"/>
        </w:rPr>
        <w:t xml:space="preserve"> a core motivation of Plutarch’s </w:t>
      </w:r>
      <w:r w:rsidR="001E5019">
        <w:rPr>
          <w:rFonts w:ascii="Arial" w:hAnsi="Arial" w:cs="Arial"/>
          <w:color w:val="auto"/>
          <w:sz w:val="22"/>
          <w:szCs w:val="22"/>
          <w:lang w:val="en-US"/>
        </w:rPr>
        <w:t xml:space="preserve">related </w:t>
      </w:r>
      <w:r w:rsidR="0065018F">
        <w:rPr>
          <w:rFonts w:ascii="Arial" w:hAnsi="Arial" w:cs="Arial"/>
          <w:color w:val="auto"/>
          <w:sz w:val="22"/>
          <w:szCs w:val="22"/>
          <w:lang w:val="en-US"/>
        </w:rPr>
        <w:t xml:space="preserve">work in general is </w:t>
      </w:r>
      <w:r w:rsidR="00940A8F">
        <w:rPr>
          <w:rFonts w:ascii="Arial" w:hAnsi="Arial" w:cs="Arial"/>
          <w:color w:val="auto"/>
          <w:sz w:val="22"/>
          <w:szCs w:val="22"/>
          <w:lang w:val="en-US"/>
        </w:rPr>
        <w:t>identified</w:t>
      </w:r>
      <w:r w:rsidR="0065018F">
        <w:rPr>
          <w:rFonts w:ascii="Arial" w:hAnsi="Arial" w:cs="Arial"/>
          <w:color w:val="auto"/>
          <w:sz w:val="22"/>
          <w:szCs w:val="22"/>
          <w:lang w:val="en-US"/>
        </w:rPr>
        <w:t xml:space="preserve"> by </w:t>
      </w:r>
      <w:proofErr w:type="spellStart"/>
      <w:r w:rsidR="0065018F">
        <w:rPr>
          <w:rFonts w:ascii="Arial" w:hAnsi="Arial" w:cs="Arial"/>
          <w:color w:val="auto"/>
          <w:sz w:val="22"/>
          <w:szCs w:val="22"/>
          <w:lang w:val="en-US"/>
        </w:rPr>
        <w:t>Roskam</w:t>
      </w:r>
      <w:proofErr w:type="spellEnd"/>
      <w:r w:rsidR="001916D8">
        <w:rPr>
          <w:rFonts w:ascii="Arial" w:hAnsi="Arial" w:cs="Arial"/>
          <w:color w:val="auto"/>
          <w:sz w:val="22"/>
          <w:szCs w:val="22"/>
          <w:lang w:val="en-US"/>
        </w:rPr>
        <w:t>,</w:t>
      </w:r>
      <w:r w:rsidR="0065018F">
        <w:rPr>
          <w:rFonts w:ascii="Arial" w:hAnsi="Arial" w:cs="Arial"/>
          <w:color w:val="auto"/>
          <w:sz w:val="22"/>
          <w:szCs w:val="22"/>
          <w:lang w:val="en-US"/>
        </w:rPr>
        <w:t xml:space="preserve"> who cites Plutarch</w:t>
      </w:r>
      <w:r w:rsidR="001916D8">
        <w:rPr>
          <w:rFonts w:ascii="Arial" w:hAnsi="Arial" w:cs="Arial"/>
          <w:color w:val="auto"/>
          <w:sz w:val="22"/>
          <w:szCs w:val="22"/>
          <w:lang w:val="en-US"/>
        </w:rPr>
        <w:t>’s</w:t>
      </w:r>
      <w:r w:rsidR="0065018F">
        <w:rPr>
          <w:rFonts w:ascii="Arial" w:hAnsi="Arial" w:cs="Arial"/>
          <w:color w:val="auto"/>
          <w:sz w:val="22"/>
          <w:szCs w:val="22"/>
          <w:lang w:val="en-US"/>
        </w:rPr>
        <w:t xml:space="preserve"> introduction to </w:t>
      </w:r>
      <w:r w:rsidR="0065018F" w:rsidRPr="0065018F">
        <w:rPr>
          <w:rFonts w:ascii="Arial" w:hAnsi="Arial" w:cs="Arial"/>
          <w:i/>
          <w:color w:val="auto"/>
          <w:sz w:val="22"/>
          <w:szCs w:val="22"/>
          <w:lang w:val="en-US"/>
        </w:rPr>
        <w:t>On Isis and Osiris</w:t>
      </w:r>
      <w:r w:rsidR="0065018F">
        <w:rPr>
          <w:rFonts w:ascii="Arial" w:hAnsi="Arial" w:cs="Arial"/>
          <w:color w:val="auto"/>
          <w:sz w:val="22"/>
          <w:szCs w:val="22"/>
          <w:lang w:val="en-US"/>
        </w:rPr>
        <w:t>:</w:t>
      </w:r>
    </w:p>
    <w:p w:rsidR="0065018F" w:rsidRDefault="0065018F" w:rsidP="00012A22">
      <w:pPr>
        <w:pStyle w:val="StandardWeb"/>
        <w:spacing w:before="0" w:beforeAutospacing="0" w:after="0" w:afterAutospacing="0"/>
        <w:ind w:right="-334"/>
        <w:rPr>
          <w:rFonts w:ascii="Arial" w:hAnsi="Arial" w:cs="Arial"/>
          <w:color w:val="auto"/>
          <w:sz w:val="22"/>
          <w:szCs w:val="22"/>
          <w:lang w:val="en-US"/>
        </w:rPr>
      </w:pPr>
    </w:p>
    <w:p w:rsidR="00803FDA" w:rsidRDefault="0065018F" w:rsidP="0065018F">
      <w:pPr>
        <w:pStyle w:val="StandardWeb"/>
        <w:spacing w:before="0" w:beforeAutospacing="0" w:after="0" w:afterAutospacing="0"/>
        <w:ind w:left="720" w:right="-334"/>
        <w:rPr>
          <w:rFonts w:ascii="Arial" w:hAnsi="Arial" w:cs="Arial"/>
          <w:color w:val="auto"/>
          <w:sz w:val="22"/>
          <w:szCs w:val="22"/>
          <w:lang w:val="en-US"/>
        </w:rPr>
      </w:pPr>
      <w:r w:rsidRPr="00940A8F">
        <w:rPr>
          <w:rFonts w:ascii="Arial" w:hAnsi="Arial" w:cs="Arial"/>
          <w:i/>
          <w:color w:val="auto"/>
          <w:sz w:val="22"/>
          <w:szCs w:val="22"/>
          <w:lang w:val="en-US"/>
        </w:rPr>
        <w:t xml:space="preserve">All good things, my dear </w:t>
      </w:r>
      <w:proofErr w:type="spellStart"/>
      <w:r w:rsidRPr="00940A8F">
        <w:rPr>
          <w:rFonts w:ascii="Arial" w:hAnsi="Arial" w:cs="Arial"/>
          <w:i/>
          <w:color w:val="auto"/>
          <w:sz w:val="22"/>
          <w:szCs w:val="22"/>
          <w:lang w:val="en-US"/>
        </w:rPr>
        <w:t>Clea</w:t>
      </w:r>
      <w:proofErr w:type="spellEnd"/>
      <w:r w:rsidRPr="00940A8F">
        <w:rPr>
          <w:rFonts w:ascii="Arial" w:hAnsi="Arial" w:cs="Arial"/>
          <w:i/>
          <w:color w:val="auto"/>
          <w:sz w:val="22"/>
          <w:szCs w:val="22"/>
          <w:lang w:val="en-US"/>
        </w:rPr>
        <w:t>, sensible men must ask from the gods; and especially do we pray that from those mighty gods we may, in our quest, gain a knowledge of themselves, so far as such a thing is attainable by men. For we believe that there is nothing more important for man to receive, or more ennobling for God of His grace to grant, than the truth.</w:t>
      </w:r>
      <w:r w:rsidR="009525AA">
        <w:rPr>
          <w:rStyle w:val="Funotenzeichen"/>
          <w:rFonts w:ascii="Arial" w:hAnsi="Arial" w:cs="Arial"/>
          <w:i/>
          <w:color w:val="auto"/>
          <w:sz w:val="22"/>
          <w:szCs w:val="22"/>
          <w:lang w:val="en-US"/>
        </w:rPr>
        <w:footnoteReference w:id="6"/>
      </w:r>
    </w:p>
    <w:p w:rsidR="00803FDA" w:rsidRDefault="00803FDA" w:rsidP="00012A22">
      <w:pPr>
        <w:pStyle w:val="StandardWeb"/>
        <w:spacing w:before="0" w:beforeAutospacing="0" w:after="0" w:afterAutospacing="0"/>
        <w:ind w:right="-334"/>
        <w:rPr>
          <w:rFonts w:ascii="Arial" w:hAnsi="Arial" w:cs="Arial"/>
          <w:color w:val="auto"/>
          <w:sz w:val="22"/>
          <w:szCs w:val="22"/>
          <w:lang w:val="en-US"/>
        </w:rPr>
      </w:pPr>
    </w:p>
    <w:p w:rsidR="001E12A1" w:rsidRDefault="00470435" w:rsidP="00012A22">
      <w:pPr>
        <w:pStyle w:val="StandardWeb"/>
        <w:spacing w:before="0" w:beforeAutospacing="0" w:after="0" w:afterAutospacing="0"/>
        <w:ind w:right="-334"/>
        <w:rPr>
          <w:rFonts w:ascii="Arial" w:hAnsi="Arial" w:cs="Arial"/>
          <w:color w:val="auto"/>
          <w:sz w:val="22"/>
          <w:szCs w:val="22"/>
        </w:rPr>
      </w:pPr>
      <w:r>
        <w:rPr>
          <w:rFonts w:ascii="Arial" w:hAnsi="Arial" w:cs="Arial"/>
          <w:color w:val="auto"/>
          <w:sz w:val="22"/>
          <w:szCs w:val="22"/>
        </w:rPr>
        <w:lastRenderedPageBreak/>
        <w:t>Having this strong commitment to divination</w:t>
      </w:r>
      <w:r w:rsidR="00FB6916">
        <w:rPr>
          <w:rFonts w:ascii="Arial" w:hAnsi="Arial" w:cs="Arial"/>
          <w:color w:val="auto"/>
          <w:sz w:val="22"/>
          <w:szCs w:val="22"/>
        </w:rPr>
        <w:t xml:space="preserve"> </w:t>
      </w:r>
      <w:r>
        <w:rPr>
          <w:rFonts w:ascii="Arial" w:hAnsi="Arial" w:cs="Arial"/>
          <w:color w:val="auto"/>
          <w:sz w:val="22"/>
          <w:szCs w:val="22"/>
        </w:rPr>
        <w:t xml:space="preserve">at hand, it is however difficult to locate a </w:t>
      </w:r>
      <w:r w:rsidR="00AD6478">
        <w:rPr>
          <w:rFonts w:ascii="Arial" w:hAnsi="Arial" w:cs="Arial"/>
          <w:color w:val="auto"/>
          <w:sz w:val="22"/>
          <w:szCs w:val="22"/>
        </w:rPr>
        <w:t xml:space="preserve">general </w:t>
      </w:r>
      <w:r>
        <w:rPr>
          <w:rFonts w:ascii="Arial" w:hAnsi="Arial" w:cs="Arial"/>
          <w:color w:val="auto"/>
          <w:sz w:val="22"/>
          <w:szCs w:val="22"/>
        </w:rPr>
        <w:t xml:space="preserve">theoretical system of divination or doctrines for divine inspiration on which Plutarch operated. </w:t>
      </w:r>
      <w:proofErr w:type="spellStart"/>
      <w:r>
        <w:rPr>
          <w:rFonts w:ascii="Arial" w:hAnsi="Arial" w:cs="Arial"/>
          <w:color w:val="auto"/>
          <w:sz w:val="22"/>
          <w:szCs w:val="22"/>
        </w:rPr>
        <w:t>Schröder</w:t>
      </w:r>
      <w:proofErr w:type="spellEnd"/>
      <w:r>
        <w:rPr>
          <w:rFonts w:ascii="Arial" w:hAnsi="Arial" w:cs="Arial"/>
          <w:color w:val="auto"/>
          <w:sz w:val="22"/>
          <w:szCs w:val="22"/>
        </w:rPr>
        <w:t xml:space="preserve"> </w:t>
      </w:r>
      <w:r w:rsidR="005C2176">
        <w:rPr>
          <w:rFonts w:ascii="Arial" w:hAnsi="Arial" w:cs="Arial"/>
          <w:color w:val="auto"/>
          <w:sz w:val="22"/>
          <w:szCs w:val="22"/>
        </w:rPr>
        <w:t>claims</w:t>
      </w:r>
      <w:r>
        <w:rPr>
          <w:rFonts w:ascii="Arial" w:hAnsi="Arial" w:cs="Arial"/>
          <w:color w:val="auto"/>
          <w:sz w:val="22"/>
          <w:szCs w:val="22"/>
        </w:rPr>
        <w:t xml:space="preserve"> that Plutarch present</w:t>
      </w:r>
      <w:r w:rsidR="009B4A7F">
        <w:rPr>
          <w:rFonts w:ascii="Arial" w:hAnsi="Arial" w:cs="Arial"/>
          <w:color w:val="auto"/>
          <w:sz w:val="22"/>
          <w:szCs w:val="22"/>
        </w:rPr>
        <w:t>ed</w:t>
      </w:r>
      <w:r>
        <w:rPr>
          <w:rFonts w:ascii="Arial" w:hAnsi="Arial" w:cs="Arial"/>
          <w:color w:val="auto"/>
          <w:sz w:val="22"/>
          <w:szCs w:val="22"/>
        </w:rPr>
        <w:t xml:space="preserve"> neither</w:t>
      </w:r>
      <w:r w:rsidR="00AD6478">
        <w:rPr>
          <w:rFonts w:ascii="Arial" w:hAnsi="Arial" w:cs="Arial"/>
          <w:color w:val="auto"/>
          <w:sz w:val="22"/>
          <w:szCs w:val="22"/>
        </w:rPr>
        <w:t>, but</w:t>
      </w:r>
      <w:r w:rsidR="005C2176">
        <w:rPr>
          <w:rFonts w:ascii="Arial" w:hAnsi="Arial" w:cs="Arial"/>
          <w:color w:val="auto"/>
          <w:sz w:val="22"/>
          <w:szCs w:val="22"/>
        </w:rPr>
        <w:t xml:space="preserve"> assumes that</w:t>
      </w:r>
      <w:r w:rsidR="00AD6478">
        <w:rPr>
          <w:rFonts w:ascii="Arial" w:hAnsi="Arial" w:cs="Arial"/>
          <w:color w:val="auto"/>
          <w:sz w:val="22"/>
          <w:szCs w:val="22"/>
        </w:rPr>
        <w:t xml:space="preserve"> he basically held</w:t>
      </w:r>
      <w:r w:rsidR="00BA6D15">
        <w:rPr>
          <w:rFonts w:ascii="Arial" w:hAnsi="Arial" w:cs="Arial"/>
          <w:color w:val="auto"/>
          <w:sz w:val="22"/>
          <w:szCs w:val="22"/>
        </w:rPr>
        <w:t xml:space="preserve"> on</w:t>
      </w:r>
      <w:r w:rsidR="00AD6478">
        <w:rPr>
          <w:rFonts w:ascii="Arial" w:hAnsi="Arial" w:cs="Arial"/>
          <w:color w:val="auto"/>
          <w:sz w:val="22"/>
          <w:szCs w:val="22"/>
        </w:rPr>
        <w:t xml:space="preserve"> to</w:t>
      </w:r>
      <w:r w:rsidR="00940A8F">
        <w:rPr>
          <w:rFonts w:ascii="Arial" w:hAnsi="Arial" w:cs="Arial"/>
          <w:color w:val="auto"/>
          <w:sz w:val="22"/>
          <w:szCs w:val="22"/>
        </w:rPr>
        <w:t xml:space="preserve"> a</w:t>
      </w:r>
      <w:r w:rsidR="00AD6478">
        <w:rPr>
          <w:rFonts w:ascii="Arial" w:hAnsi="Arial" w:cs="Arial"/>
          <w:color w:val="auto"/>
          <w:sz w:val="22"/>
          <w:szCs w:val="22"/>
        </w:rPr>
        <w:t xml:space="preserve"> tradition of </w:t>
      </w:r>
      <w:r w:rsidR="00752D60">
        <w:rPr>
          <w:rFonts w:ascii="Arial" w:hAnsi="Arial" w:cs="Arial"/>
          <w:color w:val="auto"/>
          <w:sz w:val="22"/>
          <w:szCs w:val="22"/>
        </w:rPr>
        <w:t xml:space="preserve">belief in </w:t>
      </w:r>
      <w:r w:rsidR="00AD6478">
        <w:rPr>
          <w:rFonts w:ascii="Arial" w:hAnsi="Arial" w:cs="Arial"/>
          <w:color w:val="auto"/>
          <w:sz w:val="22"/>
          <w:szCs w:val="22"/>
        </w:rPr>
        <w:t>divination ‘as it had always been practised</w:t>
      </w:r>
      <w:r w:rsidR="00752D60">
        <w:rPr>
          <w:rFonts w:ascii="Arial" w:hAnsi="Arial" w:cs="Arial"/>
          <w:color w:val="auto"/>
          <w:sz w:val="22"/>
          <w:szCs w:val="22"/>
        </w:rPr>
        <w:t xml:space="preserve"> and in the providence of a god shown by it</w:t>
      </w:r>
      <w:r w:rsidR="00AD6478">
        <w:rPr>
          <w:rFonts w:ascii="Arial" w:hAnsi="Arial" w:cs="Arial"/>
          <w:color w:val="auto"/>
          <w:sz w:val="22"/>
          <w:szCs w:val="22"/>
        </w:rPr>
        <w:t>’</w:t>
      </w:r>
      <w:r w:rsidR="00BA6D15">
        <w:rPr>
          <w:rFonts w:ascii="Arial" w:hAnsi="Arial" w:cs="Arial"/>
          <w:color w:val="auto"/>
          <w:sz w:val="22"/>
          <w:szCs w:val="22"/>
        </w:rPr>
        <w:t>, complemented by a defence of the same by ‘presenting hypothetically plausible arguments’.</w:t>
      </w:r>
      <w:r w:rsidR="0052599E">
        <w:rPr>
          <w:rStyle w:val="Funotenzeichen"/>
          <w:rFonts w:ascii="Arial" w:hAnsi="Arial" w:cs="Arial"/>
          <w:color w:val="auto"/>
          <w:sz w:val="22"/>
          <w:szCs w:val="22"/>
        </w:rPr>
        <w:footnoteReference w:id="7"/>
      </w:r>
      <w:r w:rsidR="005C2176">
        <w:rPr>
          <w:rFonts w:ascii="Arial" w:hAnsi="Arial" w:cs="Arial"/>
          <w:color w:val="auto"/>
          <w:sz w:val="22"/>
          <w:szCs w:val="22"/>
        </w:rPr>
        <w:t xml:space="preserve"> </w:t>
      </w:r>
      <w:r w:rsidR="00940A8F">
        <w:rPr>
          <w:rFonts w:ascii="Arial" w:hAnsi="Arial" w:cs="Arial"/>
          <w:color w:val="auto"/>
          <w:sz w:val="22"/>
          <w:szCs w:val="22"/>
        </w:rPr>
        <w:t>Deeper</w:t>
      </w:r>
      <w:r w:rsidR="007D3AC1">
        <w:rPr>
          <w:rFonts w:ascii="Arial" w:hAnsi="Arial" w:cs="Arial"/>
          <w:color w:val="auto"/>
          <w:sz w:val="22"/>
          <w:szCs w:val="22"/>
        </w:rPr>
        <w:t xml:space="preserve"> embedding the topic in a philosophical debate</w:t>
      </w:r>
      <w:r w:rsidR="00D601CC">
        <w:rPr>
          <w:rFonts w:ascii="Arial" w:hAnsi="Arial" w:cs="Arial"/>
          <w:color w:val="auto"/>
          <w:sz w:val="22"/>
          <w:szCs w:val="22"/>
        </w:rPr>
        <w:t xml:space="preserve"> taking place at the oracle site of Delphi</w:t>
      </w:r>
      <w:r w:rsidR="007D3AC1">
        <w:rPr>
          <w:rFonts w:ascii="Arial" w:hAnsi="Arial" w:cs="Arial"/>
          <w:color w:val="auto"/>
          <w:sz w:val="22"/>
          <w:szCs w:val="22"/>
        </w:rPr>
        <w:t xml:space="preserve">, </w:t>
      </w:r>
      <w:proofErr w:type="spellStart"/>
      <w:r w:rsidR="007D3AC1">
        <w:rPr>
          <w:rFonts w:ascii="Arial" w:hAnsi="Arial" w:cs="Arial"/>
          <w:color w:val="auto"/>
          <w:sz w:val="22"/>
          <w:szCs w:val="22"/>
        </w:rPr>
        <w:t>Schröder</w:t>
      </w:r>
      <w:proofErr w:type="spellEnd"/>
      <w:r w:rsidR="007D3AC1">
        <w:rPr>
          <w:rFonts w:ascii="Arial" w:hAnsi="Arial" w:cs="Arial"/>
          <w:color w:val="auto"/>
          <w:sz w:val="22"/>
          <w:szCs w:val="22"/>
        </w:rPr>
        <w:t xml:space="preserve"> suggests, also could have served the requirements of a philosoph</w:t>
      </w:r>
      <w:r w:rsidR="00286FCD">
        <w:rPr>
          <w:rFonts w:ascii="Arial" w:hAnsi="Arial" w:cs="Arial"/>
          <w:color w:val="auto"/>
          <w:sz w:val="22"/>
          <w:szCs w:val="22"/>
        </w:rPr>
        <w:t>er</w:t>
      </w:r>
      <w:r w:rsidR="007D3AC1">
        <w:rPr>
          <w:rFonts w:ascii="Arial" w:hAnsi="Arial" w:cs="Arial"/>
          <w:color w:val="auto"/>
          <w:sz w:val="22"/>
          <w:szCs w:val="22"/>
        </w:rPr>
        <w:t xml:space="preserve"> that is very carefully restraining himself from judgment about divine things, being loyal to ‘the basic Sceptic tendency of the Platonic School’</w:t>
      </w:r>
      <w:r w:rsidR="008140F8">
        <w:rPr>
          <w:rFonts w:ascii="Arial" w:hAnsi="Arial" w:cs="Arial"/>
          <w:color w:val="auto"/>
          <w:sz w:val="22"/>
          <w:szCs w:val="22"/>
        </w:rPr>
        <w:t xml:space="preserve">. </w:t>
      </w:r>
      <w:proofErr w:type="spellStart"/>
      <w:r w:rsidR="00C741A2">
        <w:rPr>
          <w:rFonts w:ascii="Arial" w:hAnsi="Arial" w:cs="Arial"/>
          <w:color w:val="auto"/>
          <w:sz w:val="22"/>
          <w:szCs w:val="22"/>
        </w:rPr>
        <w:t>Schröder</w:t>
      </w:r>
      <w:proofErr w:type="spellEnd"/>
      <w:r w:rsidR="00C741A2">
        <w:rPr>
          <w:rFonts w:ascii="Arial" w:hAnsi="Arial" w:cs="Arial"/>
          <w:color w:val="auto"/>
          <w:sz w:val="22"/>
          <w:szCs w:val="22"/>
        </w:rPr>
        <w:t xml:space="preserve"> </w:t>
      </w:r>
      <w:r w:rsidR="00C741A2">
        <w:rPr>
          <w:rFonts w:ascii="Arial" w:hAnsi="Arial" w:cs="Arial"/>
          <w:color w:val="auto"/>
          <w:sz w:val="22"/>
          <w:szCs w:val="22"/>
        </w:rPr>
        <w:t>ascribes to Plutarch an ‘aversion to confront traditional beliefs with all-too-astute criticisms’.</w:t>
      </w:r>
      <w:r w:rsidR="00215DB1">
        <w:rPr>
          <w:rStyle w:val="Funotenzeichen"/>
          <w:rFonts w:ascii="Arial" w:hAnsi="Arial" w:cs="Arial"/>
          <w:color w:val="auto"/>
          <w:sz w:val="22"/>
          <w:szCs w:val="22"/>
        </w:rPr>
        <w:footnoteReference w:id="8"/>
      </w:r>
      <w:r w:rsidR="00C741A2">
        <w:rPr>
          <w:rFonts w:ascii="Arial" w:hAnsi="Arial" w:cs="Arial"/>
          <w:color w:val="auto"/>
          <w:sz w:val="22"/>
          <w:szCs w:val="22"/>
        </w:rPr>
        <w:t xml:space="preserve"> </w:t>
      </w:r>
    </w:p>
    <w:p w:rsidR="001E12A1" w:rsidRDefault="001E12A1" w:rsidP="00012A22">
      <w:pPr>
        <w:pStyle w:val="StandardWeb"/>
        <w:spacing w:before="0" w:beforeAutospacing="0" w:after="0" w:afterAutospacing="0"/>
        <w:ind w:right="-334"/>
        <w:rPr>
          <w:rFonts w:ascii="Arial" w:hAnsi="Arial" w:cs="Arial"/>
          <w:color w:val="auto"/>
          <w:sz w:val="22"/>
          <w:szCs w:val="22"/>
        </w:rPr>
      </w:pPr>
    </w:p>
    <w:p w:rsidR="00C73CCB" w:rsidRDefault="00834141" w:rsidP="00012A22">
      <w:pPr>
        <w:pStyle w:val="StandardWeb"/>
        <w:spacing w:before="0" w:beforeAutospacing="0" w:after="0" w:afterAutospacing="0"/>
        <w:ind w:right="-334"/>
        <w:rPr>
          <w:rFonts w:ascii="Arial" w:hAnsi="Arial" w:cs="Arial"/>
          <w:color w:val="auto"/>
          <w:sz w:val="22"/>
          <w:szCs w:val="22"/>
        </w:rPr>
      </w:pPr>
      <w:r>
        <w:rPr>
          <w:rFonts w:ascii="Arial" w:hAnsi="Arial" w:cs="Arial"/>
          <w:color w:val="auto"/>
          <w:sz w:val="22"/>
          <w:szCs w:val="22"/>
        </w:rPr>
        <w:t>The finding of universal trut</w:t>
      </w:r>
      <w:r w:rsidR="00C73CCB">
        <w:rPr>
          <w:rFonts w:ascii="Arial" w:hAnsi="Arial" w:cs="Arial"/>
          <w:color w:val="auto"/>
          <w:sz w:val="22"/>
          <w:szCs w:val="22"/>
        </w:rPr>
        <w:t xml:space="preserve">h or truths </w:t>
      </w:r>
      <w:r w:rsidR="001E12A1">
        <w:rPr>
          <w:rFonts w:ascii="Arial" w:hAnsi="Arial" w:cs="Arial"/>
          <w:color w:val="auto"/>
          <w:sz w:val="22"/>
          <w:szCs w:val="22"/>
        </w:rPr>
        <w:t>as</w:t>
      </w:r>
      <w:r w:rsidR="00C73CCB">
        <w:rPr>
          <w:rFonts w:ascii="Arial" w:hAnsi="Arial" w:cs="Arial"/>
          <w:color w:val="auto"/>
          <w:sz w:val="22"/>
          <w:szCs w:val="22"/>
        </w:rPr>
        <w:t xml:space="preserve"> a basic reason for the Socratic dialogue form in the first place, it could be argued that the debate provided a suitable framework for Plutarch in his pursuit to do the same. </w:t>
      </w:r>
      <w:r w:rsidR="000B1456">
        <w:rPr>
          <w:rFonts w:ascii="Arial" w:hAnsi="Arial" w:cs="Arial"/>
          <w:color w:val="auto"/>
          <w:sz w:val="22"/>
          <w:szCs w:val="22"/>
        </w:rPr>
        <w:t xml:space="preserve">Dialogue was also considered to be a very effective form of teaching, pointing out truths in all the </w:t>
      </w:r>
      <w:r w:rsidR="008565E1">
        <w:rPr>
          <w:rFonts w:ascii="Arial" w:hAnsi="Arial" w:cs="Arial"/>
          <w:color w:val="auto"/>
          <w:sz w:val="22"/>
          <w:szCs w:val="22"/>
        </w:rPr>
        <w:t>opposing</w:t>
      </w:r>
      <w:r w:rsidR="000B1456">
        <w:rPr>
          <w:rFonts w:ascii="Arial" w:hAnsi="Arial" w:cs="Arial"/>
          <w:color w:val="auto"/>
          <w:sz w:val="22"/>
          <w:szCs w:val="22"/>
        </w:rPr>
        <w:t xml:space="preserve"> positions,</w:t>
      </w:r>
      <w:r w:rsidR="008565E1">
        <w:rPr>
          <w:rFonts w:ascii="Arial" w:hAnsi="Arial" w:cs="Arial"/>
          <w:color w:val="auto"/>
          <w:sz w:val="22"/>
          <w:szCs w:val="22"/>
        </w:rPr>
        <w:t xml:space="preserve"> with the highest aim of rhetoric being to ‘enlighten the soul’, as Harrison</w:t>
      </w:r>
      <w:r w:rsidR="000B1456">
        <w:rPr>
          <w:rFonts w:ascii="Arial" w:hAnsi="Arial" w:cs="Arial"/>
          <w:color w:val="auto"/>
          <w:sz w:val="22"/>
          <w:szCs w:val="22"/>
        </w:rPr>
        <w:t xml:space="preserve"> </w:t>
      </w:r>
      <w:r w:rsidR="008565E1">
        <w:rPr>
          <w:rFonts w:ascii="Arial" w:hAnsi="Arial" w:cs="Arial"/>
          <w:color w:val="auto"/>
          <w:sz w:val="22"/>
          <w:szCs w:val="22"/>
        </w:rPr>
        <w:t xml:space="preserve">cites Plutarch in his </w:t>
      </w:r>
      <w:r w:rsidR="008565E1" w:rsidRPr="008565E1">
        <w:rPr>
          <w:rFonts w:ascii="Arial" w:hAnsi="Arial" w:cs="Arial"/>
          <w:i/>
          <w:color w:val="auto"/>
          <w:sz w:val="22"/>
          <w:szCs w:val="22"/>
        </w:rPr>
        <w:t>Life of Pericles</w:t>
      </w:r>
      <w:r w:rsidR="008565E1">
        <w:rPr>
          <w:rFonts w:ascii="Arial" w:hAnsi="Arial" w:cs="Arial"/>
          <w:color w:val="auto"/>
          <w:sz w:val="22"/>
          <w:szCs w:val="22"/>
        </w:rPr>
        <w:t>.</w:t>
      </w:r>
      <w:r w:rsidR="00215DB1">
        <w:rPr>
          <w:rStyle w:val="Funotenzeichen"/>
          <w:rFonts w:ascii="Arial" w:hAnsi="Arial" w:cs="Arial"/>
          <w:color w:val="auto"/>
          <w:sz w:val="22"/>
          <w:szCs w:val="22"/>
        </w:rPr>
        <w:footnoteReference w:id="9"/>
      </w:r>
      <w:r w:rsidR="008565E1">
        <w:rPr>
          <w:rFonts w:ascii="Arial" w:hAnsi="Arial" w:cs="Arial"/>
          <w:color w:val="auto"/>
          <w:sz w:val="22"/>
          <w:szCs w:val="22"/>
        </w:rPr>
        <w:t xml:space="preserve"> The same </w:t>
      </w:r>
      <w:proofErr w:type="spellStart"/>
      <w:r w:rsidR="008565E1">
        <w:rPr>
          <w:rFonts w:ascii="Arial" w:hAnsi="Arial" w:cs="Arial"/>
          <w:color w:val="auto"/>
          <w:sz w:val="22"/>
          <w:szCs w:val="22"/>
        </w:rPr>
        <w:t>commentor</w:t>
      </w:r>
      <w:proofErr w:type="spellEnd"/>
      <w:r w:rsidR="008565E1">
        <w:rPr>
          <w:rFonts w:ascii="Arial" w:hAnsi="Arial" w:cs="Arial"/>
          <w:color w:val="auto"/>
          <w:sz w:val="22"/>
          <w:szCs w:val="22"/>
        </w:rPr>
        <w:t xml:space="preserve"> </w:t>
      </w:r>
      <w:r w:rsidR="008140F8">
        <w:rPr>
          <w:rFonts w:ascii="Arial" w:hAnsi="Arial" w:cs="Arial"/>
          <w:color w:val="auto"/>
          <w:sz w:val="22"/>
          <w:szCs w:val="22"/>
        </w:rPr>
        <w:t xml:space="preserve">also </w:t>
      </w:r>
      <w:r w:rsidR="00C73CCB">
        <w:rPr>
          <w:rFonts w:ascii="Arial" w:hAnsi="Arial" w:cs="Arial"/>
          <w:color w:val="auto"/>
          <w:sz w:val="22"/>
          <w:szCs w:val="22"/>
        </w:rPr>
        <w:t>suggests</w:t>
      </w:r>
      <w:r w:rsidR="008A260F">
        <w:rPr>
          <w:rFonts w:ascii="Arial" w:hAnsi="Arial" w:cs="Arial"/>
          <w:color w:val="auto"/>
          <w:sz w:val="22"/>
          <w:szCs w:val="22"/>
        </w:rPr>
        <w:t xml:space="preserve"> an attitude of</w:t>
      </w:r>
      <w:r w:rsidR="008140F8">
        <w:rPr>
          <w:rFonts w:ascii="Arial" w:hAnsi="Arial" w:cs="Arial"/>
          <w:color w:val="auto"/>
          <w:sz w:val="22"/>
          <w:szCs w:val="22"/>
        </w:rPr>
        <w:t xml:space="preserve"> personal modesty</w:t>
      </w:r>
      <w:r w:rsidR="008A260F">
        <w:rPr>
          <w:rFonts w:ascii="Arial" w:hAnsi="Arial" w:cs="Arial"/>
          <w:color w:val="auto"/>
          <w:sz w:val="22"/>
          <w:szCs w:val="22"/>
        </w:rPr>
        <w:t xml:space="preserve"> </w:t>
      </w:r>
      <w:r w:rsidR="00C73CCB">
        <w:rPr>
          <w:rFonts w:ascii="Arial" w:hAnsi="Arial" w:cs="Arial"/>
          <w:color w:val="auto"/>
          <w:sz w:val="22"/>
          <w:szCs w:val="22"/>
        </w:rPr>
        <w:t>showing in Plutarch’s work.</w:t>
      </w:r>
    </w:p>
    <w:p w:rsidR="007D3AC1" w:rsidRDefault="00DA6D1F" w:rsidP="00012A22">
      <w:pPr>
        <w:pStyle w:val="StandardWeb"/>
        <w:spacing w:before="0" w:beforeAutospacing="0" w:after="0" w:afterAutospacing="0"/>
        <w:ind w:right="-334"/>
        <w:rPr>
          <w:rFonts w:ascii="Arial" w:hAnsi="Arial" w:cs="Arial"/>
          <w:color w:val="auto"/>
          <w:sz w:val="22"/>
          <w:szCs w:val="22"/>
        </w:rPr>
      </w:pPr>
      <w:r>
        <w:rPr>
          <w:rFonts w:ascii="Arial" w:hAnsi="Arial" w:cs="Arial"/>
          <w:color w:val="auto"/>
          <w:sz w:val="22"/>
          <w:szCs w:val="22"/>
        </w:rPr>
        <w:t xml:space="preserve"> </w:t>
      </w:r>
    </w:p>
    <w:p w:rsidR="00F02B5A" w:rsidRDefault="00611FD5" w:rsidP="00012A22">
      <w:pPr>
        <w:pStyle w:val="StandardWeb"/>
        <w:spacing w:before="0" w:beforeAutospacing="0" w:after="0" w:afterAutospacing="0"/>
        <w:ind w:right="-334"/>
        <w:rPr>
          <w:rFonts w:ascii="Arial" w:hAnsi="Arial" w:cs="Arial"/>
          <w:color w:val="auto"/>
          <w:sz w:val="22"/>
          <w:szCs w:val="22"/>
        </w:rPr>
      </w:pPr>
      <w:r>
        <w:rPr>
          <w:rFonts w:ascii="Arial" w:hAnsi="Arial" w:cs="Arial"/>
          <w:color w:val="auto"/>
          <w:sz w:val="22"/>
          <w:szCs w:val="22"/>
        </w:rPr>
        <w:t>So although t</w:t>
      </w:r>
      <w:r w:rsidR="001916D8">
        <w:rPr>
          <w:rFonts w:ascii="Arial" w:hAnsi="Arial" w:cs="Arial"/>
          <w:color w:val="auto"/>
          <w:sz w:val="22"/>
          <w:szCs w:val="22"/>
        </w:rPr>
        <w:t>he ma</w:t>
      </w:r>
      <w:r>
        <w:rPr>
          <w:rFonts w:ascii="Arial" w:hAnsi="Arial" w:cs="Arial"/>
          <w:color w:val="auto"/>
          <w:sz w:val="22"/>
          <w:szCs w:val="22"/>
        </w:rPr>
        <w:t>jor</w:t>
      </w:r>
      <w:r w:rsidR="001916D8">
        <w:rPr>
          <w:rFonts w:ascii="Arial" w:hAnsi="Arial" w:cs="Arial"/>
          <w:color w:val="auto"/>
          <w:sz w:val="22"/>
          <w:szCs w:val="22"/>
        </w:rPr>
        <w:t xml:space="preserve"> part of </w:t>
      </w:r>
      <w:r w:rsidR="001916D8" w:rsidRPr="001916D8">
        <w:rPr>
          <w:rFonts w:ascii="Arial" w:hAnsi="Arial" w:cs="Arial"/>
          <w:i/>
          <w:color w:val="auto"/>
          <w:sz w:val="22"/>
          <w:szCs w:val="22"/>
        </w:rPr>
        <w:t xml:space="preserve">De </w:t>
      </w:r>
      <w:proofErr w:type="spellStart"/>
      <w:r w:rsidR="001916D8" w:rsidRPr="001916D8">
        <w:rPr>
          <w:rFonts w:ascii="Arial" w:hAnsi="Arial" w:cs="Arial"/>
          <w:i/>
          <w:color w:val="auto"/>
          <w:sz w:val="22"/>
          <w:szCs w:val="22"/>
        </w:rPr>
        <w:t>Defectu</w:t>
      </w:r>
      <w:proofErr w:type="spellEnd"/>
      <w:r w:rsidR="001916D8" w:rsidRPr="001916D8">
        <w:rPr>
          <w:rFonts w:ascii="Arial" w:hAnsi="Arial" w:cs="Arial"/>
          <w:i/>
          <w:color w:val="auto"/>
          <w:sz w:val="22"/>
          <w:szCs w:val="22"/>
        </w:rPr>
        <w:t xml:space="preserve"> </w:t>
      </w:r>
      <w:proofErr w:type="spellStart"/>
      <w:r w:rsidR="001916D8" w:rsidRPr="001916D8">
        <w:rPr>
          <w:rFonts w:ascii="Arial" w:hAnsi="Arial" w:cs="Arial"/>
          <w:i/>
          <w:color w:val="auto"/>
          <w:sz w:val="22"/>
          <w:szCs w:val="22"/>
        </w:rPr>
        <w:t>Oraculorum</w:t>
      </w:r>
      <w:proofErr w:type="spellEnd"/>
      <w:r w:rsidR="001916D8">
        <w:rPr>
          <w:rFonts w:ascii="Arial" w:hAnsi="Arial" w:cs="Arial"/>
          <w:color w:val="auto"/>
          <w:sz w:val="22"/>
          <w:szCs w:val="22"/>
        </w:rPr>
        <w:t xml:space="preserve"> is </w:t>
      </w:r>
      <w:r>
        <w:rPr>
          <w:rFonts w:ascii="Arial" w:hAnsi="Arial" w:cs="Arial"/>
          <w:color w:val="auto"/>
          <w:sz w:val="22"/>
          <w:szCs w:val="22"/>
        </w:rPr>
        <w:t xml:space="preserve">a debate around the decreased demand and hence closure of </w:t>
      </w:r>
      <w:r w:rsidR="00922349">
        <w:rPr>
          <w:rFonts w:ascii="Arial" w:hAnsi="Arial" w:cs="Arial"/>
          <w:color w:val="auto"/>
          <w:sz w:val="22"/>
          <w:szCs w:val="22"/>
        </w:rPr>
        <w:t xml:space="preserve">many </w:t>
      </w:r>
      <w:r>
        <w:rPr>
          <w:rFonts w:ascii="Arial" w:hAnsi="Arial" w:cs="Arial"/>
          <w:color w:val="auto"/>
          <w:sz w:val="22"/>
          <w:szCs w:val="22"/>
        </w:rPr>
        <w:t xml:space="preserve">oracle sites, the consideration leads to </w:t>
      </w:r>
      <w:r w:rsidR="001221FF">
        <w:rPr>
          <w:rFonts w:ascii="Arial" w:hAnsi="Arial" w:cs="Arial"/>
          <w:color w:val="auto"/>
          <w:sz w:val="22"/>
          <w:szCs w:val="22"/>
        </w:rPr>
        <w:t>general</w:t>
      </w:r>
      <w:r>
        <w:rPr>
          <w:rFonts w:ascii="Arial" w:hAnsi="Arial" w:cs="Arial"/>
          <w:color w:val="auto"/>
          <w:sz w:val="22"/>
          <w:szCs w:val="22"/>
        </w:rPr>
        <w:t xml:space="preserve"> considerations</w:t>
      </w:r>
      <w:r w:rsidR="00AD6478">
        <w:rPr>
          <w:rFonts w:ascii="Arial" w:hAnsi="Arial" w:cs="Arial"/>
          <w:color w:val="auto"/>
          <w:sz w:val="22"/>
          <w:szCs w:val="22"/>
        </w:rPr>
        <w:t xml:space="preserve">, </w:t>
      </w:r>
      <w:r w:rsidR="00470435">
        <w:rPr>
          <w:rFonts w:ascii="Arial" w:hAnsi="Arial" w:cs="Arial"/>
          <w:color w:val="auto"/>
          <w:sz w:val="22"/>
          <w:szCs w:val="22"/>
        </w:rPr>
        <w:t xml:space="preserve">where Plutarch lets his protagonists </w:t>
      </w:r>
      <w:r w:rsidR="007D3AC1">
        <w:rPr>
          <w:rFonts w:ascii="Arial" w:hAnsi="Arial" w:cs="Arial"/>
          <w:color w:val="auto"/>
          <w:sz w:val="22"/>
          <w:szCs w:val="22"/>
        </w:rPr>
        <w:t>consider</w:t>
      </w:r>
      <w:r w:rsidR="00470435">
        <w:rPr>
          <w:rFonts w:ascii="Arial" w:hAnsi="Arial" w:cs="Arial"/>
          <w:color w:val="auto"/>
          <w:sz w:val="22"/>
          <w:szCs w:val="22"/>
        </w:rPr>
        <w:t xml:space="preserve"> arguments for divination</w:t>
      </w:r>
      <w:r w:rsidR="00AD6478">
        <w:rPr>
          <w:rFonts w:ascii="Arial" w:hAnsi="Arial" w:cs="Arial"/>
          <w:color w:val="auto"/>
          <w:sz w:val="22"/>
          <w:szCs w:val="22"/>
        </w:rPr>
        <w:t>, as will be discussed in the following</w:t>
      </w:r>
      <w:r w:rsidR="001221FF">
        <w:rPr>
          <w:rFonts w:ascii="Arial" w:hAnsi="Arial" w:cs="Arial"/>
          <w:color w:val="auto"/>
          <w:sz w:val="22"/>
          <w:szCs w:val="22"/>
        </w:rPr>
        <w:t>.</w:t>
      </w:r>
      <w:r w:rsidR="00DA6D1F">
        <w:rPr>
          <w:rFonts w:ascii="Arial" w:hAnsi="Arial" w:cs="Arial"/>
          <w:color w:val="auto"/>
          <w:sz w:val="22"/>
          <w:szCs w:val="22"/>
        </w:rPr>
        <w:t xml:space="preserve"> </w:t>
      </w:r>
    </w:p>
    <w:p w:rsidR="00C741A2" w:rsidRDefault="00C741A2" w:rsidP="00012A22">
      <w:pPr>
        <w:pStyle w:val="StandardWeb"/>
        <w:spacing w:before="0" w:beforeAutospacing="0" w:after="0" w:afterAutospacing="0"/>
        <w:ind w:right="-334"/>
        <w:rPr>
          <w:rFonts w:ascii="Arial" w:hAnsi="Arial" w:cs="Arial"/>
          <w:color w:val="auto"/>
          <w:sz w:val="22"/>
          <w:szCs w:val="22"/>
        </w:rPr>
      </w:pPr>
    </w:p>
    <w:p w:rsidR="001221FF" w:rsidRDefault="00F02B5A" w:rsidP="00012A22">
      <w:pPr>
        <w:pStyle w:val="StandardWeb"/>
        <w:spacing w:before="0" w:beforeAutospacing="0" w:after="0" w:afterAutospacing="0"/>
        <w:ind w:right="-334"/>
        <w:rPr>
          <w:rFonts w:ascii="Arial" w:hAnsi="Arial" w:cs="Arial"/>
          <w:color w:val="auto"/>
          <w:sz w:val="22"/>
          <w:szCs w:val="22"/>
        </w:rPr>
      </w:pPr>
      <w:r>
        <w:rPr>
          <w:rFonts w:ascii="Arial" w:hAnsi="Arial" w:cs="Arial"/>
          <w:color w:val="auto"/>
          <w:sz w:val="22"/>
          <w:szCs w:val="22"/>
        </w:rPr>
        <w:t xml:space="preserve">Starting out the considerations about arguments for divination, it seems appropriate to put the whole debate into the context of </w:t>
      </w:r>
      <w:r w:rsidR="00404CAE">
        <w:rPr>
          <w:rFonts w:ascii="Arial" w:hAnsi="Arial" w:cs="Arial"/>
          <w:color w:val="auto"/>
          <w:sz w:val="22"/>
          <w:szCs w:val="22"/>
        </w:rPr>
        <w:t xml:space="preserve">ancient Greece, </w:t>
      </w:r>
      <w:r>
        <w:rPr>
          <w:rFonts w:ascii="Arial" w:hAnsi="Arial" w:cs="Arial"/>
          <w:color w:val="auto"/>
          <w:sz w:val="22"/>
          <w:szCs w:val="22"/>
        </w:rPr>
        <w:t xml:space="preserve">the place and time of Plutarch. </w:t>
      </w:r>
      <w:r w:rsidR="00A73868">
        <w:rPr>
          <w:rFonts w:ascii="Arial" w:hAnsi="Arial" w:cs="Arial"/>
          <w:color w:val="auto"/>
          <w:sz w:val="22"/>
          <w:szCs w:val="22"/>
        </w:rPr>
        <w:t>T</w:t>
      </w:r>
      <w:r w:rsidR="000D403D">
        <w:rPr>
          <w:rFonts w:ascii="Arial" w:hAnsi="Arial" w:cs="Arial"/>
          <w:color w:val="auto"/>
          <w:sz w:val="22"/>
          <w:szCs w:val="22"/>
        </w:rPr>
        <w:t>h</w:t>
      </w:r>
      <w:r w:rsidR="007A6F38">
        <w:rPr>
          <w:rFonts w:ascii="Arial" w:hAnsi="Arial" w:cs="Arial"/>
          <w:color w:val="auto"/>
          <w:sz w:val="22"/>
          <w:szCs w:val="22"/>
        </w:rPr>
        <w:t xml:space="preserve">e basic agreement of Plutarch with tradition in this manner could be suggested by his Neoplatonist approach and adherence to tradition in general, as claimed by </w:t>
      </w:r>
      <w:proofErr w:type="spellStart"/>
      <w:r w:rsidR="0004482F">
        <w:rPr>
          <w:rFonts w:ascii="Arial" w:hAnsi="Arial" w:cs="Arial"/>
          <w:color w:val="auto"/>
          <w:sz w:val="22"/>
          <w:szCs w:val="22"/>
        </w:rPr>
        <w:t>Schröder</w:t>
      </w:r>
      <w:proofErr w:type="spellEnd"/>
      <w:r w:rsidR="0004482F">
        <w:rPr>
          <w:rFonts w:ascii="Arial" w:hAnsi="Arial" w:cs="Arial"/>
          <w:color w:val="auto"/>
          <w:sz w:val="22"/>
          <w:szCs w:val="22"/>
        </w:rPr>
        <w:t>, who ascribes to Plutarch an ‘aversion to confront traditional beliefs with all-too-astute criticisms’ and the tendency to restrain himself from judgement on</w:t>
      </w:r>
      <w:r w:rsidR="00FB2F44">
        <w:rPr>
          <w:rFonts w:ascii="Arial" w:hAnsi="Arial" w:cs="Arial"/>
          <w:color w:val="auto"/>
          <w:sz w:val="22"/>
          <w:szCs w:val="22"/>
        </w:rPr>
        <w:t xml:space="preserve"> the matters of the divine.</w:t>
      </w:r>
      <w:r w:rsidR="0052599E">
        <w:rPr>
          <w:rStyle w:val="Funotenzeichen"/>
          <w:rFonts w:ascii="Arial" w:hAnsi="Arial" w:cs="Arial"/>
          <w:color w:val="auto"/>
          <w:sz w:val="22"/>
          <w:szCs w:val="22"/>
        </w:rPr>
        <w:footnoteReference w:id="10"/>
      </w:r>
    </w:p>
    <w:p w:rsidR="005809CF" w:rsidRDefault="005809CF" w:rsidP="00012A22">
      <w:pPr>
        <w:pStyle w:val="StandardWeb"/>
        <w:spacing w:before="0" w:beforeAutospacing="0" w:after="0" w:afterAutospacing="0"/>
        <w:ind w:right="-334"/>
        <w:rPr>
          <w:rFonts w:ascii="Arial" w:hAnsi="Arial" w:cs="Arial"/>
          <w:color w:val="auto"/>
          <w:sz w:val="22"/>
          <w:szCs w:val="22"/>
        </w:rPr>
      </w:pPr>
    </w:p>
    <w:p w:rsidR="00D91FC8" w:rsidRPr="00D91FC8" w:rsidRDefault="00D91FC8" w:rsidP="00012A22">
      <w:pPr>
        <w:pStyle w:val="StandardWeb"/>
        <w:spacing w:before="0" w:beforeAutospacing="0" w:after="0" w:afterAutospacing="0"/>
        <w:ind w:right="-334"/>
        <w:rPr>
          <w:rFonts w:ascii="Arial" w:hAnsi="Arial" w:cs="Arial"/>
          <w:b/>
          <w:color w:val="auto"/>
          <w:sz w:val="22"/>
          <w:szCs w:val="22"/>
        </w:rPr>
      </w:pPr>
      <w:r w:rsidRPr="00D91FC8">
        <w:rPr>
          <w:rFonts w:ascii="Arial" w:hAnsi="Arial" w:cs="Arial"/>
          <w:b/>
          <w:color w:val="auto"/>
          <w:sz w:val="22"/>
          <w:szCs w:val="22"/>
        </w:rPr>
        <w:t>The gods are here, and they are willing to help</w:t>
      </w:r>
    </w:p>
    <w:p w:rsidR="00D94CF7" w:rsidRPr="00D94CF7" w:rsidRDefault="00D91FC8" w:rsidP="00D94CF7">
      <w:pPr>
        <w:pStyle w:val="StandardWeb"/>
        <w:spacing w:before="0" w:beforeAutospacing="0" w:after="0" w:afterAutospacing="0"/>
        <w:ind w:right="-334"/>
        <w:rPr>
          <w:rFonts w:ascii="Arial" w:hAnsi="Arial" w:cs="Arial"/>
          <w:color w:val="auto"/>
          <w:sz w:val="22"/>
          <w:szCs w:val="22"/>
        </w:rPr>
      </w:pPr>
      <w:r>
        <w:rPr>
          <w:rFonts w:ascii="Arial" w:hAnsi="Arial" w:cs="Arial"/>
          <w:color w:val="auto"/>
          <w:sz w:val="22"/>
          <w:szCs w:val="22"/>
        </w:rPr>
        <w:t xml:space="preserve">The </w:t>
      </w:r>
      <w:r w:rsidR="001E12A1">
        <w:rPr>
          <w:rFonts w:ascii="Arial" w:hAnsi="Arial" w:cs="Arial"/>
          <w:color w:val="auto"/>
          <w:sz w:val="22"/>
          <w:szCs w:val="22"/>
        </w:rPr>
        <w:t>assumption that</w:t>
      </w:r>
      <w:r>
        <w:rPr>
          <w:rFonts w:ascii="Arial" w:hAnsi="Arial" w:cs="Arial"/>
          <w:color w:val="auto"/>
          <w:sz w:val="22"/>
          <w:szCs w:val="22"/>
        </w:rPr>
        <w:t xml:space="preserve"> the gods care about humankind provides a first implicit argument for divination. In </w:t>
      </w:r>
      <w:r w:rsidRPr="00D91FC8">
        <w:rPr>
          <w:rFonts w:ascii="Arial" w:hAnsi="Arial" w:cs="Arial"/>
          <w:i/>
          <w:color w:val="auto"/>
          <w:sz w:val="22"/>
          <w:szCs w:val="22"/>
        </w:rPr>
        <w:t xml:space="preserve">De </w:t>
      </w:r>
      <w:proofErr w:type="spellStart"/>
      <w:r w:rsidRPr="00D91FC8">
        <w:rPr>
          <w:rFonts w:ascii="Arial" w:hAnsi="Arial" w:cs="Arial"/>
          <w:i/>
          <w:color w:val="auto"/>
          <w:sz w:val="22"/>
          <w:szCs w:val="22"/>
        </w:rPr>
        <w:t>Defectu</w:t>
      </w:r>
      <w:proofErr w:type="spellEnd"/>
      <w:r w:rsidRPr="00D91FC8">
        <w:rPr>
          <w:rFonts w:ascii="Arial" w:hAnsi="Arial" w:cs="Arial"/>
          <w:i/>
          <w:color w:val="auto"/>
          <w:sz w:val="22"/>
          <w:szCs w:val="22"/>
        </w:rPr>
        <w:t xml:space="preserve"> </w:t>
      </w:r>
      <w:proofErr w:type="spellStart"/>
      <w:r w:rsidRPr="00D91FC8">
        <w:rPr>
          <w:rFonts w:ascii="Arial" w:hAnsi="Arial" w:cs="Arial"/>
          <w:i/>
          <w:color w:val="auto"/>
          <w:sz w:val="22"/>
          <w:szCs w:val="22"/>
        </w:rPr>
        <w:t>Oraculorum</w:t>
      </w:r>
      <w:proofErr w:type="spellEnd"/>
      <w:r>
        <w:rPr>
          <w:rFonts w:ascii="Arial" w:hAnsi="Arial" w:cs="Arial"/>
          <w:color w:val="auto"/>
          <w:sz w:val="22"/>
          <w:szCs w:val="22"/>
        </w:rPr>
        <w:t xml:space="preserve">  it is only </w:t>
      </w:r>
      <w:r w:rsidR="005467C4">
        <w:rPr>
          <w:rFonts w:ascii="Arial" w:hAnsi="Arial" w:cs="Arial"/>
          <w:color w:val="auto"/>
          <w:sz w:val="22"/>
          <w:szCs w:val="22"/>
        </w:rPr>
        <w:t xml:space="preserve">challenged by </w:t>
      </w:r>
      <w:r w:rsidR="00AF7847">
        <w:rPr>
          <w:rFonts w:ascii="Arial" w:hAnsi="Arial" w:cs="Arial"/>
          <w:color w:val="auto"/>
          <w:sz w:val="22"/>
          <w:szCs w:val="22"/>
        </w:rPr>
        <w:t xml:space="preserve">Didymus </w:t>
      </w:r>
      <w:proofErr w:type="spellStart"/>
      <w:r w:rsidR="005467C4">
        <w:rPr>
          <w:rFonts w:ascii="Arial" w:hAnsi="Arial" w:cs="Arial"/>
          <w:color w:val="auto"/>
          <w:sz w:val="22"/>
          <w:szCs w:val="22"/>
        </w:rPr>
        <w:t>Planetiades</w:t>
      </w:r>
      <w:proofErr w:type="spellEnd"/>
      <w:r w:rsidR="005467C4">
        <w:rPr>
          <w:rFonts w:ascii="Arial" w:hAnsi="Arial" w:cs="Arial"/>
          <w:color w:val="auto"/>
          <w:sz w:val="22"/>
          <w:szCs w:val="22"/>
        </w:rPr>
        <w:t>, who argues that the gods might have left the oracle sites and therewith abandoned humans because of the trivial nature of requests</w:t>
      </w:r>
      <w:r w:rsidR="001E12A1">
        <w:rPr>
          <w:rFonts w:ascii="Arial" w:hAnsi="Arial" w:cs="Arial"/>
          <w:color w:val="auto"/>
          <w:sz w:val="22"/>
          <w:szCs w:val="22"/>
        </w:rPr>
        <w:t xml:space="preserve"> of humans</w:t>
      </w:r>
      <w:r w:rsidR="005467C4">
        <w:rPr>
          <w:rFonts w:ascii="Arial" w:hAnsi="Arial" w:cs="Arial"/>
          <w:color w:val="auto"/>
          <w:sz w:val="22"/>
          <w:szCs w:val="22"/>
        </w:rPr>
        <w:t>.</w:t>
      </w:r>
      <w:r w:rsidR="0052599E">
        <w:rPr>
          <w:rStyle w:val="Funotenzeichen"/>
          <w:rFonts w:ascii="Arial" w:hAnsi="Arial" w:cs="Arial"/>
          <w:color w:val="auto"/>
          <w:sz w:val="22"/>
          <w:szCs w:val="22"/>
        </w:rPr>
        <w:footnoteReference w:id="11"/>
      </w:r>
      <w:r w:rsidR="005467C4">
        <w:rPr>
          <w:rFonts w:ascii="Arial" w:hAnsi="Arial" w:cs="Arial"/>
          <w:color w:val="auto"/>
          <w:sz w:val="22"/>
          <w:szCs w:val="22"/>
        </w:rPr>
        <w:t xml:space="preserve"> </w:t>
      </w:r>
      <w:r w:rsidR="007A2A1F">
        <w:rPr>
          <w:rFonts w:ascii="Arial" w:hAnsi="Arial" w:cs="Arial"/>
          <w:color w:val="auto"/>
          <w:sz w:val="22"/>
          <w:szCs w:val="22"/>
        </w:rPr>
        <w:t xml:space="preserve">The harsh reaction of the other </w:t>
      </w:r>
      <w:r w:rsidR="001E12A1">
        <w:rPr>
          <w:rFonts w:ascii="Arial" w:hAnsi="Arial" w:cs="Arial"/>
          <w:color w:val="auto"/>
          <w:sz w:val="22"/>
          <w:szCs w:val="22"/>
        </w:rPr>
        <w:t>participants in the debate</w:t>
      </w:r>
      <w:r w:rsidR="007A2A1F">
        <w:rPr>
          <w:rFonts w:ascii="Arial" w:hAnsi="Arial" w:cs="Arial"/>
          <w:color w:val="auto"/>
          <w:sz w:val="22"/>
          <w:szCs w:val="22"/>
        </w:rPr>
        <w:t xml:space="preserve">, consequently driving </w:t>
      </w:r>
      <w:proofErr w:type="spellStart"/>
      <w:r w:rsidR="007A2A1F">
        <w:rPr>
          <w:rFonts w:ascii="Arial" w:hAnsi="Arial" w:cs="Arial"/>
          <w:color w:val="auto"/>
          <w:sz w:val="22"/>
          <w:szCs w:val="22"/>
        </w:rPr>
        <w:t>Planetiades</w:t>
      </w:r>
      <w:proofErr w:type="spellEnd"/>
      <w:r w:rsidR="007A2A1F">
        <w:rPr>
          <w:rFonts w:ascii="Arial" w:hAnsi="Arial" w:cs="Arial"/>
          <w:color w:val="auto"/>
          <w:sz w:val="22"/>
          <w:szCs w:val="22"/>
        </w:rPr>
        <w:t xml:space="preserve"> out of the discussion, suggests a </w:t>
      </w:r>
      <w:r w:rsidR="007A2A1F" w:rsidRPr="001E12A1">
        <w:rPr>
          <w:rFonts w:ascii="Arial" w:hAnsi="Arial" w:cs="Arial"/>
          <w:color w:val="000000" w:themeColor="text1"/>
          <w:sz w:val="22"/>
          <w:szCs w:val="22"/>
        </w:rPr>
        <w:t>consent on</w:t>
      </w:r>
      <w:r w:rsidR="007A2A1F">
        <w:rPr>
          <w:rFonts w:ascii="Arial" w:hAnsi="Arial" w:cs="Arial"/>
          <w:color w:val="0070C0"/>
          <w:sz w:val="22"/>
          <w:szCs w:val="22"/>
        </w:rPr>
        <w:t xml:space="preserve"> </w:t>
      </w:r>
      <w:r w:rsidR="007A2A1F" w:rsidRPr="00E72543">
        <w:rPr>
          <w:rFonts w:ascii="Arial" w:hAnsi="Arial" w:cs="Arial"/>
          <w:sz w:val="22"/>
          <w:szCs w:val="22"/>
        </w:rPr>
        <w:t>their traditional belief</w:t>
      </w:r>
      <w:r w:rsidR="00D94CF7">
        <w:rPr>
          <w:rFonts w:ascii="Arial" w:hAnsi="Arial" w:cs="Arial"/>
          <w:sz w:val="22"/>
          <w:szCs w:val="22"/>
        </w:rPr>
        <w:t xml:space="preserve"> and common philosophical ground</w:t>
      </w:r>
      <w:r w:rsidR="007A2A1F" w:rsidRPr="00E72543">
        <w:rPr>
          <w:rFonts w:ascii="Arial" w:hAnsi="Arial" w:cs="Arial"/>
          <w:sz w:val="22"/>
          <w:szCs w:val="22"/>
        </w:rPr>
        <w:t xml:space="preserve">. While it seems clear that there must be some common ground for a debate in order to lead somewhere, the harshness of the disapproving reaction seems interesting. </w:t>
      </w:r>
      <w:proofErr w:type="spellStart"/>
      <w:r w:rsidR="00AF7847" w:rsidRPr="00E72543">
        <w:rPr>
          <w:rFonts w:ascii="Arial" w:hAnsi="Arial" w:cs="Arial"/>
          <w:sz w:val="22"/>
          <w:szCs w:val="22"/>
        </w:rPr>
        <w:t>Schröder</w:t>
      </w:r>
      <w:proofErr w:type="spellEnd"/>
      <w:r w:rsidR="00AF7847" w:rsidRPr="00E72543">
        <w:rPr>
          <w:rFonts w:ascii="Arial" w:hAnsi="Arial" w:cs="Arial"/>
          <w:sz w:val="22"/>
          <w:szCs w:val="22"/>
        </w:rPr>
        <w:t xml:space="preserve"> considers Didymus’ attempt to explain the crisis of the oracles as not to be taken seriously</w:t>
      </w:r>
      <w:r w:rsidR="00D94CF7">
        <w:rPr>
          <w:rFonts w:ascii="Arial" w:hAnsi="Arial" w:cs="Arial"/>
          <w:sz w:val="22"/>
          <w:szCs w:val="22"/>
        </w:rPr>
        <w:t>, which seems to be somewhat unsatisfactory because it is not supported with evidence</w:t>
      </w:r>
      <w:r w:rsidR="00AF7847" w:rsidRPr="00E72543">
        <w:rPr>
          <w:rFonts w:ascii="Arial" w:hAnsi="Arial" w:cs="Arial"/>
          <w:sz w:val="22"/>
          <w:szCs w:val="22"/>
        </w:rPr>
        <w:t>.</w:t>
      </w:r>
      <w:r w:rsidR="00BF3037">
        <w:rPr>
          <w:rStyle w:val="Funotenzeichen"/>
          <w:rFonts w:ascii="Arial" w:hAnsi="Arial" w:cs="Arial"/>
          <w:sz w:val="22"/>
          <w:szCs w:val="22"/>
        </w:rPr>
        <w:footnoteReference w:id="12"/>
      </w:r>
      <w:r w:rsidR="00D94CF7" w:rsidRPr="00D94CF7">
        <w:rPr>
          <w:rFonts w:ascii="Arial" w:hAnsi="Arial" w:cs="Arial"/>
          <w:sz w:val="22"/>
          <w:szCs w:val="22"/>
        </w:rPr>
        <w:t xml:space="preserve"> </w:t>
      </w:r>
      <w:r w:rsidR="00D94CF7" w:rsidRPr="00D94CF7">
        <w:rPr>
          <w:rFonts w:ascii="Arial" w:hAnsi="Arial" w:cs="Arial"/>
          <w:color w:val="auto"/>
          <w:sz w:val="22"/>
          <w:szCs w:val="22"/>
        </w:rPr>
        <w:t xml:space="preserve">Flower </w:t>
      </w:r>
      <w:r w:rsidR="00D94CF7" w:rsidRPr="00D94CF7">
        <w:rPr>
          <w:rFonts w:ascii="Arial" w:hAnsi="Arial" w:cs="Arial"/>
          <w:color w:val="auto"/>
          <w:sz w:val="22"/>
          <w:szCs w:val="22"/>
        </w:rPr>
        <w:t xml:space="preserve">on the other hand </w:t>
      </w:r>
      <w:r w:rsidR="00D94CF7" w:rsidRPr="00D94CF7">
        <w:rPr>
          <w:rFonts w:ascii="Arial" w:hAnsi="Arial" w:cs="Arial"/>
          <w:color w:val="auto"/>
          <w:sz w:val="22"/>
          <w:szCs w:val="22"/>
        </w:rPr>
        <w:t xml:space="preserve">reports </w:t>
      </w:r>
      <w:r w:rsidR="00D94CF7" w:rsidRPr="00D94CF7">
        <w:rPr>
          <w:rFonts w:ascii="Arial" w:hAnsi="Arial" w:cs="Arial"/>
          <w:color w:val="auto"/>
          <w:sz w:val="22"/>
          <w:szCs w:val="22"/>
        </w:rPr>
        <w:t xml:space="preserve">based on </w:t>
      </w:r>
      <w:r w:rsidR="00D94CF7">
        <w:rPr>
          <w:rFonts w:ascii="Arial" w:hAnsi="Arial" w:cs="Arial"/>
          <w:color w:val="auto"/>
          <w:sz w:val="22"/>
          <w:szCs w:val="22"/>
        </w:rPr>
        <w:t>20</w:t>
      </w:r>
      <w:r w:rsidR="00D94CF7" w:rsidRPr="00D94CF7">
        <w:rPr>
          <w:rFonts w:ascii="Arial" w:hAnsi="Arial" w:cs="Arial"/>
          <w:color w:val="auto"/>
          <w:sz w:val="22"/>
          <w:szCs w:val="22"/>
          <w:vertAlign w:val="superscript"/>
        </w:rPr>
        <w:t>th</w:t>
      </w:r>
      <w:r w:rsidR="00D94CF7">
        <w:rPr>
          <w:rFonts w:ascii="Arial" w:hAnsi="Arial" w:cs="Arial"/>
          <w:color w:val="auto"/>
          <w:sz w:val="22"/>
          <w:szCs w:val="22"/>
        </w:rPr>
        <w:t xml:space="preserve"> century </w:t>
      </w:r>
      <w:r w:rsidR="00D94CF7" w:rsidRPr="00D94CF7">
        <w:rPr>
          <w:rFonts w:ascii="Arial" w:hAnsi="Arial" w:cs="Arial"/>
          <w:color w:val="auto"/>
          <w:sz w:val="22"/>
          <w:szCs w:val="22"/>
        </w:rPr>
        <w:t xml:space="preserve">research </w:t>
      </w:r>
      <w:r w:rsidR="00D94CF7" w:rsidRPr="00D94CF7">
        <w:rPr>
          <w:rFonts w:ascii="Arial" w:hAnsi="Arial" w:cs="Arial"/>
          <w:color w:val="auto"/>
          <w:sz w:val="22"/>
          <w:szCs w:val="22"/>
        </w:rPr>
        <w:t xml:space="preserve">that </w:t>
      </w:r>
      <w:r w:rsidR="00D94CF7" w:rsidRPr="00D94CF7">
        <w:rPr>
          <w:rFonts w:ascii="Arial" w:hAnsi="Arial" w:cs="Arial"/>
          <w:color w:val="auto"/>
          <w:sz w:val="22"/>
          <w:szCs w:val="22"/>
        </w:rPr>
        <w:t>especially at times when matters of belief are challenged, adherents to religious groups tend to support each other and stick together</w:t>
      </w:r>
      <w:r w:rsidR="00D94CF7">
        <w:rPr>
          <w:rFonts w:ascii="Arial" w:hAnsi="Arial" w:cs="Arial"/>
          <w:color w:val="auto"/>
          <w:sz w:val="22"/>
          <w:szCs w:val="22"/>
        </w:rPr>
        <w:t xml:space="preserve"> just the more.</w:t>
      </w:r>
      <w:r w:rsidR="00B41EF5">
        <w:rPr>
          <w:rStyle w:val="Funotenzeichen"/>
          <w:rFonts w:ascii="Arial" w:hAnsi="Arial" w:cs="Arial"/>
          <w:color w:val="auto"/>
          <w:sz w:val="22"/>
          <w:szCs w:val="22"/>
        </w:rPr>
        <w:footnoteReference w:id="13"/>
      </w:r>
      <w:r w:rsidR="00D94CF7">
        <w:rPr>
          <w:rFonts w:ascii="Arial" w:hAnsi="Arial" w:cs="Arial"/>
          <w:color w:val="auto"/>
          <w:sz w:val="22"/>
          <w:szCs w:val="22"/>
        </w:rPr>
        <w:t xml:space="preserve"> </w:t>
      </w:r>
      <w:r w:rsidR="00D94CF7" w:rsidRPr="00D94CF7">
        <w:rPr>
          <w:rFonts w:ascii="Arial" w:hAnsi="Arial" w:cs="Arial"/>
          <w:color w:val="auto"/>
          <w:sz w:val="22"/>
          <w:szCs w:val="22"/>
          <w:lang w:val="en-US"/>
        </w:rPr>
        <w:t>Here we have the case, the oracles are in trouble, and answers are sought</w:t>
      </w:r>
      <w:r w:rsidR="00D94CF7">
        <w:rPr>
          <w:rFonts w:ascii="Arial" w:hAnsi="Arial" w:cs="Arial"/>
          <w:color w:val="auto"/>
          <w:sz w:val="22"/>
          <w:szCs w:val="22"/>
          <w:lang w:val="en-US"/>
        </w:rPr>
        <w:t xml:space="preserve"> together</w:t>
      </w:r>
      <w:r w:rsidR="00D94CF7" w:rsidRPr="00D94CF7">
        <w:rPr>
          <w:rFonts w:ascii="Arial" w:hAnsi="Arial" w:cs="Arial"/>
          <w:color w:val="auto"/>
          <w:sz w:val="22"/>
          <w:szCs w:val="22"/>
        </w:rPr>
        <w:t>.</w:t>
      </w:r>
      <w:r w:rsidR="00D94CF7">
        <w:rPr>
          <w:rFonts w:ascii="Arial" w:hAnsi="Arial" w:cs="Arial"/>
          <w:color w:val="auto"/>
          <w:sz w:val="22"/>
          <w:szCs w:val="22"/>
        </w:rPr>
        <w:t xml:space="preserve"> </w:t>
      </w:r>
    </w:p>
    <w:p w:rsidR="007A2A1F" w:rsidRPr="00D94CF7" w:rsidRDefault="00AF7847" w:rsidP="007A2A1F">
      <w:pPr>
        <w:pStyle w:val="StandardWeb"/>
        <w:spacing w:before="0" w:beforeAutospacing="0" w:after="0" w:afterAutospacing="0"/>
        <w:ind w:right="-334"/>
        <w:rPr>
          <w:rFonts w:ascii="Arial" w:hAnsi="Arial" w:cs="Arial"/>
          <w:color w:val="0070C0"/>
          <w:sz w:val="22"/>
          <w:szCs w:val="22"/>
        </w:rPr>
      </w:pPr>
      <w:r w:rsidRPr="00D94CF7">
        <w:rPr>
          <w:rFonts w:ascii="Arial" w:hAnsi="Arial" w:cs="Arial"/>
          <w:sz w:val="22"/>
          <w:szCs w:val="22"/>
        </w:rPr>
        <w:t xml:space="preserve"> </w:t>
      </w:r>
    </w:p>
    <w:p w:rsidR="007A2A1F" w:rsidRPr="00D94CF7" w:rsidRDefault="007A2A1F" w:rsidP="007A2A1F">
      <w:pPr>
        <w:pStyle w:val="StandardWeb"/>
        <w:spacing w:before="0" w:beforeAutospacing="0" w:after="0" w:afterAutospacing="0"/>
        <w:ind w:right="-334"/>
        <w:rPr>
          <w:rFonts w:ascii="Arial" w:hAnsi="Arial" w:cs="Arial"/>
          <w:color w:val="0070C0"/>
          <w:sz w:val="22"/>
          <w:szCs w:val="22"/>
        </w:rPr>
      </w:pPr>
    </w:p>
    <w:p w:rsidR="005467C4" w:rsidRPr="00D94CF7" w:rsidRDefault="005467C4" w:rsidP="00012A22">
      <w:pPr>
        <w:pStyle w:val="StandardWeb"/>
        <w:spacing w:before="0" w:beforeAutospacing="0" w:after="0" w:afterAutospacing="0"/>
        <w:ind w:right="-334"/>
        <w:rPr>
          <w:rFonts w:ascii="Arial" w:hAnsi="Arial" w:cs="Arial"/>
          <w:color w:val="auto"/>
          <w:sz w:val="22"/>
          <w:szCs w:val="22"/>
        </w:rPr>
      </w:pPr>
    </w:p>
    <w:p w:rsidR="005809CF" w:rsidRPr="00EB02E9" w:rsidRDefault="00F77955" w:rsidP="00012A22">
      <w:pPr>
        <w:pStyle w:val="StandardWeb"/>
        <w:spacing w:before="0" w:beforeAutospacing="0" w:after="0" w:afterAutospacing="0"/>
        <w:ind w:right="-334"/>
        <w:rPr>
          <w:rFonts w:ascii="Arial" w:hAnsi="Arial" w:cs="Arial"/>
          <w:b/>
          <w:color w:val="auto"/>
          <w:sz w:val="22"/>
          <w:szCs w:val="22"/>
        </w:rPr>
      </w:pPr>
      <w:r>
        <w:rPr>
          <w:rFonts w:ascii="Arial" w:hAnsi="Arial" w:cs="Arial"/>
          <w:b/>
          <w:color w:val="auto"/>
          <w:sz w:val="22"/>
          <w:szCs w:val="22"/>
        </w:rPr>
        <w:t>D</w:t>
      </w:r>
      <w:r w:rsidR="00EB02E9" w:rsidRPr="00EB02E9">
        <w:rPr>
          <w:rFonts w:ascii="Arial" w:hAnsi="Arial" w:cs="Arial"/>
          <w:b/>
          <w:color w:val="auto"/>
          <w:sz w:val="22"/>
          <w:szCs w:val="22"/>
        </w:rPr>
        <w:t>ivine communication</w:t>
      </w:r>
      <w:r>
        <w:rPr>
          <w:rFonts w:ascii="Arial" w:hAnsi="Arial" w:cs="Arial"/>
          <w:b/>
          <w:color w:val="auto"/>
          <w:sz w:val="22"/>
          <w:szCs w:val="22"/>
        </w:rPr>
        <w:t xml:space="preserve"> can be </w:t>
      </w:r>
      <w:r w:rsidR="00A13CA7">
        <w:rPr>
          <w:rFonts w:ascii="Arial" w:hAnsi="Arial" w:cs="Arial"/>
          <w:b/>
          <w:color w:val="auto"/>
          <w:sz w:val="22"/>
          <w:szCs w:val="22"/>
        </w:rPr>
        <w:t xml:space="preserve">received and </w:t>
      </w:r>
      <w:r>
        <w:rPr>
          <w:rFonts w:ascii="Arial" w:hAnsi="Arial" w:cs="Arial"/>
          <w:b/>
          <w:color w:val="auto"/>
          <w:sz w:val="22"/>
          <w:szCs w:val="22"/>
        </w:rPr>
        <w:t xml:space="preserve">transmitted by human beings </w:t>
      </w:r>
      <w:r w:rsidR="00A13CA7">
        <w:rPr>
          <w:rFonts w:ascii="Arial" w:hAnsi="Arial" w:cs="Arial"/>
          <w:b/>
          <w:color w:val="auto"/>
          <w:sz w:val="22"/>
          <w:szCs w:val="22"/>
        </w:rPr>
        <w:t>acting</w:t>
      </w:r>
      <w:r>
        <w:rPr>
          <w:rFonts w:ascii="Arial" w:hAnsi="Arial" w:cs="Arial"/>
          <w:b/>
          <w:color w:val="auto"/>
          <w:sz w:val="22"/>
          <w:szCs w:val="22"/>
        </w:rPr>
        <w:t xml:space="preserve"> as instruments for the </w:t>
      </w:r>
      <w:r w:rsidR="00A13CA7">
        <w:rPr>
          <w:rFonts w:ascii="Arial" w:hAnsi="Arial" w:cs="Arial"/>
          <w:b/>
          <w:color w:val="auto"/>
          <w:sz w:val="22"/>
          <w:szCs w:val="22"/>
        </w:rPr>
        <w:t>divine, and the process can be supported by the proper conditions.</w:t>
      </w:r>
    </w:p>
    <w:p w:rsidR="00ED6D06" w:rsidRDefault="00656F5F" w:rsidP="00012A22">
      <w:pPr>
        <w:pStyle w:val="StandardWeb"/>
        <w:spacing w:before="0" w:beforeAutospacing="0" w:after="0" w:afterAutospacing="0"/>
        <w:ind w:right="-334"/>
        <w:rPr>
          <w:rFonts w:ascii="Arial" w:hAnsi="Arial" w:cs="Arial"/>
          <w:color w:val="auto"/>
          <w:sz w:val="22"/>
          <w:szCs w:val="22"/>
        </w:rPr>
      </w:pPr>
      <w:r>
        <w:rPr>
          <w:rFonts w:ascii="Arial" w:eastAsia="Times New Roman" w:hAnsi="Arial" w:cs="Arial"/>
          <w:sz w:val="22"/>
          <w:szCs w:val="22"/>
          <w:bdr w:val="none" w:sz="0" w:space="0" w:color="auto" w:frame="1"/>
        </w:rPr>
        <w:t>The notion that</w:t>
      </w:r>
      <w:r w:rsidRPr="007E4930">
        <w:rPr>
          <w:rFonts w:ascii="Arial" w:eastAsia="Times New Roman" w:hAnsi="Arial" w:cs="Arial"/>
          <w:sz w:val="22"/>
          <w:szCs w:val="22"/>
          <w:bdr w:val="none" w:sz="0" w:space="0" w:color="auto" w:frame="1"/>
        </w:rPr>
        <w:t xml:space="preserve"> the connection between humans and gods by mediation of demigods is desirable and seen as a grace, is firmly </w:t>
      </w:r>
      <w:proofErr w:type="spellStart"/>
      <w:r w:rsidRPr="007E4930">
        <w:rPr>
          <w:rFonts w:ascii="Arial" w:eastAsia="Times New Roman" w:hAnsi="Arial" w:cs="Arial"/>
          <w:sz w:val="22"/>
          <w:szCs w:val="22"/>
          <w:bdr w:val="none" w:sz="0" w:space="0" w:color="auto" w:frame="1"/>
        </w:rPr>
        <w:t>routed</w:t>
      </w:r>
      <w:proofErr w:type="spellEnd"/>
      <w:r w:rsidRPr="007E4930">
        <w:rPr>
          <w:rFonts w:ascii="Arial" w:eastAsia="Times New Roman" w:hAnsi="Arial" w:cs="Arial"/>
          <w:sz w:val="22"/>
          <w:szCs w:val="22"/>
          <w:bdr w:val="none" w:sz="0" w:space="0" w:color="auto" w:frame="1"/>
        </w:rPr>
        <w:t xml:space="preserve"> in ancient Greek society.</w:t>
      </w:r>
      <w:r>
        <w:rPr>
          <w:rFonts w:ascii="Arial" w:eastAsia="Times New Roman" w:hAnsi="Arial" w:cs="Arial"/>
          <w:sz w:val="22"/>
          <w:szCs w:val="22"/>
          <w:bdr w:val="none" w:sz="0" w:space="0" w:color="auto" w:frame="1"/>
        </w:rPr>
        <w:t xml:space="preserve"> A</w:t>
      </w:r>
      <w:r w:rsidRPr="007E4930">
        <w:rPr>
          <w:rFonts w:ascii="Arial" w:eastAsia="Times New Roman" w:hAnsi="Arial" w:cs="Arial"/>
          <w:sz w:val="22"/>
          <w:szCs w:val="22"/>
          <w:bdr w:val="none" w:sz="0" w:space="0" w:color="auto" w:frame="1"/>
        </w:rPr>
        <w:t xml:space="preserve"> surplus of knowledge</w:t>
      </w:r>
      <w:r>
        <w:rPr>
          <w:rFonts w:ascii="Arial" w:eastAsia="Times New Roman" w:hAnsi="Arial" w:cs="Arial"/>
          <w:sz w:val="22"/>
          <w:szCs w:val="22"/>
          <w:bdr w:val="none" w:sz="0" w:space="0" w:color="auto" w:frame="1"/>
        </w:rPr>
        <w:t xml:space="preserve"> and insight is also desirable; this can be </w:t>
      </w:r>
      <w:r w:rsidRPr="007E4930">
        <w:rPr>
          <w:rFonts w:ascii="Arial" w:eastAsia="Times New Roman" w:hAnsi="Arial" w:cs="Arial"/>
          <w:sz w:val="22"/>
          <w:szCs w:val="22"/>
          <w:bdr w:val="none" w:sz="0" w:space="0" w:color="auto" w:frame="1"/>
        </w:rPr>
        <w:t xml:space="preserve">taken for granted </w:t>
      </w:r>
      <w:r>
        <w:rPr>
          <w:rFonts w:ascii="Arial" w:eastAsia="Times New Roman" w:hAnsi="Arial" w:cs="Arial"/>
          <w:sz w:val="22"/>
          <w:szCs w:val="22"/>
          <w:bdr w:val="none" w:sz="0" w:space="0" w:color="auto" w:frame="1"/>
        </w:rPr>
        <w:t xml:space="preserve">due to the large number </w:t>
      </w:r>
      <w:r w:rsidRPr="007E4930">
        <w:rPr>
          <w:rFonts w:ascii="Arial" w:eastAsia="Times New Roman" w:hAnsi="Arial" w:cs="Arial"/>
          <w:sz w:val="22"/>
          <w:szCs w:val="22"/>
          <w:bdr w:val="none" w:sz="0" w:space="0" w:color="auto" w:frame="1"/>
        </w:rPr>
        <w:t xml:space="preserve">of visitors </w:t>
      </w:r>
      <w:r>
        <w:rPr>
          <w:rFonts w:ascii="Arial" w:eastAsia="Times New Roman" w:hAnsi="Arial" w:cs="Arial"/>
          <w:sz w:val="22"/>
          <w:szCs w:val="22"/>
          <w:bdr w:val="none" w:sz="0" w:space="0" w:color="auto" w:frame="1"/>
        </w:rPr>
        <w:t xml:space="preserve">to </w:t>
      </w:r>
      <w:r w:rsidRPr="007E4930">
        <w:rPr>
          <w:rFonts w:ascii="Arial" w:eastAsia="Times New Roman" w:hAnsi="Arial" w:cs="Arial"/>
          <w:sz w:val="22"/>
          <w:szCs w:val="22"/>
          <w:bdr w:val="none" w:sz="0" w:space="0" w:color="auto" w:frame="1"/>
        </w:rPr>
        <w:t xml:space="preserve">the oracle sites. </w:t>
      </w:r>
      <w:r w:rsidR="00ED6D06">
        <w:rPr>
          <w:rFonts w:ascii="Arial" w:hAnsi="Arial" w:cs="Arial"/>
          <w:color w:val="auto"/>
          <w:sz w:val="22"/>
          <w:szCs w:val="22"/>
        </w:rPr>
        <w:t xml:space="preserve">In his book </w:t>
      </w:r>
      <w:r w:rsidR="00ED6D06" w:rsidRPr="00F02B5A">
        <w:rPr>
          <w:rFonts w:ascii="Arial" w:hAnsi="Arial" w:cs="Arial"/>
          <w:i/>
          <w:color w:val="auto"/>
          <w:sz w:val="22"/>
          <w:szCs w:val="22"/>
        </w:rPr>
        <w:t>The Seer in Ancient Greece</w:t>
      </w:r>
      <w:r w:rsidR="00ED6D06">
        <w:rPr>
          <w:rFonts w:ascii="Arial" w:hAnsi="Arial" w:cs="Arial"/>
          <w:color w:val="auto"/>
          <w:sz w:val="22"/>
          <w:szCs w:val="22"/>
        </w:rPr>
        <w:t xml:space="preserve"> Flower elaborates the religious context of divination as one expression of the basic concept of gods and humans co-existing in a relationship of constant reciprocity.</w:t>
      </w:r>
      <w:r w:rsidR="00BF3037">
        <w:rPr>
          <w:rStyle w:val="Funotenzeichen"/>
          <w:rFonts w:ascii="Arial" w:hAnsi="Arial" w:cs="Arial"/>
          <w:color w:val="auto"/>
          <w:sz w:val="22"/>
          <w:szCs w:val="22"/>
        </w:rPr>
        <w:footnoteReference w:id="14"/>
      </w:r>
      <w:r w:rsidR="00ED6D06">
        <w:rPr>
          <w:rFonts w:ascii="Arial" w:hAnsi="Arial" w:cs="Arial"/>
          <w:color w:val="auto"/>
          <w:sz w:val="22"/>
          <w:szCs w:val="22"/>
        </w:rPr>
        <w:t xml:space="preserve"> As Flower sees it, ‘The various rites of divination, taken together, constituted a rational and coherent, as well as a socially useful, system of knowledge and belief for the Greeks’. With exception of the Stoics who had a different approach to the workings of the world altogether, he ascribes to the ancient Greeks a broad acceptance of divination as formulated by Socrates in Xenophon’s </w:t>
      </w:r>
      <w:r w:rsidR="00ED6D06" w:rsidRPr="00A73868">
        <w:rPr>
          <w:rFonts w:ascii="Arial" w:hAnsi="Arial" w:cs="Arial"/>
          <w:i/>
          <w:color w:val="auto"/>
          <w:sz w:val="22"/>
          <w:szCs w:val="22"/>
        </w:rPr>
        <w:t>Memorabilia</w:t>
      </w:r>
      <w:r w:rsidR="00ED6D06">
        <w:rPr>
          <w:rFonts w:ascii="Arial" w:hAnsi="Arial" w:cs="Arial"/>
          <w:color w:val="auto"/>
          <w:sz w:val="22"/>
          <w:szCs w:val="22"/>
        </w:rPr>
        <w:t>. Socrates’ religious attitudes were considered traditional.</w:t>
      </w:r>
      <w:r w:rsidR="00BF3037">
        <w:rPr>
          <w:rStyle w:val="Funotenzeichen"/>
          <w:rFonts w:ascii="Arial" w:hAnsi="Arial" w:cs="Arial"/>
          <w:color w:val="auto"/>
          <w:sz w:val="22"/>
          <w:szCs w:val="22"/>
        </w:rPr>
        <w:footnoteReference w:id="15"/>
      </w:r>
      <w:r w:rsidR="00BF3037">
        <w:rPr>
          <w:rFonts w:ascii="Arial" w:hAnsi="Arial" w:cs="Arial"/>
          <w:color w:val="auto"/>
          <w:sz w:val="22"/>
          <w:szCs w:val="22"/>
        </w:rPr>
        <w:t xml:space="preserve"> </w:t>
      </w:r>
      <w:r w:rsidR="00ED6D06">
        <w:rPr>
          <w:rFonts w:ascii="Arial" w:hAnsi="Arial" w:cs="Arial"/>
          <w:color w:val="auto"/>
          <w:sz w:val="22"/>
          <w:szCs w:val="22"/>
        </w:rPr>
        <w:t>In turn it was all embedded in an implicit set of beliefs that ‘the gods are concerned for the welfare of humankind, that they know more than humans, and that they are willing to share some of that knowledge by way of advice’.</w:t>
      </w:r>
      <w:r w:rsidR="00BF3037">
        <w:rPr>
          <w:rStyle w:val="Funotenzeichen"/>
          <w:rFonts w:ascii="Arial" w:hAnsi="Arial" w:cs="Arial"/>
          <w:color w:val="auto"/>
          <w:sz w:val="22"/>
          <w:szCs w:val="22"/>
        </w:rPr>
        <w:footnoteReference w:id="16"/>
      </w:r>
      <w:r w:rsidR="00ED6D06">
        <w:rPr>
          <w:rFonts w:ascii="Arial" w:hAnsi="Arial" w:cs="Arial"/>
          <w:color w:val="auto"/>
          <w:sz w:val="22"/>
          <w:szCs w:val="22"/>
        </w:rPr>
        <w:t xml:space="preserve"> </w:t>
      </w:r>
      <w:r w:rsidR="00A13CA7">
        <w:rPr>
          <w:rFonts w:ascii="Arial" w:hAnsi="Arial" w:cs="Arial"/>
          <w:color w:val="auto"/>
          <w:sz w:val="22"/>
          <w:szCs w:val="22"/>
        </w:rPr>
        <w:t xml:space="preserve"> </w:t>
      </w:r>
    </w:p>
    <w:p w:rsidR="00ED6D06" w:rsidRDefault="00ED6D06" w:rsidP="00012A22">
      <w:pPr>
        <w:pStyle w:val="StandardWeb"/>
        <w:spacing w:before="0" w:beforeAutospacing="0" w:after="0" w:afterAutospacing="0"/>
        <w:ind w:right="-334"/>
        <w:rPr>
          <w:rFonts w:ascii="Arial" w:hAnsi="Arial" w:cs="Arial"/>
          <w:color w:val="auto"/>
          <w:sz w:val="22"/>
          <w:szCs w:val="22"/>
        </w:rPr>
      </w:pPr>
    </w:p>
    <w:p w:rsidR="00656F5F" w:rsidRDefault="00A13CA7" w:rsidP="00012A22">
      <w:pPr>
        <w:pStyle w:val="StandardWeb"/>
        <w:spacing w:before="0" w:beforeAutospacing="0" w:after="0" w:afterAutospacing="0"/>
        <w:ind w:right="-334"/>
        <w:rPr>
          <w:rFonts w:ascii="Arial" w:hAnsi="Arial" w:cs="Arial"/>
          <w:color w:val="auto"/>
          <w:sz w:val="22"/>
          <w:szCs w:val="22"/>
        </w:rPr>
      </w:pPr>
      <w:r>
        <w:rPr>
          <w:rFonts w:ascii="Arial" w:hAnsi="Arial" w:cs="Arial"/>
          <w:color w:val="auto"/>
          <w:sz w:val="22"/>
          <w:szCs w:val="22"/>
        </w:rPr>
        <w:t xml:space="preserve">Whether the intermediary agents do </w:t>
      </w:r>
      <w:r w:rsidR="002A33B8">
        <w:rPr>
          <w:rFonts w:ascii="Arial" w:hAnsi="Arial" w:cs="Arial"/>
          <w:color w:val="auto"/>
          <w:sz w:val="22"/>
          <w:szCs w:val="22"/>
        </w:rPr>
        <w:t xml:space="preserve">function </w:t>
      </w:r>
      <w:r>
        <w:rPr>
          <w:rFonts w:ascii="Arial" w:hAnsi="Arial" w:cs="Arial"/>
          <w:color w:val="auto"/>
          <w:sz w:val="22"/>
          <w:szCs w:val="22"/>
        </w:rPr>
        <w:t xml:space="preserve">properly, is </w:t>
      </w:r>
      <w:r w:rsidR="002A33B8">
        <w:rPr>
          <w:rFonts w:ascii="Arial" w:hAnsi="Arial" w:cs="Arial"/>
          <w:color w:val="auto"/>
          <w:sz w:val="22"/>
          <w:szCs w:val="22"/>
        </w:rPr>
        <w:t xml:space="preserve">another </w:t>
      </w:r>
      <w:proofErr w:type="spellStart"/>
      <w:r w:rsidR="002A33B8">
        <w:rPr>
          <w:rFonts w:ascii="Arial" w:hAnsi="Arial" w:cs="Arial"/>
          <w:color w:val="auto"/>
          <w:sz w:val="22"/>
          <w:szCs w:val="22"/>
        </w:rPr>
        <w:t xml:space="preserve">question. </w:t>
      </w:r>
      <w:proofErr w:type="spellEnd"/>
      <w:r w:rsidR="00F77955">
        <w:rPr>
          <w:rFonts w:ascii="Arial" w:hAnsi="Arial" w:cs="Arial"/>
          <w:color w:val="auto"/>
          <w:sz w:val="22"/>
          <w:szCs w:val="22"/>
        </w:rPr>
        <w:t>Plutarch</w:t>
      </w:r>
      <w:r w:rsidR="002A33B8">
        <w:rPr>
          <w:rFonts w:ascii="Arial" w:hAnsi="Arial" w:cs="Arial"/>
          <w:color w:val="auto"/>
          <w:sz w:val="22"/>
          <w:szCs w:val="22"/>
        </w:rPr>
        <w:t>’s rationale for the human soul to be receptive to divine inspiration seems logical: If demigods are in possession of knowledge and the souls of the departed are included in the notion of demigods, then there must be something prophetic in the human soul that already exists while it is in a body.</w:t>
      </w:r>
      <w:r w:rsidR="00BF3037">
        <w:rPr>
          <w:rStyle w:val="Funotenzeichen"/>
          <w:rFonts w:ascii="Arial" w:hAnsi="Arial" w:cs="Arial"/>
          <w:color w:val="auto"/>
          <w:sz w:val="22"/>
          <w:szCs w:val="22"/>
        </w:rPr>
        <w:footnoteReference w:id="17"/>
      </w:r>
    </w:p>
    <w:p w:rsidR="00656F5F" w:rsidRDefault="00656F5F" w:rsidP="00012A22">
      <w:pPr>
        <w:pStyle w:val="StandardWeb"/>
        <w:spacing w:before="0" w:beforeAutospacing="0" w:after="0" w:afterAutospacing="0"/>
        <w:ind w:right="-334"/>
        <w:rPr>
          <w:rFonts w:ascii="Arial" w:hAnsi="Arial" w:cs="Arial"/>
          <w:color w:val="auto"/>
          <w:sz w:val="22"/>
          <w:szCs w:val="22"/>
        </w:rPr>
      </w:pPr>
    </w:p>
    <w:p w:rsidR="00656F5F" w:rsidRDefault="00656F5F" w:rsidP="00012A22">
      <w:pPr>
        <w:pStyle w:val="StandardWeb"/>
        <w:spacing w:before="0" w:beforeAutospacing="0" w:after="0" w:afterAutospacing="0"/>
        <w:ind w:right="-334"/>
        <w:rPr>
          <w:rFonts w:ascii="Arial" w:hAnsi="Arial" w:cs="Arial"/>
          <w:color w:val="auto"/>
          <w:sz w:val="22"/>
          <w:szCs w:val="22"/>
        </w:rPr>
      </w:pPr>
      <w:r>
        <w:rPr>
          <w:rFonts w:ascii="Arial" w:hAnsi="Arial" w:cs="Arial"/>
          <w:color w:val="auto"/>
          <w:sz w:val="22"/>
          <w:szCs w:val="22"/>
        </w:rPr>
        <w:t xml:space="preserve">It is a plausible argument that the prophetic agency is </w:t>
      </w:r>
      <w:r w:rsidR="002A33B8">
        <w:rPr>
          <w:rFonts w:ascii="Arial" w:hAnsi="Arial" w:cs="Arial"/>
          <w:color w:val="auto"/>
          <w:sz w:val="22"/>
          <w:szCs w:val="22"/>
        </w:rPr>
        <w:t xml:space="preserve">a faculty that everyone possesses, but </w:t>
      </w:r>
      <w:r>
        <w:rPr>
          <w:rFonts w:ascii="Arial" w:hAnsi="Arial" w:cs="Arial"/>
          <w:color w:val="auto"/>
          <w:sz w:val="22"/>
          <w:szCs w:val="22"/>
        </w:rPr>
        <w:t xml:space="preserve">that </w:t>
      </w:r>
      <w:r w:rsidR="002A33B8">
        <w:rPr>
          <w:rFonts w:ascii="Arial" w:hAnsi="Arial" w:cs="Arial"/>
          <w:color w:val="auto"/>
          <w:sz w:val="22"/>
          <w:szCs w:val="22"/>
        </w:rPr>
        <w:t>not everyone is able or willing to develop</w:t>
      </w:r>
      <w:r>
        <w:rPr>
          <w:rFonts w:ascii="Arial" w:hAnsi="Arial" w:cs="Arial"/>
          <w:color w:val="auto"/>
          <w:sz w:val="22"/>
          <w:szCs w:val="22"/>
        </w:rPr>
        <w:t xml:space="preserve"> – similar to</w:t>
      </w:r>
      <w:r w:rsidR="002A33B8">
        <w:rPr>
          <w:rFonts w:ascii="Arial" w:hAnsi="Arial" w:cs="Arial"/>
          <w:color w:val="auto"/>
          <w:sz w:val="22"/>
          <w:szCs w:val="22"/>
        </w:rPr>
        <w:t xml:space="preserve"> other talents that humans possess and </w:t>
      </w:r>
      <w:r>
        <w:rPr>
          <w:rFonts w:ascii="Arial" w:hAnsi="Arial" w:cs="Arial"/>
          <w:color w:val="auto"/>
          <w:sz w:val="22"/>
          <w:szCs w:val="22"/>
        </w:rPr>
        <w:t xml:space="preserve">which they </w:t>
      </w:r>
      <w:r w:rsidR="002A33B8">
        <w:rPr>
          <w:rFonts w:ascii="Arial" w:hAnsi="Arial" w:cs="Arial"/>
          <w:color w:val="auto"/>
          <w:sz w:val="22"/>
          <w:szCs w:val="22"/>
        </w:rPr>
        <w:t xml:space="preserve">may or may not bring </w:t>
      </w:r>
      <w:proofErr w:type="spellStart"/>
      <w:r w:rsidR="002A33B8">
        <w:rPr>
          <w:rFonts w:ascii="Arial" w:hAnsi="Arial" w:cs="Arial"/>
          <w:color w:val="auto"/>
          <w:sz w:val="22"/>
          <w:szCs w:val="22"/>
        </w:rPr>
        <w:t>to</w:t>
      </w:r>
      <w:proofErr w:type="spellEnd"/>
      <w:r w:rsidR="002A33B8">
        <w:rPr>
          <w:rFonts w:ascii="Arial" w:hAnsi="Arial" w:cs="Arial"/>
          <w:color w:val="auto"/>
          <w:sz w:val="22"/>
          <w:szCs w:val="22"/>
        </w:rPr>
        <w:t xml:space="preserve"> fruition. </w:t>
      </w:r>
    </w:p>
    <w:p w:rsidR="00656F5F" w:rsidRDefault="00656F5F" w:rsidP="00012A22">
      <w:pPr>
        <w:pStyle w:val="StandardWeb"/>
        <w:spacing w:before="0" w:beforeAutospacing="0" w:after="0" w:afterAutospacing="0"/>
        <w:ind w:right="-334"/>
        <w:rPr>
          <w:rFonts w:ascii="Arial" w:hAnsi="Arial" w:cs="Arial"/>
          <w:color w:val="auto"/>
          <w:sz w:val="22"/>
          <w:szCs w:val="22"/>
        </w:rPr>
      </w:pPr>
    </w:p>
    <w:p w:rsidR="005809CF" w:rsidRDefault="00656F5F" w:rsidP="0057735F">
      <w:pPr>
        <w:textAlignment w:val="baseline"/>
        <w:rPr>
          <w:rFonts w:ascii="Arial" w:hAnsi="Arial" w:cs="Arial"/>
          <w:sz w:val="22"/>
          <w:szCs w:val="22"/>
        </w:rPr>
      </w:pPr>
      <w:r w:rsidRPr="007E4930">
        <w:rPr>
          <w:rFonts w:ascii="Arial" w:eastAsia="Times New Roman" w:hAnsi="Arial" w:cs="Arial"/>
          <w:sz w:val="22"/>
          <w:szCs w:val="22"/>
          <w:bdr w:val="none" w:sz="0" w:space="0" w:color="auto" w:frame="1"/>
        </w:rPr>
        <w:t xml:space="preserve">All </w:t>
      </w:r>
      <w:r>
        <w:rPr>
          <w:rFonts w:ascii="Arial" w:eastAsia="Times New Roman" w:hAnsi="Arial" w:cs="Arial"/>
          <w:sz w:val="22"/>
          <w:szCs w:val="22"/>
          <w:bdr w:val="none" w:sz="0" w:space="0" w:color="auto" w:frame="1"/>
        </w:rPr>
        <w:t xml:space="preserve">the other elements involved </w:t>
      </w:r>
      <w:r w:rsidRPr="007E4930">
        <w:rPr>
          <w:rFonts w:ascii="Arial" w:eastAsia="Times New Roman" w:hAnsi="Arial" w:cs="Arial"/>
          <w:sz w:val="22"/>
          <w:szCs w:val="22"/>
          <w:bdr w:val="none" w:sz="0" w:space="0" w:color="auto" w:frame="1"/>
        </w:rPr>
        <w:t xml:space="preserve">the process of divine inspiration </w:t>
      </w:r>
      <w:r w:rsidRPr="00656F5F">
        <w:rPr>
          <w:rFonts w:ascii="Arial" w:eastAsia="Times New Roman" w:hAnsi="Arial" w:cs="Arial"/>
          <w:sz w:val="22"/>
          <w:szCs w:val="22"/>
          <w:bdr w:val="none" w:sz="0" w:space="0" w:color="auto" w:frame="1"/>
        </w:rPr>
        <w:t xml:space="preserve">are explained by </w:t>
      </w:r>
      <w:r w:rsidRPr="007E4930">
        <w:rPr>
          <w:rFonts w:ascii="Arial" w:eastAsia="Times New Roman" w:hAnsi="Arial" w:cs="Arial"/>
          <w:sz w:val="22"/>
          <w:szCs w:val="22"/>
          <w:bdr w:val="none" w:sz="0" w:space="0" w:color="auto" w:frame="1"/>
        </w:rPr>
        <w:t xml:space="preserve">Plutarch as features of </w:t>
      </w:r>
      <w:r>
        <w:rPr>
          <w:rFonts w:ascii="Arial" w:eastAsia="Times New Roman" w:hAnsi="Arial" w:cs="Arial"/>
          <w:sz w:val="22"/>
          <w:szCs w:val="22"/>
          <w:bdr w:val="none" w:sz="0" w:space="0" w:color="auto" w:frame="1"/>
        </w:rPr>
        <w:t xml:space="preserve">handicraft. In fact, </w:t>
      </w:r>
      <w:r w:rsidRPr="007E4930">
        <w:rPr>
          <w:rFonts w:ascii="Arial" w:eastAsia="Times New Roman" w:hAnsi="Arial" w:cs="Arial"/>
          <w:sz w:val="22"/>
          <w:szCs w:val="22"/>
          <w:bdr w:val="none" w:sz="0" w:space="0" w:color="auto" w:frame="1"/>
        </w:rPr>
        <w:t xml:space="preserve">he compares </w:t>
      </w:r>
      <w:r>
        <w:rPr>
          <w:rFonts w:ascii="Arial" w:eastAsia="Times New Roman" w:hAnsi="Arial" w:cs="Arial"/>
          <w:sz w:val="22"/>
          <w:szCs w:val="22"/>
          <w:bdr w:val="none" w:sz="0" w:space="0" w:color="auto" w:frame="1"/>
        </w:rPr>
        <w:t xml:space="preserve">them </w:t>
      </w:r>
      <w:r w:rsidRPr="007E4930">
        <w:rPr>
          <w:rFonts w:ascii="Arial" w:eastAsia="Times New Roman" w:hAnsi="Arial" w:cs="Arial"/>
          <w:sz w:val="22"/>
          <w:szCs w:val="22"/>
          <w:bdr w:val="none" w:sz="0" w:space="0" w:color="auto" w:frame="1"/>
        </w:rPr>
        <w:t>to the trade of an artist.</w:t>
      </w:r>
      <w:r w:rsidR="00A43F8E">
        <w:rPr>
          <w:rStyle w:val="Funotenzeichen"/>
          <w:rFonts w:ascii="Arial" w:eastAsia="Times New Roman" w:hAnsi="Arial" w:cs="Arial"/>
          <w:sz w:val="22"/>
          <w:szCs w:val="22"/>
          <w:bdr w:val="none" w:sz="0" w:space="0" w:color="auto" w:frame="1"/>
        </w:rPr>
        <w:footnoteReference w:id="18"/>
      </w:r>
      <w:r w:rsidRPr="007E4930">
        <w:rPr>
          <w:rFonts w:ascii="Arial" w:eastAsia="Times New Roman" w:hAnsi="Arial" w:cs="Arial"/>
          <w:sz w:val="22"/>
          <w:szCs w:val="22"/>
          <w:bdr w:val="none" w:sz="0" w:space="0" w:color="auto" w:frame="1"/>
        </w:rPr>
        <w:t xml:space="preserve"> </w:t>
      </w:r>
      <w:r>
        <w:rPr>
          <w:rFonts w:ascii="Arial" w:hAnsi="Arial" w:cs="Arial"/>
          <w:sz w:val="22"/>
          <w:szCs w:val="22"/>
        </w:rPr>
        <w:t>F</w:t>
      </w:r>
      <w:r w:rsidR="00BD08A3">
        <w:rPr>
          <w:rFonts w:ascii="Arial" w:hAnsi="Arial" w:cs="Arial"/>
          <w:sz w:val="22"/>
          <w:szCs w:val="22"/>
        </w:rPr>
        <w:t xml:space="preserve">eatures of a craft do not diminish </w:t>
      </w:r>
      <w:r>
        <w:rPr>
          <w:rFonts w:ascii="Arial" w:hAnsi="Arial" w:cs="Arial"/>
          <w:sz w:val="22"/>
          <w:szCs w:val="22"/>
        </w:rPr>
        <w:t xml:space="preserve">the </w:t>
      </w:r>
      <w:r w:rsidR="00BD08A3">
        <w:rPr>
          <w:rFonts w:ascii="Arial" w:hAnsi="Arial" w:cs="Arial"/>
          <w:sz w:val="22"/>
          <w:szCs w:val="22"/>
        </w:rPr>
        <w:t>artistry</w:t>
      </w:r>
      <w:r>
        <w:rPr>
          <w:rFonts w:ascii="Arial" w:hAnsi="Arial" w:cs="Arial"/>
          <w:sz w:val="22"/>
          <w:szCs w:val="22"/>
        </w:rPr>
        <w:t>, and this</w:t>
      </w:r>
      <w:r w:rsidR="00BD08A3">
        <w:rPr>
          <w:rFonts w:ascii="Arial" w:hAnsi="Arial" w:cs="Arial"/>
          <w:sz w:val="22"/>
          <w:szCs w:val="22"/>
        </w:rPr>
        <w:t xml:space="preserve"> can be recognised as a comprehensible argument against all criticism </w:t>
      </w:r>
      <w:r>
        <w:rPr>
          <w:rFonts w:ascii="Arial" w:eastAsia="Times New Roman" w:hAnsi="Arial" w:cs="Arial"/>
          <w:sz w:val="22"/>
          <w:szCs w:val="22"/>
          <w:bdr w:val="none" w:sz="0" w:space="0" w:color="auto" w:frame="1"/>
        </w:rPr>
        <w:t xml:space="preserve">about </w:t>
      </w:r>
      <w:r w:rsidRPr="007E4930">
        <w:rPr>
          <w:rFonts w:ascii="Arial" w:eastAsia="Times New Roman" w:hAnsi="Arial" w:cs="Arial"/>
          <w:sz w:val="22"/>
          <w:szCs w:val="22"/>
          <w:bdr w:val="none" w:sz="0" w:space="0" w:color="auto" w:frame="1"/>
        </w:rPr>
        <w:t xml:space="preserve">the </w:t>
      </w:r>
      <w:r>
        <w:rPr>
          <w:rFonts w:ascii="Arial" w:eastAsia="Times New Roman" w:hAnsi="Arial" w:cs="Arial"/>
          <w:sz w:val="22"/>
          <w:szCs w:val="22"/>
          <w:bdr w:val="none" w:sz="0" w:space="0" w:color="auto" w:frame="1"/>
        </w:rPr>
        <w:t xml:space="preserve">detailed elements </w:t>
      </w:r>
      <w:r w:rsidRPr="007E4930">
        <w:rPr>
          <w:rFonts w:ascii="Arial" w:eastAsia="Times New Roman" w:hAnsi="Arial" w:cs="Arial"/>
          <w:sz w:val="22"/>
          <w:szCs w:val="22"/>
          <w:bdr w:val="none" w:sz="0" w:space="0" w:color="auto" w:frame="1"/>
        </w:rPr>
        <w:t xml:space="preserve">of the divinatory act. </w:t>
      </w:r>
      <w:r>
        <w:rPr>
          <w:rFonts w:ascii="Arial" w:eastAsia="Times New Roman" w:hAnsi="Arial" w:cs="Arial"/>
          <w:sz w:val="22"/>
          <w:szCs w:val="22"/>
          <w:bdr w:val="none" w:sz="0" w:space="0" w:color="auto" w:frame="1"/>
        </w:rPr>
        <w:t xml:space="preserve">All earthly things are subject, and this notion </w:t>
      </w:r>
      <w:r w:rsidRPr="007E4930">
        <w:rPr>
          <w:rFonts w:ascii="Arial" w:eastAsia="Times New Roman" w:hAnsi="Arial" w:cs="Arial"/>
          <w:sz w:val="22"/>
          <w:szCs w:val="22"/>
          <w:bdr w:val="none" w:sz="0" w:space="0" w:color="auto" w:frame="1"/>
        </w:rPr>
        <w:t>is in concurrenc</w:t>
      </w:r>
      <w:r>
        <w:rPr>
          <w:rFonts w:ascii="Arial" w:eastAsia="Times New Roman" w:hAnsi="Arial" w:cs="Arial"/>
          <w:sz w:val="22"/>
          <w:szCs w:val="22"/>
          <w:bdr w:val="none" w:sz="0" w:space="0" w:color="auto" w:frame="1"/>
        </w:rPr>
        <w:t xml:space="preserve">e with the Greek philosophy – </w:t>
      </w:r>
      <w:r w:rsidRPr="007E4930">
        <w:rPr>
          <w:rFonts w:ascii="Arial" w:eastAsia="Times New Roman" w:hAnsi="Arial" w:cs="Arial"/>
          <w:sz w:val="22"/>
          <w:szCs w:val="22"/>
          <w:bdr w:val="none" w:sz="0" w:space="0" w:color="auto" w:frame="1"/>
        </w:rPr>
        <w:t xml:space="preserve">especially Platonism, where the god is seen as the eternal </w:t>
      </w:r>
      <w:r>
        <w:rPr>
          <w:rFonts w:ascii="Arial" w:eastAsia="Times New Roman" w:hAnsi="Arial" w:cs="Arial"/>
          <w:sz w:val="22"/>
          <w:szCs w:val="22"/>
          <w:bdr w:val="none" w:sz="0" w:space="0" w:color="auto" w:frame="1"/>
        </w:rPr>
        <w:t xml:space="preserve">essence </w:t>
      </w:r>
      <w:r w:rsidRPr="007E4930">
        <w:rPr>
          <w:rFonts w:ascii="Arial" w:eastAsia="Times New Roman" w:hAnsi="Arial" w:cs="Arial"/>
          <w:sz w:val="22"/>
          <w:szCs w:val="22"/>
          <w:bdr w:val="none" w:sz="0" w:space="0" w:color="auto" w:frame="1"/>
        </w:rPr>
        <w:t xml:space="preserve">and everything material is </w:t>
      </w:r>
      <w:r>
        <w:rPr>
          <w:rFonts w:ascii="Arial" w:eastAsia="Times New Roman" w:hAnsi="Arial" w:cs="Arial"/>
          <w:sz w:val="22"/>
          <w:szCs w:val="22"/>
          <w:bdr w:val="none" w:sz="0" w:space="0" w:color="auto" w:frame="1"/>
        </w:rPr>
        <w:t>per</w:t>
      </w:r>
      <w:r w:rsidR="009F69CA">
        <w:rPr>
          <w:rFonts w:ascii="Arial" w:eastAsia="Times New Roman" w:hAnsi="Arial" w:cs="Arial"/>
          <w:sz w:val="22"/>
          <w:szCs w:val="22"/>
          <w:bdr w:val="none" w:sz="0" w:space="0" w:color="auto" w:frame="1"/>
        </w:rPr>
        <w:t>c</w:t>
      </w:r>
      <w:r>
        <w:rPr>
          <w:rFonts w:ascii="Arial" w:eastAsia="Times New Roman" w:hAnsi="Arial" w:cs="Arial"/>
          <w:sz w:val="22"/>
          <w:szCs w:val="22"/>
          <w:bdr w:val="none" w:sz="0" w:space="0" w:color="auto" w:frame="1"/>
        </w:rPr>
        <w:t xml:space="preserve">eived </w:t>
      </w:r>
      <w:r w:rsidRPr="007E4930">
        <w:rPr>
          <w:rFonts w:ascii="Arial" w:eastAsia="Times New Roman" w:hAnsi="Arial" w:cs="Arial"/>
          <w:sz w:val="22"/>
          <w:szCs w:val="22"/>
          <w:bdr w:val="none" w:sz="0" w:space="0" w:color="auto" w:frame="1"/>
        </w:rPr>
        <w:t>as subject to constant change.</w:t>
      </w:r>
      <w:r>
        <w:rPr>
          <w:rFonts w:ascii="Arial" w:hAnsi="Arial" w:cs="Arial"/>
          <w:sz w:val="22"/>
          <w:szCs w:val="22"/>
        </w:rPr>
        <w:t xml:space="preserve"> </w:t>
      </w:r>
    </w:p>
    <w:p w:rsidR="0057735F" w:rsidRPr="0057735F" w:rsidRDefault="0057735F" w:rsidP="0057735F">
      <w:pPr>
        <w:textAlignment w:val="baseline"/>
        <w:rPr>
          <w:rFonts w:ascii="Arial" w:eastAsia="Times New Roman" w:hAnsi="Arial" w:cs="Arial"/>
          <w:sz w:val="22"/>
          <w:szCs w:val="22"/>
          <w:bdr w:val="none" w:sz="0" w:space="0" w:color="auto" w:frame="1"/>
        </w:rPr>
      </w:pPr>
    </w:p>
    <w:p w:rsidR="00ED6D06" w:rsidRDefault="00ED6D06" w:rsidP="00012A22">
      <w:pPr>
        <w:pStyle w:val="StandardWeb"/>
        <w:spacing w:before="0" w:beforeAutospacing="0" w:after="0" w:afterAutospacing="0"/>
        <w:ind w:right="-334"/>
        <w:rPr>
          <w:rFonts w:ascii="Arial" w:hAnsi="Arial" w:cs="Arial"/>
          <w:color w:val="auto"/>
          <w:sz w:val="22"/>
          <w:szCs w:val="22"/>
        </w:rPr>
      </w:pPr>
    </w:p>
    <w:p w:rsidR="005809CF" w:rsidRDefault="00510AC0" w:rsidP="00012A22">
      <w:pPr>
        <w:pStyle w:val="StandardWeb"/>
        <w:spacing w:before="0" w:beforeAutospacing="0" w:after="0" w:afterAutospacing="0"/>
        <w:ind w:right="-334"/>
        <w:rPr>
          <w:rFonts w:ascii="Arial" w:hAnsi="Arial" w:cs="Arial"/>
          <w:color w:val="auto"/>
          <w:sz w:val="22"/>
          <w:szCs w:val="22"/>
        </w:rPr>
      </w:pPr>
      <w:r>
        <w:rPr>
          <w:rFonts w:ascii="Arial" w:hAnsi="Arial" w:cs="Arial"/>
          <w:b/>
          <w:color w:val="auto"/>
          <w:sz w:val="22"/>
          <w:szCs w:val="22"/>
        </w:rPr>
        <w:t xml:space="preserve">There is no </w:t>
      </w:r>
      <w:r w:rsidR="005467C4">
        <w:rPr>
          <w:rFonts w:ascii="Arial" w:hAnsi="Arial" w:cs="Arial"/>
          <w:b/>
          <w:color w:val="auto"/>
          <w:sz w:val="22"/>
          <w:szCs w:val="22"/>
        </w:rPr>
        <w:t>request</w:t>
      </w:r>
      <w:r>
        <w:rPr>
          <w:rFonts w:ascii="Arial" w:hAnsi="Arial" w:cs="Arial"/>
          <w:b/>
          <w:color w:val="auto"/>
          <w:sz w:val="22"/>
          <w:szCs w:val="22"/>
        </w:rPr>
        <w:t xml:space="preserve"> too small or profane, the Gods will give advice</w:t>
      </w:r>
    </w:p>
    <w:p w:rsidR="00A94622" w:rsidRDefault="006D006B" w:rsidP="00012A22">
      <w:pPr>
        <w:pStyle w:val="StandardWeb"/>
        <w:spacing w:before="0" w:beforeAutospacing="0" w:after="0" w:afterAutospacing="0"/>
        <w:ind w:right="-334"/>
        <w:rPr>
          <w:rFonts w:ascii="Arial" w:hAnsi="Arial" w:cs="Arial"/>
          <w:color w:val="auto"/>
          <w:sz w:val="22"/>
          <w:szCs w:val="22"/>
        </w:rPr>
      </w:pPr>
      <w:r>
        <w:rPr>
          <w:rFonts w:ascii="Arial" w:hAnsi="Arial" w:cs="Arial"/>
          <w:color w:val="auto"/>
          <w:sz w:val="22"/>
          <w:szCs w:val="22"/>
        </w:rPr>
        <w:t>The question whether</w:t>
      </w:r>
      <w:r w:rsidR="005672B5">
        <w:rPr>
          <w:rFonts w:ascii="Arial" w:hAnsi="Arial" w:cs="Arial"/>
          <w:color w:val="auto"/>
          <w:sz w:val="22"/>
          <w:szCs w:val="22"/>
        </w:rPr>
        <w:t xml:space="preserve"> the gods are willing to communicate on all human affairs, or if the profane is to be kept out of the gods’ way is </w:t>
      </w:r>
      <w:r>
        <w:rPr>
          <w:rFonts w:ascii="Arial" w:hAnsi="Arial" w:cs="Arial"/>
          <w:color w:val="auto"/>
          <w:sz w:val="22"/>
          <w:szCs w:val="22"/>
        </w:rPr>
        <w:t>somewhat differ</w:t>
      </w:r>
      <w:r w:rsidR="00A94622">
        <w:rPr>
          <w:rFonts w:ascii="Arial" w:hAnsi="Arial" w:cs="Arial"/>
          <w:color w:val="auto"/>
          <w:sz w:val="22"/>
          <w:szCs w:val="22"/>
        </w:rPr>
        <w:t xml:space="preserve">ing in the views attributed to Socrates and Plutarch. </w:t>
      </w:r>
      <w:r w:rsidR="00273B42">
        <w:rPr>
          <w:rFonts w:ascii="Arial" w:hAnsi="Arial" w:cs="Arial"/>
          <w:color w:val="auto"/>
          <w:sz w:val="22"/>
          <w:szCs w:val="22"/>
        </w:rPr>
        <w:t>According to Flower Xenophon reported that Socrate</w:t>
      </w:r>
      <w:r>
        <w:rPr>
          <w:rFonts w:ascii="Arial" w:hAnsi="Arial" w:cs="Arial"/>
          <w:color w:val="auto"/>
          <w:sz w:val="22"/>
          <w:szCs w:val="22"/>
        </w:rPr>
        <w:t>s</w:t>
      </w:r>
      <w:r w:rsidR="00273B42">
        <w:rPr>
          <w:rFonts w:ascii="Arial" w:hAnsi="Arial" w:cs="Arial"/>
          <w:color w:val="auto"/>
          <w:sz w:val="22"/>
          <w:szCs w:val="22"/>
        </w:rPr>
        <w:t xml:space="preserve"> sent his close friends to use divination in cases where ‘the result of an action was uncertain’</w:t>
      </w:r>
      <w:r w:rsidR="000F4A8C">
        <w:rPr>
          <w:rFonts w:ascii="Arial" w:hAnsi="Arial" w:cs="Arial"/>
          <w:color w:val="auto"/>
          <w:sz w:val="22"/>
          <w:szCs w:val="22"/>
        </w:rPr>
        <w:t>, but this should be limited to things human beings cannot discern for themselves using their intelligence.</w:t>
      </w:r>
      <w:r w:rsidR="00A43F8E">
        <w:rPr>
          <w:rStyle w:val="Funotenzeichen"/>
          <w:rFonts w:ascii="Arial" w:hAnsi="Arial" w:cs="Arial"/>
          <w:color w:val="auto"/>
          <w:sz w:val="22"/>
          <w:szCs w:val="22"/>
        </w:rPr>
        <w:footnoteReference w:id="19"/>
      </w:r>
      <w:r w:rsidR="000F4A8C">
        <w:rPr>
          <w:rFonts w:ascii="Arial" w:hAnsi="Arial" w:cs="Arial"/>
          <w:color w:val="auto"/>
          <w:sz w:val="22"/>
          <w:szCs w:val="22"/>
        </w:rPr>
        <w:t xml:space="preserve"> </w:t>
      </w:r>
      <w:r w:rsidR="00A94622">
        <w:rPr>
          <w:rFonts w:ascii="Arial" w:hAnsi="Arial" w:cs="Arial"/>
          <w:color w:val="auto"/>
          <w:sz w:val="22"/>
          <w:szCs w:val="22"/>
        </w:rPr>
        <w:t xml:space="preserve">However, Plutarch has </w:t>
      </w:r>
      <w:proofErr w:type="spellStart"/>
      <w:r w:rsidR="00A94622">
        <w:rPr>
          <w:rFonts w:ascii="Arial" w:hAnsi="Arial" w:cs="Arial"/>
          <w:color w:val="auto"/>
          <w:sz w:val="22"/>
          <w:szCs w:val="22"/>
        </w:rPr>
        <w:t>Lamprias</w:t>
      </w:r>
      <w:proofErr w:type="spellEnd"/>
      <w:r w:rsidR="00A94622">
        <w:rPr>
          <w:rFonts w:ascii="Arial" w:hAnsi="Arial" w:cs="Arial"/>
          <w:color w:val="auto"/>
          <w:sz w:val="22"/>
          <w:szCs w:val="22"/>
        </w:rPr>
        <w:t xml:space="preserve"> state that the god was friendly and mild like a mother to her children, and </w:t>
      </w:r>
      <w:r w:rsidR="00A94622" w:rsidRPr="00C5120F">
        <w:rPr>
          <w:rFonts w:ascii="Arial" w:hAnsi="Arial" w:cs="Arial"/>
          <w:color w:val="auto"/>
          <w:sz w:val="22"/>
          <w:szCs w:val="22"/>
        </w:rPr>
        <w:t>if the god had ‘created human beings in their nature and errors, how could he abandon them’.</w:t>
      </w:r>
      <w:r w:rsidR="00A43F8E">
        <w:rPr>
          <w:rStyle w:val="Funotenzeichen"/>
          <w:rFonts w:ascii="Arial" w:hAnsi="Arial" w:cs="Arial"/>
          <w:color w:val="auto"/>
          <w:sz w:val="22"/>
          <w:szCs w:val="22"/>
        </w:rPr>
        <w:footnoteReference w:id="20"/>
      </w:r>
      <w:r w:rsidR="00A94622">
        <w:rPr>
          <w:rFonts w:ascii="Arial" w:hAnsi="Arial" w:cs="Arial"/>
          <w:color w:val="auto"/>
          <w:sz w:val="22"/>
          <w:szCs w:val="22"/>
        </w:rPr>
        <w:t xml:space="preserve"> </w:t>
      </w:r>
      <w:r w:rsidR="00510AC0">
        <w:rPr>
          <w:rFonts w:ascii="Arial" w:hAnsi="Arial" w:cs="Arial"/>
          <w:color w:val="auto"/>
          <w:sz w:val="22"/>
          <w:szCs w:val="22"/>
        </w:rPr>
        <w:t xml:space="preserve">That divination was practised a lot for everyday matters, is suggested by </w:t>
      </w:r>
      <w:r w:rsidR="006D1236">
        <w:rPr>
          <w:rFonts w:ascii="Arial" w:hAnsi="Arial" w:cs="Arial"/>
          <w:color w:val="auto"/>
          <w:sz w:val="22"/>
          <w:szCs w:val="22"/>
        </w:rPr>
        <w:t xml:space="preserve">the existence of </w:t>
      </w:r>
      <w:r w:rsidR="003809B4">
        <w:rPr>
          <w:rFonts w:ascii="Arial" w:hAnsi="Arial" w:cs="Arial"/>
          <w:color w:val="auto"/>
          <w:sz w:val="22"/>
          <w:szCs w:val="22"/>
        </w:rPr>
        <w:t xml:space="preserve">oracular lead tablets from Dodona </w:t>
      </w:r>
      <w:r w:rsidR="001E12A1">
        <w:rPr>
          <w:rFonts w:ascii="Arial" w:hAnsi="Arial" w:cs="Arial"/>
          <w:color w:val="auto"/>
          <w:sz w:val="22"/>
          <w:szCs w:val="22"/>
        </w:rPr>
        <w:t>which</w:t>
      </w:r>
      <w:r w:rsidR="003809B4">
        <w:rPr>
          <w:rFonts w:ascii="Arial" w:hAnsi="Arial" w:cs="Arial"/>
          <w:color w:val="auto"/>
          <w:sz w:val="22"/>
          <w:szCs w:val="22"/>
        </w:rPr>
        <w:t xml:space="preserve"> have </w:t>
      </w:r>
      <w:r w:rsidR="003809B4">
        <w:rPr>
          <w:rFonts w:ascii="Arial" w:hAnsi="Arial" w:cs="Arial"/>
          <w:color w:val="auto"/>
          <w:sz w:val="22"/>
          <w:szCs w:val="22"/>
        </w:rPr>
        <w:lastRenderedPageBreak/>
        <w:t xml:space="preserve">been translated by </w:t>
      </w:r>
      <w:proofErr w:type="spellStart"/>
      <w:r w:rsidR="003809B4">
        <w:rPr>
          <w:rFonts w:ascii="Arial" w:hAnsi="Arial" w:cs="Arial"/>
          <w:color w:val="auto"/>
          <w:sz w:val="22"/>
          <w:szCs w:val="22"/>
        </w:rPr>
        <w:t>Eidinow</w:t>
      </w:r>
      <w:proofErr w:type="spellEnd"/>
      <w:r w:rsidR="003809B4">
        <w:rPr>
          <w:rFonts w:ascii="Arial" w:hAnsi="Arial" w:cs="Arial"/>
          <w:color w:val="auto"/>
          <w:sz w:val="22"/>
          <w:szCs w:val="22"/>
        </w:rPr>
        <w:t>.</w:t>
      </w:r>
      <w:r w:rsidR="00254E0C">
        <w:rPr>
          <w:rStyle w:val="Funotenzeichen"/>
          <w:rFonts w:ascii="Arial" w:hAnsi="Arial" w:cs="Arial"/>
          <w:color w:val="auto"/>
          <w:sz w:val="22"/>
          <w:szCs w:val="22"/>
        </w:rPr>
        <w:footnoteReference w:id="21"/>
      </w:r>
      <w:r w:rsidR="003809B4">
        <w:rPr>
          <w:rFonts w:ascii="Arial" w:hAnsi="Arial" w:cs="Arial"/>
          <w:color w:val="auto"/>
          <w:sz w:val="22"/>
          <w:szCs w:val="22"/>
        </w:rPr>
        <w:t xml:space="preserve"> It is reasonable to assume that Plutarch had </w:t>
      </w:r>
      <w:proofErr w:type="spellStart"/>
      <w:r w:rsidR="003809B4">
        <w:rPr>
          <w:rFonts w:ascii="Arial" w:hAnsi="Arial" w:cs="Arial"/>
          <w:color w:val="auto"/>
          <w:sz w:val="22"/>
          <w:szCs w:val="22"/>
        </w:rPr>
        <w:t>firsthand</w:t>
      </w:r>
      <w:proofErr w:type="spellEnd"/>
      <w:r w:rsidR="003809B4">
        <w:rPr>
          <w:rFonts w:ascii="Arial" w:hAnsi="Arial" w:cs="Arial"/>
          <w:color w:val="auto"/>
          <w:sz w:val="22"/>
          <w:szCs w:val="22"/>
        </w:rPr>
        <w:t xml:space="preserve"> experience of the questions asked, and it follows that if the answers were satisfying and followed by success, it could be reason enough for Plutarch to defend his position that everyday </w:t>
      </w:r>
      <w:r w:rsidR="001E12A1">
        <w:rPr>
          <w:rFonts w:ascii="Arial" w:hAnsi="Arial" w:cs="Arial"/>
          <w:color w:val="auto"/>
          <w:sz w:val="22"/>
          <w:szCs w:val="22"/>
        </w:rPr>
        <w:t>questions</w:t>
      </w:r>
      <w:r w:rsidR="003809B4">
        <w:rPr>
          <w:rFonts w:ascii="Arial" w:hAnsi="Arial" w:cs="Arial"/>
          <w:color w:val="auto"/>
          <w:sz w:val="22"/>
          <w:szCs w:val="22"/>
        </w:rPr>
        <w:t xml:space="preserve"> matter to the gods</w:t>
      </w:r>
      <w:r w:rsidR="005467C4">
        <w:rPr>
          <w:rFonts w:ascii="Arial" w:hAnsi="Arial" w:cs="Arial"/>
          <w:color w:val="auto"/>
          <w:sz w:val="22"/>
          <w:szCs w:val="22"/>
        </w:rPr>
        <w:t xml:space="preserve"> as well, even if he </w:t>
      </w:r>
      <w:r w:rsidR="007A2A1F">
        <w:rPr>
          <w:rFonts w:ascii="Arial" w:hAnsi="Arial" w:cs="Arial"/>
          <w:color w:val="auto"/>
          <w:sz w:val="22"/>
          <w:szCs w:val="22"/>
        </w:rPr>
        <w:t>considered the knowledge of the Gods to be the highest and final goal, as mentioned above</w:t>
      </w:r>
      <w:r w:rsidR="003809B4">
        <w:rPr>
          <w:rFonts w:ascii="Arial" w:hAnsi="Arial" w:cs="Arial"/>
          <w:color w:val="auto"/>
          <w:sz w:val="22"/>
          <w:szCs w:val="22"/>
        </w:rPr>
        <w:t xml:space="preserve">. </w:t>
      </w:r>
      <w:r w:rsidR="00930BB8">
        <w:rPr>
          <w:rFonts w:ascii="Arial" w:hAnsi="Arial" w:cs="Arial"/>
          <w:color w:val="auto"/>
          <w:sz w:val="22"/>
          <w:szCs w:val="22"/>
        </w:rPr>
        <w:t>Considering that divinatory messages related to casual matters might often be of a nature that can be proven right or wrong in the end, one could ask the question how the adherents of an oracle would cope with it if an information turned out to have missed the mark and be proven definitely wrong. Here Flower mentions a phenomenon that is due to human nature. According to him, many case studies among religious groups in the 20</w:t>
      </w:r>
      <w:r w:rsidR="00930BB8" w:rsidRPr="00930BB8">
        <w:rPr>
          <w:rFonts w:ascii="Arial" w:hAnsi="Arial" w:cs="Arial"/>
          <w:color w:val="auto"/>
          <w:sz w:val="22"/>
          <w:szCs w:val="22"/>
          <w:vertAlign w:val="superscript"/>
        </w:rPr>
        <w:t>th</w:t>
      </w:r>
      <w:r w:rsidR="00930BB8">
        <w:rPr>
          <w:rFonts w:ascii="Arial" w:hAnsi="Arial" w:cs="Arial"/>
          <w:color w:val="auto"/>
          <w:sz w:val="22"/>
          <w:szCs w:val="22"/>
        </w:rPr>
        <w:t xml:space="preserve"> century show</w:t>
      </w:r>
      <w:r w:rsidR="001A4B86">
        <w:rPr>
          <w:rFonts w:ascii="Arial" w:hAnsi="Arial" w:cs="Arial"/>
          <w:color w:val="auto"/>
          <w:sz w:val="22"/>
          <w:szCs w:val="22"/>
        </w:rPr>
        <w:t>ed</w:t>
      </w:r>
      <w:r w:rsidR="00930BB8">
        <w:rPr>
          <w:rFonts w:ascii="Arial" w:hAnsi="Arial" w:cs="Arial"/>
          <w:color w:val="auto"/>
          <w:sz w:val="22"/>
          <w:szCs w:val="22"/>
        </w:rPr>
        <w:t xml:space="preserve"> that </w:t>
      </w:r>
      <w:r w:rsidR="005A1078">
        <w:rPr>
          <w:rFonts w:ascii="Arial" w:hAnsi="Arial" w:cs="Arial"/>
          <w:color w:val="auto"/>
          <w:sz w:val="22"/>
          <w:szCs w:val="22"/>
        </w:rPr>
        <w:t>‘</w:t>
      </w:r>
      <w:r w:rsidR="00930BB8">
        <w:rPr>
          <w:rFonts w:ascii="Arial" w:hAnsi="Arial" w:cs="Arial"/>
          <w:color w:val="auto"/>
          <w:sz w:val="22"/>
          <w:szCs w:val="22"/>
        </w:rPr>
        <w:t>failed prophecies</w:t>
      </w:r>
      <w:r w:rsidR="005A1078">
        <w:rPr>
          <w:rFonts w:ascii="Arial" w:hAnsi="Arial" w:cs="Arial"/>
          <w:color w:val="auto"/>
          <w:sz w:val="22"/>
          <w:szCs w:val="22"/>
        </w:rPr>
        <w:t xml:space="preserve"> do not necessarily lead to serious problems for such groups or bring about their disintegration’.</w:t>
      </w:r>
      <w:r w:rsidR="001A4B86">
        <w:rPr>
          <w:rStyle w:val="Funotenzeichen"/>
          <w:rFonts w:ascii="Arial" w:hAnsi="Arial" w:cs="Arial"/>
          <w:color w:val="auto"/>
          <w:sz w:val="22"/>
          <w:szCs w:val="22"/>
        </w:rPr>
        <w:footnoteReference w:id="22"/>
      </w:r>
      <w:r w:rsidR="001A4B86">
        <w:rPr>
          <w:rFonts w:ascii="Arial" w:hAnsi="Arial" w:cs="Arial"/>
          <w:color w:val="auto"/>
          <w:sz w:val="22"/>
          <w:szCs w:val="22"/>
        </w:rPr>
        <w:t xml:space="preserve"> He claims that members of a group sharing the same interests and beliefs hold even tighter to their beliefs and re-interpret events as well as the outcomes of their divinatory practices in favour of the prophecy, so that there will be consistency re-established, even if naked fact seemed to be undeniably different than the believers would have it.</w:t>
      </w:r>
      <w:r w:rsidR="00CA7BE5">
        <w:rPr>
          <w:rStyle w:val="Funotenzeichen"/>
          <w:rFonts w:ascii="Arial" w:hAnsi="Arial" w:cs="Arial"/>
          <w:color w:val="auto"/>
          <w:sz w:val="22"/>
          <w:szCs w:val="22"/>
        </w:rPr>
        <w:footnoteReference w:id="23"/>
      </w:r>
      <w:r w:rsidR="00CA7BE5">
        <w:rPr>
          <w:rFonts w:ascii="Arial" w:hAnsi="Arial" w:cs="Arial"/>
          <w:color w:val="auto"/>
          <w:sz w:val="22"/>
          <w:szCs w:val="22"/>
        </w:rPr>
        <w:t xml:space="preserve"> This of course </w:t>
      </w:r>
      <w:r w:rsidR="001D7D18">
        <w:rPr>
          <w:rFonts w:ascii="Arial" w:hAnsi="Arial" w:cs="Arial"/>
          <w:color w:val="auto"/>
          <w:sz w:val="22"/>
          <w:szCs w:val="22"/>
        </w:rPr>
        <w:t>leads to the question of what truth really is, and which individual levels must be considered if universal truth is to be applied on different levels of human existence.</w:t>
      </w:r>
    </w:p>
    <w:p w:rsidR="003809B4" w:rsidRDefault="003809B4" w:rsidP="00012A22">
      <w:pPr>
        <w:pStyle w:val="StandardWeb"/>
        <w:spacing w:before="0" w:beforeAutospacing="0" w:after="0" w:afterAutospacing="0"/>
        <w:ind w:right="-334"/>
        <w:rPr>
          <w:rFonts w:ascii="Arial" w:hAnsi="Arial" w:cs="Arial"/>
          <w:color w:val="auto"/>
          <w:sz w:val="22"/>
          <w:szCs w:val="22"/>
        </w:rPr>
      </w:pPr>
    </w:p>
    <w:p w:rsidR="00A94622" w:rsidRPr="009A44BB" w:rsidRDefault="009A44BB" w:rsidP="00012A22">
      <w:pPr>
        <w:pStyle w:val="StandardWeb"/>
        <w:spacing w:before="0" w:beforeAutospacing="0" w:after="0" w:afterAutospacing="0"/>
        <w:ind w:right="-334"/>
        <w:rPr>
          <w:rFonts w:ascii="Arial" w:hAnsi="Arial" w:cs="Arial"/>
          <w:b/>
          <w:color w:val="auto"/>
          <w:sz w:val="22"/>
          <w:szCs w:val="22"/>
        </w:rPr>
      </w:pPr>
      <w:r w:rsidRPr="009A44BB">
        <w:rPr>
          <w:rFonts w:ascii="Arial" w:hAnsi="Arial" w:cs="Arial"/>
          <w:b/>
          <w:color w:val="auto"/>
          <w:sz w:val="22"/>
          <w:szCs w:val="22"/>
        </w:rPr>
        <w:t>Conclusion</w:t>
      </w:r>
    </w:p>
    <w:p w:rsidR="009A44BB" w:rsidRDefault="009A44BB" w:rsidP="00012A22">
      <w:pPr>
        <w:pStyle w:val="StandardWeb"/>
        <w:spacing w:before="0" w:beforeAutospacing="0" w:after="0" w:afterAutospacing="0"/>
        <w:ind w:right="-334"/>
        <w:rPr>
          <w:rFonts w:ascii="Arial" w:hAnsi="Arial" w:cs="Arial"/>
          <w:color w:val="auto"/>
          <w:sz w:val="22"/>
          <w:szCs w:val="22"/>
        </w:rPr>
      </w:pPr>
    </w:p>
    <w:p w:rsidR="0057735F" w:rsidRDefault="009A44BB" w:rsidP="00012A22">
      <w:pPr>
        <w:pStyle w:val="StandardWeb"/>
        <w:spacing w:before="0" w:beforeAutospacing="0" w:after="0" w:afterAutospacing="0"/>
        <w:ind w:right="-334"/>
        <w:rPr>
          <w:rFonts w:ascii="Arial" w:hAnsi="Arial" w:cs="Arial"/>
          <w:color w:val="auto"/>
          <w:sz w:val="22"/>
          <w:szCs w:val="22"/>
        </w:rPr>
      </w:pPr>
      <w:r>
        <w:rPr>
          <w:rFonts w:ascii="Arial" w:hAnsi="Arial" w:cs="Arial"/>
          <w:color w:val="auto"/>
          <w:sz w:val="22"/>
          <w:szCs w:val="22"/>
        </w:rPr>
        <w:t xml:space="preserve">This essay considered some arguments for divination in Plutarch’s </w:t>
      </w:r>
      <w:r w:rsidRPr="009A44BB">
        <w:rPr>
          <w:rFonts w:ascii="Arial" w:hAnsi="Arial" w:cs="Arial"/>
          <w:i/>
          <w:color w:val="auto"/>
          <w:sz w:val="22"/>
          <w:szCs w:val="22"/>
        </w:rPr>
        <w:t xml:space="preserve">De </w:t>
      </w:r>
      <w:proofErr w:type="spellStart"/>
      <w:r w:rsidRPr="009A44BB">
        <w:rPr>
          <w:rFonts w:ascii="Arial" w:hAnsi="Arial" w:cs="Arial"/>
          <w:i/>
          <w:color w:val="auto"/>
          <w:sz w:val="22"/>
          <w:szCs w:val="22"/>
        </w:rPr>
        <w:t>Defectu</w:t>
      </w:r>
      <w:proofErr w:type="spellEnd"/>
      <w:r w:rsidRPr="009A44BB">
        <w:rPr>
          <w:rFonts w:ascii="Arial" w:hAnsi="Arial" w:cs="Arial"/>
          <w:i/>
          <w:color w:val="auto"/>
          <w:sz w:val="22"/>
          <w:szCs w:val="22"/>
        </w:rPr>
        <w:t xml:space="preserve"> </w:t>
      </w:r>
      <w:proofErr w:type="spellStart"/>
      <w:r w:rsidRPr="009A44BB">
        <w:rPr>
          <w:rFonts w:ascii="Arial" w:hAnsi="Arial" w:cs="Arial"/>
          <w:i/>
          <w:color w:val="auto"/>
          <w:sz w:val="22"/>
          <w:szCs w:val="22"/>
        </w:rPr>
        <w:t>Oraculorum</w:t>
      </w:r>
      <w:proofErr w:type="spellEnd"/>
      <w:r>
        <w:rPr>
          <w:rFonts w:ascii="Arial" w:hAnsi="Arial" w:cs="Arial"/>
          <w:color w:val="auto"/>
          <w:sz w:val="22"/>
          <w:szCs w:val="22"/>
        </w:rPr>
        <w:t>.</w:t>
      </w:r>
      <w:r w:rsidR="004B6A4D">
        <w:rPr>
          <w:rFonts w:ascii="Arial" w:hAnsi="Arial" w:cs="Arial"/>
          <w:color w:val="auto"/>
          <w:sz w:val="22"/>
          <w:szCs w:val="22"/>
        </w:rPr>
        <w:t xml:space="preserve"> Grounded on the context of Plutarch’s time and religious as well as philosophical embedding, the discussion has started at the broadly established belief that the gods exist and that they are willing to help. Further emphasis has been laid on the argument that there are agents for the divine, suitable to function as a link, according to the proper preconditions established, and lastly some considerations have been made around the argument that the gods answer to all possible human affairs, a</w:t>
      </w:r>
      <w:r w:rsidR="004F174D">
        <w:rPr>
          <w:rFonts w:ascii="Arial" w:hAnsi="Arial" w:cs="Arial"/>
          <w:color w:val="auto"/>
          <w:sz w:val="22"/>
          <w:szCs w:val="22"/>
        </w:rPr>
        <w:t>s was one position positively expressed in Plutarch’s treatise.</w:t>
      </w:r>
    </w:p>
    <w:p w:rsidR="002779AB" w:rsidRPr="00A41C62" w:rsidRDefault="0057735F" w:rsidP="0057735F">
      <w:pPr>
        <w:pStyle w:val="StandardWeb"/>
        <w:spacing w:before="0" w:beforeAutospacing="0" w:after="0" w:afterAutospacing="0"/>
        <w:ind w:right="-334"/>
        <w:rPr>
          <w:rFonts w:ascii="Arial" w:hAnsi="Arial" w:cs="Arial"/>
          <w:color w:val="00B050"/>
          <w:sz w:val="22"/>
          <w:szCs w:val="22"/>
        </w:rPr>
      </w:pPr>
      <w:r>
        <w:rPr>
          <w:rFonts w:ascii="Arial" w:hAnsi="Arial" w:cs="Arial"/>
          <w:color w:val="auto"/>
          <w:sz w:val="22"/>
          <w:szCs w:val="22"/>
        </w:rPr>
        <w:t>Considering the influence one’s belief has in terms of the perception of truth, it seems suitable to conclude that truth might be the high aim of Plutarch in seeking communication with the divine, but that truth as well as beauty could be in the eye of the beholder.</w:t>
      </w:r>
    </w:p>
    <w:p w:rsidR="00467149" w:rsidRPr="002779AB" w:rsidRDefault="00467149" w:rsidP="00012A22">
      <w:pPr>
        <w:pStyle w:val="StandardWeb"/>
        <w:spacing w:before="0" w:beforeAutospacing="0" w:after="0" w:afterAutospacing="0"/>
        <w:ind w:right="-334"/>
        <w:rPr>
          <w:rFonts w:ascii="Arial" w:hAnsi="Arial" w:cs="Arial"/>
          <w:color w:val="0070C0"/>
          <w:sz w:val="22"/>
          <w:szCs w:val="22"/>
        </w:rPr>
      </w:pPr>
    </w:p>
    <w:p w:rsidR="00600486" w:rsidRPr="005672B5" w:rsidRDefault="00600486" w:rsidP="00012A22">
      <w:pPr>
        <w:pStyle w:val="StandardWeb"/>
        <w:spacing w:before="0" w:beforeAutospacing="0" w:after="0" w:afterAutospacing="0"/>
        <w:ind w:right="-334"/>
        <w:rPr>
          <w:rFonts w:ascii="Arial" w:hAnsi="Arial" w:cs="Arial"/>
          <w:color w:val="auto"/>
          <w:sz w:val="22"/>
          <w:szCs w:val="22"/>
          <w:lang w:val="en-US"/>
        </w:rPr>
      </w:pPr>
    </w:p>
    <w:p w:rsidR="00F96862" w:rsidRDefault="00F96862"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bookmarkStart w:id="6" w:name="_GoBack"/>
      <w:bookmarkEnd w:id="6"/>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305B8E" w:rsidRPr="00C13357" w:rsidRDefault="00305B8E" w:rsidP="00F96862">
      <w:pPr>
        <w:pStyle w:val="StandardWeb"/>
        <w:spacing w:before="0" w:beforeAutospacing="0" w:after="0" w:afterAutospacing="0"/>
        <w:ind w:right="-334"/>
        <w:rPr>
          <w:rFonts w:ascii="Arial" w:hAnsi="Arial" w:cs="Arial"/>
          <w:b/>
          <w:color w:val="auto"/>
          <w:sz w:val="22"/>
          <w:szCs w:val="22"/>
          <w:lang w:val="en-US"/>
        </w:rPr>
      </w:pPr>
      <w:r w:rsidRPr="00C13357">
        <w:rPr>
          <w:rFonts w:ascii="Arial" w:hAnsi="Arial" w:cs="Arial"/>
          <w:b/>
          <w:color w:val="auto"/>
          <w:sz w:val="22"/>
          <w:szCs w:val="22"/>
          <w:lang w:val="en-US"/>
        </w:rPr>
        <w:t>BIBLIOGRAPHY</w:t>
      </w:r>
    </w:p>
    <w:p w:rsidR="00305B8E" w:rsidRDefault="00305B8E" w:rsidP="00F96862">
      <w:pPr>
        <w:pStyle w:val="StandardWeb"/>
        <w:spacing w:before="0" w:beforeAutospacing="0" w:after="0" w:afterAutospacing="0"/>
        <w:ind w:right="-334"/>
        <w:rPr>
          <w:rFonts w:ascii="Arial" w:hAnsi="Arial" w:cs="Arial"/>
          <w:color w:val="auto"/>
          <w:sz w:val="22"/>
          <w:szCs w:val="22"/>
          <w:lang w:val="en-US"/>
        </w:rPr>
      </w:pPr>
    </w:p>
    <w:p w:rsidR="002047BD" w:rsidRDefault="002047BD" w:rsidP="00956FD5">
      <w:pPr>
        <w:pStyle w:val="StandardWeb"/>
        <w:spacing w:before="0" w:beforeAutospacing="0" w:after="0" w:afterAutospacing="0"/>
        <w:ind w:right="-334"/>
        <w:rPr>
          <w:rFonts w:ascii="Arial" w:hAnsi="Arial" w:cs="Arial"/>
          <w:color w:val="auto"/>
          <w:sz w:val="22"/>
          <w:szCs w:val="22"/>
        </w:rPr>
      </w:pPr>
    </w:p>
    <w:p w:rsidR="00CA7BE5" w:rsidRPr="00CA7BE5" w:rsidRDefault="002047BD" w:rsidP="00CA7BE5">
      <w:pPr>
        <w:pStyle w:val="EndNoteCategoryHeading"/>
        <w:rPr>
          <w:noProof/>
        </w:rPr>
      </w:pPr>
      <w:r>
        <w:fldChar w:fldCharType="begin"/>
      </w:r>
      <w:r>
        <w:instrText xml:space="preserve"> ADDIN EN.REFLIST </w:instrText>
      </w:r>
      <w:r>
        <w:fldChar w:fldCharType="separate"/>
      </w:r>
      <w:r w:rsidR="00CA7BE5" w:rsidRPr="00CA7BE5">
        <w:rPr>
          <w:noProof/>
        </w:rPr>
        <w:t>Primary Sources</w:t>
      </w:r>
    </w:p>
    <w:p w:rsidR="00CA7BE5" w:rsidRPr="00CA7BE5" w:rsidRDefault="00CA7BE5" w:rsidP="00CA7BE5">
      <w:pPr>
        <w:pStyle w:val="EndNoteBibliography"/>
        <w:ind w:left="720" w:hanging="720"/>
        <w:rPr>
          <w:noProof/>
        </w:rPr>
      </w:pPr>
      <w:r w:rsidRPr="00CA7BE5">
        <w:rPr>
          <w:noProof/>
        </w:rPr>
        <w:t xml:space="preserve">Plutarch, 'The Obsolescence of Oracles (De Defectu Oraculorum)', in </w:t>
      </w:r>
      <w:r w:rsidRPr="00CA7BE5">
        <w:rPr>
          <w:i/>
          <w:noProof/>
        </w:rPr>
        <w:t>Moralia</w:t>
      </w:r>
      <w:r w:rsidRPr="00CA7BE5">
        <w:rPr>
          <w:noProof/>
        </w:rPr>
        <w:t xml:space="preserve"> (Cambridge, MA: Harvard University Press, 1936).</w:t>
      </w:r>
    </w:p>
    <w:p w:rsidR="00CA7BE5" w:rsidRPr="00CA7BE5" w:rsidRDefault="00CA7BE5" w:rsidP="00CA7BE5">
      <w:pPr>
        <w:pStyle w:val="EndNoteCategoryHeading"/>
        <w:rPr>
          <w:noProof/>
        </w:rPr>
      </w:pPr>
      <w:r w:rsidRPr="00CA7BE5">
        <w:rPr>
          <w:noProof/>
        </w:rPr>
        <w:t>Secondary Sources</w:t>
      </w:r>
    </w:p>
    <w:p w:rsidR="00CA7BE5" w:rsidRPr="00CA7BE5" w:rsidRDefault="00CA7BE5" w:rsidP="00CA7BE5">
      <w:pPr>
        <w:pStyle w:val="EndNoteBibliography"/>
        <w:ind w:left="720" w:hanging="720"/>
        <w:rPr>
          <w:noProof/>
        </w:rPr>
      </w:pPr>
      <w:r w:rsidRPr="00CA7BE5">
        <w:rPr>
          <w:noProof/>
        </w:rPr>
        <w:t xml:space="preserve">Eidinow, Esther, </w:t>
      </w:r>
      <w:r w:rsidRPr="00CA7BE5">
        <w:rPr>
          <w:i/>
          <w:noProof/>
        </w:rPr>
        <w:t>Oracles, Curses, and Risk among the Ancient Greeks</w:t>
      </w:r>
      <w:r w:rsidRPr="00CA7BE5">
        <w:rPr>
          <w:noProof/>
        </w:rPr>
        <w:t xml:space="preserve"> (Oxford: Oxford University Press, 2013)</w:t>
      </w:r>
    </w:p>
    <w:p w:rsidR="00CA7BE5" w:rsidRPr="00CA7BE5" w:rsidRDefault="00CA7BE5" w:rsidP="00CA7BE5">
      <w:pPr>
        <w:pStyle w:val="EndNoteBibliography"/>
        <w:ind w:left="720" w:hanging="720"/>
        <w:rPr>
          <w:noProof/>
        </w:rPr>
      </w:pPr>
      <w:r w:rsidRPr="00CA7BE5">
        <w:rPr>
          <w:noProof/>
        </w:rPr>
        <w:t xml:space="preserve">Flower, Michael Attyah, 'Divination as a System of Knowledge and Belief', in </w:t>
      </w:r>
      <w:r w:rsidRPr="00CA7BE5">
        <w:rPr>
          <w:i/>
          <w:noProof/>
        </w:rPr>
        <w:t>The Seer in Ancient Greece</w:t>
      </w:r>
      <w:r w:rsidRPr="00CA7BE5">
        <w:rPr>
          <w:noProof/>
        </w:rPr>
        <w:t xml:space="preserve"> (University of California Press, 2007)</w:t>
      </w:r>
    </w:p>
    <w:p w:rsidR="00CA7BE5" w:rsidRPr="00CA7BE5" w:rsidRDefault="00CA7BE5" w:rsidP="00CA7BE5">
      <w:pPr>
        <w:pStyle w:val="EndNoteBibliography"/>
        <w:ind w:left="720" w:hanging="720"/>
        <w:rPr>
          <w:noProof/>
        </w:rPr>
      </w:pPr>
      <w:r w:rsidRPr="00CA7BE5">
        <w:rPr>
          <w:noProof/>
        </w:rPr>
        <w:t xml:space="preserve">Geert, Roskam, 'Plutarch's Yearning after Divinity the Introduction to &lt;Em&gt;on Isis and Osiris&lt;/Em&gt;', </w:t>
      </w:r>
      <w:r w:rsidRPr="00CA7BE5">
        <w:rPr>
          <w:i/>
          <w:noProof/>
        </w:rPr>
        <w:t>The Classical Journal,</w:t>
      </w:r>
      <w:r w:rsidRPr="00CA7BE5">
        <w:rPr>
          <w:noProof/>
        </w:rPr>
        <w:t xml:space="preserve"> 110 (2015), 213-39</w:t>
      </w:r>
    </w:p>
    <w:p w:rsidR="00CA7BE5" w:rsidRPr="00CA7BE5" w:rsidRDefault="00CA7BE5" w:rsidP="00CA7BE5">
      <w:pPr>
        <w:pStyle w:val="EndNoteBibliography"/>
        <w:ind w:left="720" w:hanging="720"/>
        <w:rPr>
          <w:noProof/>
        </w:rPr>
      </w:pPr>
      <w:r w:rsidRPr="00CA7BE5">
        <w:rPr>
          <w:noProof/>
        </w:rPr>
        <w:t xml:space="preserve">Harrison, George W. M., 'Rhetoric, Writing and Plutarch', </w:t>
      </w:r>
      <w:r w:rsidRPr="00CA7BE5">
        <w:rPr>
          <w:i/>
          <w:noProof/>
        </w:rPr>
        <w:t>Ancient Society,</w:t>
      </w:r>
      <w:r w:rsidRPr="00CA7BE5">
        <w:rPr>
          <w:noProof/>
        </w:rPr>
        <w:t xml:space="preserve"> 18 (1987), 271-79</w:t>
      </w:r>
    </w:p>
    <w:p w:rsidR="00CA7BE5" w:rsidRPr="00CA7BE5" w:rsidRDefault="00CA7BE5" w:rsidP="00CA7BE5">
      <w:pPr>
        <w:pStyle w:val="EndNoteBibliography"/>
        <w:ind w:left="720" w:hanging="720"/>
        <w:rPr>
          <w:noProof/>
        </w:rPr>
      </w:pPr>
      <w:r w:rsidRPr="00CA7BE5">
        <w:rPr>
          <w:noProof/>
        </w:rPr>
        <w:t xml:space="preserve">Loewe, Michael, Carmen Blacker, and Lama Chime Rinpoche Radha, </w:t>
      </w:r>
      <w:r w:rsidRPr="00CA7BE5">
        <w:rPr>
          <w:i/>
          <w:noProof/>
        </w:rPr>
        <w:t>Divination and Oracles</w:t>
      </w:r>
      <w:r w:rsidRPr="00CA7BE5">
        <w:rPr>
          <w:noProof/>
        </w:rPr>
        <w:t xml:space="preserve"> (London: Boulder: Shambala, 1981)</w:t>
      </w:r>
    </w:p>
    <w:p w:rsidR="00CA7BE5" w:rsidRPr="00CA7BE5" w:rsidRDefault="00CA7BE5" w:rsidP="00CA7BE5">
      <w:pPr>
        <w:pStyle w:val="EndNoteBibliography"/>
        <w:ind w:left="720" w:hanging="720"/>
        <w:rPr>
          <w:noProof/>
        </w:rPr>
      </w:pPr>
      <w:r w:rsidRPr="00CA7BE5">
        <w:rPr>
          <w:noProof/>
        </w:rPr>
        <w:t xml:space="preserve">Schröder, Stephan, H. G. Nesselrath, D. A. Russell, Heinz-Günther Nesselrath, Donald Russell, George Cawkwell, Werner Deuse, John Dillon, Robert Parker, and Christopher Pelling, 'Plutarch on Oracles and Divine Inspiration', in </w:t>
      </w:r>
      <w:r w:rsidRPr="00CA7BE5">
        <w:rPr>
          <w:i/>
          <w:noProof/>
        </w:rPr>
        <w:t>On the Daimonion of Socrates</w:t>
      </w:r>
      <w:r w:rsidRPr="00CA7BE5">
        <w:rPr>
          <w:noProof/>
        </w:rPr>
        <w:t>, ed. by Heinz-Günther Nesselrath (Mohr Siebeck GmbH and Co. KG, 2010)</w:t>
      </w:r>
    </w:p>
    <w:p w:rsidR="00CA7BE5" w:rsidRPr="00CA7BE5" w:rsidRDefault="00CA7BE5" w:rsidP="00CA7BE5">
      <w:pPr>
        <w:pStyle w:val="EndNoteBibliography"/>
        <w:ind w:left="720" w:hanging="720"/>
        <w:rPr>
          <w:noProof/>
        </w:rPr>
      </w:pPr>
      <w:r w:rsidRPr="00CA7BE5">
        <w:rPr>
          <w:noProof/>
        </w:rPr>
        <w:t>Walbank, Frank W., 'Plutarch', Encyclopaedia Britannica, (&lt;</w:t>
      </w:r>
      <w:hyperlink r:id="rId9" w:history="1">
        <w:r w:rsidRPr="00CA7BE5">
          <w:rPr>
            <w:rStyle w:val="Hyperlink"/>
            <w:noProof/>
          </w:rPr>
          <w:t>https://www.britannica.com/biography/Plutarch</w:t>
        </w:r>
      </w:hyperlink>
      <w:r w:rsidRPr="00CA7BE5">
        <w:rPr>
          <w:noProof/>
        </w:rPr>
        <w:t>&gt; [Accessed 06 06 2020].</w:t>
      </w:r>
    </w:p>
    <w:p w:rsidR="006D1236" w:rsidRPr="00012A22" w:rsidRDefault="002047BD" w:rsidP="00956FD5">
      <w:pPr>
        <w:pStyle w:val="StandardWeb"/>
        <w:spacing w:before="0" w:beforeAutospacing="0" w:after="0" w:afterAutospacing="0"/>
        <w:ind w:right="-334"/>
        <w:rPr>
          <w:rFonts w:ascii="Arial" w:hAnsi="Arial" w:cs="Arial"/>
          <w:color w:val="auto"/>
          <w:sz w:val="22"/>
          <w:szCs w:val="22"/>
        </w:rPr>
      </w:pPr>
      <w:r>
        <w:rPr>
          <w:rFonts w:ascii="Arial" w:hAnsi="Arial" w:cs="Arial"/>
          <w:color w:val="auto"/>
          <w:sz w:val="22"/>
          <w:szCs w:val="22"/>
        </w:rPr>
        <w:fldChar w:fldCharType="end"/>
      </w:r>
    </w:p>
    <w:sectPr w:rsidR="006D1236" w:rsidRPr="00012A22" w:rsidSect="00945E82">
      <w:headerReference w:type="even" r:id="rId10"/>
      <w:headerReference w:type="default" r:id="rId11"/>
      <w:footerReference w:type="default" r:id="rId12"/>
      <w:pgSz w:w="12240" w:h="15840"/>
      <w:pgMar w:top="567" w:right="1797" w:bottom="567" w:left="1797" w:header="567"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67C5" w:rsidRDefault="00BA67C5" w:rsidP="00AD5D5A">
      <w:r>
        <w:separator/>
      </w:r>
    </w:p>
  </w:endnote>
  <w:endnote w:type="continuationSeparator" w:id="0">
    <w:p w:rsidR="00BA67C5" w:rsidRDefault="00BA67C5"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lbertu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1A08" w:rsidRPr="00337A70" w:rsidRDefault="009C1A08">
    <w:pPr>
      <w:pStyle w:val="Fuzeile"/>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67C5" w:rsidRDefault="00BA67C5" w:rsidP="00AD5D5A">
      <w:r>
        <w:separator/>
      </w:r>
    </w:p>
  </w:footnote>
  <w:footnote w:type="continuationSeparator" w:id="0">
    <w:p w:rsidR="00BA67C5" w:rsidRDefault="00BA67C5" w:rsidP="00AD5D5A">
      <w:r>
        <w:continuationSeparator/>
      </w:r>
    </w:p>
  </w:footnote>
  <w:footnote w:id="1">
    <w:p w:rsidR="006551F0" w:rsidRPr="00543B29" w:rsidRDefault="006551F0">
      <w:pPr>
        <w:pStyle w:val="Funotentext"/>
        <w:rPr>
          <w:lang w:val="en-US"/>
        </w:rPr>
      </w:pPr>
      <w:r>
        <w:rPr>
          <w:rStyle w:val="Funotenzeichen"/>
        </w:rPr>
        <w:footnoteRef/>
      </w:r>
      <w:r>
        <w:t xml:space="preserve"> </w:t>
      </w:r>
      <w:r w:rsidR="00543B29">
        <w:fldChar w:fldCharType="begin"/>
      </w:r>
      <w:r w:rsidR="0052599E">
        <w:instrText xml:space="preserve"> ADDIN EN.CITE &lt;EndNote&gt;&lt;Cite&gt;&lt;Author&gt;Plutarch&lt;/Author&gt;&lt;Year&gt;1936&lt;/Year&gt;&lt;RecNum&gt;84&lt;/RecNum&gt;&lt;DisplayText&gt;Plutarch, &lt;style face="italic"&gt;The Obsolescence of Oracles (De Defectu Oraculorum)&lt;/style&gt;, in Moralia, (Cambridge, MA: Harvard University Press, 1936).&lt;/DisplayText&gt;&lt;record&gt;&lt;rec-number&gt;84&lt;/rec-number&gt;&lt;foreign-keys&gt;&lt;key app="EN" db-id="aervswptvfs2d5etd04xe2z10rf9wxssrvxd" timestamp="1591650692"&gt;84&lt;/key&gt;&lt;/foreign-keys&gt;&lt;ref-type name="Ancient Text"&gt;51&lt;/ref-type&gt;&lt;contributors&gt;&lt;authors&gt;&lt;author&gt;Plutarch&lt;/author&gt;&lt;/authors&gt;&lt;subsidiary-authors&gt;&lt;author&gt;Frank Cole Babbitt&lt;/author&gt;&lt;/subsidiary-authors&gt;&lt;/contributors&gt;&lt;titles&gt;&lt;title&gt;The Obsolescence of Oracles (De defectu oraculorum)&lt;/title&gt;&lt;secondary-title&gt;Moralia&lt;/secondary-title&gt;&lt;/titles&gt;&lt;volume&gt;V&lt;/volume&gt;&lt;dates&gt;&lt;year&gt;1936&lt;/year&gt;&lt;/dates&gt;&lt;pub-location&gt;Cambridge, MA&lt;/pub-location&gt;&lt;publisher&gt;Harvard University Press&lt;/publisher&gt;&lt;urls&gt;&lt;/urls&gt;&lt;/record&gt;&lt;/Cite&gt;&lt;/EndNote&gt;</w:instrText>
      </w:r>
      <w:r w:rsidR="00543B29">
        <w:fldChar w:fldCharType="separate"/>
      </w:r>
      <w:r w:rsidR="0052599E">
        <w:rPr>
          <w:noProof/>
        </w:rPr>
        <w:t xml:space="preserve">Plutarch, </w:t>
      </w:r>
      <w:r w:rsidR="0052599E" w:rsidRPr="0052599E">
        <w:rPr>
          <w:i/>
          <w:noProof/>
        </w:rPr>
        <w:t>The Obsolescence of Oracles (De Defectu Oraculorum)</w:t>
      </w:r>
      <w:r w:rsidR="0052599E">
        <w:rPr>
          <w:noProof/>
        </w:rPr>
        <w:t>, in Moralia, (Cambridge, MA: Harvard University Press, 1936).</w:t>
      </w:r>
      <w:r w:rsidR="00543B29">
        <w:fldChar w:fldCharType="end"/>
      </w:r>
    </w:p>
  </w:footnote>
  <w:footnote w:id="2">
    <w:p w:rsidR="00543B29" w:rsidRPr="00543B29" w:rsidRDefault="00543B29">
      <w:pPr>
        <w:pStyle w:val="Funotentext"/>
        <w:rPr>
          <w:lang w:val="de-AT"/>
        </w:rPr>
      </w:pPr>
      <w:r>
        <w:rPr>
          <w:rStyle w:val="Funotenzeichen"/>
        </w:rPr>
        <w:footnoteRef/>
      </w:r>
      <w:r>
        <w:t xml:space="preserve"> </w:t>
      </w:r>
      <w:r>
        <w:fldChar w:fldCharType="begin"/>
      </w:r>
      <w:r w:rsidR="00C52BB0">
        <w:instrText xml:space="preserve"> ADDIN EN.CITE &lt;EndNote&gt;&lt;Cite&gt;&lt;Author&gt;Walbank&lt;/Author&gt;&lt;RecNum&gt;85&lt;/RecNum&gt;&lt;DisplayText&gt;Frank W. Walbank, Plutarch, https://www.britannica.com/biography/Plutarch; George W. M. Harrison, &amp;apos;Rhetoric, Writing and Plutarch&amp;apos;, &lt;style face="italic"&gt;Ancient Society. &lt;/style&gt;18 (1987), 246.&lt;/DisplayText&gt;&lt;record&gt;&lt;rec-number&gt;85&lt;/rec-number&gt;&lt;foreign-keys&gt;&lt;key app="EN" db-id="aervswptvfs2d5etd04xe2z10rf9wxssrvxd" timestamp="1591651197"&gt;85&lt;/key&gt;&lt;/foreign-keys&gt;&lt;ref-type name="Web Page"&gt;12&lt;/ref-type&gt;&lt;contributors&gt;&lt;authors&gt;&lt;author&gt;Walbank, Frank W.&lt;/author&gt;&lt;/authors&gt;&lt;/contributors&gt;&lt;titles&gt;&lt;title&gt;Plutarch&lt;/title&gt;&lt;/titles&gt;&lt;volume&gt;2020&lt;/volume&gt;&lt;number&gt;06 06&lt;/number&gt;&lt;dates&gt;&lt;/dates&gt;&lt;publisher&gt;Encyclopaedia Britannica&lt;/publisher&gt;&lt;urls&gt;&lt;related-urls&gt;&lt;url&gt;https://www.britannica.com/biography/Plutarch&lt;/url&gt;&lt;/related-urls&gt;&lt;/urls&gt;&lt;/record&gt;&lt;/Cite&gt;&lt;Cite&gt;&lt;Author&gt;Harrison&lt;/Author&gt;&lt;Year&gt;1987&lt;/Year&gt;&lt;RecNum&gt;83&lt;/RecNum&gt;&lt;Pages&gt;246&lt;/Pages&gt;&lt;record&gt;&lt;rec-number&gt;83&lt;/rec-number&gt;&lt;foreign-keys&gt;&lt;key app="EN" db-id="aervswptvfs2d5etd04xe2z10rf9wxssrvxd" timestamp="1591571458"&gt;83&lt;/key&gt;&lt;/foreign-keys&gt;&lt;ref-type name="Journal Article"&gt;17&lt;/ref-type&gt;&lt;contributors&gt;&lt;authors&gt;&lt;author&gt;Harrison, George W. M.&lt;/author&gt;&lt;/authors&gt;&lt;/contributors&gt;&lt;titles&gt;&lt;title&gt;RHETORIC, WRITING AND PLUTARCH&lt;/title&gt;&lt;secondary-title&gt;Ancient Society&lt;/secondary-title&gt;&lt;/titles&gt;&lt;periodical&gt;&lt;full-title&gt;Ancient Society&lt;/full-title&gt;&lt;/periodical&gt;&lt;pages&gt;271-279&lt;/pages&gt;&lt;volume&gt;18&lt;/volume&gt;&lt;dates&gt;&lt;year&gt;1987&lt;/year&gt;&lt;/dates&gt;&lt;publisher&gt;Peeters Publishers&lt;/publisher&gt;&lt;isbn&gt;00661619, 17831334&lt;/isbn&gt;&lt;urls&gt;&lt;related-urls&gt;&lt;url&gt;www.jstor.org/stable/44034981&lt;/url&gt;&lt;/related-urls&gt;&lt;/urls&gt;&lt;custom1&gt;Full publication date: 1987&lt;/custom1&gt;&lt;remote-database-name&gt;JSTOR&lt;/remote-database-name&gt;&lt;access-date&gt;2020/06/07/&lt;/access-date&gt;&lt;/record&gt;&lt;/Cite&gt;&lt;/EndNote&gt;</w:instrText>
      </w:r>
      <w:r>
        <w:fldChar w:fldCharType="separate"/>
      </w:r>
      <w:r w:rsidR="00C52BB0">
        <w:rPr>
          <w:noProof/>
        </w:rPr>
        <w:t xml:space="preserve">Frank W. Walbank, Plutarch, https://www.britannica.com/biography/Plutarch; George W. M. Harrison, 'Rhetoric, Writing and Plutarch', </w:t>
      </w:r>
      <w:r w:rsidR="00C52BB0" w:rsidRPr="00C52BB0">
        <w:rPr>
          <w:i/>
          <w:noProof/>
        </w:rPr>
        <w:t xml:space="preserve">Ancient Society. </w:t>
      </w:r>
      <w:r w:rsidR="00C52BB0">
        <w:rPr>
          <w:noProof/>
        </w:rPr>
        <w:t>18 (1987), 246.</w:t>
      </w:r>
      <w:r>
        <w:fldChar w:fldCharType="end"/>
      </w:r>
    </w:p>
  </w:footnote>
  <w:footnote w:id="3">
    <w:p w:rsidR="00C52BB0" w:rsidRPr="00C52BB0" w:rsidRDefault="00C52BB0">
      <w:pPr>
        <w:pStyle w:val="Funotentext"/>
        <w:rPr>
          <w:lang w:val="de-AT"/>
        </w:rPr>
      </w:pPr>
      <w:r>
        <w:rPr>
          <w:rStyle w:val="Funotenzeichen"/>
        </w:rPr>
        <w:footnoteRef/>
      </w:r>
      <w:r>
        <w:t xml:space="preserve"> </w:t>
      </w:r>
      <w:r>
        <w:fldChar w:fldCharType="begin"/>
      </w:r>
      <w:r>
        <w:instrText xml:space="preserve"> ADDIN EN.CITE &lt;EndNote&gt;&lt;Cite&gt;&lt;Author&gt;Schröder&lt;/Author&gt;&lt;Year&gt;2010&lt;/Year&gt;&lt;RecNum&gt;81&lt;/RecNum&gt;&lt;Pages&gt;145&lt;/Pages&gt;&lt;DisplayText&gt;Stephan Schröder and others, &amp;apos;Plutarch on Oracles and Divine Inspiration&amp;apos;, in &lt;style face="italic"&gt;On the Daimonion of Socrates, &lt;/style&gt;ed. by Heinz-Günther Nesselrath (Mohr Siebeck GmbH and Co. KG, 2010), p. 145.&lt;/DisplayText&gt;&lt;record&gt;&lt;rec-number&gt;81&lt;/rec-number&gt;&lt;foreign-keys&gt;&lt;key app="EN" db-id="aervswptvfs2d5etd04xe2z10rf9wxssrvxd" timestamp="1588017980"&gt;81&lt;/key&gt;&lt;/foreign-keys&gt;&lt;ref-type name="Book Section"&gt;5&lt;/ref-type&gt;&lt;contributors&gt;&lt;authors&gt;&lt;author&gt;Schröder, Stephan&lt;/author&gt;&lt;author&gt;Nesselrath, H. G.&lt;/author&gt;&lt;author&gt;Russell, D. A.&lt;/author&gt;&lt;author&gt;Nesselrath, Heinz-Günther&lt;/author&gt;&lt;author&gt;Russell, Donald&lt;/author&gt;&lt;author&gt;Cawkwell, George&lt;/author&gt;&lt;author&gt;Deuse, Werner&lt;/author&gt;&lt;author&gt;Dillon, John&lt;/author&gt;&lt;author&gt;Parker, Robert&lt;/author&gt;&lt;author&gt;Pelling, Christopher&lt;/author&gt;&lt;/authors&gt;&lt;secondary-authors&gt;&lt;author&gt;Nesselrath, Heinz-Günther&lt;/author&gt;&lt;/secondary-authors&gt;&lt;/contributors&gt;&lt;titles&gt;&lt;title&gt;Plutarch on oracles and divine inspiration&lt;/title&gt;&lt;secondary-title&gt;On the daimonion of Socrates&lt;/secondary-title&gt;&lt;tertiary-title&gt;Plutarch&lt;/tertiary-title&gt;&lt;/titles&gt;&lt;pages&gt;145-168&lt;/pages&gt;&lt;dates&gt;&lt;year&gt;2010&lt;/year&gt;&lt;/dates&gt;&lt;publisher&gt;Mohr Siebeck GmbH and Co. KG&lt;/publisher&gt;&lt;isbn&gt;9783161501388&lt;/isbn&gt;&lt;urls&gt;&lt;related-urls&gt;&lt;url&gt;www.jstor.org/stable/j.ctv9b2w6h.12&lt;/url&gt;&lt;/related-urls&gt;&lt;/urls&gt;&lt;remote-database-name&gt;JSTOR&lt;/remote-database-name&gt;&lt;access-date&gt;2020/04/27/&lt;/access-date&gt;&lt;/record&gt;&lt;/Cite&gt;&lt;/EndNote&gt;</w:instrText>
      </w:r>
      <w:r>
        <w:fldChar w:fldCharType="separate"/>
      </w:r>
      <w:r>
        <w:rPr>
          <w:noProof/>
        </w:rPr>
        <w:t xml:space="preserve">Stephan Schröder and others, 'Plutarch on Oracles and Divine Inspiration', in </w:t>
      </w:r>
      <w:r w:rsidRPr="00C52BB0">
        <w:rPr>
          <w:i/>
          <w:noProof/>
        </w:rPr>
        <w:t xml:space="preserve">On the Daimonion of Socrates, </w:t>
      </w:r>
      <w:r>
        <w:rPr>
          <w:noProof/>
        </w:rPr>
        <w:t>ed. by Heinz-Günther Nesselrath (Mohr Siebeck GmbH and Co. KG, 2010), p. 145.</w:t>
      </w:r>
      <w:r>
        <w:fldChar w:fldCharType="end"/>
      </w:r>
    </w:p>
  </w:footnote>
  <w:footnote w:id="4">
    <w:p w:rsidR="00A50192" w:rsidRPr="00A50192" w:rsidRDefault="00A50192">
      <w:pPr>
        <w:pStyle w:val="Funotentext"/>
        <w:rPr>
          <w:lang w:val="en-US"/>
        </w:rPr>
      </w:pPr>
      <w:r>
        <w:rPr>
          <w:rStyle w:val="Funotenzeichen"/>
        </w:rPr>
        <w:footnoteRef/>
      </w:r>
      <w:r>
        <w:t xml:space="preserve"> </w:t>
      </w:r>
      <w:r>
        <w:fldChar w:fldCharType="begin"/>
      </w:r>
      <w:r>
        <w:instrText xml:space="preserve"> ADDIN EN.CITE &lt;EndNote&gt;&lt;Cite&gt;&lt;Author&gt;Loewe&lt;/Author&gt;&lt;Year&gt;1981&lt;/Year&gt;&lt;RecNum&gt;86&lt;/RecNum&gt;&lt;Pages&gt;1&lt;/Pages&gt;&lt;DisplayText&gt;Michael Loewe, Carmen Blacker, and Lama Chime Rinpoche Radha, &lt;style face="italic"&gt;Divination and Oracles&lt;/style&gt;,  (London: Boulder: Shambala, 1981), p. 1.&lt;/DisplayText&gt;&lt;record&gt;&lt;rec-number&gt;86&lt;/rec-number&gt;&lt;foreign-keys&gt;&lt;key app="EN" db-id="aervswptvfs2d5etd04xe2z10rf9wxssrvxd" timestamp="1591651804"&gt;86&lt;/key&gt;&lt;/foreign-keys&gt;&lt;ref-type name="Book"&gt;6&lt;/ref-type&gt;&lt;contributors&gt;&lt;authors&gt;&lt;author&gt;Loewe, Michael&lt;/author&gt;&lt;author&gt;Blacker, Carmen&lt;/author&gt;&lt;author&gt;Radha, Lama Chime Rinpoche&lt;/author&gt;&lt;/authors&gt;&lt;/contributors&gt;&lt;titles&gt;&lt;title&gt;Divination and oracles&lt;/title&gt;&lt;/titles&gt;&lt;keywords&gt;&lt;keyword&gt;Divination History Addresses, essays, lectures.&lt;/keyword&gt;&lt;/keywords&gt;&lt;dates&gt;&lt;year&gt;1981&lt;/year&gt;&lt;/dates&gt;&lt;pub-location&gt;London&lt;/pub-location&gt;&lt;publisher&gt;Boulder: Shambala&lt;/publisher&gt;&lt;isbn&gt;0042910161 : Unpriced&lt;/isbn&gt;&lt;accession-num&gt;B8102349&lt;/accession-num&gt;&lt;call-num&gt;133.3 18&amp;#xD;133.3 19&amp;#xD;British Library DSC 81/13819&amp;#xD;British Library HMNTS X.529/41699&lt;/call-num&gt;&lt;urls&gt;&lt;/urls&gt;&lt;/record&gt;&lt;/Cite&gt;&lt;/EndNote&gt;</w:instrText>
      </w:r>
      <w:r>
        <w:fldChar w:fldCharType="separate"/>
      </w:r>
      <w:r>
        <w:rPr>
          <w:noProof/>
        </w:rPr>
        <w:t xml:space="preserve">Michael Loewe, Carmen Blacker, and Lama Chime Rinpoche Radha, </w:t>
      </w:r>
      <w:r w:rsidRPr="00A50192">
        <w:rPr>
          <w:i/>
          <w:noProof/>
        </w:rPr>
        <w:t>Divination and Oracles</w:t>
      </w:r>
      <w:r>
        <w:rPr>
          <w:noProof/>
        </w:rPr>
        <w:t>,  (London: Boulder: Shambala, 1981), p. 1.</w:t>
      </w:r>
      <w:r>
        <w:fldChar w:fldCharType="end"/>
      </w:r>
    </w:p>
  </w:footnote>
  <w:footnote w:id="5">
    <w:p w:rsidR="00A50192" w:rsidRPr="00A50192" w:rsidRDefault="00A50192">
      <w:pPr>
        <w:pStyle w:val="Funotentext"/>
        <w:rPr>
          <w:lang w:val="en-US"/>
        </w:rPr>
      </w:pPr>
      <w:r>
        <w:rPr>
          <w:rStyle w:val="Funotenzeichen"/>
        </w:rPr>
        <w:footnoteRef/>
      </w:r>
      <w:r>
        <w:t xml:space="preserve"> </w:t>
      </w:r>
      <w:r>
        <w:fldChar w:fldCharType="begin"/>
      </w:r>
      <w:r>
        <w:instrText xml:space="preserve"> ADDIN EN.CITE &lt;EndNote&gt;&lt;Cite&gt;&lt;Author&gt;Schröder&lt;/Author&gt;&lt;Year&gt;2010&lt;/Year&gt;&lt;RecNum&gt;81&lt;/RecNum&gt;&lt;Pages&gt;145&lt;/Pages&gt;&lt;DisplayText&gt;Schröder and others &amp;apos;Plutarch on Oracles and Divine Inspiration&amp;apos;, p. 145.&lt;/DisplayText&gt;&lt;record&gt;&lt;rec-number&gt;81&lt;/rec-number&gt;&lt;foreign-keys&gt;&lt;key app="EN" db-id="aervswptvfs2d5etd04xe2z10rf9wxssrvxd" timestamp="1588017980"&gt;81&lt;/key&gt;&lt;/foreign-keys&gt;&lt;ref-type name="Book Section"&gt;5&lt;/ref-type&gt;&lt;contributors&gt;&lt;authors&gt;&lt;author&gt;Schröder, Stephan&lt;/author&gt;&lt;author&gt;Nesselrath, H. G.&lt;/author&gt;&lt;author&gt;Russell, D. A.&lt;/author&gt;&lt;author&gt;Nesselrath, Heinz-Günther&lt;/author&gt;&lt;author&gt;Russell, Donald&lt;/author&gt;&lt;author&gt;Cawkwell, George&lt;/author&gt;&lt;author&gt;Deuse, Werner&lt;/author&gt;&lt;author&gt;Dillon, John&lt;/author&gt;&lt;author&gt;Parker, Robert&lt;/author&gt;&lt;author&gt;Pelling, Christopher&lt;/author&gt;&lt;/authors&gt;&lt;secondary-authors&gt;&lt;author&gt;Nesselrath, Heinz-Günther&lt;/author&gt;&lt;/secondary-authors&gt;&lt;/contributors&gt;&lt;titles&gt;&lt;title&gt;Plutarch on oracles and divine inspiration&lt;/title&gt;&lt;secondary-title&gt;On the daimonion of Socrates&lt;/secondary-title&gt;&lt;tertiary-title&gt;Plutarch&lt;/tertiary-title&gt;&lt;/titles&gt;&lt;pages&gt;145-168&lt;/pages&gt;&lt;dates&gt;&lt;year&gt;2010&lt;/year&gt;&lt;/dates&gt;&lt;publisher&gt;Mohr Siebeck GmbH and Co. KG&lt;/publisher&gt;&lt;isbn&gt;9783161501388&lt;/isbn&gt;&lt;urls&gt;&lt;related-urls&gt;&lt;url&gt;www.jstor.org/stable/j.ctv9b2w6h.12&lt;/url&gt;&lt;/related-urls&gt;&lt;/urls&gt;&lt;remote-database-name&gt;JSTOR&lt;/remote-database-name&gt;&lt;access-date&gt;2020/04/27/&lt;/access-date&gt;&lt;/record&gt;&lt;/Cite&gt;&lt;/EndNote&gt;</w:instrText>
      </w:r>
      <w:r>
        <w:fldChar w:fldCharType="separate"/>
      </w:r>
      <w:r>
        <w:rPr>
          <w:noProof/>
        </w:rPr>
        <w:t>Schröder and others 'Plutarch on Oracles and Divine Inspiration', p. 145.</w:t>
      </w:r>
      <w:r>
        <w:fldChar w:fldCharType="end"/>
      </w:r>
    </w:p>
  </w:footnote>
  <w:footnote w:id="6">
    <w:p w:rsidR="009525AA" w:rsidRPr="009525AA" w:rsidRDefault="009525AA">
      <w:pPr>
        <w:pStyle w:val="Funotentext"/>
        <w:rPr>
          <w:lang w:val="de-AT"/>
        </w:rPr>
      </w:pPr>
      <w:r>
        <w:rPr>
          <w:rStyle w:val="Funotenzeichen"/>
        </w:rPr>
        <w:footnoteRef/>
      </w:r>
      <w:r>
        <w:t xml:space="preserve"> </w:t>
      </w:r>
      <w:r>
        <w:fldChar w:fldCharType="begin"/>
      </w:r>
      <w:r>
        <w:instrText xml:space="preserve"> ADDIN EN.CITE &lt;EndNote&gt;&lt;Cite&gt;&lt;Author&gt;Geert&lt;/Author&gt;&lt;Year&gt;2015&lt;/Year&gt;&lt;RecNum&gt;82&lt;/RecNum&gt;&lt;Pages&gt;215&lt;/Pages&gt;&lt;DisplayText&gt;Roskam Geert, &amp;apos;Plutarch&amp;apos;s Yearning after Divinity the Introduction to &amp;lt;Em&amp;gt;on Isis and Osiris&amp;lt;/Em&amp;gt;&amp;apos;, &lt;style face="italic"&gt;The Classical Journal. &lt;/style&gt;110 (2015), 215.&lt;/DisplayText&gt;&lt;record&gt;&lt;rec-number&gt;82&lt;/rec-number&gt;&lt;foreign-keys&gt;&lt;key app="EN" db-id="aervswptvfs2d5etd04xe2z10rf9wxssrvxd" timestamp="1591560220"&gt;82&lt;/key&gt;&lt;/foreign-keys&gt;&lt;ref-type name="Journal Article"&gt;17&lt;/ref-type&gt;&lt;contributors&gt;&lt;authors&gt;&lt;author&gt;Geert, Roskam&lt;/author&gt;&lt;/authors&gt;&lt;/contributors&gt;&lt;titles&gt;&lt;title&gt;PLUTARCH&amp;apos;S YEARNING AFTER DIVINITY THE INTRODUCTION TO &amp;lt;em&amp;gt;ON ISIS AND OSIRIS&amp;lt;/em&amp;gt;&lt;/title&gt;&lt;secondary-title&gt;The Classical Journal&lt;/secondary-title&gt;&lt;/titles&gt;&lt;periodical&gt;&lt;full-title&gt;The Classical Journal&lt;/full-title&gt;&lt;/periodical&gt;&lt;pages&gt;213-239&lt;/pages&gt;&lt;volume&gt;110&lt;/volume&gt;&lt;number&gt;2&lt;/number&gt;&lt;dates&gt;&lt;year&gt;2015&lt;/year&gt;&lt;/dates&gt;&lt;publisher&gt;The Classical Association of the Middle West and South, Inc. (CAMWS)&lt;/publisher&gt;&lt;isbn&gt;00098353&lt;/isbn&gt;&lt;urls&gt;&lt;related-urls&gt;&lt;url&gt;www.jstor.org/stable/10.5184/classicalj.110.2.0213&lt;/url&gt;&lt;/related-urls&gt;&lt;/urls&gt;&lt;custom1&gt;Full publication date: December 2014-January 2015&lt;/custom1&gt;&lt;electronic-resource-num&gt;10.5184/classicalj.110.2.0213&lt;/electronic-resource-num&gt;&lt;remote-database-name&gt;JSTOR&lt;/remote-database-name&gt;&lt;access-date&gt;2020/06/07/&lt;/access-date&gt;&lt;/record&gt;&lt;/Cite&gt;&lt;/EndNote&gt;</w:instrText>
      </w:r>
      <w:r>
        <w:fldChar w:fldCharType="separate"/>
      </w:r>
      <w:r>
        <w:rPr>
          <w:noProof/>
        </w:rPr>
        <w:t xml:space="preserve">Roskam Geert, 'Plutarch's Yearning after Divinity the Introduction to &lt;Em&gt;on Isis and Osiris&lt;/Em&gt;', </w:t>
      </w:r>
      <w:r w:rsidRPr="009525AA">
        <w:rPr>
          <w:i/>
          <w:noProof/>
        </w:rPr>
        <w:t xml:space="preserve">The Classical Journal. </w:t>
      </w:r>
      <w:r>
        <w:rPr>
          <w:noProof/>
        </w:rPr>
        <w:t>110 (2015), 215.</w:t>
      </w:r>
      <w:r>
        <w:fldChar w:fldCharType="end"/>
      </w:r>
    </w:p>
  </w:footnote>
  <w:footnote w:id="7">
    <w:p w:rsidR="0052599E" w:rsidRPr="0052599E" w:rsidRDefault="0052599E">
      <w:pPr>
        <w:pStyle w:val="Funotentext"/>
        <w:rPr>
          <w:lang w:val="en-US"/>
        </w:rPr>
      </w:pPr>
      <w:r>
        <w:rPr>
          <w:rStyle w:val="Funotenzeichen"/>
        </w:rPr>
        <w:footnoteRef/>
      </w:r>
      <w:r>
        <w:t xml:space="preserve"> </w:t>
      </w:r>
      <w:r>
        <w:fldChar w:fldCharType="begin"/>
      </w:r>
      <w:r>
        <w:instrText xml:space="preserve"> ADDIN EN.CITE &lt;EndNote&gt;&lt;Cite&gt;&lt;Author&gt;Schröder&lt;/Author&gt;&lt;Year&gt;2010&lt;/Year&gt;&lt;RecNum&gt;81&lt;/RecNum&gt;&lt;Pages&gt;168&lt;/Pages&gt;&lt;DisplayText&gt;Schröder and others &amp;apos;Plutarch on Oracles and Divine Inspiration&amp;apos;, p. 168.&lt;/DisplayText&gt;&lt;record&gt;&lt;rec-number&gt;81&lt;/rec-number&gt;&lt;foreign-keys&gt;&lt;key app="EN" db-id="aervswptvfs2d5etd04xe2z10rf9wxssrvxd" timestamp="1588017980"&gt;81&lt;/key&gt;&lt;/foreign-keys&gt;&lt;ref-type name="Book Section"&gt;5&lt;/ref-type&gt;&lt;contributors&gt;&lt;authors&gt;&lt;author&gt;Schröder, Stephan&lt;/author&gt;&lt;author&gt;Nesselrath, H. G.&lt;/author&gt;&lt;author&gt;Russell, D. A.&lt;/author&gt;&lt;author&gt;Nesselrath, Heinz-Günther&lt;/author&gt;&lt;author&gt;Russell, Donald&lt;/author&gt;&lt;author&gt;Cawkwell, George&lt;/author&gt;&lt;author&gt;Deuse, Werner&lt;/author&gt;&lt;author&gt;Dillon, John&lt;/author&gt;&lt;author&gt;Parker, Robert&lt;/author&gt;&lt;author&gt;Pelling, Christopher&lt;/author&gt;&lt;/authors&gt;&lt;secondary-authors&gt;&lt;author&gt;Nesselrath, Heinz-Günther&lt;/author&gt;&lt;/secondary-authors&gt;&lt;/contributors&gt;&lt;titles&gt;&lt;title&gt;Plutarch on oracles and divine inspiration&lt;/title&gt;&lt;secondary-title&gt;On the daimonion of Socrates&lt;/secondary-title&gt;&lt;tertiary-title&gt;Plutarch&lt;/tertiary-title&gt;&lt;/titles&gt;&lt;pages&gt;145-168&lt;/pages&gt;&lt;dates&gt;&lt;year&gt;2010&lt;/year&gt;&lt;/dates&gt;&lt;publisher&gt;Mohr Siebeck GmbH and Co. KG&lt;/publisher&gt;&lt;isbn&gt;9783161501388&lt;/isbn&gt;&lt;urls&gt;&lt;related-urls&gt;&lt;url&gt;www.jstor.org/stable/j.ctv9b2w6h.12&lt;/url&gt;&lt;/related-urls&gt;&lt;/urls&gt;&lt;remote-database-name&gt;JSTOR&lt;/remote-database-name&gt;&lt;access-date&gt;2020/04/27/&lt;/access-date&gt;&lt;/record&gt;&lt;/Cite&gt;&lt;/EndNote&gt;</w:instrText>
      </w:r>
      <w:r>
        <w:fldChar w:fldCharType="separate"/>
      </w:r>
      <w:r>
        <w:rPr>
          <w:noProof/>
        </w:rPr>
        <w:t>Schröder and others 'Plutarch on Oracles and Divine Inspiration', p. 168.</w:t>
      </w:r>
      <w:r>
        <w:fldChar w:fldCharType="end"/>
      </w:r>
    </w:p>
  </w:footnote>
  <w:footnote w:id="8">
    <w:p w:rsidR="00215DB1" w:rsidRPr="00215DB1" w:rsidRDefault="00215DB1">
      <w:pPr>
        <w:pStyle w:val="Funotentext"/>
        <w:rPr>
          <w:lang w:val="en-US"/>
        </w:rPr>
      </w:pPr>
      <w:r>
        <w:rPr>
          <w:rStyle w:val="Funotenzeichen"/>
        </w:rPr>
        <w:footnoteRef/>
      </w:r>
      <w:r>
        <w:t xml:space="preserve"> </w:t>
      </w:r>
      <w:r>
        <w:fldChar w:fldCharType="begin"/>
      </w:r>
      <w:r>
        <w:instrText xml:space="preserve"> ADDIN EN.CITE &lt;EndNote&gt;&lt;Cite&gt;&lt;Author&gt;Schröder&lt;/Author&gt;&lt;Year&gt;2010&lt;/Year&gt;&lt;RecNum&gt;81&lt;/RecNum&gt;&lt;Pages&gt;168&lt;/Pages&gt;&lt;DisplayText&gt;Schröder and others &amp;apos;Plutarch on Oracles and Divine Inspiration&amp;apos;, p. 168.&lt;/DisplayText&gt;&lt;record&gt;&lt;rec-number&gt;81&lt;/rec-number&gt;&lt;foreign-keys&gt;&lt;key app="EN" db-id="aervswptvfs2d5etd04xe2z10rf9wxssrvxd" timestamp="1588017980"&gt;81&lt;/key&gt;&lt;/foreign-keys&gt;&lt;ref-type name="Book Section"&gt;5&lt;/ref-type&gt;&lt;contributors&gt;&lt;authors&gt;&lt;author&gt;Schröder, Stephan&lt;/author&gt;&lt;author&gt;Nesselrath, H. G.&lt;/author&gt;&lt;author&gt;Russell, D. A.&lt;/author&gt;&lt;author&gt;Nesselrath, Heinz-Günther&lt;/author&gt;&lt;author&gt;Russell, Donald&lt;/author&gt;&lt;author&gt;Cawkwell, George&lt;/author&gt;&lt;author&gt;Deuse, Werner&lt;/author&gt;&lt;author&gt;Dillon, John&lt;/author&gt;&lt;author&gt;Parker, Robert&lt;/author&gt;&lt;author&gt;Pelling, Christopher&lt;/author&gt;&lt;/authors&gt;&lt;secondary-authors&gt;&lt;author&gt;Nesselrath, Heinz-Günther&lt;/author&gt;&lt;/secondary-authors&gt;&lt;/contributors&gt;&lt;titles&gt;&lt;title&gt;Plutarch on oracles and divine inspiration&lt;/title&gt;&lt;secondary-title&gt;On the daimonion of Socrates&lt;/secondary-title&gt;&lt;tertiary-title&gt;Plutarch&lt;/tertiary-title&gt;&lt;/titles&gt;&lt;pages&gt;145-168&lt;/pages&gt;&lt;dates&gt;&lt;year&gt;2010&lt;/year&gt;&lt;/dates&gt;&lt;publisher&gt;Mohr Siebeck GmbH and Co. KG&lt;/publisher&gt;&lt;isbn&gt;9783161501388&lt;/isbn&gt;&lt;urls&gt;&lt;related-urls&gt;&lt;url&gt;www.jstor.org/stable/j.ctv9b2w6h.12&lt;/url&gt;&lt;/related-urls&gt;&lt;/urls&gt;&lt;remote-database-name&gt;JSTOR&lt;/remote-database-name&gt;&lt;access-date&gt;2020/04/27/&lt;/access-date&gt;&lt;/record&gt;&lt;/Cite&gt;&lt;/EndNote&gt;</w:instrText>
      </w:r>
      <w:r>
        <w:fldChar w:fldCharType="separate"/>
      </w:r>
      <w:r>
        <w:rPr>
          <w:noProof/>
        </w:rPr>
        <w:t>Schröder and others 'Plutarch on Oracles and Divine Inspiration', p. 168.</w:t>
      </w:r>
      <w:r>
        <w:fldChar w:fldCharType="end"/>
      </w:r>
    </w:p>
  </w:footnote>
  <w:footnote w:id="9">
    <w:p w:rsidR="00215DB1" w:rsidRPr="00215DB1" w:rsidRDefault="00215DB1">
      <w:pPr>
        <w:pStyle w:val="Funotentext"/>
        <w:rPr>
          <w:lang w:val="en-US"/>
        </w:rPr>
      </w:pPr>
      <w:r>
        <w:rPr>
          <w:rStyle w:val="Funotenzeichen"/>
        </w:rPr>
        <w:footnoteRef/>
      </w:r>
      <w:r>
        <w:t xml:space="preserve"> </w:t>
      </w:r>
      <w:r>
        <w:fldChar w:fldCharType="begin"/>
      </w:r>
      <w:r>
        <w:instrText xml:space="preserve"> ADDIN EN.CITE &lt;EndNote&gt;&lt;Cite&gt;&lt;Author&gt;Harrison&lt;/Author&gt;&lt;Year&gt;1987&lt;/Year&gt;&lt;RecNum&gt;83&lt;/RecNum&gt;&lt;Pages&gt;276&lt;/Pages&gt;&lt;DisplayText&gt;Harrison, &amp;apos;Rhetoric, Writing and Plutarch&amp;apos;, 276.&lt;/DisplayText&gt;&lt;record&gt;&lt;rec-number&gt;83&lt;/rec-number&gt;&lt;foreign-keys&gt;&lt;key app="EN" db-id="aervswptvfs2d5etd04xe2z10rf9wxssrvxd" timestamp="1591571458"&gt;83&lt;/key&gt;&lt;/foreign-keys&gt;&lt;ref-type name="Journal Article"&gt;17&lt;/ref-type&gt;&lt;contributors&gt;&lt;authors&gt;&lt;author&gt;Harrison, George W. M.&lt;/author&gt;&lt;/authors&gt;&lt;/contributors&gt;&lt;titles&gt;&lt;title&gt;RHETORIC, WRITING AND PLUTARCH&lt;/title&gt;&lt;secondary-title&gt;Ancient Society&lt;/secondary-title&gt;&lt;/titles&gt;&lt;periodical&gt;&lt;full-title&gt;Ancient Society&lt;/full-title&gt;&lt;/periodical&gt;&lt;pages&gt;271-279&lt;/pages&gt;&lt;volume&gt;18&lt;/volume&gt;&lt;dates&gt;&lt;year&gt;1987&lt;/year&gt;&lt;/dates&gt;&lt;publisher&gt;Peeters Publishers&lt;/publisher&gt;&lt;isbn&gt;00661619, 17831334&lt;/isbn&gt;&lt;urls&gt;&lt;related-urls&gt;&lt;url&gt;www.jstor.org/stable/44034981&lt;/url&gt;&lt;/related-urls&gt;&lt;/urls&gt;&lt;custom1&gt;Full publication date: 1987&lt;/custom1&gt;&lt;remote-database-name&gt;JSTOR&lt;/remote-database-name&gt;&lt;access-date&gt;2020/06/07/&lt;/access-date&gt;&lt;/record&gt;&lt;/Cite&gt;&lt;/EndNote&gt;</w:instrText>
      </w:r>
      <w:r>
        <w:fldChar w:fldCharType="separate"/>
      </w:r>
      <w:r>
        <w:rPr>
          <w:noProof/>
        </w:rPr>
        <w:t>Harrison, 'Rhetoric, Writing and Plutarch', 276.</w:t>
      </w:r>
      <w:r>
        <w:fldChar w:fldCharType="end"/>
      </w:r>
    </w:p>
  </w:footnote>
  <w:footnote w:id="10">
    <w:p w:rsidR="0052599E" w:rsidRPr="0052599E" w:rsidRDefault="0052599E">
      <w:pPr>
        <w:pStyle w:val="Funotentext"/>
        <w:rPr>
          <w:lang w:val="en-US"/>
        </w:rPr>
      </w:pPr>
      <w:r>
        <w:rPr>
          <w:rStyle w:val="Funotenzeichen"/>
        </w:rPr>
        <w:footnoteRef/>
      </w:r>
      <w:r>
        <w:t xml:space="preserve"> </w:t>
      </w:r>
      <w:r>
        <w:fldChar w:fldCharType="begin"/>
      </w:r>
      <w:r>
        <w:instrText xml:space="preserve"> ADDIN EN.CITE &lt;EndNote&gt;&lt;Cite&gt;&lt;Author&gt;Schröder&lt;/Author&gt;&lt;Year&gt;2010&lt;/Year&gt;&lt;RecNum&gt;81&lt;/RecNum&gt;&lt;Pages&gt;168&lt;/Pages&gt;&lt;DisplayText&gt;Schröder and others &amp;apos;Plutarch on Oracles and Divine Inspiration&amp;apos;, p. 168.&lt;/DisplayText&gt;&lt;record&gt;&lt;rec-number&gt;81&lt;/rec-number&gt;&lt;foreign-keys&gt;&lt;key app="EN" db-id="aervswptvfs2d5etd04xe2z10rf9wxssrvxd" timestamp="1588017980"&gt;81&lt;/key&gt;&lt;/foreign-keys&gt;&lt;ref-type name="Book Section"&gt;5&lt;/ref-type&gt;&lt;contributors&gt;&lt;authors&gt;&lt;author&gt;Schröder, Stephan&lt;/author&gt;&lt;author&gt;Nesselrath, H. G.&lt;/author&gt;&lt;author&gt;Russell, D. A.&lt;/author&gt;&lt;author&gt;Nesselrath, Heinz-Günther&lt;/author&gt;&lt;author&gt;Russell, Donald&lt;/author&gt;&lt;author&gt;Cawkwell, George&lt;/author&gt;&lt;author&gt;Deuse, Werner&lt;/author&gt;&lt;author&gt;Dillon, John&lt;/author&gt;&lt;author&gt;Parker, Robert&lt;/author&gt;&lt;author&gt;Pelling, Christopher&lt;/author&gt;&lt;/authors&gt;&lt;secondary-authors&gt;&lt;author&gt;Nesselrath, Heinz-Günther&lt;/author&gt;&lt;/secondary-authors&gt;&lt;/contributors&gt;&lt;titles&gt;&lt;title&gt;Plutarch on oracles and divine inspiration&lt;/title&gt;&lt;secondary-title&gt;On the daimonion of Socrates&lt;/secondary-title&gt;&lt;tertiary-title&gt;Plutarch&lt;/tertiary-title&gt;&lt;/titles&gt;&lt;pages&gt;145-168&lt;/pages&gt;&lt;dates&gt;&lt;year&gt;2010&lt;/year&gt;&lt;/dates&gt;&lt;publisher&gt;Mohr Siebeck GmbH and Co. KG&lt;/publisher&gt;&lt;isbn&gt;9783161501388&lt;/isbn&gt;&lt;urls&gt;&lt;related-urls&gt;&lt;url&gt;www.jstor.org/stable/j.ctv9b2w6h.12&lt;/url&gt;&lt;/related-urls&gt;&lt;/urls&gt;&lt;remote-database-name&gt;JSTOR&lt;/remote-database-name&gt;&lt;access-date&gt;2020/04/27/&lt;/access-date&gt;&lt;/record&gt;&lt;/Cite&gt;&lt;/EndNote&gt;</w:instrText>
      </w:r>
      <w:r>
        <w:fldChar w:fldCharType="separate"/>
      </w:r>
      <w:r>
        <w:rPr>
          <w:noProof/>
        </w:rPr>
        <w:t>Schröder and others 'Plutarch on Oracles and Divine Inspiration', p. 168.</w:t>
      </w:r>
      <w:r>
        <w:fldChar w:fldCharType="end"/>
      </w:r>
    </w:p>
  </w:footnote>
  <w:footnote w:id="11">
    <w:p w:rsidR="0052599E" w:rsidRPr="0052599E" w:rsidRDefault="0052599E">
      <w:pPr>
        <w:pStyle w:val="Funotentext"/>
        <w:rPr>
          <w:lang w:val="en-US"/>
        </w:rPr>
      </w:pPr>
      <w:r>
        <w:rPr>
          <w:rStyle w:val="Funotenzeichen"/>
        </w:rPr>
        <w:footnoteRef/>
      </w:r>
      <w:r>
        <w:t xml:space="preserve"> </w:t>
      </w:r>
      <w:r>
        <w:fldChar w:fldCharType="begin"/>
      </w:r>
      <w:r>
        <w:instrText xml:space="preserve"> ADDIN EN.CITE &lt;EndNote&gt;&lt;Cite&gt;&lt;Author&gt;Plutarch&lt;/Author&gt;&lt;Year&gt;1936&lt;/Year&gt;&lt;RecNum&gt;84&lt;/RecNum&gt;&lt;Pages&gt;413 C&lt;/Pages&gt;&lt;DisplayText&gt;Plutarch, &lt;style face="italic"&gt;The Obsolescence of Oracles (De Defectu Oraculorum)&lt;/style&gt;, 413 C.&lt;/DisplayText&gt;&lt;record&gt;&lt;rec-number&gt;84&lt;/rec-number&gt;&lt;foreign-keys&gt;&lt;key app="EN" db-id="aervswptvfs2d5etd04xe2z10rf9wxssrvxd" timestamp="1591650692"&gt;84&lt;/key&gt;&lt;/foreign-keys&gt;&lt;ref-type name="Ancient Text"&gt;51&lt;/ref-type&gt;&lt;contributors&gt;&lt;authors&gt;&lt;author&gt;Plutarch&lt;/author&gt;&lt;/authors&gt;&lt;subsidiary-authors&gt;&lt;author&gt;Frank Cole Babbitt&lt;/author&gt;&lt;/subsidiary-authors&gt;&lt;/contributors&gt;&lt;titles&gt;&lt;title&gt;The Obsolescence of Oracles (De defectu oraculorum)&lt;/title&gt;&lt;secondary-title&gt;Moralia&lt;/secondary-title&gt;&lt;/titles&gt;&lt;volume&gt;V&lt;/volume&gt;&lt;dates&gt;&lt;year&gt;1936&lt;/year&gt;&lt;/dates&gt;&lt;pub-location&gt;Cambridge, MA&lt;/pub-location&gt;&lt;publisher&gt;Harvard University Press&lt;/publisher&gt;&lt;urls&gt;&lt;/urls&gt;&lt;/record&gt;&lt;/Cite&gt;&lt;/EndNote&gt;</w:instrText>
      </w:r>
      <w:r>
        <w:fldChar w:fldCharType="separate"/>
      </w:r>
      <w:r>
        <w:rPr>
          <w:noProof/>
        </w:rPr>
        <w:t xml:space="preserve">Plutarch, </w:t>
      </w:r>
      <w:r w:rsidRPr="0052599E">
        <w:rPr>
          <w:i/>
          <w:noProof/>
        </w:rPr>
        <w:t>The Obsolescence of Oracles (De Defectu Oraculorum)</w:t>
      </w:r>
      <w:r>
        <w:rPr>
          <w:noProof/>
        </w:rPr>
        <w:t>, 413 C.</w:t>
      </w:r>
      <w:r>
        <w:fldChar w:fldCharType="end"/>
      </w:r>
    </w:p>
  </w:footnote>
  <w:footnote w:id="12">
    <w:p w:rsidR="00BF3037" w:rsidRPr="00BF3037" w:rsidRDefault="00BF3037">
      <w:pPr>
        <w:pStyle w:val="Funotentext"/>
        <w:rPr>
          <w:lang w:val="en-US"/>
        </w:rPr>
      </w:pPr>
      <w:r>
        <w:rPr>
          <w:rStyle w:val="Funotenzeichen"/>
        </w:rPr>
        <w:footnoteRef/>
      </w:r>
      <w:r>
        <w:t xml:space="preserve"> </w:t>
      </w:r>
      <w:r>
        <w:fldChar w:fldCharType="begin"/>
      </w:r>
      <w:r>
        <w:instrText xml:space="preserve"> ADDIN EN.CITE &lt;EndNote&gt;&lt;Cite&gt;&lt;Author&gt;Schröder&lt;/Author&gt;&lt;Year&gt;2010&lt;/Year&gt;&lt;RecNum&gt;81&lt;/RecNum&gt;&lt;Pages&gt;153&lt;/Pages&gt;&lt;DisplayText&gt;Schröder and others &amp;apos;Plutarch on Oracles and Divine Inspiration&amp;apos;, p. 153.&lt;/DisplayText&gt;&lt;record&gt;&lt;rec-number&gt;81&lt;/rec-number&gt;&lt;foreign-keys&gt;&lt;key app="EN" db-id="aervswptvfs2d5etd04xe2z10rf9wxssrvxd" timestamp="1588017980"&gt;81&lt;/key&gt;&lt;/foreign-keys&gt;&lt;ref-type name="Book Section"&gt;5&lt;/ref-type&gt;&lt;contributors&gt;&lt;authors&gt;&lt;author&gt;Schröder, Stephan&lt;/author&gt;&lt;author&gt;Nesselrath, H. G.&lt;/author&gt;&lt;author&gt;Russell, D. A.&lt;/author&gt;&lt;author&gt;Nesselrath, Heinz-Günther&lt;/author&gt;&lt;author&gt;Russell, Donald&lt;/author&gt;&lt;author&gt;Cawkwell, George&lt;/author&gt;&lt;author&gt;Deuse, Werner&lt;/author&gt;&lt;author&gt;Dillon, John&lt;/author&gt;&lt;author&gt;Parker, Robert&lt;/author&gt;&lt;author&gt;Pelling, Christopher&lt;/author&gt;&lt;/authors&gt;&lt;secondary-authors&gt;&lt;author&gt;Nesselrath, Heinz-Günther&lt;/author&gt;&lt;/secondary-authors&gt;&lt;/contributors&gt;&lt;titles&gt;&lt;title&gt;Plutarch on oracles and divine inspiration&lt;/title&gt;&lt;secondary-title&gt;On the daimonion of Socrates&lt;/secondary-title&gt;&lt;tertiary-title&gt;Plutarch&lt;/tertiary-title&gt;&lt;/titles&gt;&lt;pages&gt;145-168&lt;/pages&gt;&lt;dates&gt;&lt;year&gt;2010&lt;/year&gt;&lt;/dates&gt;&lt;publisher&gt;Mohr Siebeck GmbH and Co. KG&lt;/publisher&gt;&lt;isbn&gt;9783161501388&lt;/isbn&gt;&lt;urls&gt;&lt;related-urls&gt;&lt;url&gt;www.jstor.org/stable/j.ctv9b2w6h.12&lt;/url&gt;&lt;/related-urls&gt;&lt;/urls&gt;&lt;remote-database-name&gt;JSTOR&lt;/remote-database-name&gt;&lt;access-date&gt;2020/04/27/&lt;/access-date&gt;&lt;/record&gt;&lt;/Cite&gt;&lt;/EndNote&gt;</w:instrText>
      </w:r>
      <w:r>
        <w:fldChar w:fldCharType="separate"/>
      </w:r>
      <w:r>
        <w:rPr>
          <w:noProof/>
        </w:rPr>
        <w:t>Schröder and others 'Plutarch on Oracles and Divine Inspiration', p. 153.</w:t>
      </w:r>
      <w:r>
        <w:fldChar w:fldCharType="end"/>
      </w:r>
    </w:p>
  </w:footnote>
  <w:footnote w:id="13">
    <w:p w:rsidR="00B41EF5" w:rsidRPr="00B41EF5" w:rsidRDefault="00B41EF5">
      <w:pPr>
        <w:pStyle w:val="Funotentext"/>
        <w:rPr>
          <w:lang w:val="en-US"/>
        </w:rPr>
      </w:pPr>
      <w:r>
        <w:rPr>
          <w:rStyle w:val="Funotenzeichen"/>
        </w:rPr>
        <w:footnoteRef/>
      </w:r>
      <w:r>
        <w:t xml:space="preserve"> </w:t>
      </w:r>
      <w:r>
        <w:fldChar w:fldCharType="begin"/>
      </w:r>
      <w:r w:rsidR="00930BB8">
        <w:instrText xml:space="preserve"> ADDIN EN.CITE &lt;EndNote&gt;&lt;Cite&gt;&lt;Author&gt;Flower&lt;/Author&gt;&lt;Year&gt;2007&lt;/Year&gt;&lt;RecNum&gt;75&lt;/RecNum&gt;&lt;Pages&gt;108&lt;/Pages&gt;&lt;DisplayText&gt;Michael Attyah Flower, &amp;apos;Divination as a System of Knowledge and Belief&amp;apos;, in &lt;style face="italic"&gt;The Seer in Ancient Greece, &lt;/style&gt;(University of California Press, 2007), p. 108.&lt;/DisplayText&gt;&lt;record&gt;&lt;rec-number&gt;75&lt;/rec-number&gt;&lt;foreign-keys&gt;&lt;key app="EN" db-id="aervswptvfs2d5etd04xe2z10rf9wxssrvxd" timestamp="1588015219"&gt;75&lt;/key&gt;&lt;/foreign-keys&gt;&lt;ref-type name="Book Section"&gt;5&lt;/ref-type&gt;&lt;contributors&gt;&lt;authors&gt;&lt;author&gt;Flower, Michael Attyah&lt;/author&gt;&lt;/authors&gt;&lt;/contributors&gt;&lt;titles&gt;&lt;title&gt;Divination as a System of Knowledge and Belief&lt;/title&gt;&lt;secondary-title&gt;The Seer in Ancient Greece&lt;/secondary-title&gt;&lt;/titles&gt;&lt;pages&gt;104-131&lt;/pages&gt;&lt;edition&gt;1&lt;/edition&gt;&lt;dates&gt;&lt;year&gt;2007&lt;/year&gt;&lt;/dates&gt;&lt;publisher&gt;University of California Press&lt;/publisher&gt;&lt;isbn&gt;9780520252295&lt;/isbn&gt;&lt;urls&gt;&lt;related-urls&gt;&lt;url&gt;www.jstor.org/stable/10.1525/j.ctt1pp4k4.10&lt;/url&gt;&lt;/related-urls&gt;&lt;/urls&gt;&lt;remote-database-name&gt;JSTOR&lt;/remote-database-name&gt;&lt;access-date&gt;2020/04/27/&lt;/access-date&gt;&lt;/record&gt;&lt;/Cite&gt;&lt;/EndNote&gt;</w:instrText>
      </w:r>
      <w:r>
        <w:fldChar w:fldCharType="separate"/>
      </w:r>
      <w:r w:rsidR="00930BB8">
        <w:rPr>
          <w:noProof/>
        </w:rPr>
        <w:t xml:space="preserve">Michael Attyah Flower, 'Divination as a System of Knowledge and Belief', in </w:t>
      </w:r>
      <w:r w:rsidR="00930BB8" w:rsidRPr="00930BB8">
        <w:rPr>
          <w:i/>
          <w:noProof/>
        </w:rPr>
        <w:t xml:space="preserve">The Seer in Ancient Greece, </w:t>
      </w:r>
      <w:r w:rsidR="00930BB8">
        <w:rPr>
          <w:noProof/>
        </w:rPr>
        <w:t>(University of California Press, 2007), p. 108.</w:t>
      </w:r>
      <w:r>
        <w:fldChar w:fldCharType="end"/>
      </w:r>
    </w:p>
  </w:footnote>
  <w:footnote w:id="14">
    <w:p w:rsidR="00BF3037" w:rsidRPr="00BF3037" w:rsidRDefault="00BF3037">
      <w:pPr>
        <w:pStyle w:val="Funotentext"/>
        <w:rPr>
          <w:lang w:val="en-US"/>
        </w:rPr>
      </w:pPr>
      <w:r>
        <w:rPr>
          <w:rStyle w:val="Funotenzeichen"/>
        </w:rPr>
        <w:footnoteRef/>
      </w:r>
      <w:r>
        <w:t xml:space="preserve"> </w:t>
      </w:r>
      <w:r>
        <w:fldChar w:fldCharType="begin"/>
      </w:r>
      <w:r w:rsidR="00B41EF5">
        <w:instrText xml:space="preserve"> ADDIN EN.CITE &lt;EndNote&gt;&lt;Cite&gt;&lt;Author&gt;Flower&lt;/Author&gt;&lt;Year&gt;2007&lt;/Year&gt;&lt;RecNum&gt;75&lt;/RecNum&gt;&lt;Pages&gt;106&lt;/Pages&gt;&lt;DisplayText&gt;Flower, &amp;apos;Divination as a System of Knowledge and Belief&amp;apos;, p. 106.&lt;/DisplayText&gt;&lt;record&gt;&lt;rec-number&gt;75&lt;/rec-number&gt;&lt;foreign-keys&gt;&lt;key app="EN" db-id="aervswptvfs2d5etd04xe2z10rf9wxssrvxd" timestamp="1588015219"&gt;75&lt;/key&gt;&lt;/foreign-keys&gt;&lt;ref-type name="Book Section"&gt;5&lt;/ref-type&gt;&lt;contributors&gt;&lt;authors&gt;&lt;author&gt;Flower, Michael Attyah&lt;/author&gt;&lt;/authors&gt;&lt;/contributors&gt;&lt;titles&gt;&lt;title&gt;Divination as a System of Knowledge and Belief&lt;/title&gt;&lt;secondary-title&gt;The Seer in Ancient Greece&lt;/secondary-title&gt;&lt;/titles&gt;&lt;pages&gt;104-131&lt;/pages&gt;&lt;edition&gt;1&lt;/edition&gt;&lt;dates&gt;&lt;year&gt;2007&lt;/year&gt;&lt;/dates&gt;&lt;publisher&gt;University of California Press&lt;/publisher&gt;&lt;isbn&gt;9780520252295&lt;/isbn&gt;&lt;urls&gt;&lt;related-urls&gt;&lt;url&gt;www.jstor.org/stable/10.1525/j.ctt1pp4k4.10&lt;/url&gt;&lt;/related-urls&gt;&lt;/urls&gt;&lt;remote-database-name&gt;JSTOR&lt;/remote-database-name&gt;&lt;access-date&gt;2020/04/27/&lt;/access-date&gt;&lt;/record&gt;&lt;/Cite&gt;&lt;/EndNote&gt;</w:instrText>
      </w:r>
      <w:r>
        <w:fldChar w:fldCharType="separate"/>
      </w:r>
      <w:r w:rsidR="00B41EF5">
        <w:rPr>
          <w:noProof/>
        </w:rPr>
        <w:t>Flower, 'Divination as a System of Knowledge and Belief', p. 106.</w:t>
      </w:r>
      <w:r>
        <w:fldChar w:fldCharType="end"/>
      </w:r>
    </w:p>
  </w:footnote>
  <w:footnote w:id="15">
    <w:p w:rsidR="00BF3037" w:rsidRPr="00BF3037" w:rsidRDefault="00BF3037">
      <w:pPr>
        <w:pStyle w:val="Funotentext"/>
        <w:rPr>
          <w:lang w:val="en-US"/>
        </w:rPr>
      </w:pPr>
      <w:r>
        <w:rPr>
          <w:rStyle w:val="Funotenzeichen"/>
        </w:rPr>
        <w:footnoteRef/>
      </w:r>
      <w:r>
        <w:t xml:space="preserve"> </w:t>
      </w:r>
      <w:r>
        <w:fldChar w:fldCharType="begin"/>
      </w:r>
      <w:r>
        <w:instrText xml:space="preserve"> ADDIN EN.CITE &lt;EndNote&gt;&lt;Cite&gt;&lt;Author&gt;Flower&lt;/Author&gt;&lt;Year&gt;2007&lt;/Year&gt;&lt;RecNum&gt;75&lt;/RecNum&gt;&lt;Pages&gt;107&lt;/Pages&gt;&lt;DisplayText&gt;Flower, &amp;apos;Divination as a System of Knowledge and Belief&amp;apos;, p. 107.&lt;/DisplayText&gt;&lt;record&gt;&lt;rec-number&gt;75&lt;/rec-number&gt;&lt;foreign-keys&gt;&lt;key app="EN" db-id="aervswptvfs2d5etd04xe2z10rf9wxssrvxd" timestamp="1588015219"&gt;75&lt;/key&gt;&lt;/foreign-keys&gt;&lt;ref-type name="Book Section"&gt;5&lt;/ref-type&gt;&lt;contributors&gt;&lt;authors&gt;&lt;author&gt;Flower, Michael Attyah&lt;/author&gt;&lt;/authors&gt;&lt;/contributors&gt;&lt;titles&gt;&lt;title&gt;Divination as a System of Knowledge and Belief&lt;/title&gt;&lt;secondary-title&gt;The Seer in Ancient Greece&lt;/secondary-title&gt;&lt;/titles&gt;&lt;pages&gt;104-131&lt;/pages&gt;&lt;edition&gt;1&lt;/edition&gt;&lt;dates&gt;&lt;year&gt;2007&lt;/year&gt;&lt;/dates&gt;&lt;publisher&gt;University of California Press&lt;/publisher&gt;&lt;isbn&gt;9780520252295&lt;/isbn&gt;&lt;urls&gt;&lt;related-urls&gt;&lt;url&gt;www.jstor.org/stable/10.1525/j.ctt1pp4k4.10&lt;/url&gt;&lt;/related-urls&gt;&lt;/urls&gt;&lt;remote-database-name&gt;JSTOR&lt;/remote-database-name&gt;&lt;access-date&gt;2020/04/27/&lt;/access-date&gt;&lt;/record&gt;&lt;/Cite&gt;&lt;/EndNote&gt;</w:instrText>
      </w:r>
      <w:r>
        <w:fldChar w:fldCharType="separate"/>
      </w:r>
      <w:r>
        <w:rPr>
          <w:noProof/>
        </w:rPr>
        <w:t>Flower, 'Divination as a System of Knowledge and Belief', p. 107.</w:t>
      </w:r>
      <w:r>
        <w:fldChar w:fldCharType="end"/>
      </w:r>
    </w:p>
  </w:footnote>
  <w:footnote w:id="16">
    <w:p w:rsidR="00BF3037" w:rsidRPr="00BF3037" w:rsidRDefault="00BF3037">
      <w:pPr>
        <w:pStyle w:val="Funotentext"/>
        <w:rPr>
          <w:lang w:val="en-US"/>
        </w:rPr>
      </w:pPr>
      <w:r>
        <w:rPr>
          <w:rStyle w:val="Funotenzeichen"/>
        </w:rPr>
        <w:footnoteRef/>
      </w:r>
      <w:r>
        <w:t xml:space="preserve"> </w:t>
      </w:r>
      <w:r>
        <w:fldChar w:fldCharType="begin"/>
      </w:r>
      <w:r>
        <w:instrText xml:space="preserve"> ADDIN EN.CITE &lt;EndNote&gt;&lt;Cite&gt;&lt;Author&gt;Flower&lt;/Author&gt;&lt;Year&gt;2007&lt;/Year&gt;&lt;RecNum&gt;75&lt;/RecNum&gt;&lt;Pages&gt;105&lt;/Pages&gt;&lt;DisplayText&gt;Flower, &amp;apos;Divination as a System of Knowledge and Belief&amp;apos;, p. 105.&lt;/DisplayText&gt;&lt;record&gt;&lt;rec-number&gt;75&lt;/rec-number&gt;&lt;foreign-keys&gt;&lt;key app="EN" db-id="aervswptvfs2d5etd04xe2z10rf9wxssrvxd" timestamp="1588015219"&gt;75&lt;/key&gt;&lt;/foreign-keys&gt;&lt;ref-type name="Book Section"&gt;5&lt;/ref-type&gt;&lt;contributors&gt;&lt;authors&gt;&lt;author&gt;Flower, Michael Attyah&lt;/author&gt;&lt;/authors&gt;&lt;/contributors&gt;&lt;titles&gt;&lt;title&gt;Divination as a System of Knowledge and Belief&lt;/title&gt;&lt;secondary-title&gt;The Seer in Ancient Greece&lt;/secondary-title&gt;&lt;/titles&gt;&lt;pages&gt;104-131&lt;/pages&gt;&lt;edition&gt;1&lt;/edition&gt;&lt;dates&gt;&lt;year&gt;2007&lt;/year&gt;&lt;/dates&gt;&lt;publisher&gt;University of California Press&lt;/publisher&gt;&lt;isbn&gt;9780520252295&lt;/isbn&gt;&lt;urls&gt;&lt;related-urls&gt;&lt;url&gt;www.jstor.org/stable/10.1525/j.ctt1pp4k4.10&lt;/url&gt;&lt;/related-urls&gt;&lt;/urls&gt;&lt;remote-database-name&gt;JSTOR&lt;/remote-database-name&gt;&lt;access-date&gt;2020/04/27/&lt;/access-date&gt;&lt;/record&gt;&lt;/Cite&gt;&lt;/EndNote&gt;</w:instrText>
      </w:r>
      <w:r>
        <w:fldChar w:fldCharType="separate"/>
      </w:r>
      <w:r>
        <w:rPr>
          <w:noProof/>
        </w:rPr>
        <w:t>Flower, 'Divination as a System of Knowledge and Belief', p. 105.</w:t>
      </w:r>
      <w:r>
        <w:fldChar w:fldCharType="end"/>
      </w:r>
    </w:p>
  </w:footnote>
  <w:footnote w:id="17">
    <w:p w:rsidR="00BF3037" w:rsidRPr="00BF3037" w:rsidRDefault="00BF3037">
      <w:pPr>
        <w:pStyle w:val="Funotentext"/>
        <w:rPr>
          <w:lang w:val="en-US"/>
        </w:rPr>
      </w:pPr>
      <w:r>
        <w:rPr>
          <w:rStyle w:val="Funotenzeichen"/>
        </w:rPr>
        <w:footnoteRef/>
      </w:r>
      <w:r>
        <w:t xml:space="preserve"> </w:t>
      </w:r>
      <w:r>
        <w:fldChar w:fldCharType="begin"/>
      </w:r>
      <w:r>
        <w:instrText xml:space="preserve"> ADDIN EN.CITE &lt;EndNote&gt;&lt;Cite&gt;&lt;Author&gt;Plutarch&lt;/Author&gt;&lt;Year&gt;1936&lt;/Year&gt;&lt;RecNum&gt;84&lt;/RecNum&gt;&lt;Pages&gt;431 E&lt;/Pages&gt;&lt;DisplayText&gt;Plutarch, &lt;style face="italic"&gt;The Obsolescence of Oracles (De Defectu Oraculorum)&lt;/style&gt;, 431 E.&lt;/DisplayText&gt;&lt;record&gt;&lt;rec-number&gt;84&lt;/rec-number&gt;&lt;foreign-keys&gt;&lt;key app="EN" db-id="aervswptvfs2d5etd04xe2z10rf9wxssrvxd" timestamp="1591650692"&gt;84&lt;/key&gt;&lt;/foreign-keys&gt;&lt;ref-type name="Ancient Text"&gt;51&lt;/ref-type&gt;&lt;contributors&gt;&lt;authors&gt;&lt;author&gt;Plutarch&lt;/author&gt;&lt;/authors&gt;&lt;subsidiary-authors&gt;&lt;author&gt;Frank Cole Babbitt&lt;/author&gt;&lt;/subsidiary-authors&gt;&lt;/contributors&gt;&lt;titles&gt;&lt;title&gt;The Obsolescence of Oracles (De defectu oraculorum)&lt;/title&gt;&lt;secondary-title&gt;Moralia&lt;/secondary-title&gt;&lt;/titles&gt;&lt;volume&gt;V&lt;/volume&gt;&lt;dates&gt;&lt;year&gt;1936&lt;/year&gt;&lt;/dates&gt;&lt;pub-location&gt;Cambridge, MA&lt;/pub-location&gt;&lt;publisher&gt;Harvard University Press&lt;/publisher&gt;&lt;urls&gt;&lt;/urls&gt;&lt;/record&gt;&lt;/Cite&gt;&lt;/EndNote&gt;</w:instrText>
      </w:r>
      <w:r>
        <w:fldChar w:fldCharType="separate"/>
      </w:r>
      <w:r>
        <w:rPr>
          <w:noProof/>
        </w:rPr>
        <w:t xml:space="preserve">Plutarch, </w:t>
      </w:r>
      <w:r w:rsidRPr="00BF3037">
        <w:rPr>
          <w:i/>
          <w:noProof/>
        </w:rPr>
        <w:t>The Obsolescence of Oracles (De Defectu Oraculorum)</w:t>
      </w:r>
      <w:r>
        <w:rPr>
          <w:noProof/>
        </w:rPr>
        <w:t>, 431 E.</w:t>
      </w:r>
      <w:r>
        <w:fldChar w:fldCharType="end"/>
      </w:r>
    </w:p>
  </w:footnote>
  <w:footnote w:id="18">
    <w:p w:rsidR="00A43F8E" w:rsidRPr="00A43F8E" w:rsidRDefault="00A43F8E">
      <w:pPr>
        <w:pStyle w:val="Funotentext"/>
        <w:rPr>
          <w:lang w:val="en-US"/>
        </w:rPr>
      </w:pPr>
      <w:r>
        <w:rPr>
          <w:rStyle w:val="Funotenzeichen"/>
        </w:rPr>
        <w:footnoteRef/>
      </w:r>
      <w:r>
        <w:t xml:space="preserve"> </w:t>
      </w:r>
      <w:r>
        <w:fldChar w:fldCharType="begin"/>
      </w:r>
      <w:r>
        <w:instrText xml:space="preserve"> ADDIN EN.CITE &lt;EndNote&gt;&lt;Cite&gt;&lt;Author&gt;Plutarch&lt;/Author&gt;&lt;Year&gt;1936&lt;/Year&gt;&lt;RecNum&gt;84&lt;/RecNum&gt;&lt;Pages&gt;432&lt;/Pages&gt;&lt;DisplayText&gt;Plutarch, &lt;style face="italic"&gt;The Obsolescence of Oracles (De Defectu Oraculorum)&lt;/style&gt;, 432.&lt;/DisplayText&gt;&lt;record&gt;&lt;rec-number&gt;84&lt;/rec-number&gt;&lt;foreign-keys&gt;&lt;key app="EN" db-id="aervswptvfs2d5etd04xe2z10rf9wxssrvxd" timestamp="1591650692"&gt;84&lt;/key&gt;&lt;/foreign-keys&gt;&lt;ref-type name="Ancient Text"&gt;51&lt;/ref-type&gt;&lt;contributors&gt;&lt;authors&gt;&lt;author&gt;Plutarch&lt;/author&gt;&lt;/authors&gt;&lt;subsidiary-authors&gt;&lt;author&gt;Frank Cole Babbitt&lt;/author&gt;&lt;/subsidiary-authors&gt;&lt;/contributors&gt;&lt;titles&gt;&lt;title&gt;The Obsolescence of Oracles (De defectu oraculorum)&lt;/title&gt;&lt;secondary-title&gt;Moralia&lt;/secondary-title&gt;&lt;/titles&gt;&lt;volume&gt;V&lt;/volume&gt;&lt;dates&gt;&lt;year&gt;1936&lt;/year&gt;&lt;/dates&gt;&lt;pub-location&gt;Cambridge, MA&lt;/pub-location&gt;&lt;publisher&gt;Harvard University Press&lt;/publisher&gt;&lt;urls&gt;&lt;/urls&gt;&lt;/record&gt;&lt;/Cite&gt;&lt;/EndNote&gt;</w:instrText>
      </w:r>
      <w:r>
        <w:fldChar w:fldCharType="separate"/>
      </w:r>
      <w:r>
        <w:rPr>
          <w:noProof/>
        </w:rPr>
        <w:t xml:space="preserve">Plutarch, </w:t>
      </w:r>
      <w:r w:rsidRPr="00A43F8E">
        <w:rPr>
          <w:i/>
          <w:noProof/>
        </w:rPr>
        <w:t>The Obsolescence of Oracles (De Defectu Oraculorum)</w:t>
      </w:r>
      <w:r>
        <w:rPr>
          <w:noProof/>
        </w:rPr>
        <w:t>, 432.</w:t>
      </w:r>
      <w:r>
        <w:fldChar w:fldCharType="end"/>
      </w:r>
    </w:p>
  </w:footnote>
  <w:footnote w:id="19">
    <w:p w:rsidR="00A43F8E" w:rsidRPr="00A43F8E" w:rsidRDefault="00A43F8E">
      <w:pPr>
        <w:pStyle w:val="Funotentext"/>
        <w:rPr>
          <w:lang w:val="en-US"/>
        </w:rPr>
      </w:pPr>
      <w:r>
        <w:rPr>
          <w:rStyle w:val="Funotenzeichen"/>
        </w:rPr>
        <w:footnoteRef/>
      </w:r>
      <w:r>
        <w:t xml:space="preserve"> </w:t>
      </w:r>
      <w:r>
        <w:fldChar w:fldCharType="begin"/>
      </w:r>
      <w:r>
        <w:instrText xml:space="preserve"> ADDIN EN.CITE &lt;EndNote&gt;&lt;Cite&gt;&lt;Author&gt;Flower&lt;/Author&gt;&lt;Year&gt;2007&lt;/Year&gt;&lt;RecNum&gt;75&lt;/RecNum&gt;&lt;Pages&gt;107&lt;/Pages&gt;&lt;DisplayText&gt;Flower, &amp;apos;Divination as a System of Knowledge and Belief&amp;apos;, p. 107.&lt;/DisplayText&gt;&lt;record&gt;&lt;rec-number&gt;75&lt;/rec-number&gt;&lt;foreign-keys&gt;&lt;key app="EN" db-id="aervswptvfs2d5etd04xe2z10rf9wxssrvxd" timestamp="1588015219"&gt;75&lt;/key&gt;&lt;/foreign-keys&gt;&lt;ref-type name="Book Section"&gt;5&lt;/ref-type&gt;&lt;contributors&gt;&lt;authors&gt;&lt;author&gt;Flower, Michael Attyah&lt;/author&gt;&lt;/authors&gt;&lt;/contributors&gt;&lt;titles&gt;&lt;title&gt;Divination as a System of Knowledge and Belief&lt;/title&gt;&lt;secondary-title&gt;The Seer in Ancient Greece&lt;/secondary-title&gt;&lt;/titles&gt;&lt;pages&gt;104-131&lt;/pages&gt;&lt;edition&gt;1&lt;/edition&gt;&lt;dates&gt;&lt;year&gt;2007&lt;/year&gt;&lt;/dates&gt;&lt;publisher&gt;University of California Press&lt;/publisher&gt;&lt;isbn&gt;9780520252295&lt;/isbn&gt;&lt;urls&gt;&lt;related-urls&gt;&lt;url&gt;www.jstor.org/stable/10.1525/j.ctt1pp4k4.10&lt;/url&gt;&lt;/related-urls&gt;&lt;/urls&gt;&lt;remote-database-name&gt;JSTOR&lt;/remote-database-name&gt;&lt;access-date&gt;2020/04/27/&lt;/access-date&gt;&lt;/record&gt;&lt;/Cite&gt;&lt;/EndNote&gt;</w:instrText>
      </w:r>
      <w:r>
        <w:fldChar w:fldCharType="separate"/>
      </w:r>
      <w:r>
        <w:rPr>
          <w:noProof/>
        </w:rPr>
        <w:t>Flower, 'Divination as a System of Knowledge and Belief', p. 107.</w:t>
      </w:r>
      <w:r>
        <w:fldChar w:fldCharType="end"/>
      </w:r>
    </w:p>
  </w:footnote>
  <w:footnote w:id="20">
    <w:p w:rsidR="00A43F8E" w:rsidRPr="00A43F8E" w:rsidRDefault="00A43F8E">
      <w:pPr>
        <w:pStyle w:val="Funotentext"/>
        <w:rPr>
          <w:lang w:val="en-US"/>
        </w:rPr>
      </w:pPr>
      <w:r>
        <w:rPr>
          <w:rStyle w:val="Funotenzeichen"/>
        </w:rPr>
        <w:footnoteRef/>
      </w:r>
      <w:r>
        <w:t xml:space="preserve"> </w:t>
      </w:r>
      <w:r>
        <w:fldChar w:fldCharType="begin"/>
      </w:r>
      <w:r>
        <w:instrText xml:space="preserve"> ADDIN EN.CITE &lt;EndNote&gt;&lt;Cite&gt;&lt;Author&gt;Plutarch&lt;/Author&gt;&lt;Year&gt;1936&lt;/Year&gt;&lt;RecNum&gt;84&lt;/RecNum&gt;&lt;Pages&gt;413 C&lt;/Pages&gt;&lt;DisplayText&gt;Plutarch, &lt;style face="italic"&gt;The Obsolescence of Oracles (De Defectu Oraculorum)&lt;/style&gt;, 413 C.&lt;/DisplayText&gt;&lt;record&gt;&lt;rec-number&gt;84&lt;/rec-number&gt;&lt;foreign-keys&gt;&lt;key app="EN" db-id="aervswptvfs2d5etd04xe2z10rf9wxssrvxd" timestamp="1591650692"&gt;84&lt;/key&gt;&lt;/foreign-keys&gt;&lt;ref-type name="Ancient Text"&gt;51&lt;/ref-type&gt;&lt;contributors&gt;&lt;authors&gt;&lt;author&gt;Plutarch&lt;/author&gt;&lt;/authors&gt;&lt;subsidiary-authors&gt;&lt;author&gt;Frank Cole Babbitt&lt;/author&gt;&lt;/subsidiary-authors&gt;&lt;/contributors&gt;&lt;titles&gt;&lt;title&gt;The Obsolescence of Oracles (De defectu oraculorum)&lt;/title&gt;&lt;secondary-title&gt;Moralia&lt;/secondary-title&gt;&lt;/titles&gt;&lt;volume&gt;V&lt;/volume&gt;&lt;dates&gt;&lt;year&gt;1936&lt;/year&gt;&lt;/dates&gt;&lt;pub-location&gt;Cambridge, MA&lt;/pub-location&gt;&lt;publisher&gt;Harvard University Press&lt;/publisher&gt;&lt;urls&gt;&lt;/urls&gt;&lt;/record&gt;&lt;/Cite&gt;&lt;/EndNote&gt;</w:instrText>
      </w:r>
      <w:r>
        <w:fldChar w:fldCharType="separate"/>
      </w:r>
      <w:r>
        <w:rPr>
          <w:noProof/>
        </w:rPr>
        <w:t xml:space="preserve">Plutarch, </w:t>
      </w:r>
      <w:r w:rsidRPr="00A43F8E">
        <w:rPr>
          <w:i/>
          <w:noProof/>
        </w:rPr>
        <w:t>The Obsolescence of Oracles (De Defectu Oraculorum)</w:t>
      </w:r>
      <w:r>
        <w:rPr>
          <w:noProof/>
        </w:rPr>
        <w:t>, 413 C.</w:t>
      </w:r>
      <w:r>
        <w:fldChar w:fldCharType="end"/>
      </w:r>
    </w:p>
  </w:footnote>
  <w:footnote w:id="21">
    <w:p w:rsidR="00254E0C" w:rsidRPr="00254E0C" w:rsidRDefault="00254E0C">
      <w:pPr>
        <w:pStyle w:val="Funotentext"/>
        <w:rPr>
          <w:lang w:val="en-US"/>
        </w:rPr>
      </w:pPr>
      <w:r>
        <w:rPr>
          <w:rStyle w:val="Funotenzeichen"/>
        </w:rPr>
        <w:footnoteRef/>
      </w:r>
      <w:r>
        <w:t xml:space="preserve"> </w:t>
      </w:r>
      <w:r>
        <w:fldChar w:fldCharType="begin"/>
      </w:r>
      <w:r>
        <w:instrText xml:space="preserve"> ADDIN EN.CITE &lt;EndNote&gt;&lt;Cite&gt;&lt;Author&gt;Eidinow&lt;/Author&gt;&lt;Year&gt;2013&lt;/Year&gt;&lt;RecNum&gt;87&lt;/RecNum&gt;&lt;DisplayText&gt;Esther Eidinow, &lt;style face="italic"&gt;Oracles, Curses, and Risk among the Ancient Greeks&lt;/style&gt;,  (Oxford: Oxford University Press, 2013).&lt;/DisplayText&gt;&lt;record&gt;&lt;rec-number&gt;87&lt;/rec-number&gt;&lt;foreign-keys&gt;&lt;key app="EN" db-id="aervswptvfs2d5etd04xe2z10rf9wxssrvxd" timestamp="1591653415"&gt;87&lt;/key&gt;&lt;/foreign-keys&gt;&lt;ref-type name="Book"&gt;6&lt;/ref-type&gt;&lt;contributors&gt;&lt;authors&gt;&lt;author&gt;Eidinow, Esther&lt;/author&gt;&lt;/authors&gt;&lt;/contributors&gt;&lt;titles&gt;&lt;title&gt;Oracles, curses, and risk among the ancient Greeks&lt;/title&gt;&lt;/titles&gt;&lt;keywords&gt;&lt;keyword&gt;Oracles, Greek.&lt;/keyword&gt;&lt;keyword&gt;Blessing and cursing Greece.&lt;/keyword&gt;&lt;keyword&gt;Greece Religious life and customs.&lt;/keyword&gt;&lt;/keywords&gt;&lt;dates&gt;&lt;year&gt;2013&lt;/year&gt;&lt;/dates&gt;&lt;pub-location&gt;Oxford&lt;/pub-location&gt;&lt;publisher&gt;Oxford University Press&lt;/publisher&gt;&lt;isbn&gt;9780199660667 (pbk.) : ¹40.00&amp;#xD;0199660662 (pbk.) : ¹40.00&amp;#xD;9780199277780 (hbk)&lt;/isbn&gt;&lt;call-num&gt;292.32 23&amp;#xD;British Library HMNTS YC.2014.a.4151&lt;/call-num&gt;&lt;urls&gt;&lt;/urls&gt;&lt;/record&gt;&lt;/Cite&gt;&lt;/EndNote&gt;</w:instrText>
      </w:r>
      <w:r>
        <w:fldChar w:fldCharType="separate"/>
      </w:r>
      <w:r>
        <w:rPr>
          <w:noProof/>
        </w:rPr>
        <w:t xml:space="preserve">Esther Eidinow, </w:t>
      </w:r>
      <w:r w:rsidRPr="00254E0C">
        <w:rPr>
          <w:i/>
          <w:noProof/>
        </w:rPr>
        <w:t>Oracles, Curses, and Risk among the Ancient Greeks</w:t>
      </w:r>
      <w:r>
        <w:rPr>
          <w:noProof/>
        </w:rPr>
        <w:t>,  (Oxford: Oxford University Press, 2013).</w:t>
      </w:r>
      <w:r>
        <w:fldChar w:fldCharType="end"/>
      </w:r>
    </w:p>
  </w:footnote>
  <w:footnote w:id="22">
    <w:p w:rsidR="001A4B86" w:rsidRPr="001A4B86" w:rsidRDefault="001A4B86">
      <w:pPr>
        <w:pStyle w:val="Funotentext"/>
        <w:rPr>
          <w:lang w:val="en-US"/>
        </w:rPr>
      </w:pPr>
      <w:r>
        <w:rPr>
          <w:rStyle w:val="Funotenzeichen"/>
        </w:rPr>
        <w:footnoteRef/>
      </w:r>
      <w:r>
        <w:t xml:space="preserve"> </w:t>
      </w:r>
      <w:r>
        <w:fldChar w:fldCharType="begin"/>
      </w:r>
      <w:r>
        <w:instrText xml:space="preserve"> ADDIN EN.CITE &lt;EndNote&gt;&lt;Cite&gt;&lt;Author&gt;Flower&lt;/Author&gt;&lt;Year&gt;2007&lt;/Year&gt;&lt;RecNum&gt;75&lt;/RecNum&gt;&lt;Pages&gt;108&lt;/Pages&gt;&lt;DisplayText&gt;Flower, &amp;apos;Divination as a System of Knowledge and Belief&amp;apos;, p. 108.&lt;/DisplayText&gt;&lt;record&gt;&lt;rec-number&gt;75&lt;/rec-number&gt;&lt;foreign-keys&gt;&lt;key app="EN" db-id="aervswptvfs2d5etd04xe2z10rf9wxssrvxd" timestamp="1588015219"&gt;75&lt;/key&gt;&lt;/foreign-keys&gt;&lt;ref-type name="Book Section"&gt;5&lt;/ref-type&gt;&lt;contributors&gt;&lt;authors&gt;&lt;author&gt;Flower, Michael Attyah&lt;/author&gt;&lt;/authors&gt;&lt;/contributors&gt;&lt;titles&gt;&lt;title&gt;Divination as a System of Knowledge and Belief&lt;/title&gt;&lt;secondary-title&gt;The Seer in Ancient Greece&lt;/secondary-title&gt;&lt;/titles&gt;&lt;pages&gt;104-131&lt;/pages&gt;&lt;edition&gt;1&lt;/edition&gt;&lt;dates&gt;&lt;year&gt;2007&lt;/year&gt;&lt;/dates&gt;&lt;publisher&gt;University of California Press&lt;/publisher&gt;&lt;isbn&gt;9780520252295&lt;/isbn&gt;&lt;urls&gt;&lt;related-urls&gt;&lt;url&gt;www.jstor.org/stable/10.1525/j.ctt1pp4k4.10&lt;/url&gt;&lt;/related-urls&gt;&lt;/urls&gt;&lt;remote-database-name&gt;JSTOR&lt;/remote-database-name&gt;&lt;access-date&gt;2020/04/27/&lt;/access-date&gt;&lt;/record&gt;&lt;/Cite&gt;&lt;/EndNote&gt;</w:instrText>
      </w:r>
      <w:r>
        <w:fldChar w:fldCharType="separate"/>
      </w:r>
      <w:r>
        <w:rPr>
          <w:noProof/>
        </w:rPr>
        <w:t>Flower, 'Divination as a System of Knowledge and Belief', p. 108.</w:t>
      </w:r>
      <w:r>
        <w:fldChar w:fldCharType="end"/>
      </w:r>
    </w:p>
  </w:footnote>
  <w:footnote w:id="23">
    <w:p w:rsidR="00CA7BE5" w:rsidRPr="00CA7BE5" w:rsidRDefault="00CA7BE5">
      <w:pPr>
        <w:pStyle w:val="Funotentext"/>
        <w:rPr>
          <w:lang w:val="en-US"/>
        </w:rPr>
      </w:pPr>
      <w:r>
        <w:rPr>
          <w:rStyle w:val="Funotenzeichen"/>
        </w:rPr>
        <w:footnoteRef/>
      </w:r>
      <w:r>
        <w:t xml:space="preserve"> </w:t>
      </w:r>
      <w:r>
        <w:fldChar w:fldCharType="begin"/>
      </w:r>
      <w:r>
        <w:instrText xml:space="preserve"> ADDIN EN.CITE &lt;EndNote&gt;&lt;Cite&gt;&lt;Author&gt;Flower&lt;/Author&gt;&lt;Year&gt;2007&lt;/Year&gt;&lt;RecNum&gt;75&lt;/RecNum&gt;&lt;Pages&gt;109&lt;/Pages&gt;&lt;DisplayText&gt;Flower, &amp;apos;Divination as a System of Knowledge and Belief&amp;apos;, p. 109.&lt;/DisplayText&gt;&lt;record&gt;&lt;rec-number&gt;75&lt;/rec-number&gt;&lt;foreign-keys&gt;&lt;key app="EN" db-id="aervswptvfs2d5etd04xe2z10rf9wxssrvxd" timestamp="1588015219"&gt;75&lt;/key&gt;&lt;/foreign-keys&gt;&lt;ref-type name="Book Section"&gt;5&lt;/ref-type&gt;&lt;contributors&gt;&lt;authors&gt;&lt;author&gt;Flower, Michael Attyah&lt;/author&gt;&lt;/authors&gt;&lt;/contributors&gt;&lt;titles&gt;&lt;title&gt;Divination as a System of Knowledge and Belief&lt;/title&gt;&lt;secondary-title&gt;The Seer in Ancient Greece&lt;/secondary-title&gt;&lt;/titles&gt;&lt;pages&gt;104-131&lt;/pages&gt;&lt;edition&gt;1&lt;/edition&gt;&lt;dates&gt;&lt;year&gt;2007&lt;/year&gt;&lt;/dates&gt;&lt;publisher&gt;University of California Press&lt;/publisher&gt;&lt;isbn&gt;9780520252295&lt;/isbn&gt;&lt;urls&gt;&lt;related-urls&gt;&lt;url&gt;www.jstor.org/stable/10.1525/j.ctt1pp4k4.10&lt;/url&gt;&lt;/related-urls&gt;&lt;/urls&gt;&lt;remote-database-name&gt;JSTOR&lt;/remote-database-name&gt;&lt;access-date&gt;2020/04/27/&lt;/access-date&gt;&lt;/record&gt;&lt;/Cite&gt;&lt;/EndNote&gt;</w:instrText>
      </w:r>
      <w:r>
        <w:fldChar w:fldCharType="separate"/>
      </w:r>
      <w:r>
        <w:rPr>
          <w:noProof/>
        </w:rPr>
        <w:t>Flower, 'Divination as a System of Knowledge and Belief', p. 109.</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5E82" w:rsidRDefault="00945E82" w:rsidP="009136E7">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end"/>
    </w:r>
  </w:p>
  <w:p w:rsidR="00945E82" w:rsidRDefault="00945E82" w:rsidP="00945E82">
    <w:pPr>
      <w:pStyle w:val="Kopfzeil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5E82" w:rsidRDefault="00945E82" w:rsidP="009136E7">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1</w:t>
    </w:r>
    <w:r>
      <w:rPr>
        <w:rStyle w:val="Seitenzahl"/>
      </w:rPr>
      <w:fldChar w:fldCharType="end"/>
    </w:r>
  </w:p>
  <w:p w:rsidR="00945E82" w:rsidRPr="00945E82" w:rsidRDefault="00945E82" w:rsidP="00945E82">
    <w:pPr>
      <w:pStyle w:val="Kopfzeile"/>
      <w:ind w:right="360"/>
      <w:rPr>
        <w:lang w:val="de-AT"/>
      </w:rPr>
    </w:pPr>
    <w:r>
      <w:rPr>
        <w:lang w:val="de-AT"/>
      </w:rPr>
      <w:t>Andrea Konrad 1905426</w:t>
    </w:r>
    <w:r>
      <w:rPr>
        <w:lang w:val="de-AT"/>
      </w:rPr>
      <w:tab/>
    </w:r>
    <w:r>
      <w:rPr>
        <w:lang w:val="de-AT"/>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7804A4C"/>
    <w:multiLevelType w:val="hybridMultilevel"/>
    <w:tmpl w:val="E034AFFA"/>
    <w:lvl w:ilvl="0" w:tplc="04070015">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3A9526A"/>
    <w:multiLevelType w:val="hybridMultilevel"/>
    <w:tmpl w:val="A2147342"/>
    <w:lvl w:ilvl="0" w:tplc="BC442818">
      <w:start w:val="10"/>
      <w:numFmt w:val="bullet"/>
      <w:lvlText w:val=""/>
      <w:lvlJc w:val="left"/>
      <w:pPr>
        <w:ind w:left="720" w:hanging="360"/>
      </w:pPr>
      <w:rPr>
        <w:rFonts w:ascii="Wingdings" w:eastAsia="SimSun" w:hAnsi="Wingdings" w:cs="Aria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8"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463233"/>
    <w:multiLevelType w:val="hybridMultilevel"/>
    <w:tmpl w:val="ED8CD20E"/>
    <w:lvl w:ilvl="0" w:tplc="C0D8A210">
      <w:start w:val="10"/>
      <w:numFmt w:val="bullet"/>
      <w:lvlText w:val=""/>
      <w:lvlJc w:val="left"/>
      <w:pPr>
        <w:ind w:left="720" w:hanging="360"/>
      </w:pPr>
      <w:rPr>
        <w:rFonts w:ascii="Wingdings" w:eastAsia="SimSun" w:hAnsi="Wingdings" w:cs="Aria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7"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15:restartNumberingAfterBreak="0">
    <w:nsid w:val="68AB275E"/>
    <w:multiLevelType w:val="hybridMultilevel"/>
    <w:tmpl w:val="A68A9876"/>
    <w:lvl w:ilvl="0" w:tplc="78888E9E">
      <w:start w:val="10"/>
      <w:numFmt w:val="bullet"/>
      <w:lvlText w:val="-"/>
      <w:lvlJc w:val="left"/>
      <w:pPr>
        <w:ind w:left="720" w:hanging="360"/>
      </w:pPr>
      <w:rPr>
        <w:rFonts w:ascii="Arial" w:eastAsia="SimSun" w:hAnsi="Arial" w:cs="Aria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4"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5"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6"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7"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1"/>
  </w:num>
  <w:num w:numId="2">
    <w:abstractNumId w:val="24"/>
  </w:num>
  <w:num w:numId="3">
    <w:abstractNumId w:val="11"/>
  </w:num>
  <w:num w:numId="4">
    <w:abstractNumId w:val="8"/>
  </w:num>
  <w:num w:numId="5">
    <w:abstractNumId w:val="2"/>
  </w:num>
  <w:num w:numId="6">
    <w:abstractNumId w:val="5"/>
  </w:num>
  <w:num w:numId="7">
    <w:abstractNumId w:val="15"/>
  </w:num>
  <w:num w:numId="8">
    <w:abstractNumId w:val="25"/>
  </w:num>
  <w:num w:numId="9">
    <w:abstractNumId w:val="27"/>
  </w:num>
  <w:num w:numId="10">
    <w:abstractNumId w:val="6"/>
  </w:num>
  <w:num w:numId="11">
    <w:abstractNumId w:val="22"/>
  </w:num>
  <w:num w:numId="12">
    <w:abstractNumId w:val="26"/>
  </w:num>
  <w:num w:numId="13">
    <w:abstractNumId w:val="13"/>
  </w:num>
  <w:num w:numId="14">
    <w:abstractNumId w:val="17"/>
  </w:num>
  <w:num w:numId="15">
    <w:abstractNumId w:val="19"/>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2"/>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4"/>
  </w:num>
  <w:num w:numId="20">
    <w:abstractNumId w:val="20"/>
  </w:num>
  <w:num w:numId="21">
    <w:abstractNumId w:val="3"/>
  </w:num>
  <w:num w:numId="22">
    <w:abstractNumId w:val="9"/>
  </w:num>
  <w:num w:numId="23">
    <w:abstractNumId w:val="18"/>
  </w:num>
  <w:num w:numId="24">
    <w:abstractNumId w:val="10"/>
  </w:num>
  <w:num w:numId="25">
    <w:abstractNumId w:val="1"/>
  </w:num>
  <w:num w:numId="26">
    <w:abstractNumId w:val="4"/>
  </w:num>
  <w:num w:numId="27">
    <w:abstractNumId w:val="16"/>
  </w:num>
  <w:num w:numId="28">
    <w:abstractNumId w:val="7"/>
  </w:num>
  <w:num w:numId="2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6"/>
  <w:displayBackgroundShap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UWTSD (Andrea)&lt;/Style&gt;&lt;LeftDelim&gt;{&lt;/LeftDelim&gt;&lt;RightDelim&gt;}&lt;/RightDelim&gt;&lt;FontName&gt;Georgia&lt;/FontName&gt;&lt;FontSize&gt;10&lt;/FontSize&gt;&lt;ReflistTitle&gt;&lt;/ReflistTitle&gt;&lt;StartingRefnum&gt;6&lt;/StartingRefnum&gt;&lt;FirstLineIndent&gt;0&lt;/FirstLineIndent&gt;&lt;HangingIndent&gt;720&lt;/HangingIndent&gt;&lt;LineSpacing&gt;0&lt;/LineSpacing&gt;&lt;SpaceAfter&gt;0&lt;/SpaceAfter&gt;&lt;HyperlinksEnabled&gt;0&lt;/HyperlinksEnabled&gt;&lt;HyperlinksVisible&gt;0&lt;/HyperlinksVisible&gt;&lt;EnableBibliographyCategories&gt;1&lt;/EnableBibliographyCategories&gt;&lt;/ENLayout&gt;"/>
    <w:docVar w:name="EN.Libraries" w:val="&lt;Libraries&gt;&lt;item db-id=&quot;aervswptvfs2d5etd04xe2z10rf9wxssrvxd&quot;&gt;My EndNote Library&lt;record-ids&gt;&lt;item&gt;75&lt;/item&gt;&lt;item&gt;81&lt;/item&gt;&lt;item&gt;82&lt;/item&gt;&lt;item&gt;83&lt;/item&gt;&lt;item&gt;84&lt;/item&gt;&lt;item&gt;85&lt;/item&gt;&lt;item&gt;86&lt;/item&gt;&lt;item&gt;87&lt;/item&gt;&lt;/record-ids&gt;&lt;/item&gt;&lt;/Libraries&gt;"/>
    <w:docVar w:name="EN.ReferenceGroups" w:val="&lt;reference-groups&gt;&lt;reference-group&gt;&lt;kind&gt;1&lt;/kind&gt;&lt;heading&gt;Primary Sources&lt;/heading&gt;&lt;alignment&gt;-1&lt;/alignment&gt;&lt;records&gt;&lt;record&gt;&lt;key app=&quot;EN&quot; db-id=&quot;aervswptvfs2d5etd04xe2z10rf9wxssrvxd&quot;&gt;84&lt;/key&gt;&lt;/record&gt;&lt;/records&gt;&lt;/reference-group&gt;&lt;reference-group&gt;&lt;kind&gt;1&lt;/kind&gt;&lt;heading&gt;Secondary Sources&lt;/heading&gt;&lt;alignment&gt;-1&lt;/alignment&gt;&lt;records&gt;&lt;record&gt;&lt;key app=&quot;EN&quot; db-id=&quot;aervswptvfs2d5etd04xe2z10rf9wxssrvxd&quot;&gt;85&lt;/key&gt;&lt;/record&gt;&lt;record&gt;&lt;key app=&quot;EN&quot; db-id=&quot;aervswptvfs2d5etd04xe2z10rf9wxssrvxd&quot;&gt;86&lt;/key&gt;&lt;/record&gt;&lt;record&gt;&lt;key app=&quot;EN&quot; db-id=&quot;aervswptvfs2d5etd04xe2z10rf9wxssrvxd&quot;&gt;83&lt;/key&gt;&lt;/record&gt;&lt;record&gt;&lt;key app=&quot;EN&quot; db-id=&quot;aervswptvfs2d5etd04xe2z10rf9wxssrvxd&quot;&gt;75&lt;/key&gt;&lt;/record&gt;&lt;record&gt;&lt;key app=&quot;EN&quot; db-id=&quot;aervswptvfs2d5etd04xe2z10rf9wxssrvxd&quot;&gt;81&lt;/key&gt;&lt;/record&gt;&lt;record&gt;&lt;key app=&quot;EN&quot; db-id=&quot;aervswptvfs2d5etd04xe2z10rf9wxssrvxd&quot;&gt;87&lt;/key&gt;&lt;/record&gt;&lt;record&gt;&lt;key app=&quot;EN&quot; db-id=&quot;aervswptvfs2d5etd04xe2z10rf9wxssrvxd&quot;&gt;82&lt;/key&gt;&lt;/record&gt;&lt;/records&gt;&lt;/reference-group&gt;&lt;/reference-groups&gt;"/>
  </w:docVars>
  <w:rsids>
    <w:rsidRoot w:val="00DB185F"/>
    <w:rsid w:val="00001C3B"/>
    <w:rsid w:val="00012A22"/>
    <w:rsid w:val="00013545"/>
    <w:rsid w:val="00022345"/>
    <w:rsid w:val="00026363"/>
    <w:rsid w:val="000275E2"/>
    <w:rsid w:val="00043549"/>
    <w:rsid w:val="0004482F"/>
    <w:rsid w:val="00046A16"/>
    <w:rsid w:val="00047074"/>
    <w:rsid w:val="00076A0B"/>
    <w:rsid w:val="000854DF"/>
    <w:rsid w:val="000A6D49"/>
    <w:rsid w:val="000B1456"/>
    <w:rsid w:val="000D403D"/>
    <w:rsid w:val="000D5C44"/>
    <w:rsid w:val="000E3682"/>
    <w:rsid w:val="000E3751"/>
    <w:rsid w:val="000E6A3A"/>
    <w:rsid w:val="000F1DE6"/>
    <w:rsid w:val="000F4A8C"/>
    <w:rsid w:val="0010199D"/>
    <w:rsid w:val="001070F2"/>
    <w:rsid w:val="00111283"/>
    <w:rsid w:val="0011161A"/>
    <w:rsid w:val="001221FF"/>
    <w:rsid w:val="00126B21"/>
    <w:rsid w:val="00154007"/>
    <w:rsid w:val="00155E9A"/>
    <w:rsid w:val="00165047"/>
    <w:rsid w:val="00172497"/>
    <w:rsid w:val="001916D8"/>
    <w:rsid w:val="001A4B86"/>
    <w:rsid w:val="001C0B52"/>
    <w:rsid w:val="001C4B2D"/>
    <w:rsid w:val="001D7817"/>
    <w:rsid w:val="001D7D18"/>
    <w:rsid w:val="001E0E06"/>
    <w:rsid w:val="001E12A1"/>
    <w:rsid w:val="001E5019"/>
    <w:rsid w:val="001F4CE1"/>
    <w:rsid w:val="002047BD"/>
    <w:rsid w:val="002132DC"/>
    <w:rsid w:val="00215DB1"/>
    <w:rsid w:val="00216211"/>
    <w:rsid w:val="00222984"/>
    <w:rsid w:val="0022446F"/>
    <w:rsid w:val="00224B95"/>
    <w:rsid w:val="00230F35"/>
    <w:rsid w:val="00254E06"/>
    <w:rsid w:val="00254E0C"/>
    <w:rsid w:val="0025530E"/>
    <w:rsid w:val="002715FA"/>
    <w:rsid w:val="00273B42"/>
    <w:rsid w:val="00276002"/>
    <w:rsid w:val="00277421"/>
    <w:rsid w:val="002779AB"/>
    <w:rsid w:val="00286FCD"/>
    <w:rsid w:val="00290783"/>
    <w:rsid w:val="002A03CD"/>
    <w:rsid w:val="002A33B8"/>
    <w:rsid w:val="002A4954"/>
    <w:rsid w:val="002C1630"/>
    <w:rsid w:val="002C1E03"/>
    <w:rsid w:val="002C34DE"/>
    <w:rsid w:val="002C55E9"/>
    <w:rsid w:val="002D2A04"/>
    <w:rsid w:val="002E1A5A"/>
    <w:rsid w:val="002E2BA0"/>
    <w:rsid w:val="002E67CE"/>
    <w:rsid w:val="002F1475"/>
    <w:rsid w:val="002F467C"/>
    <w:rsid w:val="00305185"/>
    <w:rsid w:val="00305B8E"/>
    <w:rsid w:val="00307B22"/>
    <w:rsid w:val="00326631"/>
    <w:rsid w:val="00337A70"/>
    <w:rsid w:val="00341D2F"/>
    <w:rsid w:val="00351F4B"/>
    <w:rsid w:val="003809B4"/>
    <w:rsid w:val="0038342D"/>
    <w:rsid w:val="003C3F4F"/>
    <w:rsid w:val="003C7F6F"/>
    <w:rsid w:val="003D6255"/>
    <w:rsid w:val="003E08F3"/>
    <w:rsid w:val="003E6F83"/>
    <w:rsid w:val="003F0AD2"/>
    <w:rsid w:val="003F737B"/>
    <w:rsid w:val="00404CAE"/>
    <w:rsid w:val="0040732D"/>
    <w:rsid w:val="004250DD"/>
    <w:rsid w:val="0043758C"/>
    <w:rsid w:val="0044129B"/>
    <w:rsid w:val="00447497"/>
    <w:rsid w:val="00460A5C"/>
    <w:rsid w:val="004627BA"/>
    <w:rsid w:val="00467149"/>
    <w:rsid w:val="00470435"/>
    <w:rsid w:val="004724D6"/>
    <w:rsid w:val="00475C78"/>
    <w:rsid w:val="00484797"/>
    <w:rsid w:val="004A024B"/>
    <w:rsid w:val="004B6A4D"/>
    <w:rsid w:val="004B73BA"/>
    <w:rsid w:val="004C79CE"/>
    <w:rsid w:val="004E5308"/>
    <w:rsid w:val="004F174D"/>
    <w:rsid w:val="00510AC0"/>
    <w:rsid w:val="00521E0F"/>
    <w:rsid w:val="0052599E"/>
    <w:rsid w:val="00530A76"/>
    <w:rsid w:val="00531109"/>
    <w:rsid w:val="0053479A"/>
    <w:rsid w:val="00537B4C"/>
    <w:rsid w:val="005429EF"/>
    <w:rsid w:val="00543B29"/>
    <w:rsid w:val="005467C4"/>
    <w:rsid w:val="00547AE4"/>
    <w:rsid w:val="005627D4"/>
    <w:rsid w:val="0056614E"/>
    <w:rsid w:val="005672B5"/>
    <w:rsid w:val="0057735F"/>
    <w:rsid w:val="005809CF"/>
    <w:rsid w:val="00584567"/>
    <w:rsid w:val="0058726A"/>
    <w:rsid w:val="00590E9A"/>
    <w:rsid w:val="005942E9"/>
    <w:rsid w:val="005A1078"/>
    <w:rsid w:val="005C2176"/>
    <w:rsid w:val="005C6560"/>
    <w:rsid w:val="00600486"/>
    <w:rsid w:val="00600E19"/>
    <w:rsid w:val="00604394"/>
    <w:rsid w:val="00610318"/>
    <w:rsid w:val="00611FD5"/>
    <w:rsid w:val="00632937"/>
    <w:rsid w:val="006367FD"/>
    <w:rsid w:val="0064350C"/>
    <w:rsid w:val="006460FE"/>
    <w:rsid w:val="0065018F"/>
    <w:rsid w:val="006551F0"/>
    <w:rsid w:val="0065654E"/>
    <w:rsid w:val="00656F5F"/>
    <w:rsid w:val="00662A40"/>
    <w:rsid w:val="00665C65"/>
    <w:rsid w:val="006805EC"/>
    <w:rsid w:val="00691819"/>
    <w:rsid w:val="00693C4D"/>
    <w:rsid w:val="006A205D"/>
    <w:rsid w:val="006A65E9"/>
    <w:rsid w:val="006C0A3A"/>
    <w:rsid w:val="006C5E96"/>
    <w:rsid w:val="006D006B"/>
    <w:rsid w:val="006D1236"/>
    <w:rsid w:val="006E4A9B"/>
    <w:rsid w:val="006E4F24"/>
    <w:rsid w:val="006F5AB8"/>
    <w:rsid w:val="00703411"/>
    <w:rsid w:val="007074BA"/>
    <w:rsid w:val="0072132C"/>
    <w:rsid w:val="00730908"/>
    <w:rsid w:val="00751BE2"/>
    <w:rsid w:val="00752D60"/>
    <w:rsid w:val="0075329F"/>
    <w:rsid w:val="00762134"/>
    <w:rsid w:val="00765417"/>
    <w:rsid w:val="00770733"/>
    <w:rsid w:val="00773D0E"/>
    <w:rsid w:val="00785360"/>
    <w:rsid w:val="00790E2F"/>
    <w:rsid w:val="007A2A1F"/>
    <w:rsid w:val="007A6F38"/>
    <w:rsid w:val="007B721A"/>
    <w:rsid w:val="007C04AD"/>
    <w:rsid w:val="007C098A"/>
    <w:rsid w:val="007C6F33"/>
    <w:rsid w:val="007D3AC1"/>
    <w:rsid w:val="007D7715"/>
    <w:rsid w:val="007F4A2A"/>
    <w:rsid w:val="00803FDA"/>
    <w:rsid w:val="008126C1"/>
    <w:rsid w:val="008140F8"/>
    <w:rsid w:val="00823895"/>
    <w:rsid w:val="00834141"/>
    <w:rsid w:val="0083442E"/>
    <w:rsid w:val="00840B95"/>
    <w:rsid w:val="0084272E"/>
    <w:rsid w:val="00843DE9"/>
    <w:rsid w:val="008455FB"/>
    <w:rsid w:val="00845686"/>
    <w:rsid w:val="008565E1"/>
    <w:rsid w:val="00860711"/>
    <w:rsid w:val="00864E6A"/>
    <w:rsid w:val="0089447F"/>
    <w:rsid w:val="008A260F"/>
    <w:rsid w:val="008A4DCC"/>
    <w:rsid w:val="008B3A97"/>
    <w:rsid w:val="008D03F0"/>
    <w:rsid w:val="008D674F"/>
    <w:rsid w:val="008E525C"/>
    <w:rsid w:val="00901157"/>
    <w:rsid w:val="00903ED1"/>
    <w:rsid w:val="009136E7"/>
    <w:rsid w:val="00914769"/>
    <w:rsid w:val="00922349"/>
    <w:rsid w:val="00930BB8"/>
    <w:rsid w:val="00940A8F"/>
    <w:rsid w:val="00945E82"/>
    <w:rsid w:val="009525AA"/>
    <w:rsid w:val="00956FD5"/>
    <w:rsid w:val="00963B31"/>
    <w:rsid w:val="00973B44"/>
    <w:rsid w:val="00975FCD"/>
    <w:rsid w:val="00976AB0"/>
    <w:rsid w:val="009801D3"/>
    <w:rsid w:val="009A3D0A"/>
    <w:rsid w:val="009A44BB"/>
    <w:rsid w:val="009B2D10"/>
    <w:rsid w:val="009B4A7F"/>
    <w:rsid w:val="009C01A3"/>
    <w:rsid w:val="009C1A08"/>
    <w:rsid w:val="009C396A"/>
    <w:rsid w:val="009F2623"/>
    <w:rsid w:val="009F69CA"/>
    <w:rsid w:val="00A02C62"/>
    <w:rsid w:val="00A06B94"/>
    <w:rsid w:val="00A10B6E"/>
    <w:rsid w:val="00A13CA7"/>
    <w:rsid w:val="00A2073F"/>
    <w:rsid w:val="00A303FE"/>
    <w:rsid w:val="00A41032"/>
    <w:rsid w:val="00A41AF9"/>
    <w:rsid w:val="00A41C62"/>
    <w:rsid w:val="00A43F8E"/>
    <w:rsid w:val="00A50192"/>
    <w:rsid w:val="00A507E4"/>
    <w:rsid w:val="00A62E68"/>
    <w:rsid w:val="00A73868"/>
    <w:rsid w:val="00A745B6"/>
    <w:rsid w:val="00A92CBE"/>
    <w:rsid w:val="00A94622"/>
    <w:rsid w:val="00A972E4"/>
    <w:rsid w:val="00A9744A"/>
    <w:rsid w:val="00AB38B1"/>
    <w:rsid w:val="00AC36E3"/>
    <w:rsid w:val="00AC6213"/>
    <w:rsid w:val="00AD5D5A"/>
    <w:rsid w:val="00AD6478"/>
    <w:rsid w:val="00AE3217"/>
    <w:rsid w:val="00AF7847"/>
    <w:rsid w:val="00B11E29"/>
    <w:rsid w:val="00B34964"/>
    <w:rsid w:val="00B36F4A"/>
    <w:rsid w:val="00B41EF5"/>
    <w:rsid w:val="00B42501"/>
    <w:rsid w:val="00B45FEF"/>
    <w:rsid w:val="00B462B1"/>
    <w:rsid w:val="00B55B77"/>
    <w:rsid w:val="00B56E7B"/>
    <w:rsid w:val="00B72F46"/>
    <w:rsid w:val="00B81E5D"/>
    <w:rsid w:val="00B96983"/>
    <w:rsid w:val="00B9724B"/>
    <w:rsid w:val="00BA67C5"/>
    <w:rsid w:val="00BA6D15"/>
    <w:rsid w:val="00BA6D68"/>
    <w:rsid w:val="00BB4643"/>
    <w:rsid w:val="00BC17F1"/>
    <w:rsid w:val="00BD08A3"/>
    <w:rsid w:val="00BE7B7A"/>
    <w:rsid w:val="00BF22DC"/>
    <w:rsid w:val="00BF3037"/>
    <w:rsid w:val="00BF3D29"/>
    <w:rsid w:val="00BF6227"/>
    <w:rsid w:val="00BF6291"/>
    <w:rsid w:val="00C129C7"/>
    <w:rsid w:val="00C13357"/>
    <w:rsid w:val="00C22A88"/>
    <w:rsid w:val="00C25506"/>
    <w:rsid w:val="00C5120F"/>
    <w:rsid w:val="00C52804"/>
    <w:rsid w:val="00C52BB0"/>
    <w:rsid w:val="00C650C0"/>
    <w:rsid w:val="00C65E7F"/>
    <w:rsid w:val="00C73CCB"/>
    <w:rsid w:val="00C741A2"/>
    <w:rsid w:val="00C90302"/>
    <w:rsid w:val="00C93CD4"/>
    <w:rsid w:val="00CA7BE5"/>
    <w:rsid w:val="00CB5E37"/>
    <w:rsid w:val="00CC52A3"/>
    <w:rsid w:val="00CD0D88"/>
    <w:rsid w:val="00CE3B79"/>
    <w:rsid w:val="00D00742"/>
    <w:rsid w:val="00D00BDC"/>
    <w:rsid w:val="00D0754F"/>
    <w:rsid w:val="00D14590"/>
    <w:rsid w:val="00D328AB"/>
    <w:rsid w:val="00D429CC"/>
    <w:rsid w:val="00D459DC"/>
    <w:rsid w:val="00D5466C"/>
    <w:rsid w:val="00D56EFA"/>
    <w:rsid w:val="00D601CC"/>
    <w:rsid w:val="00D67BF8"/>
    <w:rsid w:val="00D871DD"/>
    <w:rsid w:val="00D91FC8"/>
    <w:rsid w:val="00D94CF7"/>
    <w:rsid w:val="00D96486"/>
    <w:rsid w:val="00DA3217"/>
    <w:rsid w:val="00DA3E0F"/>
    <w:rsid w:val="00DA4F44"/>
    <w:rsid w:val="00DA6D1F"/>
    <w:rsid w:val="00DB00D6"/>
    <w:rsid w:val="00DB185F"/>
    <w:rsid w:val="00DB43BB"/>
    <w:rsid w:val="00DB6BB9"/>
    <w:rsid w:val="00DD363B"/>
    <w:rsid w:val="00DE54B1"/>
    <w:rsid w:val="00DF01BE"/>
    <w:rsid w:val="00DF7887"/>
    <w:rsid w:val="00E14D2E"/>
    <w:rsid w:val="00E3766D"/>
    <w:rsid w:val="00E37E8A"/>
    <w:rsid w:val="00E502BA"/>
    <w:rsid w:val="00E57529"/>
    <w:rsid w:val="00E67719"/>
    <w:rsid w:val="00E72543"/>
    <w:rsid w:val="00E815CF"/>
    <w:rsid w:val="00E84F5D"/>
    <w:rsid w:val="00EB02E9"/>
    <w:rsid w:val="00EC2A56"/>
    <w:rsid w:val="00EC7546"/>
    <w:rsid w:val="00ED6D06"/>
    <w:rsid w:val="00F02B5A"/>
    <w:rsid w:val="00F1661E"/>
    <w:rsid w:val="00F2453C"/>
    <w:rsid w:val="00F346BE"/>
    <w:rsid w:val="00F50C18"/>
    <w:rsid w:val="00F562CD"/>
    <w:rsid w:val="00F624CD"/>
    <w:rsid w:val="00F73533"/>
    <w:rsid w:val="00F75EB5"/>
    <w:rsid w:val="00F77955"/>
    <w:rsid w:val="00F80EE8"/>
    <w:rsid w:val="00F96862"/>
    <w:rsid w:val="00FA07E9"/>
    <w:rsid w:val="00FA2A4C"/>
    <w:rsid w:val="00FA7EFB"/>
    <w:rsid w:val="00FB2F44"/>
    <w:rsid w:val="00FB6916"/>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de-A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B561269"/>
  <w15:chartTrackingRefBased/>
  <w15:docId w15:val="{1278339C-E4DB-1744-A6AE-91FB178C0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de-AT" w:eastAsia="de-DE"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Standard">
    <w:name w:val="Normal"/>
    <w:qFormat/>
    <w:rsid w:val="00DB185F"/>
    <w:rPr>
      <w:sz w:val="24"/>
      <w:szCs w:val="24"/>
      <w:lang w:val="en-GB" w:eastAsia="zh-CN"/>
    </w:rPr>
  </w:style>
  <w:style w:type="paragraph" w:styleId="berschrift1">
    <w:name w:val="heading 1"/>
    <w:basedOn w:val="Standard"/>
    <w:next w:val="Standard"/>
    <w:qFormat/>
    <w:rsid w:val="002E67CE"/>
    <w:pPr>
      <w:keepNext/>
      <w:spacing w:before="240" w:after="60"/>
      <w:outlineLvl w:val="0"/>
    </w:pPr>
    <w:rPr>
      <w:rFonts w:ascii="Arial" w:hAnsi="Arial" w:cs="Arial"/>
      <w:b/>
      <w:bCs/>
      <w:kern w:val="32"/>
      <w:sz w:val="32"/>
      <w:szCs w:val="32"/>
    </w:rPr>
  </w:style>
  <w:style w:type="paragraph" w:styleId="berschrift2">
    <w:name w:val="heading 2"/>
    <w:basedOn w:val="Standard"/>
    <w:next w:val="Standard"/>
    <w:qFormat/>
    <w:rsid w:val="002E67CE"/>
    <w:pPr>
      <w:keepNext/>
      <w:spacing w:before="240" w:after="60"/>
      <w:outlineLvl w:val="1"/>
    </w:pPr>
    <w:rPr>
      <w:rFonts w:ascii="Arial" w:hAnsi="Arial" w:cs="Arial"/>
      <w:b/>
      <w:bCs/>
      <w:i/>
      <w:iCs/>
      <w:sz w:val="28"/>
      <w:szCs w:val="28"/>
    </w:rPr>
  </w:style>
  <w:style w:type="paragraph" w:styleId="berschrift3">
    <w:name w:val="heading 3"/>
    <w:basedOn w:val="Standard"/>
    <w:qFormat/>
    <w:rsid w:val="00DB185F"/>
    <w:pPr>
      <w:keepNext/>
      <w:ind w:left="720"/>
      <w:jc w:val="both"/>
      <w:outlineLvl w:val="2"/>
    </w:pPr>
    <w:rPr>
      <w:rFonts w:ascii="Tahoma" w:hAnsi="Tahoma" w:cs="Tahoma"/>
      <w:b/>
      <w:bCs/>
      <w:sz w:val="20"/>
      <w:szCs w:val="20"/>
    </w:rPr>
  </w:style>
  <w:style w:type="character" w:default="1" w:styleId="Absatz-Standardschriftart">
    <w:name w:val="Default Paragraph Font"/>
    <w:semiHidden/>
  </w:style>
  <w:style w:type="table" w:default="1" w:styleId="NormaleTabelle">
    <w:name w:val="Normal Table"/>
    <w:semiHidden/>
    <w:tblPr>
      <w:tblInd w:w="0" w:type="dxa"/>
      <w:tblCellMar>
        <w:top w:w="0" w:type="dxa"/>
        <w:left w:w="108" w:type="dxa"/>
        <w:bottom w:w="0" w:type="dxa"/>
        <w:right w:w="108" w:type="dxa"/>
      </w:tblCellMar>
    </w:tblPr>
  </w:style>
  <w:style w:type="numbering" w:default="1" w:styleId="KeineListe">
    <w:name w:val="No List"/>
    <w:semiHidden/>
  </w:style>
  <w:style w:type="paragraph" w:styleId="StandardWeb">
    <w:name w:val="Normal (Web)"/>
    <w:basedOn w:val="Standard"/>
    <w:link w:val="StandardWebZchn"/>
    <w:rsid w:val="00DB185F"/>
    <w:pPr>
      <w:spacing w:before="100" w:beforeAutospacing="1" w:after="100" w:afterAutospacing="1"/>
    </w:pPr>
    <w:rPr>
      <w:rFonts w:ascii="Georgia" w:hAnsi="Georgia"/>
      <w:color w:val="000000"/>
      <w:sz w:val="21"/>
      <w:szCs w:val="21"/>
    </w:rPr>
  </w:style>
  <w:style w:type="character" w:styleId="Kommentarzeichen">
    <w:name w:val="annotation reference"/>
    <w:rsid w:val="00840B95"/>
    <w:rPr>
      <w:sz w:val="16"/>
      <w:szCs w:val="16"/>
    </w:rPr>
  </w:style>
  <w:style w:type="paragraph" w:styleId="Kommentartext">
    <w:name w:val="annotation text"/>
    <w:basedOn w:val="Standard"/>
    <w:link w:val="KommentartextZchn"/>
    <w:rsid w:val="00840B95"/>
    <w:rPr>
      <w:sz w:val="20"/>
      <w:szCs w:val="20"/>
      <w:lang w:val="x-none"/>
    </w:rPr>
  </w:style>
  <w:style w:type="character" w:customStyle="1" w:styleId="KommentartextZchn">
    <w:name w:val="Kommentartext Zchn"/>
    <w:link w:val="Kommentartext"/>
    <w:rsid w:val="00840B95"/>
    <w:rPr>
      <w:lang w:eastAsia="zh-CN"/>
    </w:rPr>
  </w:style>
  <w:style w:type="paragraph" w:styleId="Kommentarthema">
    <w:name w:val="annotation subject"/>
    <w:basedOn w:val="Kommentartext"/>
    <w:next w:val="Kommentartext"/>
    <w:link w:val="KommentarthemaZchn"/>
    <w:rsid w:val="00840B95"/>
    <w:rPr>
      <w:b/>
      <w:bCs/>
    </w:rPr>
  </w:style>
  <w:style w:type="character" w:customStyle="1" w:styleId="KommentarthemaZchn">
    <w:name w:val="Kommentarthema Zchn"/>
    <w:link w:val="Kommentarthema"/>
    <w:rsid w:val="00840B95"/>
    <w:rPr>
      <w:b/>
      <w:bCs/>
      <w:lang w:eastAsia="zh-CN"/>
    </w:rPr>
  </w:style>
  <w:style w:type="paragraph" w:styleId="Sprechblasentext">
    <w:name w:val="Balloon Text"/>
    <w:basedOn w:val="Standard"/>
    <w:link w:val="SprechblasentextZchn"/>
    <w:rsid w:val="00840B95"/>
    <w:rPr>
      <w:rFonts w:ascii="Tahoma" w:hAnsi="Tahoma"/>
      <w:sz w:val="16"/>
      <w:szCs w:val="16"/>
      <w:lang w:val="x-none"/>
    </w:rPr>
  </w:style>
  <w:style w:type="character" w:customStyle="1" w:styleId="SprechblasentextZchn">
    <w:name w:val="Sprechblasentext Zchn"/>
    <w:link w:val="Sprechblasentext"/>
    <w:rsid w:val="00840B95"/>
    <w:rPr>
      <w:rFonts w:ascii="Tahoma" w:hAnsi="Tahoma" w:cs="Tahoma"/>
      <w:sz w:val="16"/>
      <w:szCs w:val="16"/>
      <w:lang w:eastAsia="zh-CN"/>
    </w:rPr>
  </w:style>
  <w:style w:type="paragraph" w:styleId="Kopfzeile">
    <w:name w:val="header"/>
    <w:basedOn w:val="Standard"/>
    <w:link w:val="KopfzeileZchn"/>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KopfzeileZchn">
    <w:name w:val="Kopfzeile Zchn"/>
    <w:link w:val="Kopfzeile"/>
    <w:uiPriority w:val="99"/>
    <w:rsid w:val="008A4DCC"/>
    <w:rPr>
      <w:rFonts w:ascii="Trebuchet MS" w:eastAsia="Calibri" w:hAnsi="Trebuchet MS" w:cs="Tahoma"/>
      <w:sz w:val="22"/>
      <w:lang w:eastAsia="en-US"/>
    </w:rPr>
  </w:style>
  <w:style w:type="paragraph" w:styleId="Fuzeile">
    <w:name w:val="footer"/>
    <w:basedOn w:val="Standard"/>
    <w:link w:val="FuzeileZchn"/>
    <w:uiPriority w:val="99"/>
    <w:rsid w:val="00AD5D5A"/>
    <w:pPr>
      <w:tabs>
        <w:tab w:val="center" w:pos="4513"/>
        <w:tab w:val="right" w:pos="9026"/>
      </w:tabs>
    </w:pPr>
    <w:rPr>
      <w:lang w:val="x-none"/>
    </w:rPr>
  </w:style>
  <w:style w:type="character" w:customStyle="1" w:styleId="FuzeileZchn">
    <w:name w:val="Fußzeile Zchn"/>
    <w:link w:val="Fuzeile"/>
    <w:uiPriority w:val="99"/>
    <w:rsid w:val="00AD5D5A"/>
    <w:rPr>
      <w:sz w:val="24"/>
      <w:szCs w:val="24"/>
      <w:lang w:eastAsia="zh-CN"/>
    </w:rPr>
  </w:style>
  <w:style w:type="table" w:styleId="Tabellenraster">
    <w:name w:val="Table Grid"/>
    <w:basedOn w:val="NormaleTabelle"/>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Seitenzahl">
    <w:name w:val="page number"/>
    <w:rsid w:val="00945E82"/>
  </w:style>
  <w:style w:type="character" w:styleId="Hyperlink">
    <w:name w:val="Hyperlink"/>
    <w:uiPriority w:val="99"/>
    <w:unhideWhenUsed/>
    <w:rsid w:val="00956FD5"/>
    <w:rPr>
      <w:color w:val="0000FF"/>
      <w:u w:val="single"/>
    </w:rPr>
  </w:style>
  <w:style w:type="paragraph" w:styleId="Funotentext">
    <w:name w:val="footnote text"/>
    <w:basedOn w:val="Standard"/>
    <w:link w:val="FunotentextZchn"/>
    <w:rsid w:val="006551F0"/>
    <w:rPr>
      <w:sz w:val="20"/>
      <w:szCs w:val="20"/>
    </w:rPr>
  </w:style>
  <w:style w:type="character" w:customStyle="1" w:styleId="FunotentextZchn">
    <w:name w:val="Fußnotentext Zchn"/>
    <w:basedOn w:val="Absatz-Standardschriftart"/>
    <w:link w:val="Funotentext"/>
    <w:rsid w:val="006551F0"/>
    <w:rPr>
      <w:lang w:val="en-GB" w:eastAsia="zh-CN"/>
    </w:rPr>
  </w:style>
  <w:style w:type="character" w:styleId="Funotenzeichen">
    <w:name w:val="footnote reference"/>
    <w:basedOn w:val="Absatz-Standardschriftart"/>
    <w:rsid w:val="006551F0"/>
    <w:rPr>
      <w:vertAlign w:val="superscript"/>
    </w:rPr>
  </w:style>
  <w:style w:type="paragraph" w:customStyle="1" w:styleId="EndNoteBibliographyTitle">
    <w:name w:val="EndNote Bibliography Title"/>
    <w:basedOn w:val="Standard"/>
    <w:link w:val="EndNoteBibliographyTitleZchn"/>
    <w:rsid w:val="00543B29"/>
    <w:pPr>
      <w:jc w:val="center"/>
    </w:pPr>
    <w:rPr>
      <w:rFonts w:ascii="Georgia" w:hAnsi="Georgia"/>
      <w:sz w:val="20"/>
    </w:rPr>
  </w:style>
  <w:style w:type="character" w:customStyle="1" w:styleId="EndNoteBibliographyTitleZchn">
    <w:name w:val="EndNote Bibliography Title Zchn"/>
    <w:basedOn w:val="FunotentextZchn"/>
    <w:link w:val="EndNoteBibliographyTitle"/>
    <w:rsid w:val="00543B29"/>
    <w:rPr>
      <w:rFonts w:ascii="Georgia" w:hAnsi="Georgia"/>
      <w:szCs w:val="24"/>
      <w:lang w:val="en-GB" w:eastAsia="zh-CN"/>
    </w:rPr>
  </w:style>
  <w:style w:type="paragraph" w:customStyle="1" w:styleId="EndNoteBibliography">
    <w:name w:val="EndNote Bibliography"/>
    <w:basedOn w:val="Standard"/>
    <w:link w:val="EndNoteBibliographyZchn"/>
    <w:rsid w:val="00543B29"/>
    <w:rPr>
      <w:rFonts w:ascii="Georgia" w:hAnsi="Georgia"/>
      <w:sz w:val="20"/>
    </w:rPr>
  </w:style>
  <w:style w:type="character" w:customStyle="1" w:styleId="EndNoteBibliographyZchn">
    <w:name w:val="EndNote Bibliography Zchn"/>
    <w:basedOn w:val="FunotentextZchn"/>
    <w:link w:val="EndNoteBibliography"/>
    <w:rsid w:val="00543B29"/>
    <w:rPr>
      <w:rFonts w:ascii="Georgia" w:hAnsi="Georgia"/>
      <w:szCs w:val="24"/>
      <w:lang w:val="en-GB" w:eastAsia="zh-CN"/>
    </w:rPr>
  </w:style>
  <w:style w:type="character" w:styleId="NichtaufgelsteErwhnung">
    <w:name w:val="Unresolved Mention"/>
    <w:basedOn w:val="Absatz-Standardschriftart"/>
    <w:uiPriority w:val="99"/>
    <w:semiHidden/>
    <w:unhideWhenUsed/>
    <w:rsid w:val="00543B29"/>
    <w:rPr>
      <w:color w:val="605E5C"/>
      <w:shd w:val="clear" w:color="auto" w:fill="E1DFDD"/>
    </w:rPr>
  </w:style>
  <w:style w:type="paragraph" w:customStyle="1" w:styleId="EndNoteCategoryHeading">
    <w:name w:val="EndNote Category Heading"/>
    <w:basedOn w:val="Standard"/>
    <w:link w:val="EndNoteCategoryHeadingZchn"/>
    <w:rsid w:val="00C13357"/>
    <w:pPr>
      <w:spacing w:before="120" w:after="120"/>
    </w:pPr>
    <w:rPr>
      <w:b/>
    </w:rPr>
  </w:style>
  <w:style w:type="character" w:customStyle="1" w:styleId="StandardWebZchn">
    <w:name w:val="Standard (Web) Zchn"/>
    <w:basedOn w:val="Absatz-Standardschriftart"/>
    <w:link w:val="StandardWeb"/>
    <w:rsid w:val="00C13357"/>
    <w:rPr>
      <w:rFonts w:ascii="Georgia" w:hAnsi="Georgia"/>
      <w:color w:val="000000"/>
      <w:sz w:val="21"/>
      <w:szCs w:val="21"/>
      <w:lang w:val="en-GB" w:eastAsia="zh-CN"/>
    </w:rPr>
  </w:style>
  <w:style w:type="character" w:customStyle="1" w:styleId="EndNoteCategoryHeadingZchn">
    <w:name w:val="EndNote Category Heading Zchn"/>
    <w:basedOn w:val="StandardWebZchn"/>
    <w:link w:val="EndNoteCategoryHeading"/>
    <w:rsid w:val="00C13357"/>
    <w:rPr>
      <w:rFonts w:ascii="Georgia" w:hAnsi="Georgia"/>
      <w:b/>
      <w:color w:val="000000"/>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490591">
      <w:bodyDiv w:val="1"/>
      <w:marLeft w:val="0"/>
      <w:marRight w:val="0"/>
      <w:marTop w:val="0"/>
      <w:marBottom w:val="0"/>
      <w:divBdr>
        <w:top w:val="none" w:sz="0" w:space="0" w:color="auto"/>
        <w:left w:val="none" w:sz="0" w:space="0" w:color="auto"/>
        <w:bottom w:val="none" w:sz="0" w:space="0" w:color="auto"/>
        <w:right w:val="none" w:sz="0" w:space="0" w:color="auto"/>
      </w:divBdr>
    </w:div>
    <w:div w:id="476148949">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628118017">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065984541">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ritannica.com/biography/Plutarch" TargetMode="External"/><Relationship Id="rId14" Type="http://schemas.openxmlformats.org/officeDocument/2006/relationships/theme" Target="theme/theme1.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5AFB5F-7343-9446-845D-D40762043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2021</Words>
  <Characters>12735</Characters>
  <Application>Microsoft Office Word</Application>
  <DocSecurity>0</DocSecurity>
  <Lines>106</Lines>
  <Paragraphs>29</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UNIVERSITY OF WALES</vt:lpstr>
      <vt:lpstr>UNIVERSITY OF WALES</vt:lpstr>
    </vt:vector>
  </TitlesOfParts>
  <Company>University of Wales Lampeter</Company>
  <LinksUpToDate>false</LinksUpToDate>
  <CharactersWithSpaces>14727</CharactersWithSpaces>
  <SharedDoc>false</SharedDoc>
  <HLinks>
    <vt:vector size="6" baseType="variant">
      <vt:variant>
        <vt:i4>5701643</vt:i4>
      </vt:variant>
      <vt:variant>
        <vt:i4>12</vt:i4>
      </vt:variant>
      <vt:variant>
        <vt:i4>0</vt:i4>
      </vt:variant>
      <vt:variant>
        <vt:i4>5</vt:i4>
      </vt:variant>
      <vt:variant>
        <vt:lpwstr>https://www.britannica.com/biography/Plutarch</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Andrea Konrad</cp:lastModifiedBy>
  <cp:revision>2</cp:revision>
  <cp:lastPrinted>2011-03-31T12:57:00Z</cp:lastPrinted>
  <dcterms:created xsi:type="dcterms:W3CDTF">2020-06-08T22:49:00Z</dcterms:created>
  <dcterms:modified xsi:type="dcterms:W3CDTF">2020-06-08T22:49:00Z</dcterms:modified>
</cp:coreProperties>
</file>