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51058" w14:textId="7509D3DA" w:rsidR="00647D18" w:rsidRDefault="00647D18" w:rsidP="00C12759">
      <w:pPr>
        <w:spacing w:line="360" w:lineRule="auto"/>
        <w:rPr>
          <w:rFonts w:asciiTheme="minorHAnsi" w:hAnsiTheme="minorHAnsi" w:cstheme="minorHAnsi"/>
          <w:sz w:val="24"/>
          <w:szCs w:val="24"/>
        </w:rPr>
      </w:pPr>
      <w:r>
        <w:rPr>
          <w:rFonts w:asciiTheme="minorHAnsi" w:hAnsiTheme="minorHAnsi" w:cstheme="minorHAnsi"/>
          <w:sz w:val="24"/>
          <w:szCs w:val="24"/>
        </w:rPr>
        <w:t xml:space="preserve">Ellie Bowen (2200584) </w:t>
      </w:r>
    </w:p>
    <w:p w14:paraId="151154E0" w14:textId="47887D80" w:rsidR="00647D18" w:rsidRPr="00647D18" w:rsidRDefault="00647D18" w:rsidP="00C12759">
      <w:pPr>
        <w:spacing w:line="360" w:lineRule="auto"/>
        <w:rPr>
          <w:rFonts w:asciiTheme="minorHAnsi" w:hAnsiTheme="minorHAnsi" w:cstheme="minorHAnsi"/>
          <w:sz w:val="24"/>
          <w:szCs w:val="24"/>
        </w:rPr>
      </w:pPr>
      <w:r>
        <w:rPr>
          <w:rFonts w:asciiTheme="minorHAnsi" w:hAnsiTheme="minorHAnsi" w:cstheme="minorHAnsi"/>
          <w:sz w:val="24"/>
          <w:szCs w:val="24"/>
        </w:rPr>
        <w:t>Criminal Law (</w:t>
      </w:r>
      <w:r w:rsidR="00A97C70">
        <w:rPr>
          <w:rFonts w:asciiTheme="minorHAnsi" w:hAnsiTheme="minorHAnsi" w:cstheme="minorHAnsi"/>
          <w:sz w:val="24"/>
          <w:szCs w:val="24"/>
        </w:rPr>
        <w:t>BMPL4009)</w:t>
      </w:r>
    </w:p>
    <w:p w14:paraId="1C1D4FB4" w14:textId="162F693D" w:rsidR="00F55E2B" w:rsidRPr="00FC06CC" w:rsidRDefault="00647D18" w:rsidP="00C12759">
      <w:pPr>
        <w:spacing w:line="360" w:lineRule="auto"/>
        <w:rPr>
          <w:rFonts w:asciiTheme="minorHAnsi" w:hAnsiTheme="minorHAnsi" w:cstheme="minorHAnsi"/>
          <w:sz w:val="24"/>
          <w:szCs w:val="24"/>
        </w:rPr>
      </w:pPr>
      <w:r>
        <w:rPr>
          <w:rFonts w:asciiTheme="minorHAnsi" w:hAnsiTheme="minorHAnsi" w:cstheme="minorHAnsi"/>
          <w:b/>
          <w:bCs/>
          <w:sz w:val="24"/>
          <w:szCs w:val="24"/>
        </w:rPr>
        <w:t xml:space="preserve">Question: </w:t>
      </w:r>
      <w:r w:rsidR="00F55E2B" w:rsidRPr="00FC06CC">
        <w:rPr>
          <w:rFonts w:asciiTheme="minorHAnsi" w:hAnsiTheme="minorHAnsi" w:cstheme="minorHAnsi"/>
          <w:sz w:val="24"/>
          <w:szCs w:val="24"/>
        </w:rPr>
        <w:t>What changes did the Coroners and Justice Act (2009) make to the defence of diminished</w:t>
      </w:r>
      <w:r>
        <w:rPr>
          <w:rFonts w:asciiTheme="minorHAnsi" w:hAnsiTheme="minorHAnsi" w:cstheme="minorHAnsi"/>
          <w:sz w:val="24"/>
          <w:szCs w:val="24"/>
        </w:rPr>
        <w:t xml:space="preserve"> </w:t>
      </w:r>
      <w:r w:rsidR="00F55E2B" w:rsidRPr="00FC06CC">
        <w:rPr>
          <w:rFonts w:asciiTheme="minorHAnsi" w:hAnsiTheme="minorHAnsi" w:cstheme="minorHAnsi"/>
          <w:sz w:val="24"/>
          <w:szCs w:val="24"/>
        </w:rPr>
        <w:t>responsibility? Did these amendments change the law in this area for the better?</w:t>
      </w:r>
    </w:p>
    <w:p w14:paraId="2B877393" w14:textId="77777777" w:rsidR="00F55E2B" w:rsidRPr="00FC06CC" w:rsidRDefault="00F55E2B" w:rsidP="00C12759">
      <w:pPr>
        <w:spacing w:line="360" w:lineRule="auto"/>
        <w:rPr>
          <w:rFonts w:asciiTheme="minorHAnsi" w:hAnsiTheme="minorHAnsi" w:cstheme="minorHAnsi"/>
          <w:sz w:val="24"/>
          <w:szCs w:val="24"/>
        </w:rPr>
      </w:pPr>
    </w:p>
    <w:p w14:paraId="655C940E" w14:textId="206953CE" w:rsidR="00E2510D" w:rsidRDefault="00B92248" w:rsidP="00043756">
      <w:pPr>
        <w:spacing w:line="360" w:lineRule="auto"/>
        <w:rPr>
          <w:rFonts w:asciiTheme="minorHAnsi" w:hAnsiTheme="minorHAnsi" w:cstheme="minorHAnsi"/>
          <w:sz w:val="24"/>
          <w:szCs w:val="24"/>
        </w:rPr>
      </w:pPr>
      <w:r w:rsidRPr="00B92248">
        <w:rPr>
          <w:rFonts w:asciiTheme="minorHAnsi" w:hAnsiTheme="minorHAnsi" w:cstheme="minorHAnsi"/>
          <w:sz w:val="24"/>
          <w:szCs w:val="24"/>
        </w:rPr>
        <w:t xml:space="preserve">This essay will discuss the changes that the Coroners and Justice Act (2009) made to the defence of diminished responsibility, alongside the advantages and disadvantages surrounding this. Following the establishment of this act, there was numerous changes made across other legislation including the defence of diminished responsibility. Diminished responsibility is one of three defences for murder to exist in the United Kingdom. It was originally defined under the Homicide Act (1957) but since then it has been modified by the Coroners and Justice Act (2009). The definition today notes that a partial defence for murder can be satisfied when the defendant suffered from an abnormality of mental functioning at the time that the offence occurred (R.D Mackay, 2010). </w:t>
      </w:r>
      <w:r w:rsidR="00043756" w:rsidRPr="00043756">
        <w:rPr>
          <w:rFonts w:asciiTheme="minorHAnsi" w:hAnsiTheme="minorHAnsi" w:cstheme="minorHAnsi"/>
          <w:sz w:val="24"/>
          <w:szCs w:val="24"/>
        </w:rPr>
        <w:t>It is important to note that diminished responsibility is a partial defence only and if the defendant is found guilty with sufficient evidence that proves they were suffering from an abnormality of mental functioning, then the charge will be changed to voluntary manslaughter (Crown Prosecution Service, 2019). In addition to this, the defendant entirely must provide the court with medical evidence to suffice the defence of diminished responsibility. It is also heavily dependent on medical records., which can complicate the process of successfully qualifying for the defence.</w:t>
      </w:r>
    </w:p>
    <w:p w14:paraId="03C0C7B4" w14:textId="77777777" w:rsidR="007474EE" w:rsidRDefault="007474EE" w:rsidP="00043756">
      <w:pPr>
        <w:spacing w:line="360" w:lineRule="auto"/>
        <w:rPr>
          <w:rFonts w:asciiTheme="minorHAnsi" w:hAnsiTheme="minorHAnsi" w:cstheme="minorHAnsi"/>
          <w:sz w:val="24"/>
          <w:szCs w:val="24"/>
        </w:rPr>
      </w:pPr>
    </w:p>
    <w:p w14:paraId="525F35A0" w14:textId="65B74148" w:rsidR="00FA27BF" w:rsidRDefault="007474EE" w:rsidP="00C12759">
      <w:pPr>
        <w:spacing w:line="360" w:lineRule="auto"/>
        <w:rPr>
          <w:rFonts w:asciiTheme="minorHAnsi" w:hAnsiTheme="minorHAnsi" w:cstheme="minorHAnsi"/>
          <w:sz w:val="24"/>
          <w:szCs w:val="24"/>
        </w:rPr>
      </w:pPr>
      <w:r w:rsidRPr="007474EE">
        <w:rPr>
          <w:rFonts w:asciiTheme="minorHAnsi" w:hAnsiTheme="minorHAnsi" w:cstheme="minorHAnsi"/>
          <w:sz w:val="24"/>
          <w:szCs w:val="24"/>
        </w:rPr>
        <w:t xml:space="preserve">Section 2 of the Homicide Act (1957) states that there must be four elements present to satisfy the defence of diminished responsibility. Firstly, the defendant must prove that they were suffering from an abnormality of mental functioning at the time the offence took place. If this element is satisfied, it then must be determined whether it had been caused by a recognised medical condition. An example of a recognised medical condition includes post-traumatic stress disorder, which is extreme anxiety caused by stressful or traumatic events (NHS, 2020). After this has been established, it needs to be determined if the abnormality of mental functioning had a considerable effect on the defendant’s ability to understand the nature of their conduct, form a rational judgement, or exercise self-control. Once this has been approved a decision must be made to confirm whether the abnormality </w:t>
      </w:r>
      <w:r w:rsidRPr="007474EE">
        <w:rPr>
          <w:rFonts w:asciiTheme="minorHAnsi" w:hAnsiTheme="minorHAnsi" w:cstheme="minorHAnsi"/>
          <w:sz w:val="24"/>
          <w:szCs w:val="24"/>
        </w:rPr>
        <w:lastRenderedPageBreak/>
        <w:t>of mental functioning explained the defendant’s conduct. Only when all elements listed under Section 2 of the Homicide Act (1957) are satisfied can the defence for diminished responsibility be established. In the presence of a possible murder charge, the defendant has the responsibility to produce evidence that demonstrates they are not liable to be convicted of murder because of diminished responsibility. This is initiated by Section 2(2) and Section 2(3) of the Homicide Act (1957).</w:t>
      </w:r>
    </w:p>
    <w:p w14:paraId="42505F6B" w14:textId="77777777" w:rsidR="007474EE" w:rsidRDefault="007474EE" w:rsidP="00C12759">
      <w:pPr>
        <w:spacing w:line="360" w:lineRule="auto"/>
        <w:rPr>
          <w:rFonts w:asciiTheme="minorHAnsi" w:hAnsiTheme="minorHAnsi" w:cstheme="minorHAnsi"/>
          <w:sz w:val="24"/>
          <w:szCs w:val="24"/>
        </w:rPr>
      </w:pPr>
    </w:p>
    <w:p w14:paraId="33F05180" w14:textId="48CEC1CA" w:rsidR="00ED68E2" w:rsidRDefault="00382D64" w:rsidP="00C12759">
      <w:pPr>
        <w:spacing w:line="360" w:lineRule="auto"/>
        <w:rPr>
          <w:rFonts w:asciiTheme="minorHAnsi" w:hAnsiTheme="minorHAnsi" w:cstheme="minorHAnsi"/>
          <w:sz w:val="24"/>
          <w:szCs w:val="24"/>
        </w:rPr>
      </w:pPr>
      <w:r w:rsidRPr="00382D64">
        <w:rPr>
          <w:rFonts w:asciiTheme="minorHAnsi" w:hAnsiTheme="minorHAnsi" w:cstheme="minorHAnsi"/>
          <w:sz w:val="24"/>
          <w:szCs w:val="24"/>
        </w:rPr>
        <w:t>The Coroners and Justice Act (2009) scrutinised existing legislation associated with multiple issues that appeared within the English legal system. This included the revision of Section 2 of the Homicide Act (1957), which was ultimately reformed by this act. Under Section 52 of the Coroners and Justice Act (2009), there was a reform of the partial defence for murder of diminished responsibility introduced in England and Wales (Ministry of Justice, 2010). Advanced research demonstrating a better understanding of medical conditions had influenced multiple changes to Section 2 of the Homicide Act (1957). The reformation replaced outdated terminology that did not apply to modern-day society. For instance, it replaced the use of “abnormality of mind’ with “abnormality of mental functioning”. An abnormality of mental functioning is a phycological state where the individual is not conscious of their behaviour, where it is noticeably different from how another person would act. The new definition was more perceivable and easier to apply to different types of cases (Louise Kennefick, 2011). For the defence of diminished responsibility to be established under Section 2 of the Homicide Act (1957) prior to it being reformed by Coroners and Justice Act (2009) the defendant would have to provide evidence of a retarted development. The term was considered derogative and as a result was replaced by the need to provide evidence of a recognised medical condition (Government Legislation, 2023). As of when the Coroners and Justice Act (2009) was enacted, there were three elements put in place to demonstrate if the abnormality of mental functioning had substantially impaired the individual’s normal mental state (Government Legislation UK, 2009). The defendant must have been impaired by one of three elements including the ability to understand the nature of their conduct, form a rational judgement, or exercise self-control (Nicola Monaghan, 2014). This ultimately reduced the burden of producing excessive amounts of evidence to prove eligibility for the defence of diminished responsibility.</w:t>
      </w:r>
    </w:p>
    <w:p w14:paraId="3EED4B6F" w14:textId="560E91EC" w:rsidR="00E31EF9" w:rsidRDefault="00E31EF9" w:rsidP="00C12759">
      <w:pPr>
        <w:spacing w:line="360" w:lineRule="auto"/>
        <w:rPr>
          <w:rFonts w:asciiTheme="minorHAnsi" w:hAnsiTheme="minorHAnsi" w:cstheme="minorHAnsi"/>
          <w:sz w:val="24"/>
          <w:szCs w:val="24"/>
        </w:rPr>
      </w:pPr>
      <w:r w:rsidRPr="00E31EF9">
        <w:rPr>
          <w:rFonts w:asciiTheme="minorHAnsi" w:hAnsiTheme="minorHAnsi" w:cstheme="minorHAnsi"/>
          <w:sz w:val="24"/>
          <w:szCs w:val="24"/>
        </w:rPr>
        <w:lastRenderedPageBreak/>
        <w:t>A well-known case associated with the defence of diminished responsibility is R v Byrne (1960) 2 QB 396. The appellant killed, raped, and mutilated a young woman and was able to provide sufficient evidence that satisfied the eligibility for the defence of diminished responsibility. Medical records displayed evidence that Byrne was a sexual psychopath and had no control over his sexual desires. The judge attempted to advise the jury that this was not a valid explanation, ultimately attempting to exclude the abnormality of mental function being applied to this case (Oxbridge Notes, 2020). Another example of a case where the defence of diminished responsibility was applied is R v Ahluwalia (1992) 4 AII ER 889. In this case, Ahluwalia appealed the verdict of murder. The appellant endured abuse from her husband for several years and acted upon a rational decision to inflict harm on him. Ahluwalia set petrol alight in her husband’s room and he later died in the hospital as a result of the injuries he sustained. The appellant pleaded guilty to manslaughter on the basis that she did not foresee death occurring. In addition to this, diminished responsibility could be established as a result of the acknowledgement of Battered Woman Syndrome which caused an abnormality of mental functioning at the time of the offence (Celia Wells, 1994).</w:t>
      </w:r>
    </w:p>
    <w:p w14:paraId="0800F822" w14:textId="276BD7AE" w:rsidR="00465666" w:rsidRDefault="00465666" w:rsidP="00C12759">
      <w:pPr>
        <w:spacing w:line="360" w:lineRule="auto"/>
        <w:rPr>
          <w:rFonts w:asciiTheme="minorHAnsi" w:hAnsiTheme="minorHAnsi" w:cstheme="minorHAnsi"/>
          <w:sz w:val="24"/>
          <w:szCs w:val="24"/>
        </w:rPr>
      </w:pPr>
      <w:r w:rsidRPr="00465666">
        <w:rPr>
          <w:rFonts w:asciiTheme="minorHAnsi" w:hAnsiTheme="minorHAnsi" w:cstheme="minorHAnsi"/>
          <w:sz w:val="24"/>
          <w:szCs w:val="24"/>
        </w:rPr>
        <w:t xml:space="preserve">An advantage that the reformation of the Coroners and Justice Act (2009) had on the defence of diminished responsibility was it provided a greater understanding of crimes that are a result of an abnormality of mental functioning. It is evident that the United Kingdom had very little knowledge of mental health conditions during the 1950s, which had an adverse effect on the legislation written regarding diminished responsibility. During this period, mental conditions such as schizophrenia, psychosis, and autism were highly stigmatised and there were no effective treatments available (Phelan et al., 2000). The increased amount of research surrounding mental health conditions and their ability to cause abnormality of mental functioning provided a better foundation to reform the defence of diminished responsibility. Modern research regarding medical conditions such as pre-menstrual tension and its effect on an individual’s mental functioning had been acknowledged in the case of R v Smith (1982). As a result of this, there was better additional support for the offender in place. However, it appears to be difficult to prove that the offender had an abnormality of mental functioning at the time of the offence. To receive the correct diagnosis for a medical condition has been proven to be a lengthy process, which does not work in favour of the defendant trying to establish their eligibility for diminished responsibility. According to NHS England (2020), over 40,000 patients were awaiting a </w:t>
      </w:r>
      <w:r w:rsidRPr="00465666">
        <w:rPr>
          <w:rFonts w:asciiTheme="minorHAnsi" w:hAnsiTheme="minorHAnsi" w:cstheme="minorHAnsi"/>
          <w:sz w:val="24"/>
          <w:szCs w:val="24"/>
        </w:rPr>
        <w:lastRenderedPageBreak/>
        <w:t>diagnosis test for more than six weeks as of 2019/20. The evidence presented by the defence regarding abnormality of mental functioning due to a medical condition may affect the jury’s decision. Regardless of the quality of evidence proving substantial impairment caused by an abnormality of mental functioning the jury can use their equity to determine the verdict. The definition of jury equity can be found under the Juries Act (1825) as permission to uphold a conviction if they believe it is not in the public interest to convict the defendant or they are not worthy of criminal liability (Government Legislation UK, 2022).</w:t>
      </w:r>
    </w:p>
    <w:p w14:paraId="12105FA7" w14:textId="77777777" w:rsidR="00465666" w:rsidRDefault="00465666" w:rsidP="0080050A">
      <w:pPr>
        <w:spacing w:line="360" w:lineRule="auto"/>
        <w:rPr>
          <w:rFonts w:asciiTheme="minorHAnsi" w:hAnsiTheme="minorHAnsi" w:cstheme="minorHAnsi"/>
          <w:sz w:val="24"/>
          <w:szCs w:val="24"/>
        </w:rPr>
      </w:pPr>
    </w:p>
    <w:p w14:paraId="29663931" w14:textId="721615A9" w:rsidR="00B242BF" w:rsidRDefault="006C4A29" w:rsidP="0080050A">
      <w:pPr>
        <w:spacing w:line="360" w:lineRule="auto"/>
        <w:rPr>
          <w:rFonts w:asciiTheme="minorHAnsi" w:hAnsiTheme="minorHAnsi" w:cstheme="minorHAnsi"/>
          <w:sz w:val="24"/>
          <w:szCs w:val="24"/>
        </w:rPr>
      </w:pPr>
      <w:r w:rsidRPr="006C4A29">
        <w:rPr>
          <w:rFonts w:asciiTheme="minorHAnsi" w:hAnsiTheme="minorHAnsi" w:cstheme="minorHAnsi"/>
          <w:sz w:val="24"/>
          <w:szCs w:val="24"/>
        </w:rPr>
        <w:t>It has been thirteen years since the reformation of Section 2 of the Homicide Act (1957) and there have been issues appearing gradually that need to be revised. Although it was improved by Section 52 of the Coroners and Justice Act (2009), there have been many developments in society since and it is not as suitable for a modern-day legal system like it once was. A medical condition is extremely complex and there is no way of fully understanding it. The process of establishing diminished responsibility is lengthy and can further induce stress on the individual. To ensure this act is achieving its full potential regarding collecting evidence to confirm the existence of a medical condition, there should be less invasive methods used. In addition to this, if treatments were accessible, it potentially could reduce the number of crimes that happen as a result of an abnormality of mental functioning (Jennifer L. Doleac, 2018). As well as this, the sentencing laws surrounding voluntary manslaughter should be reconsidered. The maximum custodial sentence administered by diminished responsibility is twenty-four years, with a minimum of seven years (Sentencing Council, 2018). However, the defendant would likely benefit from a whole life or fixed-term sentence in an institution dedicated to improving mental well-being.</w:t>
      </w:r>
    </w:p>
    <w:p w14:paraId="70C596FF" w14:textId="77777777" w:rsidR="00B242BF" w:rsidRDefault="00B242BF" w:rsidP="0080050A">
      <w:pPr>
        <w:spacing w:line="360" w:lineRule="auto"/>
        <w:rPr>
          <w:rFonts w:asciiTheme="minorHAnsi" w:hAnsiTheme="minorHAnsi" w:cstheme="minorHAnsi"/>
          <w:sz w:val="24"/>
          <w:szCs w:val="24"/>
        </w:rPr>
      </w:pPr>
    </w:p>
    <w:p w14:paraId="6D028B4E" w14:textId="77777777" w:rsidR="00833C37" w:rsidRPr="00FC06CC" w:rsidRDefault="00833C37" w:rsidP="00C12759">
      <w:pPr>
        <w:spacing w:line="360" w:lineRule="auto"/>
        <w:ind w:left="720"/>
        <w:rPr>
          <w:rFonts w:asciiTheme="minorHAnsi" w:hAnsiTheme="minorHAnsi" w:cstheme="minorHAnsi"/>
          <w:sz w:val="24"/>
          <w:szCs w:val="24"/>
        </w:rPr>
      </w:pPr>
    </w:p>
    <w:p w14:paraId="19FD051C" w14:textId="77777777" w:rsidR="00F55E2B" w:rsidRPr="00FC06CC" w:rsidRDefault="00F55E2B" w:rsidP="00C12759">
      <w:pPr>
        <w:spacing w:line="360" w:lineRule="auto"/>
        <w:ind w:left="720"/>
        <w:rPr>
          <w:rFonts w:asciiTheme="minorHAnsi" w:hAnsiTheme="minorHAnsi" w:cstheme="minorHAnsi"/>
          <w:sz w:val="24"/>
          <w:szCs w:val="24"/>
        </w:rPr>
      </w:pPr>
    </w:p>
    <w:p w14:paraId="10F029E8" w14:textId="77777777" w:rsidR="00C822E1" w:rsidRDefault="00C822E1" w:rsidP="00F97AB2">
      <w:pPr>
        <w:pStyle w:val="Heading1"/>
      </w:pPr>
    </w:p>
    <w:p w14:paraId="3C094C11" w14:textId="77777777" w:rsidR="00C822E1" w:rsidRDefault="00C822E1" w:rsidP="00F97AB2">
      <w:pPr>
        <w:pStyle w:val="Heading1"/>
      </w:pPr>
    </w:p>
    <w:p w14:paraId="3D2AB2D7" w14:textId="688471A9" w:rsidR="001A7D99" w:rsidRPr="00855F80" w:rsidRDefault="00FC06CC" w:rsidP="00F97AB2">
      <w:pPr>
        <w:pStyle w:val="Heading1"/>
      </w:pPr>
      <w:r w:rsidRPr="00855F80">
        <w:t xml:space="preserve">References </w:t>
      </w:r>
    </w:p>
    <w:p w14:paraId="214B7EC2" w14:textId="77777777" w:rsidR="00C822E1" w:rsidRDefault="00C822E1" w:rsidP="00E842D1">
      <w:pPr>
        <w:spacing w:line="360" w:lineRule="auto"/>
        <w:rPr>
          <w:rFonts w:asciiTheme="minorHAnsi" w:hAnsiTheme="minorHAnsi" w:cstheme="minorHAnsi"/>
          <w:sz w:val="24"/>
          <w:szCs w:val="24"/>
        </w:rPr>
      </w:pPr>
    </w:p>
    <w:p w14:paraId="0A443F71" w14:textId="337EC4AA"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Crown Prosecution Service (2019) </w:t>
      </w:r>
      <w:r w:rsidRPr="00A42C9C">
        <w:rPr>
          <w:rFonts w:asciiTheme="minorHAnsi" w:hAnsiTheme="minorHAnsi" w:cstheme="minorHAnsi"/>
          <w:i/>
          <w:iCs/>
          <w:sz w:val="24"/>
          <w:szCs w:val="24"/>
        </w:rPr>
        <w:t>Homicide: Murder and Manslaughter.</w:t>
      </w:r>
      <w:r>
        <w:rPr>
          <w:rFonts w:asciiTheme="minorHAnsi" w:hAnsiTheme="minorHAnsi" w:cstheme="minorHAnsi"/>
          <w:sz w:val="24"/>
          <w:szCs w:val="24"/>
        </w:rPr>
        <w:t xml:space="preserve"> Available at: </w:t>
      </w:r>
      <w:hyperlink r:id="rId7" w:history="1">
        <w:r w:rsidRPr="0084187E">
          <w:rPr>
            <w:rStyle w:val="Hyperlink"/>
            <w:rFonts w:asciiTheme="minorHAnsi" w:hAnsiTheme="minorHAnsi" w:cstheme="minorHAnsi"/>
            <w:sz w:val="24"/>
            <w:szCs w:val="24"/>
          </w:rPr>
          <w:t>https://www.cps.gov.uk/legal-guidance/homicide-murder-and-manslaughter</w:t>
        </w:r>
      </w:hyperlink>
      <w:r>
        <w:rPr>
          <w:rFonts w:asciiTheme="minorHAnsi" w:hAnsiTheme="minorHAnsi" w:cstheme="minorHAnsi"/>
          <w:sz w:val="24"/>
          <w:szCs w:val="24"/>
        </w:rPr>
        <w:t xml:space="preserve"> (Accessed: 6 March 2023). </w:t>
      </w:r>
    </w:p>
    <w:p w14:paraId="00DEC02F" w14:textId="77777777" w:rsidR="00E842D1" w:rsidRDefault="00E842D1" w:rsidP="00E842D1">
      <w:pPr>
        <w:spacing w:line="360" w:lineRule="auto"/>
        <w:rPr>
          <w:rFonts w:asciiTheme="minorHAnsi" w:hAnsiTheme="minorHAnsi" w:cstheme="minorHAnsi"/>
          <w:sz w:val="24"/>
          <w:szCs w:val="24"/>
        </w:rPr>
      </w:pPr>
    </w:p>
    <w:p w14:paraId="77429050" w14:textId="7C7F68BE"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Department for Constitutional Affairs (2006) </w:t>
      </w:r>
      <w:r>
        <w:rPr>
          <w:rFonts w:asciiTheme="minorHAnsi" w:hAnsiTheme="minorHAnsi" w:cstheme="minorHAnsi"/>
          <w:i/>
          <w:iCs/>
          <w:sz w:val="24"/>
          <w:szCs w:val="24"/>
        </w:rPr>
        <w:t xml:space="preserve">Coroner Reform: The Government’s Draft Bill. </w:t>
      </w:r>
      <w:r>
        <w:rPr>
          <w:rFonts w:asciiTheme="minorHAnsi" w:hAnsiTheme="minorHAnsi" w:cstheme="minorHAnsi"/>
          <w:sz w:val="24"/>
          <w:szCs w:val="24"/>
        </w:rPr>
        <w:t xml:space="preserve">Available at: </w:t>
      </w:r>
      <w:hyperlink r:id="rId8" w:history="1">
        <w:r w:rsidRPr="0084187E">
          <w:rPr>
            <w:rStyle w:val="Hyperlink"/>
            <w:rFonts w:asciiTheme="minorHAnsi" w:hAnsiTheme="minorHAnsi" w:cstheme="minorHAnsi"/>
            <w:sz w:val="24"/>
            <w:szCs w:val="24"/>
          </w:rPr>
          <w:t>https://assets.publishing.service.gov.uk/government/uploads/system/uploads/attachment_data/file/272304/6849.pdf</w:t>
        </w:r>
      </w:hyperlink>
      <w:r>
        <w:rPr>
          <w:rFonts w:asciiTheme="minorHAnsi" w:hAnsiTheme="minorHAnsi" w:cstheme="minorHAnsi"/>
          <w:sz w:val="24"/>
          <w:szCs w:val="24"/>
        </w:rPr>
        <w:t xml:space="preserve"> (Accessed: 6 March 2023). </w:t>
      </w:r>
    </w:p>
    <w:p w14:paraId="3EE23E88" w14:textId="77777777" w:rsidR="00E842D1" w:rsidRDefault="00E842D1" w:rsidP="00E842D1">
      <w:pPr>
        <w:spacing w:line="360" w:lineRule="auto"/>
        <w:rPr>
          <w:rFonts w:asciiTheme="minorHAnsi" w:hAnsiTheme="minorHAnsi" w:cstheme="minorHAnsi"/>
          <w:sz w:val="24"/>
          <w:szCs w:val="24"/>
        </w:rPr>
      </w:pPr>
    </w:p>
    <w:p w14:paraId="4FA74B17" w14:textId="0885B004"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Legislation UK (2009) </w:t>
      </w:r>
      <w:r>
        <w:rPr>
          <w:rFonts w:asciiTheme="minorHAnsi" w:hAnsiTheme="minorHAnsi" w:cstheme="minorHAnsi"/>
          <w:i/>
          <w:iCs/>
          <w:sz w:val="24"/>
          <w:szCs w:val="24"/>
        </w:rPr>
        <w:t xml:space="preserve">Coroners and Justice Act – Explanatory Notes. </w:t>
      </w:r>
      <w:r>
        <w:rPr>
          <w:rFonts w:asciiTheme="minorHAnsi" w:hAnsiTheme="minorHAnsi" w:cstheme="minorHAnsi"/>
          <w:sz w:val="24"/>
          <w:szCs w:val="24"/>
        </w:rPr>
        <w:t xml:space="preserve">Available at: </w:t>
      </w:r>
      <w:hyperlink r:id="rId9" w:history="1">
        <w:r w:rsidRPr="0084187E">
          <w:rPr>
            <w:rStyle w:val="Hyperlink"/>
            <w:rFonts w:asciiTheme="minorHAnsi" w:hAnsiTheme="minorHAnsi" w:cstheme="minorHAnsi"/>
            <w:sz w:val="24"/>
            <w:szCs w:val="24"/>
          </w:rPr>
          <w:t>https://www.legislation.gov.uk/ukpga/2009/25/section/52/notes</w:t>
        </w:r>
      </w:hyperlink>
      <w:r>
        <w:rPr>
          <w:rFonts w:asciiTheme="minorHAnsi" w:hAnsiTheme="minorHAnsi" w:cstheme="minorHAnsi"/>
          <w:sz w:val="24"/>
          <w:szCs w:val="24"/>
        </w:rPr>
        <w:t xml:space="preserve"> (Accessed: 7 March 2023). </w:t>
      </w:r>
    </w:p>
    <w:p w14:paraId="0BBE3D4F" w14:textId="77777777" w:rsidR="00E842D1" w:rsidRDefault="00E842D1" w:rsidP="00E842D1">
      <w:pPr>
        <w:spacing w:line="360" w:lineRule="auto"/>
        <w:rPr>
          <w:rFonts w:asciiTheme="minorHAnsi" w:hAnsiTheme="minorHAnsi" w:cstheme="minorHAnsi"/>
          <w:sz w:val="24"/>
          <w:szCs w:val="24"/>
        </w:rPr>
      </w:pPr>
    </w:p>
    <w:p w14:paraId="5FF89F46" w14:textId="1C42A77D"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Legislation UK (2022) </w:t>
      </w:r>
      <w:r>
        <w:rPr>
          <w:rFonts w:asciiTheme="minorHAnsi" w:hAnsiTheme="minorHAnsi" w:cstheme="minorHAnsi"/>
          <w:i/>
          <w:iCs/>
          <w:sz w:val="24"/>
          <w:szCs w:val="24"/>
        </w:rPr>
        <w:t xml:space="preserve">Homicide Act 1957. </w:t>
      </w:r>
      <w:r>
        <w:rPr>
          <w:rFonts w:asciiTheme="minorHAnsi" w:hAnsiTheme="minorHAnsi" w:cstheme="minorHAnsi"/>
          <w:sz w:val="24"/>
          <w:szCs w:val="24"/>
        </w:rPr>
        <w:t xml:space="preserve">Available at: </w:t>
      </w:r>
      <w:hyperlink r:id="rId10" w:history="1">
        <w:r w:rsidRPr="0084187E">
          <w:rPr>
            <w:rStyle w:val="Hyperlink"/>
            <w:rFonts w:asciiTheme="minorHAnsi" w:hAnsiTheme="minorHAnsi" w:cstheme="minorHAnsi"/>
            <w:sz w:val="24"/>
            <w:szCs w:val="24"/>
          </w:rPr>
          <w:t>https://www.legislation.gov.uk/ukpga/Eliz2/5-6/11/section/2/enacted</w:t>
        </w:r>
      </w:hyperlink>
      <w:r>
        <w:rPr>
          <w:rFonts w:asciiTheme="minorHAnsi" w:hAnsiTheme="minorHAnsi" w:cstheme="minorHAnsi"/>
          <w:sz w:val="24"/>
          <w:szCs w:val="24"/>
        </w:rPr>
        <w:t xml:space="preserve"> (Accessed: 6 March 2023). </w:t>
      </w:r>
    </w:p>
    <w:p w14:paraId="44202B32" w14:textId="77777777" w:rsidR="00E842D1" w:rsidRDefault="00E842D1" w:rsidP="00E842D1">
      <w:pPr>
        <w:spacing w:line="360" w:lineRule="auto"/>
        <w:rPr>
          <w:rFonts w:asciiTheme="minorHAnsi" w:hAnsiTheme="minorHAnsi" w:cstheme="minorHAnsi"/>
          <w:sz w:val="24"/>
          <w:szCs w:val="24"/>
        </w:rPr>
      </w:pPr>
    </w:p>
    <w:p w14:paraId="60032C2D" w14:textId="2125ED44"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Legislation UK (2022) </w:t>
      </w:r>
      <w:r>
        <w:rPr>
          <w:rFonts w:asciiTheme="minorHAnsi" w:hAnsiTheme="minorHAnsi" w:cstheme="minorHAnsi"/>
          <w:i/>
          <w:iCs/>
          <w:sz w:val="24"/>
          <w:szCs w:val="24"/>
        </w:rPr>
        <w:t xml:space="preserve">Juries Act 1825. </w:t>
      </w:r>
      <w:r>
        <w:rPr>
          <w:rFonts w:asciiTheme="minorHAnsi" w:hAnsiTheme="minorHAnsi" w:cstheme="minorHAnsi"/>
          <w:sz w:val="24"/>
          <w:szCs w:val="24"/>
        </w:rPr>
        <w:t xml:space="preserve">Available at: </w:t>
      </w:r>
      <w:hyperlink r:id="rId11" w:history="1">
        <w:r w:rsidRPr="0084187E">
          <w:rPr>
            <w:rStyle w:val="Hyperlink"/>
            <w:rFonts w:asciiTheme="minorHAnsi" w:hAnsiTheme="minorHAnsi" w:cstheme="minorHAnsi"/>
            <w:sz w:val="24"/>
            <w:szCs w:val="24"/>
          </w:rPr>
          <w:t>https://www.legislation.gov.uk/ukpga/Geo4/6/50/enacted</w:t>
        </w:r>
      </w:hyperlink>
      <w:r>
        <w:rPr>
          <w:rFonts w:asciiTheme="minorHAnsi" w:hAnsiTheme="minorHAnsi" w:cstheme="minorHAnsi"/>
          <w:sz w:val="24"/>
          <w:szCs w:val="24"/>
        </w:rPr>
        <w:t xml:space="preserve"> (Accessed:7 March 2023). </w:t>
      </w:r>
    </w:p>
    <w:p w14:paraId="470C03D9" w14:textId="77777777" w:rsidR="00E842D1" w:rsidRDefault="00E842D1" w:rsidP="00E842D1">
      <w:pPr>
        <w:spacing w:line="360" w:lineRule="auto"/>
        <w:rPr>
          <w:rFonts w:asciiTheme="minorHAnsi" w:hAnsiTheme="minorHAnsi" w:cstheme="minorHAnsi"/>
          <w:sz w:val="24"/>
          <w:szCs w:val="24"/>
        </w:rPr>
      </w:pPr>
    </w:p>
    <w:p w14:paraId="74C29BD4" w14:textId="32FC73E0"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Government Legislation UK (2023) </w:t>
      </w:r>
      <w:r w:rsidRPr="00BE0C5F">
        <w:rPr>
          <w:rFonts w:asciiTheme="minorHAnsi" w:hAnsiTheme="minorHAnsi" w:cstheme="minorHAnsi"/>
          <w:i/>
          <w:iCs/>
          <w:sz w:val="24"/>
          <w:szCs w:val="24"/>
        </w:rPr>
        <w:t>Coroners and Justice Act 2009.</w:t>
      </w:r>
      <w:r>
        <w:rPr>
          <w:rFonts w:asciiTheme="minorHAnsi" w:hAnsiTheme="minorHAnsi" w:cstheme="minorHAnsi"/>
          <w:sz w:val="24"/>
          <w:szCs w:val="24"/>
        </w:rPr>
        <w:t xml:space="preserve"> Available at: </w:t>
      </w:r>
      <w:hyperlink r:id="rId12" w:history="1">
        <w:r w:rsidRPr="0084187E">
          <w:rPr>
            <w:rStyle w:val="Hyperlink"/>
            <w:rFonts w:asciiTheme="minorHAnsi" w:hAnsiTheme="minorHAnsi" w:cstheme="minorHAnsi"/>
            <w:sz w:val="24"/>
            <w:szCs w:val="24"/>
          </w:rPr>
          <w:t>https://www.legislation.gov.uk/ukpga/2009/25/section/52</w:t>
        </w:r>
      </w:hyperlink>
      <w:r>
        <w:rPr>
          <w:rFonts w:asciiTheme="minorHAnsi" w:hAnsiTheme="minorHAnsi" w:cstheme="minorHAnsi"/>
          <w:sz w:val="24"/>
          <w:szCs w:val="24"/>
        </w:rPr>
        <w:t xml:space="preserve"> (Accessed: 7 March 2023). </w:t>
      </w:r>
    </w:p>
    <w:p w14:paraId="19F61C43" w14:textId="77777777" w:rsidR="00E842D1" w:rsidRDefault="00E842D1" w:rsidP="00E842D1">
      <w:pPr>
        <w:spacing w:line="360" w:lineRule="auto"/>
        <w:rPr>
          <w:rFonts w:asciiTheme="minorHAnsi" w:hAnsiTheme="minorHAnsi" w:cstheme="minorHAnsi"/>
          <w:sz w:val="24"/>
          <w:szCs w:val="24"/>
        </w:rPr>
      </w:pPr>
    </w:p>
    <w:p w14:paraId="68E0F9EA" w14:textId="11A6FF8C"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Jennifer L. Doleac (2018) </w:t>
      </w:r>
      <w:r>
        <w:rPr>
          <w:rFonts w:asciiTheme="minorHAnsi" w:hAnsiTheme="minorHAnsi" w:cstheme="minorHAnsi"/>
          <w:i/>
          <w:iCs/>
          <w:sz w:val="24"/>
          <w:szCs w:val="24"/>
        </w:rPr>
        <w:t xml:space="preserve">New evidence that access to health care reduces crime. </w:t>
      </w:r>
      <w:r>
        <w:rPr>
          <w:rFonts w:asciiTheme="minorHAnsi" w:hAnsiTheme="minorHAnsi" w:cstheme="minorHAnsi"/>
          <w:sz w:val="24"/>
          <w:szCs w:val="24"/>
        </w:rPr>
        <w:t>Available at:</w:t>
      </w:r>
      <w:r w:rsidRPr="008C0609">
        <w:t xml:space="preserve"> </w:t>
      </w:r>
      <w:hyperlink r:id="rId13" w:history="1">
        <w:r w:rsidRPr="0084187E">
          <w:rPr>
            <w:rStyle w:val="Hyperlink"/>
            <w:rFonts w:asciiTheme="minorHAnsi" w:hAnsiTheme="minorHAnsi" w:cstheme="minorHAnsi"/>
            <w:sz w:val="24"/>
            <w:szCs w:val="24"/>
          </w:rPr>
          <w:t>https://www.brookings.edu/blog/up-front/2018/01/03/new-evidence-that-access-to-health-care-reduces-crime/</w:t>
        </w:r>
      </w:hyperlink>
      <w:r>
        <w:rPr>
          <w:rFonts w:asciiTheme="minorHAnsi" w:hAnsiTheme="minorHAnsi" w:cstheme="minorHAnsi"/>
          <w:sz w:val="24"/>
          <w:szCs w:val="24"/>
        </w:rPr>
        <w:t xml:space="preserve"> (Accessed:8 March 2023).</w:t>
      </w:r>
    </w:p>
    <w:p w14:paraId="4EA66318" w14:textId="77777777" w:rsidR="00E842D1" w:rsidRDefault="00E842D1" w:rsidP="00E842D1">
      <w:pPr>
        <w:spacing w:line="360" w:lineRule="auto"/>
        <w:rPr>
          <w:rFonts w:asciiTheme="minorHAnsi" w:hAnsiTheme="minorHAnsi" w:cstheme="minorHAnsi"/>
          <w:sz w:val="24"/>
          <w:szCs w:val="24"/>
        </w:rPr>
      </w:pPr>
    </w:p>
    <w:p w14:paraId="19E08769" w14:textId="60346343"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Louise Kennefick (2011) </w:t>
      </w:r>
      <w:r w:rsidRPr="005156ED">
        <w:rPr>
          <w:rFonts w:asciiTheme="minorHAnsi" w:hAnsiTheme="minorHAnsi" w:cstheme="minorHAnsi"/>
          <w:i/>
          <w:iCs/>
          <w:sz w:val="24"/>
          <w:szCs w:val="24"/>
        </w:rPr>
        <w:t>Introducing a New Diminished Responsibility Defence for England and Wales.</w:t>
      </w:r>
      <w:r>
        <w:rPr>
          <w:rFonts w:asciiTheme="minorHAnsi" w:hAnsiTheme="minorHAnsi" w:cstheme="minorHAnsi"/>
          <w:sz w:val="24"/>
          <w:szCs w:val="24"/>
        </w:rPr>
        <w:t xml:space="preserve"> Available at: </w:t>
      </w:r>
      <w:hyperlink r:id="rId14" w:history="1">
        <w:r w:rsidRPr="0084187E">
          <w:rPr>
            <w:rStyle w:val="Hyperlink"/>
            <w:rFonts w:asciiTheme="minorHAnsi" w:hAnsiTheme="minorHAnsi" w:cstheme="minorHAnsi"/>
            <w:sz w:val="24"/>
            <w:szCs w:val="24"/>
          </w:rPr>
          <w:t>https://vlex.co.uk/vid/introducing-new-diminished-responsibility-855622856</w:t>
        </w:r>
      </w:hyperlink>
      <w:r>
        <w:rPr>
          <w:rFonts w:asciiTheme="minorHAnsi" w:hAnsiTheme="minorHAnsi" w:cstheme="minorHAnsi"/>
          <w:sz w:val="24"/>
          <w:szCs w:val="24"/>
        </w:rPr>
        <w:t xml:space="preserve"> (Accessed: 7 March 2023). </w:t>
      </w:r>
    </w:p>
    <w:p w14:paraId="54D0EF7C" w14:textId="77777777" w:rsidR="00E842D1" w:rsidRDefault="00E842D1" w:rsidP="00E842D1">
      <w:pPr>
        <w:spacing w:line="360" w:lineRule="auto"/>
        <w:rPr>
          <w:rFonts w:asciiTheme="minorHAnsi" w:hAnsiTheme="minorHAnsi" w:cstheme="minorHAnsi"/>
          <w:sz w:val="24"/>
          <w:szCs w:val="24"/>
        </w:rPr>
      </w:pPr>
    </w:p>
    <w:p w14:paraId="55B79538" w14:textId="6E804255"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Ministry of Justice (2010) </w:t>
      </w:r>
      <w:r>
        <w:rPr>
          <w:rFonts w:asciiTheme="minorHAnsi" w:hAnsiTheme="minorHAnsi" w:cstheme="minorHAnsi"/>
          <w:i/>
          <w:iCs/>
          <w:sz w:val="24"/>
          <w:szCs w:val="24"/>
        </w:rPr>
        <w:t xml:space="preserve">Partial defences to murder: loss of control and diminished responsibility; and infanticide: Implementation of Section 52, 54 to 57 of the Coroners and Justice Act 2009. </w:t>
      </w:r>
      <w:r>
        <w:rPr>
          <w:rFonts w:asciiTheme="minorHAnsi" w:hAnsiTheme="minorHAnsi" w:cstheme="minorHAnsi"/>
          <w:sz w:val="24"/>
          <w:szCs w:val="24"/>
        </w:rPr>
        <w:t xml:space="preserve">Available at: </w:t>
      </w:r>
      <w:hyperlink r:id="rId15" w:history="1">
        <w:r w:rsidRPr="0084187E">
          <w:rPr>
            <w:rStyle w:val="Hyperlink"/>
            <w:rFonts w:asciiTheme="minorHAnsi" w:hAnsiTheme="minorHAnsi" w:cstheme="minorHAnsi"/>
            <w:sz w:val="24"/>
            <w:szCs w:val="24"/>
          </w:rPr>
          <w:t>https://www.justice.gov.uk/downloads/legislation/bills-acts/circulars/moj/2010/circular-12-2010-coroners-justice-act-homicide-provisions.pdf</w:t>
        </w:r>
      </w:hyperlink>
      <w:r>
        <w:rPr>
          <w:rFonts w:asciiTheme="minorHAnsi" w:hAnsiTheme="minorHAnsi" w:cstheme="minorHAnsi"/>
          <w:sz w:val="24"/>
          <w:szCs w:val="24"/>
        </w:rPr>
        <w:t xml:space="preserve"> (Accessed: 6 March 2023). </w:t>
      </w:r>
    </w:p>
    <w:p w14:paraId="497DB25C" w14:textId="77777777" w:rsidR="00E842D1" w:rsidRDefault="00E842D1" w:rsidP="00E842D1">
      <w:pPr>
        <w:spacing w:line="360" w:lineRule="auto"/>
        <w:rPr>
          <w:rFonts w:asciiTheme="minorHAnsi" w:hAnsiTheme="minorHAnsi" w:cstheme="minorHAnsi"/>
          <w:sz w:val="24"/>
          <w:szCs w:val="24"/>
        </w:rPr>
      </w:pPr>
    </w:p>
    <w:p w14:paraId="7EE46985" w14:textId="76305A72"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Monaghan, N. (2014) </w:t>
      </w:r>
      <w:r w:rsidRPr="00670A6B">
        <w:rPr>
          <w:rFonts w:asciiTheme="minorHAnsi" w:hAnsiTheme="minorHAnsi" w:cstheme="minorHAnsi"/>
          <w:i/>
          <w:iCs/>
          <w:sz w:val="24"/>
          <w:szCs w:val="24"/>
        </w:rPr>
        <w:t>Criminal Law Directions.</w:t>
      </w:r>
      <w:r>
        <w:rPr>
          <w:rFonts w:asciiTheme="minorHAnsi" w:hAnsiTheme="minorHAnsi" w:cstheme="minorHAnsi"/>
          <w:i/>
          <w:iCs/>
          <w:sz w:val="24"/>
          <w:szCs w:val="24"/>
        </w:rPr>
        <w:t xml:space="preserve"> </w:t>
      </w:r>
      <w:r>
        <w:rPr>
          <w:rFonts w:asciiTheme="minorHAnsi" w:hAnsiTheme="minorHAnsi" w:cstheme="minorHAnsi"/>
          <w:sz w:val="24"/>
          <w:szCs w:val="24"/>
        </w:rPr>
        <w:t>3</w:t>
      </w:r>
      <w:r w:rsidRPr="002A00C1">
        <w:rPr>
          <w:rFonts w:asciiTheme="minorHAnsi" w:hAnsiTheme="minorHAnsi" w:cstheme="minorHAnsi"/>
          <w:sz w:val="24"/>
          <w:szCs w:val="24"/>
        </w:rPr>
        <w:t>rd</w:t>
      </w:r>
      <w:r>
        <w:rPr>
          <w:rFonts w:asciiTheme="minorHAnsi" w:hAnsiTheme="minorHAnsi" w:cstheme="minorHAnsi"/>
          <w:sz w:val="24"/>
          <w:szCs w:val="24"/>
        </w:rPr>
        <w:t xml:space="preserve"> edn. Oxford:</w:t>
      </w:r>
      <w:r>
        <w:rPr>
          <w:rFonts w:asciiTheme="minorHAnsi" w:hAnsiTheme="minorHAnsi" w:cstheme="minorHAnsi"/>
          <w:i/>
          <w:iCs/>
          <w:sz w:val="24"/>
          <w:szCs w:val="24"/>
        </w:rPr>
        <w:t xml:space="preserve"> </w:t>
      </w:r>
      <w:r>
        <w:rPr>
          <w:rFonts w:asciiTheme="minorHAnsi" w:hAnsiTheme="minorHAnsi" w:cstheme="minorHAnsi"/>
          <w:sz w:val="24"/>
          <w:szCs w:val="24"/>
        </w:rPr>
        <w:t xml:space="preserve">Oxford University Press (Accessed: 7 March 2023). </w:t>
      </w:r>
    </w:p>
    <w:p w14:paraId="380ABE40" w14:textId="77777777" w:rsidR="00E842D1" w:rsidRDefault="00E842D1" w:rsidP="00E842D1">
      <w:pPr>
        <w:spacing w:line="360" w:lineRule="auto"/>
        <w:rPr>
          <w:rFonts w:asciiTheme="minorHAnsi" w:hAnsiTheme="minorHAnsi" w:cstheme="minorHAnsi"/>
          <w:sz w:val="24"/>
          <w:szCs w:val="24"/>
        </w:rPr>
      </w:pPr>
    </w:p>
    <w:p w14:paraId="1BB10DE7" w14:textId="0F317A64"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NHS (2022) </w:t>
      </w:r>
      <w:r>
        <w:rPr>
          <w:rFonts w:asciiTheme="minorHAnsi" w:hAnsiTheme="minorHAnsi" w:cstheme="minorHAnsi"/>
          <w:i/>
          <w:iCs/>
          <w:sz w:val="24"/>
          <w:szCs w:val="24"/>
        </w:rPr>
        <w:t xml:space="preserve">Overview – Post-traumatic stress disorder. </w:t>
      </w:r>
      <w:r>
        <w:rPr>
          <w:rFonts w:asciiTheme="minorHAnsi" w:hAnsiTheme="minorHAnsi" w:cstheme="minorHAnsi"/>
          <w:sz w:val="24"/>
          <w:szCs w:val="24"/>
        </w:rPr>
        <w:t xml:space="preserve">Available at: </w:t>
      </w:r>
      <w:hyperlink r:id="rId16" w:history="1">
        <w:r w:rsidRPr="0084187E">
          <w:rPr>
            <w:rStyle w:val="Hyperlink"/>
            <w:rFonts w:asciiTheme="minorHAnsi" w:hAnsiTheme="minorHAnsi" w:cstheme="minorHAnsi"/>
            <w:sz w:val="24"/>
            <w:szCs w:val="24"/>
          </w:rPr>
          <w:t>https://www.nhs.uk/mental-health/conditions/post-traumatic-stress-disorder-ptsd/overview/</w:t>
        </w:r>
      </w:hyperlink>
      <w:r>
        <w:rPr>
          <w:rFonts w:asciiTheme="minorHAnsi" w:hAnsiTheme="minorHAnsi" w:cstheme="minorHAnsi"/>
          <w:sz w:val="24"/>
          <w:szCs w:val="24"/>
        </w:rPr>
        <w:t xml:space="preserve"> (Accessed: 6 March 2023).</w:t>
      </w:r>
    </w:p>
    <w:p w14:paraId="7830F955" w14:textId="77777777" w:rsidR="00E842D1" w:rsidRDefault="00E842D1" w:rsidP="00E842D1">
      <w:pPr>
        <w:spacing w:line="360" w:lineRule="auto"/>
        <w:rPr>
          <w:rFonts w:asciiTheme="minorHAnsi" w:hAnsiTheme="minorHAnsi" w:cstheme="minorHAnsi"/>
          <w:sz w:val="24"/>
          <w:szCs w:val="24"/>
        </w:rPr>
      </w:pPr>
    </w:p>
    <w:p w14:paraId="726F10AF" w14:textId="77777777"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NHS England (2020) </w:t>
      </w:r>
      <w:r>
        <w:rPr>
          <w:rFonts w:asciiTheme="minorHAnsi" w:hAnsiTheme="minorHAnsi" w:cstheme="minorHAnsi"/>
          <w:i/>
          <w:iCs/>
          <w:sz w:val="24"/>
          <w:szCs w:val="24"/>
        </w:rPr>
        <w:t xml:space="preserve">Report of the Independent Review of Diagnostic Services for NHS England. </w:t>
      </w:r>
      <w:r>
        <w:rPr>
          <w:rFonts w:asciiTheme="minorHAnsi" w:hAnsiTheme="minorHAnsi" w:cstheme="minorHAnsi"/>
          <w:sz w:val="24"/>
          <w:szCs w:val="24"/>
        </w:rPr>
        <w:t xml:space="preserve">Available at: </w:t>
      </w:r>
      <w:hyperlink r:id="rId17" w:history="1">
        <w:r w:rsidRPr="0084187E">
          <w:rPr>
            <w:rStyle w:val="Hyperlink"/>
            <w:rFonts w:asciiTheme="minorHAnsi" w:hAnsiTheme="minorHAnsi" w:cstheme="minorHAnsi"/>
            <w:sz w:val="24"/>
            <w:szCs w:val="24"/>
          </w:rPr>
          <w:t>https://www.england.nhs.uk/wp-content/uploads/2020/11/diagnostics-recovery-and-renewal-independent-review-of-diagnostic-services-for-nhs-england-2.pdf</w:t>
        </w:r>
      </w:hyperlink>
      <w:r>
        <w:rPr>
          <w:rFonts w:asciiTheme="minorHAnsi" w:hAnsiTheme="minorHAnsi" w:cstheme="minorHAnsi"/>
          <w:sz w:val="24"/>
          <w:szCs w:val="24"/>
        </w:rPr>
        <w:t xml:space="preserve"> (Accessed: 7 March 2023). </w:t>
      </w:r>
    </w:p>
    <w:p w14:paraId="29E00B80" w14:textId="09DA3C20"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Oxbridge Notes (2020) </w:t>
      </w:r>
      <w:r w:rsidRPr="00D01AC3">
        <w:rPr>
          <w:rFonts w:asciiTheme="minorHAnsi" w:hAnsiTheme="minorHAnsi" w:cstheme="minorHAnsi"/>
          <w:i/>
          <w:iCs/>
          <w:sz w:val="24"/>
          <w:szCs w:val="24"/>
        </w:rPr>
        <w:t xml:space="preserve">R v Byrne [1960] 2 QB 396. </w:t>
      </w:r>
      <w:r>
        <w:rPr>
          <w:rFonts w:asciiTheme="minorHAnsi" w:hAnsiTheme="minorHAnsi" w:cstheme="minorHAnsi"/>
          <w:sz w:val="24"/>
          <w:szCs w:val="24"/>
        </w:rPr>
        <w:t>Available at:</w:t>
      </w:r>
      <w:r w:rsidRPr="00DD6886">
        <w:t xml:space="preserve"> </w:t>
      </w:r>
      <w:hyperlink r:id="rId18" w:history="1">
        <w:r w:rsidRPr="0084187E">
          <w:rPr>
            <w:rStyle w:val="Hyperlink"/>
            <w:rFonts w:asciiTheme="minorHAnsi" w:hAnsiTheme="minorHAnsi" w:cstheme="minorHAnsi"/>
            <w:sz w:val="24"/>
            <w:szCs w:val="24"/>
          </w:rPr>
          <w:t>https://www.oxbridgenotes.co.uk/law_cases/r-v-byrne</w:t>
        </w:r>
      </w:hyperlink>
      <w:r>
        <w:rPr>
          <w:rFonts w:asciiTheme="minorHAnsi" w:hAnsiTheme="minorHAnsi" w:cstheme="minorHAnsi"/>
          <w:sz w:val="24"/>
          <w:szCs w:val="24"/>
        </w:rPr>
        <w:t xml:space="preserve"> (Accessed: 7 March 2023). </w:t>
      </w:r>
    </w:p>
    <w:p w14:paraId="1441500D" w14:textId="77777777" w:rsidR="00E842D1" w:rsidRDefault="00E842D1" w:rsidP="00E842D1">
      <w:pPr>
        <w:spacing w:line="360" w:lineRule="auto"/>
        <w:rPr>
          <w:rFonts w:asciiTheme="minorHAnsi" w:hAnsiTheme="minorHAnsi" w:cstheme="minorHAnsi"/>
          <w:sz w:val="24"/>
          <w:szCs w:val="24"/>
        </w:rPr>
      </w:pPr>
    </w:p>
    <w:p w14:paraId="13260625" w14:textId="28A8AD95" w:rsidR="00E842D1" w:rsidRDefault="00E842D1" w:rsidP="00E842D1">
      <w:pPr>
        <w:spacing w:line="360" w:lineRule="auto"/>
        <w:rPr>
          <w:rFonts w:asciiTheme="minorHAnsi" w:hAnsiTheme="minorHAnsi" w:cstheme="minorHAnsi"/>
          <w:sz w:val="24"/>
          <w:szCs w:val="24"/>
        </w:rPr>
      </w:pPr>
      <w:r w:rsidRPr="00D17899">
        <w:rPr>
          <w:rFonts w:asciiTheme="minorHAnsi" w:hAnsiTheme="minorHAnsi" w:cstheme="minorHAnsi"/>
          <w:sz w:val="24"/>
          <w:szCs w:val="24"/>
        </w:rPr>
        <w:t>Phelan, C. J., Link, G.B., Stueve, A. and Pescosolido, A. B. (2000) ‘</w:t>
      </w:r>
      <w:r w:rsidRPr="00D17899">
        <w:rPr>
          <w:rFonts w:asciiTheme="minorHAnsi" w:hAnsiTheme="minorHAnsi" w:cstheme="minorHAnsi"/>
          <w:i/>
          <w:iCs/>
          <w:sz w:val="24"/>
          <w:szCs w:val="24"/>
        </w:rPr>
        <w:t>Public Conceptions of Mental Illness in 1950 and 1996: What is Mental Illness and Is It to be Feared?’</w:t>
      </w:r>
      <w:r w:rsidRPr="00D17899">
        <w:rPr>
          <w:rFonts w:asciiTheme="minorHAnsi" w:hAnsiTheme="minorHAnsi" w:cstheme="minorHAnsi"/>
          <w:sz w:val="24"/>
          <w:szCs w:val="24"/>
        </w:rPr>
        <w:t xml:space="preserve"> Journal of Health and Social Behaviour, 41(2), pp.188-207</w:t>
      </w:r>
      <w:r w:rsidRPr="00D17899">
        <w:rPr>
          <w:rFonts w:asciiTheme="minorHAnsi" w:hAnsiTheme="minorHAnsi" w:cstheme="minorHAnsi"/>
          <w:i/>
          <w:iCs/>
          <w:sz w:val="24"/>
          <w:szCs w:val="24"/>
        </w:rPr>
        <w:t xml:space="preserve">. </w:t>
      </w:r>
      <w:r w:rsidRPr="00D17899">
        <w:rPr>
          <w:rFonts w:asciiTheme="minorHAnsi" w:hAnsiTheme="minorHAnsi" w:cstheme="minorHAnsi"/>
          <w:sz w:val="24"/>
          <w:szCs w:val="24"/>
        </w:rPr>
        <w:t>Available</w:t>
      </w:r>
      <w:r>
        <w:rPr>
          <w:rFonts w:asciiTheme="minorHAnsi" w:hAnsiTheme="minorHAnsi" w:cstheme="minorHAnsi"/>
          <w:sz w:val="24"/>
          <w:szCs w:val="24"/>
        </w:rPr>
        <w:t xml:space="preserve"> </w:t>
      </w:r>
      <w:r w:rsidRPr="00D17899">
        <w:rPr>
          <w:rFonts w:asciiTheme="minorHAnsi" w:hAnsiTheme="minorHAnsi" w:cstheme="minorHAnsi"/>
          <w:sz w:val="24"/>
          <w:szCs w:val="24"/>
        </w:rPr>
        <w:t>at:</w:t>
      </w:r>
      <w:r w:rsidRPr="00D17899">
        <w:rPr>
          <w:rStyle w:val="apple-converted-space"/>
          <w:rFonts w:asciiTheme="minorHAnsi" w:hAnsiTheme="minorHAnsi" w:cstheme="minorHAnsi"/>
          <w:sz w:val="24"/>
          <w:szCs w:val="24"/>
        </w:rPr>
        <w:t> </w:t>
      </w:r>
      <w:hyperlink r:id="rId19" w:tgtFrame="_blank" w:history="1">
        <w:r w:rsidRPr="00D17899">
          <w:rPr>
            <w:rStyle w:val="Hyperlink"/>
            <w:rFonts w:asciiTheme="minorHAnsi" w:hAnsiTheme="minorHAnsi" w:cstheme="minorHAnsi"/>
            <w:sz w:val="24"/>
            <w:szCs w:val="24"/>
          </w:rPr>
          <w:t>https://doi.org/10.2307/2676305</w:t>
        </w:r>
      </w:hyperlink>
      <w:r w:rsidRPr="00D17899">
        <w:rPr>
          <w:rFonts w:asciiTheme="minorHAnsi" w:hAnsiTheme="minorHAnsi" w:cstheme="minorHAnsi"/>
          <w:sz w:val="24"/>
          <w:szCs w:val="24"/>
        </w:rPr>
        <w:t xml:space="preserve"> (Accessed: 7 March 2023).  </w:t>
      </w:r>
    </w:p>
    <w:p w14:paraId="6A180312" w14:textId="77777777" w:rsidR="00E842D1" w:rsidRDefault="00E842D1" w:rsidP="00E842D1">
      <w:pPr>
        <w:spacing w:line="360" w:lineRule="auto"/>
        <w:rPr>
          <w:rFonts w:asciiTheme="minorHAnsi" w:hAnsiTheme="minorHAnsi" w:cstheme="minorHAnsi"/>
          <w:sz w:val="24"/>
          <w:szCs w:val="24"/>
        </w:rPr>
      </w:pPr>
    </w:p>
    <w:p w14:paraId="34C66859" w14:textId="363AB07E"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R.D Mackay (2010) </w:t>
      </w:r>
      <w:r>
        <w:rPr>
          <w:rFonts w:asciiTheme="minorHAnsi" w:hAnsiTheme="minorHAnsi" w:cstheme="minorHAnsi"/>
          <w:i/>
          <w:iCs/>
          <w:sz w:val="24"/>
          <w:szCs w:val="24"/>
        </w:rPr>
        <w:t xml:space="preserve">The Coroners and Justice Act 2009 – partial defences to murder (2) The new diminished responsibility plea. </w:t>
      </w:r>
      <w:r>
        <w:rPr>
          <w:rFonts w:asciiTheme="minorHAnsi" w:hAnsiTheme="minorHAnsi" w:cstheme="minorHAnsi"/>
          <w:sz w:val="24"/>
          <w:szCs w:val="24"/>
        </w:rPr>
        <w:t>Criminal Law Review. Available at:</w:t>
      </w:r>
      <w:r w:rsidRPr="007909B7">
        <w:t xml:space="preserve"> </w:t>
      </w:r>
      <w:hyperlink r:id="rId20" w:history="1">
        <w:r w:rsidRPr="007909B7">
          <w:rPr>
            <w:rStyle w:val="Hyperlink"/>
            <w:rFonts w:asciiTheme="minorHAnsi" w:hAnsiTheme="minorHAnsi" w:cstheme="minorHAnsi"/>
            <w:sz w:val="24"/>
            <w:szCs w:val="24"/>
          </w:rPr>
          <w:t>https://llbstudies.files.wordpress.com/2013/02/article-loss-of-control-diminished-responsiblity-2.pdf</w:t>
        </w:r>
      </w:hyperlink>
      <w:r w:rsidRPr="007909B7">
        <w:rPr>
          <w:rFonts w:asciiTheme="minorHAnsi" w:hAnsiTheme="minorHAnsi" w:cstheme="minorHAnsi"/>
          <w:sz w:val="24"/>
          <w:szCs w:val="24"/>
        </w:rPr>
        <w:t xml:space="preserve"> </w:t>
      </w:r>
      <w:r>
        <w:rPr>
          <w:rFonts w:asciiTheme="minorHAnsi" w:hAnsiTheme="minorHAnsi" w:cstheme="minorHAnsi"/>
          <w:sz w:val="24"/>
          <w:szCs w:val="24"/>
        </w:rPr>
        <w:t xml:space="preserve">(Accessed:7 March 2023). </w:t>
      </w:r>
    </w:p>
    <w:p w14:paraId="04919B48" w14:textId="77777777" w:rsidR="00E842D1" w:rsidRDefault="00E842D1" w:rsidP="00E842D1">
      <w:pPr>
        <w:spacing w:line="360" w:lineRule="auto"/>
        <w:rPr>
          <w:rFonts w:asciiTheme="minorHAnsi" w:hAnsiTheme="minorHAnsi" w:cstheme="minorHAnsi"/>
          <w:sz w:val="24"/>
          <w:szCs w:val="24"/>
        </w:rPr>
      </w:pPr>
    </w:p>
    <w:p w14:paraId="3A9DECEF" w14:textId="60FED3E6" w:rsidR="00E842D1" w:rsidRDefault="00E842D1" w:rsidP="00E842D1">
      <w:pPr>
        <w:spacing w:line="360" w:lineRule="auto"/>
        <w:rPr>
          <w:rFonts w:asciiTheme="minorHAnsi" w:hAnsiTheme="minorHAnsi" w:cstheme="minorHAnsi"/>
          <w:sz w:val="24"/>
          <w:szCs w:val="24"/>
        </w:rPr>
      </w:pPr>
      <w:r>
        <w:rPr>
          <w:rFonts w:asciiTheme="minorHAnsi" w:hAnsiTheme="minorHAnsi" w:cstheme="minorHAnsi"/>
          <w:sz w:val="24"/>
          <w:szCs w:val="24"/>
        </w:rPr>
        <w:t xml:space="preserve">Sentencing Council (2018) </w:t>
      </w:r>
      <w:r>
        <w:rPr>
          <w:rFonts w:asciiTheme="minorHAnsi" w:hAnsiTheme="minorHAnsi" w:cstheme="minorHAnsi"/>
          <w:i/>
          <w:iCs/>
          <w:sz w:val="24"/>
          <w:szCs w:val="24"/>
        </w:rPr>
        <w:t xml:space="preserve">Manslaughter by reason of diminished responsibility. </w:t>
      </w:r>
      <w:r>
        <w:rPr>
          <w:rFonts w:asciiTheme="minorHAnsi" w:hAnsiTheme="minorHAnsi" w:cstheme="minorHAnsi"/>
          <w:sz w:val="24"/>
          <w:szCs w:val="24"/>
        </w:rPr>
        <w:t xml:space="preserve">Available at: </w:t>
      </w:r>
      <w:hyperlink r:id="rId21" w:history="1">
        <w:r w:rsidRPr="0084187E">
          <w:rPr>
            <w:rStyle w:val="Hyperlink"/>
            <w:rFonts w:asciiTheme="minorHAnsi" w:hAnsiTheme="minorHAnsi" w:cstheme="minorHAnsi"/>
            <w:sz w:val="24"/>
            <w:szCs w:val="24"/>
          </w:rPr>
          <w:t>https://www.sentencingcouncil.org.uk/offences/crown-court/item/manslaughter-by-reason-of-diminished-responsibility/</w:t>
        </w:r>
      </w:hyperlink>
      <w:r>
        <w:rPr>
          <w:rFonts w:asciiTheme="minorHAnsi" w:hAnsiTheme="minorHAnsi" w:cstheme="minorHAnsi"/>
          <w:sz w:val="24"/>
          <w:szCs w:val="24"/>
        </w:rPr>
        <w:t xml:space="preserve"> (Accessed: 8 March 2023). </w:t>
      </w:r>
    </w:p>
    <w:p w14:paraId="2B1407FB" w14:textId="77777777" w:rsidR="00E842D1" w:rsidRPr="003A33DD" w:rsidRDefault="00E842D1" w:rsidP="00E842D1">
      <w:pPr>
        <w:spacing w:line="360" w:lineRule="auto"/>
        <w:rPr>
          <w:rFonts w:asciiTheme="minorHAnsi" w:hAnsiTheme="minorHAnsi" w:cstheme="minorHAnsi"/>
          <w:sz w:val="24"/>
          <w:szCs w:val="24"/>
        </w:rPr>
      </w:pPr>
    </w:p>
    <w:p w14:paraId="5797550E" w14:textId="77777777" w:rsidR="00E842D1" w:rsidRDefault="00E842D1" w:rsidP="00E842D1">
      <w:pPr>
        <w:spacing w:line="360" w:lineRule="auto"/>
        <w:rPr>
          <w:rFonts w:asciiTheme="minorHAnsi" w:hAnsiTheme="minorHAnsi" w:cstheme="minorHAnsi"/>
          <w:sz w:val="24"/>
          <w:szCs w:val="24"/>
        </w:rPr>
      </w:pPr>
      <w:r w:rsidRPr="00406AA6">
        <w:rPr>
          <w:rFonts w:asciiTheme="minorHAnsi" w:hAnsiTheme="minorHAnsi" w:cstheme="minorHAnsi"/>
          <w:sz w:val="24"/>
          <w:szCs w:val="24"/>
        </w:rPr>
        <w:t>Wells, C. (1994)</w:t>
      </w:r>
      <w:r w:rsidRPr="00406AA6">
        <w:rPr>
          <w:rFonts w:asciiTheme="minorHAnsi" w:hAnsiTheme="minorHAnsi" w:cstheme="minorHAnsi"/>
          <w:i/>
          <w:iCs/>
          <w:sz w:val="24"/>
          <w:szCs w:val="24"/>
        </w:rPr>
        <w:t xml:space="preserve"> ‘Battered woman syndrome and defences to homicide: where now?’ </w:t>
      </w:r>
      <w:r w:rsidRPr="00406AA6">
        <w:rPr>
          <w:rFonts w:asciiTheme="minorHAnsi" w:hAnsiTheme="minorHAnsi" w:cstheme="minorHAnsi"/>
          <w:sz w:val="24"/>
          <w:szCs w:val="24"/>
        </w:rPr>
        <w:t xml:space="preserve">Legal Studies. Cambridge University Press, 14(2), pp. 266-276. Available at: </w:t>
      </w:r>
      <w:hyperlink r:id="rId22" w:history="1">
        <w:r w:rsidRPr="00406AA6">
          <w:rPr>
            <w:rStyle w:val="Hyperlink"/>
            <w:rFonts w:asciiTheme="minorHAnsi" w:hAnsiTheme="minorHAnsi" w:cstheme="minorHAnsi"/>
            <w:color w:val="0070C0"/>
            <w:sz w:val="24"/>
            <w:szCs w:val="24"/>
          </w:rPr>
          <w:t>https://doi.org/10.1111/j.1748-121X.1994.tb00502.x</w:t>
        </w:r>
      </w:hyperlink>
      <w:r w:rsidRPr="00406AA6">
        <w:rPr>
          <w:rFonts w:asciiTheme="minorHAnsi" w:hAnsiTheme="minorHAnsi" w:cstheme="minorHAnsi"/>
          <w:color w:val="0070C0"/>
          <w:sz w:val="24"/>
          <w:szCs w:val="24"/>
        </w:rPr>
        <w:t xml:space="preserve"> </w:t>
      </w:r>
      <w:r>
        <w:rPr>
          <w:rFonts w:asciiTheme="minorHAnsi" w:hAnsiTheme="minorHAnsi" w:cstheme="minorHAnsi"/>
          <w:sz w:val="24"/>
          <w:szCs w:val="24"/>
        </w:rPr>
        <w:t xml:space="preserve"> (Accessed: 7 March 2023). </w:t>
      </w:r>
    </w:p>
    <w:sectPr w:rsidR="00E842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8ADD1" w14:textId="77777777" w:rsidR="00580E09" w:rsidRDefault="00580E09" w:rsidP="005D13C6">
      <w:r>
        <w:separator/>
      </w:r>
    </w:p>
  </w:endnote>
  <w:endnote w:type="continuationSeparator" w:id="0">
    <w:p w14:paraId="14584154" w14:textId="77777777" w:rsidR="00580E09" w:rsidRDefault="00580E09" w:rsidP="005D13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6F8B2" w14:textId="77777777" w:rsidR="00580E09" w:rsidRDefault="00580E09" w:rsidP="005D13C6">
      <w:r>
        <w:separator/>
      </w:r>
    </w:p>
  </w:footnote>
  <w:footnote w:type="continuationSeparator" w:id="0">
    <w:p w14:paraId="1CE4D2E4" w14:textId="77777777" w:rsidR="00580E09" w:rsidRDefault="00580E09" w:rsidP="005D13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B32E0"/>
    <w:multiLevelType w:val="hybridMultilevel"/>
    <w:tmpl w:val="20863C1C"/>
    <w:lvl w:ilvl="0" w:tplc="7390ED6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415B70"/>
    <w:multiLevelType w:val="hybridMultilevel"/>
    <w:tmpl w:val="F85A6172"/>
    <w:lvl w:ilvl="0" w:tplc="C242D44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49139AF"/>
    <w:multiLevelType w:val="hybridMultilevel"/>
    <w:tmpl w:val="5A3C22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48357414">
    <w:abstractNumId w:val="2"/>
  </w:num>
  <w:num w:numId="2" w16cid:durableId="1828784493">
    <w:abstractNumId w:val="0"/>
  </w:num>
  <w:num w:numId="3" w16cid:durableId="1284194070">
    <w:abstractNumId w:val="3"/>
  </w:num>
  <w:num w:numId="4" w16cid:durableId="9837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E2B"/>
    <w:rsid w:val="00000FB0"/>
    <w:rsid w:val="00005D20"/>
    <w:rsid w:val="00010BC8"/>
    <w:rsid w:val="00010EE5"/>
    <w:rsid w:val="0001310B"/>
    <w:rsid w:val="0001348C"/>
    <w:rsid w:val="00015BFF"/>
    <w:rsid w:val="000164C0"/>
    <w:rsid w:val="00016EEF"/>
    <w:rsid w:val="0001739E"/>
    <w:rsid w:val="000175C5"/>
    <w:rsid w:val="00022FF7"/>
    <w:rsid w:val="0002752A"/>
    <w:rsid w:val="0003580D"/>
    <w:rsid w:val="00036958"/>
    <w:rsid w:val="000403C8"/>
    <w:rsid w:val="000422AC"/>
    <w:rsid w:val="0004357F"/>
    <w:rsid w:val="00043756"/>
    <w:rsid w:val="000465B8"/>
    <w:rsid w:val="00046DFD"/>
    <w:rsid w:val="000478ED"/>
    <w:rsid w:val="00050C30"/>
    <w:rsid w:val="00054C63"/>
    <w:rsid w:val="00054E06"/>
    <w:rsid w:val="00055441"/>
    <w:rsid w:val="0006534E"/>
    <w:rsid w:val="00070169"/>
    <w:rsid w:val="00070753"/>
    <w:rsid w:val="00070864"/>
    <w:rsid w:val="000726D5"/>
    <w:rsid w:val="00075681"/>
    <w:rsid w:val="00077963"/>
    <w:rsid w:val="00083755"/>
    <w:rsid w:val="0009000C"/>
    <w:rsid w:val="00090909"/>
    <w:rsid w:val="00095A73"/>
    <w:rsid w:val="000A6DF2"/>
    <w:rsid w:val="000A7078"/>
    <w:rsid w:val="000B06DD"/>
    <w:rsid w:val="000B3313"/>
    <w:rsid w:val="000C1513"/>
    <w:rsid w:val="000D1231"/>
    <w:rsid w:val="000D6D18"/>
    <w:rsid w:val="000E3926"/>
    <w:rsid w:val="000E56CE"/>
    <w:rsid w:val="000E6A68"/>
    <w:rsid w:val="000F2087"/>
    <w:rsid w:val="000F3FBE"/>
    <w:rsid w:val="000F5D46"/>
    <w:rsid w:val="00101140"/>
    <w:rsid w:val="0010161F"/>
    <w:rsid w:val="00101EE9"/>
    <w:rsid w:val="00102914"/>
    <w:rsid w:val="00103795"/>
    <w:rsid w:val="0010490E"/>
    <w:rsid w:val="001050D5"/>
    <w:rsid w:val="00105DC1"/>
    <w:rsid w:val="0011438B"/>
    <w:rsid w:val="0012055E"/>
    <w:rsid w:val="00124E7B"/>
    <w:rsid w:val="0013264B"/>
    <w:rsid w:val="001341C7"/>
    <w:rsid w:val="00137874"/>
    <w:rsid w:val="001427C3"/>
    <w:rsid w:val="00151124"/>
    <w:rsid w:val="001517C6"/>
    <w:rsid w:val="00151B88"/>
    <w:rsid w:val="00170092"/>
    <w:rsid w:val="00171F81"/>
    <w:rsid w:val="00175AFC"/>
    <w:rsid w:val="00175D6B"/>
    <w:rsid w:val="001764E3"/>
    <w:rsid w:val="00177624"/>
    <w:rsid w:val="00177B22"/>
    <w:rsid w:val="00177CB0"/>
    <w:rsid w:val="0018063B"/>
    <w:rsid w:val="00180E50"/>
    <w:rsid w:val="00182F29"/>
    <w:rsid w:val="001847A1"/>
    <w:rsid w:val="001914B8"/>
    <w:rsid w:val="00191D01"/>
    <w:rsid w:val="00192BEC"/>
    <w:rsid w:val="00195BBF"/>
    <w:rsid w:val="00197848"/>
    <w:rsid w:val="001A0C67"/>
    <w:rsid w:val="001A2466"/>
    <w:rsid w:val="001A3A37"/>
    <w:rsid w:val="001A5740"/>
    <w:rsid w:val="001A632D"/>
    <w:rsid w:val="001A7D99"/>
    <w:rsid w:val="001B26C6"/>
    <w:rsid w:val="001B3CF3"/>
    <w:rsid w:val="001B4B7D"/>
    <w:rsid w:val="001B65F8"/>
    <w:rsid w:val="001D1BA0"/>
    <w:rsid w:val="001D7A1F"/>
    <w:rsid w:val="001E2D4E"/>
    <w:rsid w:val="001E5EC2"/>
    <w:rsid w:val="001F06BB"/>
    <w:rsid w:val="001F2563"/>
    <w:rsid w:val="002006E2"/>
    <w:rsid w:val="00200751"/>
    <w:rsid w:val="002011B3"/>
    <w:rsid w:val="002012A9"/>
    <w:rsid w:val="002018E2"/>
    <w:rsid w:val="00201B6B"/>
    <w:rsid w:val="0020610B"/>
    <w:rsid w:val="0021253D"/>
    <w:rsid w:val="00217330"/>
    <w:rsid w:val="00222D16"/>
    <w:rsid w:val="0022344E"/>
    <w:rsid w:val="00223CF5"/>
    <w:rsid w:val="0022619A"/>
    <w:rsid w:val="00230F75"/>
    <w:rsid w:val="00234D02"/>
    <w:rsid w:val="00241474"/>
    <w:rsid w:val="00241A40"/>
    <w:rsid w:val="0024765A"/>
    <w:rsid w:val="00252808"/>
    <w:rsid w:val="00255597"/>
    <w:rsid w:val="002625E9"/>
    <w:rsid w:val="00263A13"/>
    <w:rsid w:val="002653F4"/>
    <w:rsid w:val="00267D29"/>
    <w:rsid w:val="00272E6A"/>
    <w:rsid w:val="00276661"/>
    <w:rsid w:val="002848B8"/>
    <w:rsid w:val="002874A9"/>
    <w:rsid w:val="00293531"/>
    <w:rsid w:val="002A00C1"/>
    <w:rsid w:val="002A1447"/>
    <w:rsid w:val="002A232E"/>
    <w:rsid w:val="002A4803"/>
    <w:rsid w:val="002A6DD6"/>
    <w:rsid w:val="002B007E"/>
    <w:rsid w:val="002B0FDA"/>
    <w:rsid w:val="002B1CAE"/>
    <w:rsid w:val="002C250A"/>
    <w:rsid w:val="002C3D97"/>
    <w:rsid w:val="002C4B0C"/>
    <w:rsid w:val="002D3ED8"/>
    <w:rsid w:val="002D44F3"/>
    <w:rsid w:val="002D6135"/>
    <w:rsid w:val="002D6871"/>
    <w:rsid w:val="002D6C40"/>
    <w:rsid w:val="002E20F9"/>
    <w:rsid w:val="002E34E4"/>
    <w:rsid w:val="002E645A"/>
    <w:rsid w:val="002F3A18"/>
    <w:rsid w:val="002F7831"/>
    <w:rsid w:val="002F7D49"/>
    <w:rsid w:val="00302A75"/>
    <w:rsid w:val="00305DBE"/>
    <w:rsid w:val="0030718F"/>
    <w:rsid w:val="003115E8"/>
    <w:rsid w:val="0031187D"/>
    <w:rsid w:val="00313192"/>
    <w:rsid w:val="003213F8"/>
    <w:rsid w:val="003225E1"/>
    <w:rsid w:val="00323D9F"/>
    <w:rsid w:val="0033416B"/>
    <w:rsid w:val="0033527C"/>
    <w:rsid w:val="003371A1"/>
    <w:rsid w:val="00352516"/>
    <w:rsid w:val="00352C33"/>
    <w:rsid w:val="00353E90"/>
    <w:rsid w:val="00354DF0"/>
    <w:rsid w:val="003576EF"/>
    <w:rsid w:val="00360C0A"/>
    <w:rsid w:val="0037105A"/>
    <w:rsid w:val="003722F2"/>
    <w:rsid w:val="00372FC7"/>
    <w:rsid w:val="003757BF"/>
    <w:rsid w:val="00375AC2"/>
    <w:rsid w:val="00377514"/>
    <w:rsid w:val="00381E1A"/>
    <w:rsid w:val="00382D64"/>
    <w:rsid w:val="00387228"/>
    <w:rsid w:val="00395731"/>
    <w:rsid w:val="00396945"/>
    <w:rsid w:val="003A0979"/>
    <w:rsid w:val="003A33DD"/>
    <w:rsid w:val="003A76CB"/>
    <w:rsid w:val="003B6E49"/>
    <w:rsid w:val="003C73BB"/>
    <w:rsid w:val="003E045E"/>
    <w:rsid w:val="003E1B7F"/>
    <w:rsid w:val="003E1F8C"/>
    <w:rsid w:val="003F172A"/>
    <w:rsid w:val="003F4C3B"/>
    <w:rsid w:val="003F6438"/>
    <w:rsid w:val="004052AB"/>
    <w:rsid w:val="00406AA6"/>
    <w:rsid w:val="00411C46"/>
    <w:rsid w:val="00413BE1"/>
    <w:rsid w:val="00415F2F"/>
    <w:rsid w:val="0042382A"/>
    <w:rsid w:val="004242DD"/>
    <w:rsid w:val="004312C4"/>
    <w:rsid w:val="004408E3"/>
    <w:rsid w:val="004424CC"/>
    <w:rsid w:val="004426D9"/>
    <w:rsid w:val="00443286"/>
    <w:rsid w:val="00447A56"/>
    <w:rsid w:val="004511F9"/>
    <w:rsid w:val="00454090"/>
    <w:rsid w:val="0045707A"/>
    <w:rsid w:val="004640BD"/>
    <w:rsid w:val="00464BD7"/>
    <w:rsid w:val="00465666"/>
    <w:rsid w:val="00466E7B"/>
    <w:rsid w:val="0046790A"/>
    <w:rsid w:val="00480201"/>
    <w:rsid w:val="0048404F"/>
    <w:rsid w:val="004921E6"/>
    <w:rsid w:val="00497D9A"/>
    <w:rsid w:val="004A4A52"/>
    <w:rsid w:val="004A5AD0"/>
    <w:rsid w:val="004A61A6"/>
    <w:rsid w:val="004A6216"/>
    <w:rsid w:val="004A783D"/>
    <w:rsid w:val="004B0E09"/>
    <w:rsid w:val="004B6532"/>
    <w:rsid w:val="004C051E"/>
    <w:rsid w:val="004C4265"/>
    <w:rsid w:val="004C53E0"/>
    <w:rsid w:val="004C545A"/>
    <w:rsid w:val="004D10CF"/>
    <w:rsid w:val="004D32C9"/>
    <w:rsid w:val="004D58C1"/>
    <w:rsid w:val="004D58CC"/>
    <w:rsid w:val="004D6457"/>
    <w:rsid w:val="004E0EC6"/>
    <w:rsid w:val="004E2B2A"/>
    <w:rsid w:val="004E30DC"/>
    <w:rsid w:val="004E37E1"/>
    <w:rsid w:val="004E4AF7"/>
    <w:rsid w:val="004E4C82"/>
    <w:rsid w:val="004F2C87"/>
    <w:rsid w:val="00501912"/>
    <w:rsid w:val="00503C47"/>
    <w:rsid w:val="005058A3"/>
    <w:rsid w:val="00506E0C"/>
    <w:rsid w:val="0050731C"/>
    <w:rsid w:val="00512CCC"/>
    <w:rsid w:val="00514BEA"/>
    <w:rsid w:val="005156ED"/>
    <w:rsid w:val="0052003C"/>
    <w:rsid w:val="00521ABC"/>
    <w:rsid w:val="0053549C"/>
    <w:rsid w:val="005403B3"/>
    <w:rsid w:val="005424E8"/>
    <w:rsid w:val="0054490D"/>
    <w:rsid w:val="0054764C"/>
    <w:rsid w:val="00563D25"/>
    <w:rsid w:val="0056620B"/>
    <w:rsid w:val="005671C1"/>
    <w:rsid w:val="00576E07"/>
    <w:rsid w:val="00577910"/>
    <w:rsid w:val="00580E09"/>
    <w:rsid w:val="005825F8"/>
    <w:rsid w:val="00582BF8"/>
    <w:rsid w:val="005837D4"/>
    <w:rsid w:val="00586A3D"/>
    <w:rsid w:val="00590E9F"/>
    <w:rsid w:val="00592E47"/>
    <w:rsid w:val="005935C1"/>
    <w:rsid w:val="005A004F"/>
    <w:rsid w:val="005A05D7"/>
    <w:rsid w:val="005A25C1"/>
    <w:rsid w:val="005A300A"/>
    <w:rsid w:val="005A5BE6"/>
    <w:rsid w:val="005A5DE0"/>
    <w:rsid w:val="005A7CFE"/>
    <w:rsid w:val="005B5596"/>
    <w:rsid w:val="005C1A94"/>
    <w:rsid w:val="005C2AA7"/>
    <w:rsid w:val="005D13C6"/>
    <w:rsid w:val="005D79A8"/>
    <w:rsid w:val="005D7A96"/>
    <w:rsid w:val="005E127C"/>
    <w:rsid w:val="005F0184"/>
    <w:rsid w:val="005F09DF"/>
    <w:rsid w:val="005F0B18"/>
    <w:rsid w:val="005F600C"/>
    <w:rsid w:val="0060205C"/>
    <w:rsid w:val="00610239"/>
    <w:rsid w:val="00612356"/>
    <w:rsid w:val="0061323C"/>
    <w:rsid w:val="00613526"/>
    <w:rsid w:val="0062064B"/>
    <w:rsid w:val="00620F76"/>
    <w:rsid w:val="00626241"/>
    <w:rsid w:val="00626BCB"/>
    <w:rsid w:val="00632DCE"/>
    <w:rsid w:val="00634F2D"/>
    <w:rsid w:val="006417A9"/>
    <w:rsid w:val="00647BAE"/>
    <w:rsid w:val="00647D18"/>
    <w:rsid w:val="0065127C"/>
    <w:rsid w:val="0065138B"/>
    <w:rsid w:val="00652242"/>
    <w:rsid w:val="00657FBB"/>
    <w:rsid w:val="006609BB"/>
    <w:rsid w:val="006622CB"/>
    <w:rsid w:val="00665060"/>
    <w:rsid w:val="00665D6B"/>
    <w:rsid w:val="00666A1A"/>
    <w:rsid w:val="00667DA2"/>
    <w:rsid w:val="00670A6B"/>
    <w:rsid w:val="00670DA0"/>
    <w:rsid w:val="00672495"/>
    <w:rsid w:val="006754F0"/>
    <w:rsid w:val="006757A6"/>
    <w:rsid w:val="00675AD3"/>
    <w:rsid w:val="00680725"/>
    <w:rsid w:val="00681A8C"/>
    <w:rsid w:val="00681BA7"/>
    <w:rsid w:val="006820F1"/>
    <w:rsid w:val="0068578A"/>
    <w:rsid w:val="006969D8"/>
    <w:rsid w:val="006A1298"/>
    <w:rsid w:val="006A5DDE"/>
    <w:rsid w:val="006A608C"/>
    <w:rsid w:val="006B33F7"/>
    <w:rsid w:val="006B41D0"/>
    <w:rsid w:val="006B7790"/>
    <w:rsid w:val="006C0C49"/>
    <w:rsid w:val="006C16BC"/>
    <w:rsid w:val="006C4A29"/>
    <w:rsid w:val="006C4EE4"/>
    <w:rsid w:val="006D7C8F"/>
    <w:rsid w:val="006E146F"/>
    <w:rsid w:val="006E2EEA"/>
    <w:rsid w:val="006E3BCF"/>
    <w:rsid w:val="006E4101"/>
    <w:rsid w:val="006E514F"/>
    <w:rsid w:val="006E5B88"/>
    <w:rsid w:val="006E6D48"/>
    <w:rsid w:val="006E77E3"/>
    <w:rsid w:val="006F16AD"/>
    <w:rsid w:val="006F2B33"/>
    <w:rsid w:val="00702519"/>
    <w:rsid w:val="0070717E"/>
    <w:rsid w:val="00723A0D"/>
    <w:rsid w:val="0072481D"/>
    <w:rsid w:val="00725F61"/>
    <w:rsid w:val="00726811"/>
    <w:rsid w:val="00730210"/>
    <w:rsid w:val="00732128"/>
    <w:rsid w:val="00734686"/>
    <w:rsid w:val="0074219D"/>
    <w:rsid w:val="00744F42"/>
    <w:rsid w:val="00746ECC"/>
    <w:rsid w:val="00747056"/>
    <w:rsid w:val="007474EE"/>
    <w:rsid w:val="007559F1"/>
    <w:rsid w:val="00756885"/>
    <w:rsid w:val="007605FB"/>
    <w:rsid w:val="0076119D"/>
    <w:rsid w:val="00762032"/>
    <w:rsid w:val="007672CC"/>
    <w:rsid w:val="007817B9"/>
    <w:rsid w:val="007859F2"/>
    <w:rsid w:val="00786482"/>
    <w:rsid w:val="0078736B"/>
    <w:rsid w:val="007909B7"/>
    <w:rsid w:val="007929A2"/>
    <w:rsid w:val="0079402B"/>
    <w:rsid w:val="00796533"/>
    <w:rsid w:val="007B00CD"/>
    <w:rsid w:val="007B3E86"/>
    <w:rsid w:val="007C1AC4"/>
    <w:rsid w:val="007C2E0D"/>
    <w:rsid w:val="007C2E81"/>
    <w:rsid w:val="007C6C4A"/>
    <w:rsid w:val="007D1F96"/>
    <w:rsid w:val="007D442B"/>
    <w:rsid w:val="007E3FB8"/>
    <w:rsid w:val="007E49E4"/>
    <w:rsid w:val="007E7A38"/>
    <w:rsid w:val="007F0232"/>
    <w:rsid w:val="007F792B"/>
    <w:rsid w:val="007F7C9C"/>
    <w:rsid w:val="0080050A"/>
    <w:rsid w:val="00800652"/>
    <w:rsid w:val="00806CD0"/>
    <w:rsid w:val="008105F4"/>
    <w:rsid w:val="0081424F"/>
    <w:rsid w:val="008167D7"/>
    <w:rsid w:val="00827966"/>
    <w:rsid w:val="00832D7D"/>
    <w:rsid w:val="00833C37"/>
    <w:rsid w:val="00835731"/>
    <w:rsid w:val="00841496"/>
    <w:rsid w:val="00843A13"/>
    <w:rsid w:val="00844610"/>
    <w:rsid w:val="00855D9E"/>
    <w:rsid w:val="00855F80"/>
    <w:rsid w:val="008623DA"/>
    <w:rsid w:val="00862656"/>
    <w:rsid w:val="00863BCD"/>
    <w:rsid w:val="00863C79"/>
    <w:rsid w:val="0087010F"/>
    <w:rsid w:val="00871DFC"/>
    <w:rsid w:val="0087307D"/>
    <w:rsid w:val="00890223"/>
    <w:rsid w:val="008913A7"/>
    <w:rsid w:val="00891415"/>
    <w:rsid w:val="00891CA5"/>
    <w:rsid w:val="00893630"/>
    <w:rsid w:val="00893F3D"/>
    <w:rsid w:val="00897A1C"/>
    <w:rsid w:val="008A21A3"/>
    <w:rsid w:val="008A7FF1"/>
    <w:rsid w:val="008B102D"/>
    <w:rsid w:val="008C0609"/>
    <w:rsid w:val="008C25FB"/>
    <w:rsid w:val="008C43C0"/>
    <w:rsid w:val="008C6CB3"/>
    <w:rsid w:val="008D076A"/>
    <w:rsid w:val="008D3517"/>
    <w:rsid w:val="008D7E6A"/>
    <w:rsid w:val="008E7730"/>
    <w:rsid w:val="008F18CC"/>
    <w:rsid w:val="0090398A"/>
    <w:rsid w:val="00904DE8"/>
    <w:rsid w:val="00923BD9"/>
    <w:rsid w:val="00934FDD"/>
    <w:rsid w:val="00936A4D"/>
    <w:rsid w:val="009403DD"/>
    <w:rsid w:val="00953D1D"/>
    <w:rsid w:val="009607F2"/>
    <w:rsid w:val="00962813"/>
    <w:rsid w:val="00962BED"/>
    <w:rsid w:val="00965DE8"/>
    <w:rsid w:val="00966D0A"/>
    <w:rsid w:val="00967921"/>
    <w:rsid w:val="00970667"/>
    <w:rsid w:val="0097101E"/>
    <w:rsid w:val="00972923"/>
    <w:rsid w:val="009734D9"/>
    <w:rsid w:val="00975BB4"/>
    <w:rsid w:val="009774F0"/>
    <w:rsid w:val="00977C5C"/>
    <w:rsid w:val="0098109C"/>
    <w:rsid w:val="00996BB0"/>
    <w:rsid w:val="009A1126"/>
    <w:rsid w:val="009A570E"/>
    <w:rsid w:val="009B0CF7"/>
    <w:rsid w:val="009B0D65"/>
    <w:rsid w:val="009B394B"/>
    <w:rsid w:val="009B4155"/>
    <w:rsid w:val="009B5FA5"/>
    <w:rsid w:val="009C39CF"/>
    <w:rsid w:val="009C4B37"/>
    <w:rsid w:val="009C5E6E"/>
    <w:rsid w:val="009C5FF2"/>
    <w:rsid w:val="009D3CD7"/>
    <w:rsid w:val="009E510E"/>
    <w:rsid w:val="009E65CC"/>
    <w:rsid w:val="009E6C5B"/>
    <w:rsid w:val="009F0037"/>
    <w:rsid w:val="009F14C8"/>
    <w:rsid w:val="009F14EB"/>
    <w:rsid w:val="009F29BB"/>
    <w:rsid w:val="009F34E3"/>
    <w:rsid w:val="009F524F"/>
    <w:rsid w:val="00A007C4"/>
    <w:rsid w:val="00A043EA"/>
    <w:rsid w:val="00A100EA"/>
    <w:rsid w:val="00A1097F"/>
    <w:rsid w:val="00A11828"/>
    <w:rsid w:val="00A16AA1"/>
    <w:rsid w:val="00A27707"/>
    <w:rsid w:val="00A27BA1"/>
    <w:rsid w:val="00A3269D"/>
    <w:rsid w:val="00A3302E"/>
    <w:rsid w:val="00A35546"/>
    <w:rsid w:val="00A35F8A"/>
    <w:rsid w:val="00A4254C"/>
    <w:rsid w:val="00A42C9C"/>
    <w:rsid w:val="00A45E70"/>
    <w:rsid w:val="00A465D1"/>
    <w:rsid w:val="00A478D6"/>
    <w:rsid w:val="00A47EE1"/>
    <w:rsid w:val="00A5034C"/>
    <w:rsid w:val="00A5066E"/>
    <w:rsid w:val="00A52D5C"/>
    <w:rsid w:val="00A56FD0"/>
    <w:rsid w:val="00A607E6"/>
    <w:rsid w:val="00A63A41"/>
    <w:rsid w:val="00A6704C"/>
    <w:rsid w:val="00A71D2E"/>
    <w:rsid w:val="00A73121"/>
    <w:rsid w:val="00A76577"/>
    <w:rsid w:val="00A77473"/>
    <w:rsid w:val="00A84120"/>
    <w:rsid w:val="00A8575F"/>
    <w:rsid w:val="00A87C4A"/>
    <w:rsid w:val="00A96798"/>
    <w:rsid w:val="00A97C70"/>
    <w:rsid w:val="00AA0A8F"/>
    <w:rsid w:val="00AA3F7B"/>
    <w:rsid w:val="00AA69CC"/>
    <w:rsid w:val="00AB2DAE"/>
    <w:rsid w:val="00AC20A0"/>
    <w:rsid w:val="00AC2955"/>
    <w:rsid w:val="00AC2A6E"/>
    <w:rsid w:val="00AD53F3"/>
    <w:rsid w:val="00AE3469"/>
    <w:rsid w:val="00AF18B1"/>
    <w:rsid w:val="00AF351B"/>
    <w:rsid w:val="00AF5EFD"/>
    <w:rsid w:val="00AF71A5"/>
    <w:rsid w:val="00B0663A"/>
    <w:rsid w:val="00B07345"/>
    <w:rsid w:val="00B07D7D"/>
    <w:rsid w:val="00B13502"/>
    <w:rsid w:val="00B13A46"/>
    <w:rsid w:val="00B1582A"/>
    <w:rsid w:val="00B17C30"/>
    <w:rsid w:val="00B242BF"/>
    <w:rsid w:val="00B24651"/>
    <w:rsid w:val="00B278C8"/>
    <w:rsid w:val="00B3199E"/>
    <w:rsid w:val="00B32857"/>
    <w:rsid w:val="00B33ABA"/>
    <w:rsid w:val="00B34D23"/>
    <w:rsid w:val="00B43322"/>
    <w:rsid w:val="00B45666"/>
    <w:rsid w:val="00B46AA6"/>
    <w:rsid w:val="00B47541"/>
    <w:rsid w:val="00B53F25"/>
    <w:rsid w:val="00B56766"/>
    <w:rsid w:val="00B56F26"/>
    <w:rsid w:val="00B60D79"/>
    <w:rsid w:val="00B61DED"/>
    <w:rsid w:val="00B62674"/>
    <w:rsid w:val="00B66407"/>
    <w:rsid w:val="00B71409"/>
    <w:rsid w:val="00B714CB"/>
    <w:rsid w:val="00B737DE"/>
    <w:rsid w:val="00B751B2"/>
    <w:rsid w:val="00B7714A"/>
    <w:rsid w:val="00B77EA5"/>
    <w:rsid w:val="00B9170A"/>
    <w:rsid w:val="00B92128"/>
    <w:rsid w:val="00B92248"/>
    <w:rsid w:val="00B9287A"/>
    <w:rsid w:val="00B92998"/>
    <w:rsid w:val="00B94B60"/>
    <w:rsid w:val="00B95B8F"/>
    <w:rsid w:val="00BA6528"/>
    <w:rsid w:val="00BA6E4C"/>
    <w:rsid w:val="00BC52F8"/>
    <w:rsid w:val="00BC5633"/>
    <w:rsid w:val="00BC6814"/>
    <w:rsid w:val="00BD0CD3"/>
    <w:rsid w:val="00BD3EF8"/>
    <w:rsid w:val="00BE0C5F"/>
    <w:rsid w:val="00BE1296"/>
    <w:rsid w:val="00BE28F3"/>
    <w:rsid w:val="00BE4A3A"/>
    <w:rsid w:val="00BE687E"/>
    <w:rsid w:val="00BF34D7"/>
    <w:rsid w:val="00C0102B"/>
    <w:rsid w:val="00C039B0"/>
    <w:rsid w:val="00C066C1"/>
    <w:rsid w:val="00C074F8"/>
    <w:rsid w:val="00C07D16"/>
    <w:rsid w:val="00C10F78"/>
    <w:rsid w:val="00C1153C"/>
    <w:rsid w:val="00C12759"/>
    <w:rsid w:val="00C21135"/>
    <w:rsid w:val="00C23BDD"/>
    <w:rsid w:val="00C269B8"/>
    <w:rsid w:val="00C3219A"/>
    <w:rsid w:val="00C336C3"/>
    <w:rsid w:val="00C34CEE"/>
    <w:rsid w:val="00C42F0A"/>
    <w:rsid w:val="00C4709C"/>
    <w:rsid w:val="00C51020"/>
    <w:rsid w:val="00C512B6"/>
    <w:rsid w:val="00C61960"/>
    <w:rsid w:val="00C66CA0"/>
    <w:rsid w:val="00C815F0"/>
    <w:rsid w:val="00C822E1"/>
    <w:rsid w:val="00C833CC"/>
    <w:rsid w:val="00C8619C"/>
    <w:rsid w:val="00C908D6"/>
    <w:rsid w:val="00C92C0F"/>
    <w:rsid w:val="00C94D4B"/>
    <w:rsid w:val="00CA00C8"/>
    <w:rsid w:val="00CA2853"/>
    <w:rsid w:val="00CA740C"/>
    <w:rsid w:val="00CB241E"/>
    <w:rsid w:val="00CB5DFF"/>
    <w:rsid w:val="00CD3FCD"/>
    <w:rsid w:val="00CD4679"/>
    <w:rsid w:val="00CD62B3"/>
    <w:rsid w:val="00CE0443"/>
    <w:rsid w:val="00CE50DB"/>
    <w:rsid w:val="00CE5B5C"/>
    <w:rsid w:val="00CE6220"/>
    <w:rsid w:val="00CE652A"/>
    <w:rsid w:val="00CF6849"/>
    <w:rsid w:val="00D0040D"/>
    <w:rsid w:val="00D01AC3"/>
    <w:rsid w:val="00D04AA4"/>
    <w:rsid w:val="00D06B15"/>
    <w:rsid w:val="00D11D45"/>
    <w:rsid w:val="00D16E1D"/>
    <w:rsid w:val="00D17899"/>
    <w:rsid w:val="00D20758"/>
    <w:rsid w:val="00D22C56"/>
    <w:rsid w:val="00D2342A"/>
    <w:rsid w:val="00D3079C"/>
    <w:rsid w:val="00D31AA2"/>
    <w:rsid w:val="00D40082"/>
    <w:rsid w:val="00D42CE6"/>
    <w:rsid w:val="00D4359A"/>
    <w:rsid w:val="00D50A79"/>
    <w:rsid w:val="00D53D9B"/>
    <w:rsid w:val="00D70804"/>
    <w:rsid w:val="00D72BE1"/>
    <w:rsid w:val="00D73256"/>
    <w:rsid w:val="00D76F73"/>
    <w:rsid w:val="00D77508"/>
    <w:rsid w:val="00D80405"/>
    <w:rsid w:val="00D81D9A"/>
    <w:rsid w:val="00D82480"/>
    <w:rsid w:val="00D83294"/>
    <w:rsid w:val="00D83A20"/>
    <w:rsid w:val="00D86470"/>
    <w:rsid w:val="00D87B32"/>
    <w:rsid w:val="00D90D6E"/>
    <w:rsid w:val="00D910E6"/>
    <w:rsid w:val="00D94959"/>
    <w:rsid w:val="00D97977"/>
    <w:rsid w:val="00DA171D"/>
    <w:rsid w:val="00DA656A"/>
    <w:rsid w:val="00DB5695"/>
    <w:rsid w:val="00DB6096"/>
    <w:rsid w:val="00DB7744"/>
    <w:rsid w:val="00DC12CF"/>
    <w:rsid w:val="00DC4F62"/>
    <w:rsid w:val="00DC54B8"/>
    <w:rsid w:val="00DC6CF1"/>
    <w:rsid w:val="00DD1404"/>
    <w:rsid w:val="00DD4FCD"/>
    <w:rsid w:val="00DD5D3B"/>
    <w:rsid w:val="00DD6171"/>
    <w:rsid w:val="00DD6886"/>
    <w:rsid w:val="00DE007E"/>
    <w:rsid w:val="00DE2144"/>
    <w:rsid w:val="00DE3FC0"/>
    <w:rsid w:val="00DF11DA"/>
    <w:rsid w:val="00DF5EED"/>
    <w:rsid w:val="00DF75A1"/>
    <w:rsid w:val="00E0004F"/>
    <w:rsid w:val="00E01A36"/>
    <w:rsid w:val="00E04D03"/>
    <w:rsid w:val="00E06EE5"/>
    <w:rsid w:val="00E0753B"/>
    <w:rsid w:val="00E07BC0"/>
    <w:rsid w:val="00E13EF1"/>
    <w:rsid w:val="00E1401C"/>
    <w:rsid w:val="00E17081"/>
    <w:rsid w:val="00E17BB9"/>
    <w:rsid w:val="00E2403D"/>
    <w:rsid w:val="00E2510D"/>
    <w:rsid w:val="00E252DC"/>
    <w:rsid w:val="00E31EF4"/>
    <w:rsid w:val="00E31EF9"/>
    <w:rsid w:val="00E33BF4"/>
    <w:rsid w:val="00E34F4F"/>
    <w:rsid w:val="00E45252"/>
    <w:rsid w:val="00E47368"/>
    <w:rsid w:val="00E50473"/>
    <w:rsid w:val="00E529AC"/>
    <w:rsid w:val="00E557AB"/>
    <w:rsid w:val="00E55E3A"/>
    <w:rsid w:val="00E645DE"/>
    <w:rsid w:val="00E66BD4"/>
    <w:rsid w:val="00E715AA"/>
    <w:rsid w:val="00E73AFB"/>
    <w:rsid w:val="00E80A77"/>
    <w:rsid w:val="00E822F7"/>
    <w:rsid w:val="00E83B11"/>
    <w:rsid w:val="00E842D1"/>
    <w:rsid w:val="00E86505"/>
    <w:rsid w:val="00E86EF2"/>
    <w:rsid w:val="00E877CF"/>
    <w:rsid w:val="00E9285D"/>
    <w:rsid w:val="00E96E7E"/>
    <w:rsid w:val="00EA0A2D"/>
    <w:rsid w:val="00EA3106"/>
    <w:rsid w:val="00EA7EFB"/>
    <w:rsid w:val="00EC218B"/>
    <w:rsid w:val="00EC6B7E"/>
    <w:rsid w:val="00ED2A5E"/>
    <w:rsid w:val="00ED4781"/>
    <w:rsid w:val="00ED68E2"/>
    <w:rsid w:val="00EE286B"/>
    <w:rsid w:val="00EE2ECB"/>
    <w:rsid w:val="00EE678E"/>
    <w:rsid w:val="00EE731F"/>
    <w:rsid w:val="00EF38B4"/>
    <w:rsid w:val="00EF56E2"/>
    <w:rsid w:val="00EF76A7"/>
    <w:rsid w:val="00F0497B"/>
    <w:rsid w:val="00F0652F"/>
    <w:rsid w:val="00F07C64"/>
    <w:rsid w:val="00F1182F"/>
    <w:rsid w:val="00F13C14"/>
    <w:rsid w:val="00F15447"/>
    <w:rsid w:val="00F15D0F"/>
    <w:rsid w:val="00F21462"/>
    <w:rsid w:val="00F22743"/>
    <w:rsid w:val="00F23190"/>
    <w:rsid w:val="00F311F5"/>
    <w:rsid w:val="00F34460"/>
    <w:rsid w:val="00F37F11"/>
    <w:rsid w:val="00F40943"/>
    <w:rsid w:val="00F4190C"/>
    <w:rsid w:val="00F41B6F"/>
    <w:rsid w:val="00F429B7"/>
    <w:rsid w:val="00F42D86"/>
    <w:rsid w:val="00F43AB7"/>
    <w:rsid w:val="00F5131C"/>
    <w:rsid w:val="00F539F4"/>
    <w:rsid w:val="00F55E2B"/>
    <w:rsid w:val="00F57ABC"/>
    <w:rsid w:val="00F60237"/>
    <w:rsid w:val="00F6642D"/>
    <w:rsid w:val="00F6750B"/>
    <w:rsid w:val="00F7062C"/>
    <w:rsid w:val="00F716EF"/>
    <w:rsid w:val="00F74808"/>
    <w:rsid w:val="00F75980"/>
    <w:rsid w:val="00F768AF"/>
    <w:rsid w:val="00F91818"/>
    <w:rsid w:val="00F94668"/>
    <w:rsid w:val="00F948E4"/>
    <w:rsid w:val="00F97AB2"/>
    <w:rsid w:val="00FA182F"/>
    <w:rsid w:val="00FA27BF"/>
    <w:rsid w:val="00FA34BE"/>
    <w:rsid w:val="00FA5E9F"/>
    <w:rsid w:val="00FA7896"/>
    <w:rsid w:val="00FB0B86"/>
    <w:rsid w:val="00FB3FE6"/>
    <w:rsid w:val="00FB5165"/>
    <w:rsid w:val="00FC06CC"/>
    <w:rsid w:val="00FC3FE2"/>
    <w:rsid w:val="00FC40F6"/>
    <w:rsid w:val="00FE1B08"/>
    <w:rsid w:val="00FE2EF3"/>
    <w:rsid w:val="00FE4DF6"/>
    <w:rsid w:val="00FE55D5"/>
    <w:rsid w:val="00FE57D1"/>
    <w:rsid w:val="00FE6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1D8616"/>
  <w15:chartTrackingRefBased/>
  <w15:docId w15:val="{FC4BE58C-5E96-1E4B-AA0E-2DD7E7741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E2B"/>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97AB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5E2B"/>
    <w:pPr>
      <w:ind w:left="720"/>
      <w:contextualSpacing/>
    </w:pPr>
  </w:style>
  <w:style w:type="character" w:styleId="Hyperlink">
    <w:name w:val="Hyperlink"/>
    <w:basedOn w:val="DefaultParagraphFont"/>
    <w:uiPriority w:val="99"/>
    <w:unhideWhenUsed/>
    <w:rsid w:val="00FA5E9F"/>
    <w:rPr>
      <w:color w:val="0563C1" w:themeColor="hyperlink"/>
      <w:u w:val="single"/>
    </w:rPr>
  </w:style>
  <w:style w:type="character" w:styleId="UnresolvedMention">
    <w:name w:val="Unresolved Mention"/>
    <w:basedOn w:val="DefaultParagraphFont"/>
    <w:uiPriority w:val="99"/>
    <w:semiHidden/>
    <w:unhideWhenUsed/>
    <w:rsid w:val="00FA5E9F"/>
    <w:rPr>
      <w:color w:val="605E5C"/>
      <w:shd w:val="clear" w:color="auto" w:fill="E1DFDD"/>
    </w:rPr>
  </w:style>
  <w:style w:type="character" w:styleId="FollowedHyperlink">
    <w:name w:val="FollowedHyperlink"/>
    <w:basedOn w:val="DefaultParagraphFont"/>
    <w:uiPriority w:val="99"/>
    <w:semiHidden/>
    <w:unhideWhenUsed/>
    <w:rsid w:val="00B714CB"/>
    <w:rPr>
      <w:color w:val="954F72" w:themeColor="followedHyperlink"/>
      <w:u w:val="single"/>
    </w:rPr>
  </w:style>
  <w:style w:type="character" w:customStyle="1" w:styleId="apple-converted-space">
    <w:name w:val="apple-converted-space"/>
    <w:basedOn w:val="DefaultParagraphFont"/>
    <w:rsid w:val="006C4EE4"/>
  </w:style>
  <w:style w:type="character" w:customStyle="1" w:styleId="Heading1Char">
    <w:name w:val="Heading 1 Char"/>
    <w:basedOn w:val="DefaultParagraphFont"/>
    <w:link w:val="Heading1"/>
    <w:uiPriority w:val="9"/>
    <w:rsid w:val="00F97AB2"/>
    <w:rPr>
      <w:rFonts w:asciiTheme="majorHAnsi" w:eastAsiaTheme="majorEastAsia" w:hAnsiTheme="majorHAnsi" w:cstheme="majorBidi"/>
      <w:color w:val="2F5496" w:themeColor="accent1" w:themeShade="BF"/>
      <w:sz w:val="32"/>
      <w:szCs w:val="32"/>
      <w:lang w:eastAsia="en-GB"/>
    </w:rPr>
  </w:style>
  <w:style w:type="paragraph" w:styleId="Header">
    <w:name w:val="header"/>
    <w:basedOn w:val="Normal"/>
    <w:link w:val="HeaderChar"/>
    <w:uiPriority w:val="99"/>
    <w:unhideWhenUsed/>
    <w:rsid w:val="005D13C6"/>
    <w:pPr>
      <w:tabs>
        <w:tab w:val="center" w:pos="4513"/>
        <w:tab w:val="right" w:pos="9026"/>
      </w:tabs>
    </w:pPr>
  </w:style>
  <w:style w:type="character" w:customStyle="1" w:styleId="HeaderChar">
    <w:name w:val="Header Char"/>
    <w:basedOn w:val="DefaultParagraphFont"/>
    <w:link w:val="Header"/>
    <w:uiPriority w:val="99"/>
    <w:rsid w:val="005D13C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D13C6"/>
    <w:pPr>
      <w:tabs>
        <w:tab w:val="center" w:pos="4513"/>
        <w:tab w:val="right" w:pos="9026"/>
      </w:tabs>
    </w:pPr>
  </w:style>
  <w:style w:type="character" w:customStyle="1" w:styleId="FooterChar">
    <w:name w:val="Footer Char"/>
    <w:basedOn w:val="DefaultParagraphFont"/>
    <w:link w:val="Footer"/>
    <w:uiPriority w:val="99"/>
    <w:rsid w:val="005D13C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72304/6849.pdf" TargetMode="External"/><Relationship Id="rId13" Type="http://schemas.openxmlformats.org/officeDocument/2006/relationships/hyperlink" Target="https://www.brookings.edu/blog/up-front/2018/01/03/new-evidence-that-access-to-health-care-reduces-crime/" TargetMode="External"/><Relationship Id="rId18" Type="http://schemas.openxmlformats.org/officeDocument/2006/relationships/hyperlink" Target="https://www.oxbridgenotes.co.uk/law_cases/r-v-byrne" TargetMode="External"/><Relationship Id="rId3" Type="http://schemas.openxmlformats.org/officeDocument/2006/relationships/settings" Target="settings.xml"/><Relationship Id="rId21" Type="http://schemas.openxmlformats.org/officeDocument/2006/relationships/hyperlink" Target="https://www.sentencingcouncil.org.uk/offences/crown-court/item/manslaughter-by-reason-of-diminished-responsibility/" TargetMode="External"/><Relationship Id="rId7" Type="http://schemas.openxmlformats.org/officeDocument/2006/relationships/hyperlink" Target="https://www.cps.gov.uk/legal-guidance/homicide-murder-and-manslaughter" TargetMode="External"/><Relationship Id="rId12" Type="http://schemas.openxmlformats.org/officeDocument/2006/relationships/hyperlink" Target="https://www.legislation.gov.uk/ukpga/2009/25/section/52" TargetMode="External"/><Relationship Id="rId17" Type="http://schemas.openxmlformats.org/officeDocument/2006/relationships/hyperlink" Target="https://www.england.nhs.uk/wp-content/uploads/2020/11/diagnostics-recovery-and-renewal-independent-review-of-diagnostic-services-for-nhs-england-2.pdf" TargetMode="External"/><Relationship Id="rId2" Type="http://schemas.openxmlformats.org/officeDocument/2006/relationships/styles" Target="styles.xml"/><Relationship Id="rId16" Type="http://schemas.openxmlformats.org/officeDocument/2006/relationships/hyperlink" Target="https://www.nhs.uk/mental-health/conditions/post-traumatic-stress-disorder-ptsd/overview/" TargetMode="External"/><Relationship Id="rId20" Type="http://schemas.openxmlformats.org/officeDocument/2006/relationships/hyperlink" Target="https://llbstudies.files.wordpress.com/2013/02/article-loss-of-control-diminished-responsiblity-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Geo4/6/50/enacte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justice.gov.uk/downloads/legislation/bills-acts/circulars/moj/2010/circular-12-2010-coroners-justice-act-homicide-provisions.pdf" TargetMode="External"/><Relationship Id="rId23" Type="http://schemas.openxmlformats.org/officeDocument/2006/relationships/fontTable" Target="fontTable.xml"/><Relationship Id="rId10" Type="http://schemas.openxmlformats.org/officeDocument/2006/relationships/hyperlink" Target="https://www.legislation.gov.uk/ukpga/Eliz2/5-6/11/section/2/enacted" TargetMode="External"/><Relationship Id="rId19" Type="http://schemas.openxmlformats.org/officeDocument/2006/relationships/hyperlink" Target="https://doi-org.ezproxy.uwtsd.ac.uk/10.2307/2676305" TargetMode="External"/><Relationship Id="rId4" Type="http://schemas.openxmlformats.org/officeDocument/2006/relationships/webSettings" Target="webSettings.xml"/><Relationship Id="rId9" Type="http://schemas.openxmlformats.org/officeDocument/2006/relationships/hyperlink" Target="https://www.legislation.gov.uk/ukpga/2009/25/section/52/notes" TargetMode="External"/><Relationship Id="rId14" Type="http://schemas.openxmlformats.org/officeDocument/2006/relationships/hyperlink" Target="https://vlex.co.uk/vid/introducing-new-diminished-responsibility-855622856" TargetMode="External"/><Relationship Id="rId22" Type="http://schemas.openxmlformats.org/officeDocument/2006/relationships/hyperlink" Target="https://doi.org/10.1111/j.1748-121X.1994.tb00502.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700</TotalTime>
  <Pages>7</Pages>
  <Words>2269</Words>
  <Characters>12936</Characters>
  <Application>Microsoft Office Word</Application>
  <DocSecurity>0</DocSecurity>
  <Lines>107</Lines>
  <Paragraphs>30</Paragraphs>
  <ScaleCrop>false</ScaleCrop>
  <Company/>
  <LinksUpToDate>false</LinksUpToDate>
  <CharactersWithSpaces>15175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762</cp:revision>
  <dcterms:created xsi:type="dcterms:W3CDTF">2023-03-03T14:56:00Z</dcterms:created>
  <dcterms:modified xsi:type="dcterms:W3CDTF">2023-03-08T16:50:00Z</dcterms:modified>
</cp:coreProperties>
</file>