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040F" w14:textId="2D54B697" w:rsidR="0098207B" w:rsidRDefault="005629D8" w:rsidP="005629D8">
      <w:pPr>
        <w:rPr>
          <w:rFonts w:ascii="Aparajita" w:hAnsi="Aparajita" w:cs="Aparajita"/>
          <w:b/>
          <w:bCs/>
          <w:sz w:val="28"/>
          <w:szCs w:val="28"/>
        </w:rPr>
      </w:pPr>
      <w:r>
        <w:rPr>
          <w:rFonts w:ascii="Aparajita" w:hAnsi="Aparajita" w:cs="Aparajita"/>
          <w:b/>
          <w:bCs/>
          <w:sz w:val="28"/>
          <w:szCs w:val="28"/>
        </w:rPr>
        <w:t>A</w:t>
      </w:r>
      <w:r w:rsidR="002A2405">
        <w:rPr>
          <w:rFonts w:ascii="Aparajita" w:hAnsi="Aparajita" w:cs="Aparajita"/>
          <w:b/>
          <w:bCs/>
          <w:sz w:val="28"/>
          <w:szCs w:val="28"/>
        </w:rPr>
        <w:t>n</w:t>
      </w:r>
      <w:r w:rsidR="0098207B">
        <w:rPr>
          <w:rFonts w:ascii="Aparajita" w:hAnsi="Aparajita" w:cs="Aparajita"/>
          <w:b/>
          <w:bCs/>
          <w:sz w:val="28"/>
          <w:szCs w:val="28"/>
        </w:rPr>
        <w:t xml:space="preserve"> Analysis of Architectural Style and Form: Charles Church and St. Andrew’s Church, Plymouth.</w:t>
      </w:r>
    </w:p>
    <w:p w14:paraId="457D574F" w14:textId="32D8F15C" w:rsidR="00367E3D" w:rsidRDefault="00367E3D" w:rsidP="005629D8">
      <w:pPr>
        <w:rPr>
          <w:rFonts w:ascii="Aparajita" w:hAnsi="Aparajita" w:cs="Aparajita"/>
          <w:b/>
          <w:bCs/>
          <w:sz w:val="28"/>
          <w:szCs w:val="28"/>
        </w:rPr>
      </w:pPr>
      <w:r>
        <w:rPr>
          <w:rFonts w:ascii="Aparajita" w:hAnsi="Aparajita" w:cs="Aparajita"/>
          <w:b/>
          <w:bCs/>
          <w:sz w:val="28"/>
          <w:szCs w:val="28"/>
        </w:rPr>
        <w:t>Angel Valentine – 2218521</w:t>
      </w:r>
    </w:p>
    <w:p w14:paraId="415196B2" w14:textId="720EF60A" w:rsidR="00367E3D" w:rsidRDefault="00367E3D" w:rsidP="005629D8">
      <w:pPr>
        <w:rPr>
          <w:rFonts w:ascii="Aparajita" w:hAnsi="Aparajita" w:cs="Aparajita"/>
          <w:b/>
          <w:bCs/>
          <w:sz w:val="28"/>
          <w:szCs w:val="28"/>
        </w:rPr>
      </w:pPr>
      <w:r>
        <w:rPr>
          <w:rFonts w:ascii="Aparajita" w:hAnsi="Aparajita" w:cs="Aparajita"/>
          <w:b/>
          <w:bCs/>
          <w:sz w:val="28"/>
          <w:szCs w:val="28"/>
        </w:rPr>
        <w:t>Module Code: ACAA4003</w:t>
      </w:r>
    </w:p>
    <w:p w14:paraId="3F79118A" w14:textId="77777777" w:rsidR="0098207B" w:rsidRDefault="0098207B" w:rsidP="005629D8">
      <w:pPr>
        <w:rPr>
          <w:rFonts w:ascii="Aparajita" w:hAnsi="Aparajita" w:cs="Aparajita"/>
          <w:b/>
          <w:bCs/>
          <w:sz w:val="28"/>
          <w:szCs w:val="28"/>
        </w:rPr>
      </w:pPr>
    </w:p>
    <w:p w14:paraId="540048EB" w14:textId="092E0108" w:rsidR="0098207B" w:rsidRDefault="0098207B" w:rsidP="005629D8">
      <w:pPr>
        <w:rPr>
          <w:rFonts w:ascii="Aparajita" w:hAnsi="Aparajita" w:cs="Aparajita"/>
          <w:sz w:val="28"/>
          <w:szCs w:val="28"/>
        </w:rPr>
      </w:pPr>
      <w:r>
        <w:rPr>
          <w:rFonts w:ascii="Aparajita" w:hAnsi="Aparajita" w:cs="Aparajita"/>
          <w:sz w:val="28"/>
          <w:szCs w:val="28"/>
        </w:rPr>
        <w:t xml:space="preserve">Plymouth, a city with a rich maritime history, boasts several architectural gems that reflect its cultural and historical significance. Among these, </w:t>
      </w:r>
      <w:r w:rsidR="002A2405">
        <w:rPr>
          <w:rFonts w:ascii="Aparajita" w:hAnsi="Aparajita" w:cs="Aparajita"/>
          <w:sz w:val="28"/>
          <w:szCs w:val="28"/>
        </w:rPr>
        <w:t xml:space="preserve">The Minister Church of St. Andrew, also known as </w:t>
      </w:r>
      <w:r>
        <w:rPr>
          <w:rFonts w:ascii="Aparajita" w:hAnsi="Aparajita" w:cs="Aparajita"/>
          <w:sz w:val="28"/>
          <w:szCs w:val="28"/>
        </w:rPr>
        <w:t>St. Andrew’s Church</w:t>
      </w:r>
      <w:r w:rsidR="002A2405">
        <w:rPr>
          <w:rFonts w:ascii="Aparajita" w:hAnsi="Aparajita" w:cs="Aparajita"/>
          <w:sz w:val="28"/>
          <w:szCs w:val="28"/>
        </w:rPr>
        <w:t>,</w:t>
      </w:r>
      <w:r>
        <w:rPr>
          <w:rFonts w:ascii="Aparajita" w:hAnsi="Aparajita" w:cs="Aparajita"/>
          <w:sz w:val="28"/>
          <w:szCs w:val="28"/>
        </w:rPr>
        <w:t xml:space="preserve"> stand</w:t>
      </w:r>
      <w:r w:rsidR="002A2405">
        <w:rPr>
          <w:rFonts w:ascii="Aparajita" w:hAnsi="Aparajita" w:cs="Aparajita"/>
          <w:sz w:val="28"/>
          <w:szCs w:val="28"/>
        </w:rPr>
        <w:t>s</w:t>
      </w:r>
      <w:r>
        <w:rPr>
          <w:rFonts w:ascii="Aparajita" w:hAnsi="Aparajita" w:cs="Aparajita"/>
          <w:sz w:val="28"/>
          <w:szCs w:val="28"/>
        </w:rPr>
        <w:t xml:space="preserve"> out as </w:t>
      </w:r>
      <w:r w:rsidR="002A2405">
        <w:rPr>
          <w:rFonts w:ascii="Aparajita" w:hAnsi="Aparajita" w:cs="Aparajita"/>
          <w:sz w:val="28"/>
          <w:szCs w:val="28"/>
        </w:rPr>
        <w:t xml:space="preserve">a </w:t>
      </w:r>
      <w:r>
        <w:rPr>
          <w:rFonts w:ascii="Aparajita" w:hAnsi="Aparajita" w:cs="Aparajita"/>
          <w:sz w:val="28"/>
          <w:szCs w:val="28"/>
        </w:rPr>
        <w:t>prominent example of religious architecture, with a unique story to tell.</w:t>
      </w:r>
    </w:p>
    <w:p w14:paraId="38199B6F" w14:textId="77777777" w:rsidR="005E72B7" w:rsidRDefault="005E72B7" w:rsidP="005629D8">
      <w:pPr>
        <w:rPr>
          <w:rFonts w:ascii="Aparajita" w:hAnsi="Aparajita" w:cs="Aparajita"/>
          <w:sz w:val="28"/>
          <w:szCs w:val="28"/>
        </w:rPr>
      </w:pPr>
    </w:p>
    <w:p w14:paraId="5994CE56" w14:textId="77777777" w:rsidR="009E6DC4" w:rsidRDefault="002A2405" w:rsidP="005629D8">
      <w:pPr>
        <w:rPr>
          <w:rFonts w:ascii="Aparajita" w:hAnsi="Aparajita" w:cs="Aparajita"/>
          <w:sz w:val="28"/>
          <w:szCs w:val="28"/>
        </w:rPr>
      </w:pPr>
      <w:r>
        <w:rPr>
          <w:rFonts w:ascii="Aparajita" w:hAnsi="Aparajita" w:cs="Aparajita"/>
          <w:sz w:val="28"/>
          <w:szCs w:val="28"/>
        </w:rPr>
        <w:t xml:space="preserve">Beginning as a simple cruciform shape when two chapels were built in 1385, the church grew over time, with two towers, two transepts and the tower </w:t>
      </w:r>
      <w:r w:rsidR="004033A7">
        <w:rPr>
          <w:rFonts w:ascii="Aparajita" w:hAnsi="Aparajita" w:cs="Aparajita"/>
          <w:sz w:val="28"/>
          <w:szCs w:val="28"/>
        </w:rPr>
        <w:t xml:space="preserve">(reaching a height of 136 feet) </w:t>
      </w:r>
      <w:r>
        <w:rPr>
          <w:rFonts w:ascii="Aparajita" w:hAnsi="Aparajita" w:cs="Aparajita"/>
          <w:sz w:val="28"/>
          <w:szCs w:val="28"/>
        </w:rPr>
        <w:t>completed by around 1490 (St. Andrew’s Church, 2009)</w:t>
      </w:r>
      <w:r w:rsidR="004033A7">
        <w:rPr>
          <w:rFonts w:ascii="Aparajita" w:hAnsi="Aparajita" w:cs="Aparajita"/>
          <w:sz w:val="28"/>
          <w:szCs w:val="28"/>
        </w:rPr>
        <w:t xml:space="preserve"> in the Saxon village of Sutton. The growing prosperity of the town fuelled the development, and the materials were funded by the town, with the costs of labour paid for by a wealthy merchant by the name of Thomas Yogge (Old Plymouth Society, 2012). Later he also financed the Lady Chapel on the north side of the church.</w:t>
      </w:r>
    </w:p>
    <w:p w14:paraId="69CCC931" w14:textId="77777777" w:rsidR="005E72B7" w:rsidRDefault="005E72B7" w:rsidP="005629D8">
      <w:pPr>
        <w:rPr>
          <w:rFonts w:ascii="Aparajita" w:hAnsi="Aparajita" w:cs="Aparajita"/>
          <w:sz w:val="28"/>
          <w:szCs w:val="28"/>
        </w:rPr>
      </w:pPr>
    </w:p>
    <w:p w14:paraId="1B68488C" w14:textId="12F652C5" w:rsidR="002A2405" w:rsidRDefault="009E6DC4" w:rsidP="005629D8">
      <w:pPr>
        <w:rPr>
          <w:rFonts w:ascii="Aparajita" w:hAnsi="Aparajita" w:cs="Aparajita"/>
          <w:sz w:val="28"/>
          <w:szCs w:val="28"/>
        </w:rPr>
      </w:pPr>
      <w:r>
        <w:rPr>
          <w:rFonts w:ascii="Aparajita" w:hAnsi="Aparajita" w:cs="Aparajita"/>
          <w:sz w:val="28"/>
          <w:szCs w:val="28"/>
        </w:rPr>
        <w:t xml:space="preserve">According to the church’s website, St. Andrew’s Church has served the people as a place of sanctuary, </w:t>
      </w:r>
      <w:proofErr w:type="gramStart"/>
      <w:r>
        <w:rPr>
          <w:rFonts w:ascii="Aparajita" w:hAnsi="Aparajita" w:cs="Aparajita"/>
          <w:sz w:val="28"/>
          <w:szCs w:val="28"/>
        </w:rPr>
        <w:t>stability</w:t>
      </w:r>
      <w:proofErr w:type="gramEnd"/>
      <w:r>
        <w:rPr>
          <w:rFonts w:ascii="Aparajita" w:hAnsi="Aparajita" w:cs="Aparajita"/>
          <w:sz w:val="28"/>
          <w:szCs w:val="28"/>
        </w:rPr>
        <w:t xml:space="preserve"> and </w:t>
      </w:r>
      <w:r w:rsidR="00D2129E">
        <w:rPr>
          <w:rFonts w:ascii="Aparajita" w:hAnsi="Aparajita" w:cs="Aparajita"/>
          <w:sz w:val="28"/>
          <w:szCs w:val="28"/>
        </w:rPr>
        <w:t>community</w:t>
      </w:r>
      <w:r>
        <w:rPr>
          <w:rFonts w:ascii="Aparajita" w:hAnsi="Aparajita" w:cs="Aparajita"/>
          <w:sz w:val="28"/>
          <w:szCs w:val="28"/>
        </w:rPr>
        <w:t xml:space="preserve"> over centuries (St. Andrew’s Church, 2009). This appears to have carried on even through the Second World War, where the church was directly affected by an air raid on Plymouth, with the roof completely destroyed and other damage on the building in 1941 (Plymouth City Council, 2007). The day after the air raid, someone attached a wooden sign to the door that read ‘Resurgam’, which means ‘I will rise again’. This sign was replaced by a granite plaque with the same word, after a restoration was completed on the church (Plymouth City Council, 2007). </w:t>
      </w:r>
      <w:r w:rsidR="005E72B7">
        <w:rPr>
          <w:rFonts w:ascii="Aparajita" w:hAnsi="Aparajita" w:cs="Aparajita"/>
          <w:sz w:val="28"/>
          <w:szCs w:val="28"/>
        </w:rPr>
        <w:t>The Christian people of Plymouth believe that St. Andrew’s building mirrors Jesus’s story – a story of conquering the grave and rising again in new life (St. Andrew’s Church, 2009) – after the church went through three separate restorations prior to the war and a complete rebuild by Mr Frederick Etchells (Old Plymouth, 2017), where it was reroofed and restored.</w:t>
      </w:r>
    </w:p>
    <w:p w14:paraId="07FC9C96" w14:textId="010FDADF" w:rsidR="005E72B7" w:rsidRDefault="002A2405" w:rsidP="005629D8">
      <w:pPr>
        <w:rPr>
          <w:rFonts w:ascii="Aparajita" w:hAnsi="Aparajita" w:cs="Aparajita"/>
          <w:sz w:val="28"/>
          <w:szCs w:val="28"/>
        </w:rPr>
      </w:pPr>
      <w:r>
        <w:rPr>
          <w:rFonts w:ascii="Aparajita" w:hAnsi="Aparajita" w:cs="Aparajita"/>
          <w:sz w:val="28"/>
          <w:szCs w:val="28"/>
        </w:rPr>
        <w:t xml:space="preserve"> </w:t>
      </w:r>
    </w:p>
    <w:p w14:paraId="3FB1F58F" w14:textId="14305348" w:rsidR="008D33D0" w:rsidRDefault="008D33D0" w:rsidP="00D2129E">
      <w:pPr>
        <w:jc w:val="center"/>
        <w:rPr>
          <w:rFonts w:ascii="Aparajita" w:hAnsi="Aparajita" w:cs="Aparajita"/>
          <w:sz w:val="28"/>
          <w:szCs w:val="28"/>
        </w:rPr>
      </w:pPr>
      <w:r>
        <w:rPr>
          <w:noProof/>
        </w:rPr>
        <w:lastRenderedPageBreak/>
        <w:drawing>
          <wp:inline distT="0" distB="0" distL="0" distR="0" wp14:anchorId="1CF7B63E" wp14:editId="1FAF25F0">
            <wp:extent cx="4090737" cy="3126447"/>
            <wp:effectExtent l="0" t="0" r="5080" b="0"/>
            <wp:docPr id="2" name="Picture 1" descr="St Andrew's, exterior, late 1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exterior, late 19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3087" cy="3128243"/>
                    </a:xfrm>
                    <a:prstGeom prst="rect">
                      <a:avLst/>
                    </a:prstGeom>
                    <a:noFill/>
                    <a:ln>
                      <a:noFill/>
                    </a:ln>
                  </pic:spPr>
                </pic:pic>
              </a:graphicData>
            </a:graphic>
          </wp:inline>
        </w:drawing>
      </w:r>
    </w:p>
    <w:p w14:paraId="299DD0A8" w14:textId="35F9BF04" w:rsidR="008D33D0" w:rsidRDefault="008D33D0" w:rsidP="00D2129E">
      <w:pPr>
        <w:jc w:val="center"/>
        <w:rPr>
          <w:rFonts w:ascii="Aparajita" w:hAnsi="Aparajita" w:cs="Aparajita"/>
          <w:sz w:val="24"/>
          <w:szCs w:val="24"/>
        </w:rPr>
      </w:pPr>
      <w:r>
        <w:rPr>
          <w:rFonts w:ascii="Aparajita" w:hAnsi="Aparajita" w:cs="Aparajita"/>
          <w:sz w:val="24"/>
          <w:szCs w:val="24"/>
        </w:rPr>
        <w:t>Figure 1: St Andrew’s Church, exterior (c1870, Graham Naylor, 2016)</w:t>
      </w:r>
    </w:p>
    <w:p w14:paraId="02B94E55" w14:textId="77777777" w:rsidR="00D2129E" w:rsidRPr="00D2129E" w:rsidRDefault="00D2129E" w:rsidP="00D2129E">
      <w:pPr>
        <w:jc w:val="center"/>
        <w:rPr>
          <w:rFonts w:ascii="Aparajita" w:hAnsi="Aparajita" w:cs="Aparajita"/>
          <w:sz w:val="24"/>
          <w:szCs w:val="24"/>
        </w:rPr>
      </w:pPr>
    </w:p>
    <w:p w14:paraId="1D1B3A1F" w14:textId="38918556" w:rsidR="00D2129E" w:rsidRDefault="00D2129E" w:rsidP="008D33D0">
      <w:pPr>
        <w:rPr>
          <w:rFonts w:ascii="Aparajita" w:hAnsi="Aparajita" w:cs="Aparajita"/>
          <w:sz w:val="28"/>
          <w:szCs w:val="28"/>
        </w:rPr>
      </w:pPr>
      <w:r>
        <w:rPr>
          <w:rFonts w:ascii="Aparajita" w:hAnsi="Aparajita" w:cs="Aparajita"/>
          <w:sz w:val="28"/>
          <w:szCs w:val="28"/>
        </w:rPr>
        <w:t xml:space="preserve">Church architecture has been a significant and enduring expression of religious beliefs, serving as both a physical space for worship and a symbolic representation of spiritual ideals. The design of St. Andrew’s Church is a reflection of its purpose as a space of sanctuary, stability and community. </w:t>
      </w:r>
      <w:r w:rsidR="008D33D0">
        <w:rPr>
          <w:rFonts w:ascii="Aparajita" w:hAnsi="Aparajita" w:cs="Aparajita"/>
          <w:sz w:val="28"/>
          <w:szCs w:val="28"/>
        </w:rPr>
        <w:t xml:space="preserve">As seen in Figure 1, the </w:t>
      </w:r>
      <w:r>
        <w:rPr>
          <w:rFonts w:ascii="Aparajita" w:hAnsi="Aparajita" w:cs="Aparajita"/>
          <w:sz w:val="28"/>
          <w:szCs w:val="28"/>
        </w:rPr>
        <w:t>exterior is typical of a traditional church in its layout, with larger arched windows that allow for light to come into the space symbolising positivity and the ‘light of God’. Being built in the centre of the town, it is accessible and welcoming to all.</w:t>
      </w:r>
    </w:p>
    <w:p w14:paraId="5EBBCB5D" w14:textId="77777777" w:rsidR="00D2129E" w:rsidRDefault="00D2129E" w:rsidP="008D33D0">
      <w:pPr>
        <w:rPr>
          <w:rFonts w:ascii="Aparajita" w:hAnsi="Aparajita" w:cs="Aparajita"/>
          <w:sz w:val="28"/>
          <w:szCs w:val="28"/>
        </w:rPr>
      </w:pPr>
    </w:p>
    <w:p w14:paraId="69601447" w14:textId="4D0F3E40" w:rsidR="00D2129E" w:rsidRDefault="00D2129E" w:rsidP="00D2129E">
      <w:pPr>
        <w:jc w:val="center"/>
        <w:rPr>
          <w:rFonts w:ascii="Aparajita" w:hAnsi="Aparajita" w:cs="Aparajita"/>
          <w:sz w:val="28"/>
          <w:szCs w:val="28"/>
        </w:rPr>
      </w:pPr>
      <w:r>
        <w:rPr>
          <w:noProof/>
        </w:rPr>
        <w:drawing>
          <wp:inline distT="0" distB="0" distL="0" distR="0" wp14:anchorId="3CBC0072" wp14:editId="3BD1B2FE">
            <wp:extent cx="1714053" cy="2842093"/>
            <wp:effectExtent l="0" t="0" r="635" b="0"/>
            <wp:docPr id="1835154903" name="Picture 3" descr="A black and white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54903" name="Picture 3" descr="A black and white drawing of a buildin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9464" cy="2900808"/>
                    </a:xfrm>
                    <a:prstGeom prst="rect">
                      <a:avLst/>
                    </a:prstGeom>
                    <a:noFill/>
                    <a:ln>
                      <a:noFill/>
                    </a:ln>
                  </pic:spPr>
                </pic:pic>
              </a:graphicData>
            </a:graphic>
          </wp:inline>
        </w:drawing>
      </w:r>
    </w:p>
    <w:p w14:paraId="15FFA0B7" w14:textId="45431A13" w:rsidR="00D2129E" w:rsidRDefault="005B4496" w:rsidP="00D2129E">
      <w:pPr>
        <w:jc w:val="center"/>
        <w:rPr>
          <w:rFonts w:ascii="Aparajita" w:hAnsi="Aparajita" w:cs="Aparajita"/>
          <w:sz w:val="24"/>
          <w:szCs w:val="24"/>
        </w:rPr>
      </w:pPr>
      <w:r>
        <w:rPr>
          <w:rFonts w:ascii="Aparajita" w:hAnsi="Aparajita" w:cs="Aparajita"/>
          <w:sz w:val="24"/>
          <w:szCs w:val="24"/>
        </w:rPr>
        <w:t xml:space="preserve">Figure 2: </w:t>
      </w:r>
      <w:r w:rsidR="00D2129E">
        <w:rPr>
          <w:rFonts w:ascii="Aparajita" w:hAnsi="Aparajita" w:cs="Aparajita"/>
          <w:sz w:val="24"/>
          <w:szCs w:val="24"/>
        </w:rPr>
        <w:t>Plan of St. Andrew’s Church based on one drawn by C Fryer Cornelius in 1942</w:t>
      </w:r>
      <w:r>
        <w:rPr>
          <w:rFonts w:ascii="Aparajita" w:hAnsi="Aparajita" w:cs="Aparajita"/>
          <w:sz w:val="24"/>
          <w:szCs w:val="24"/>
        </w:rPr>
        <w:t xml:space="preserve"> (Old Ashburton, 2017)</w:t>
      </w:r>
    </w:p>
    <w:p w14:paraId="396EAE10" w14:textId="66186B89" w:rsidR="005B4496" w:rsidRDefault="005B4496" w:rsidP="00D2129E">
      <w:pPr>
        <w:rPr>
          <w:rFonts w:ascii="Aparajita" w:hAnsi="Aparajita" w:cs="Aparajita"/>
          <w:sz w:val="28"/>
          <w:szCs w:val="28"/>
        </w:rPr>
      </w:pPr>
      <w:r>
        <w:rPr>
          <w:rFonts w:ascii="Aparajita" w:hAnsi="Aparajita" w:cs="Aparajita"/>
          <w:sz w:val="28"/>
          <w:szCs w:val="28"/>
        </w:rPr>
        <w:lastRenderedPageBreak/>
        <w:t>As seen in Figure 2, the church features a long nave. At the heart of the church, the altar stands as a focal point for religious rituals. The chancel, surrounding the altar, is a separated space reserved for clergy, emphasizing the sacredness of their role in guiding the congregation.</w:t>
      </w:r>
    </w:p>
    <w:p w14:paraId="715C60C1" w14:textId="76F5CFCD" w:rsidR="005B4496" w:rsidRDefault="005B4496" w:rsidP="00D2129E">
      <w:pPr>
        <w:rPr>
          <w:rFonts w:ascii="Aparajita" w:hAnsi="Aparajita" w:cs="Aparajita"/>
          <w:sz w:val="28"/>
          <w:szCs w:val="28"/>
        </w:rPr>
      </w:pPr>
      <w:r>
        <w:rPr>
          <w:rFonts w:ascii="Aparajita" w:hAnsi="Aparajita" w:cs="Aparajita"/>
          <w:sz w:val="28"/>
          <w:szCs w:val="28"/>
        </w:rPr>
        <w:t xml:space="preserve">The church is known for a design with careful consideration of acoustics to enhance the auditory experience during worship. After the rebuild of St. Andrew’s Church and the roof, the ceiling was higher, with vaults and domes built that contributed to optimal sound reflection. This ensures that prayers, </w:t>
      </w:r>
      <w:proofErr w:type="gramStart"/>
      <w:r>
        <w:rPr>
          <w:rFonts w:ascii="Aparajita" w:hAnsi="Aparajita" w:cs="Aparajita"/>
          <w:sz w:val="28"/>
          <w:szCs w:val="28"/>
        </w:rPr>
        <w:t>hymns</w:t>
      </w:r>
      <w:proofErr w:type="gramEnd"/>
      <w:r>
        <w:rPr>
          <w:rFonts w:ascii="Aparajita" w:hAnsi="Aparajita" w:cs="Aparajita"/>
          <w:sz w:val="28"/>
          <w:szCs w:val="28"/>
        </w:rPr>
        <w:t xml:space="preserve"> and sermons are heard clearly fostering a deeper connection between the congregation and the sacred words spoken.</w:t>
      </w:r>
    </w:p>
    <w:p w14:paraId="21698AB4" w14:textId="77777777" w:rsidR="00374000" w:rsidRDefault="00374000" w:rsidP="00D2129E">
      <w:pPr>
        <w:rPr>
          <w:rFonts w:ascii="Aparajita" w:hAnsi="Aparajita" w:cs="Aparajita"/>
          <w:sz w:val="28"/>
          <w:szCs w:val="28"/>
        </w:rPr>
      </w:pPr>
    </w:p>
    <w:p w14:paraId="54979BD9" w14:textId="541FE815" w:rsidR="00374000" w:rsidRDefault="00374000" w:rsidP="00D2129E">
      <w:pPr>
        <w:rPr>
          <w:rFonts w:ascii="Aparajita" w:hAnsi="Aparajita" w:cs="Aparajita"/>
          <w:sz w:val="28"/>
          <w:szCs w:val="28"/>
        </w:rPr>
      </w:pPr>
      <w:r>
        <w:rPr>
          <w:noProof/>
        </w:rPr>
        <w:drawing>
          <wp:inline distT="0" distB="0" distL="0" distR="0" wp14:anchorId="67174033" wp14:editId="6F3D5796">
            <wp:extent cx="5731510" cy="4298633"/>
            <wp:effectExtent l="0" t="0" r="2540" b="6985"/>
            <wp:docPr id="1563663836" name="Picture 1" descr="St Andrew's, Plymouth - gilbertscot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Plymouth - gilbertscott.o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4C28902" w14:textId="5290CA5E" w:rsidR="00374000" w:rsidRDefault="00374000" w:rsidP="00374000">
      <w:pPr>
        <w:jc w:val="center"/>
        <w:rPr>
          <w:rFonts w:ascii="Aparajita" w:hAnsi="Aparajita" w:cs="Aparajita"/>
          <w:sz w:val="24"/>
          <w:szCs w:val="24"/>
        </w:rPr>
      </w:pPr>
      <w:r>
        <w:rPr>
          <w:rFonts w:ascii="Aparajita" w:hAnsi="Aparajita" w:cs="Aparajita"/>
          <w:sz w:val="24"/>
          <w:szCs w:val="24"/>
        </w:rPr>
        <w:t>Figure 3: St Andrew’s, Plymouth (Gilbert Scott, 2018)</w:t>
      </w:r>
    </w:p>
    <w:p w14:paraId="6596226E" w14:textId="77777777" w:rsidR="00374000" w:rsidRDefault="00374000" w:rsidP="00374000">
      <w:pPr>
        <w:rPr>
          <w:rFonts w:ascii="Aparajita" w:hAnsi="Aparajita" w:cs="Aparajita"/>
          <w:sz w:val="28"/>
          <w:szCs w:val="28"/>
        </w:rPr>
      </w:pPr>
    </w:p>
    <w:p w14:paraId="4923E95B" w14:textId="0D633717" w:rsidR="00374000" w:rsidRDefault="00374000" w:rsidP="00374000">
      <w:pPr>
        <w:rPr>
          <w:rFonts w:ascii="Aparajita" w:hAnsi="Aparajita" w:cs="Aparajita"/>
          <w:sz w:val="28"/>
          <w:szCs w:val="28"/>
        </w:rPr>
      </w:pPr>
      <w:r>
        <w:rPr>
          <w:rFonts w:ascii="Aparajita" w:hAnsi="Aparajita" w:cs="Aparajita"/>
          <w:sz w:val="28"/>
          <w:szCs w:val="28"/>
        </w:rPr>
        <w:t xml:space="preserve">Stained glass windows, prevalent in Gothic and Romanesque architecture, contribute to the educational and reflective aspects of church design. These windows depict biblical stories, </w:t>
      </w:r>
      <w:proofErr w:type="gramStart"/>
      <w:r>
        <w:rPr>
          <w:rFonts w:ascii="Aparajita" w:hAnsi="Aparajita" w:cs="Aparajita"/>
          <w:sz w:val="28"/>
          <w:szCs w:val="28"/>
        </w:rPr>
        <w:t>saints</w:t>
      </w:r>
      <w:proofErr w:type="gramEnd"/>
      <w:r>
        <w:rPr>
          <w:rFonts w:ascii="Aparajita" w:hAnsi="Aparajita" w:cs="Aparajita"/>
          <w:sz w:val="28"/>
          <w:szCs w:val="28"/>
        </w:rPr>
        <w:t xml:space="preserve"> and religious motifs, serving as both an aesthetic embellishment and a tool for conveying religious narratives. The nave leads up to the largest stained window, depicting an orb of light upon waves. The church is orientated within the town centre so that the sun path enables sunlight to come directly through the orb of light and shine down the middle pathway. As well as this window, </w:t>
      </w:r>
      <w:r>
        <w:rPr>
          <w:rFonts w:ascii="Aparajita" w:hAnsi="Aparajita" w:cs="Aparajita"/>
          <w:sz w:val="28"/>
          <w:szCs w:val="28"/>
        </w:rPr>
        <w:lastRenderedPageBreak/>
        <w:t xml:space="preserve">smaller </w:t>
      </w:r>
      <w:proofErr w:type="gramStart"/>
      <w:r>
        <w:rPr>
          <w:rFonts w:ascii="Aparajita" w:hAnsi="Aparajita" w:cs="Aparajita"/>
          <w:sz w:val="28"/>
          <w:szCs w:val="28"/>
        </w:rPr>
        <w:t>stained glass</w:t>
      </w:r>
      <w:proofErr w:type="gramEnd"/>
      <w:r>
        <w:rPr>
          <w:rFonts w:ascii="Aparajita" w:hAnsi="Aparajita" w:cs="Aparajita"/>
          <w:sz w:val="28"/>
          <w:szCs w:val="28"/>
        </w:rPr>
        <w:t xml:space="preserve"> windows decorate the sides of the building. The interplay of light through stained glass enhances the spiritual ambiance within the church.</w:t>
      </w:r>
    </w:p>
    <w:p w14:paraId="4B5E2C44" w14:textId="1C1C2C90" w:rsidR="00111573" w:rsidRDefault="00374000" w:rsidP="008D33D0">
      <w:pPr>
        <w:rPr>
          <w:rFonts w:ascii="Aparajita" w:hAnsi="Aparajita" w:cs="Aparajita"/>
          <w:sz w:val="28"/>
          <w:szCs w:val="28"/>
        </w:rPr>
      </w:pPr>
      <w:r>
        <w:rPr>
          <w:rFonts w:ascii="Aparajita" w:hAnsi="Aparajita" w:cs="Aparajita"/>
          <w:sz w:val="28"/>
          <w:szCs w:val="28"/>
        </w:rPr>
        <w:t>The design has incorporated various spaces to cater to the diverse needs of the congregation. Chapels and side altars provide intimate settings for personal reflection and prayer. Furthermore, the transepts near the chancel in the church have been converted into educational spaces, holding a small library and classroom, which facilitates the dissemination of religious teachings</w:t>
      </w:r>
      <w:r w:rsidR="00111573">
        <w:rPr>
          <w:rFonts w:ascii="Aparajita" w:hAnsi="Aparajita" w:cs="Aparajita"/>
          <w:sz w:val="28"/>
          <w:szCs w:val="28"/>
        </w:rPr>
        <w:t>, reinforcing the church’s role as a centre for spiritual growth and learning.</w:t>
      </w:r>
    </w:p>
    <w:p w14:paraId="4186B9C0" w14:textId="0F6506FD" w:rsidR="00111573" w:rsidRDefault="00111573" w:rsidP="008D33D0">
      <w:pPr>
        <w:rPr>
          <w:rFonts w:ascii="Aparajita" w:hAnsi="Aparajita" w:cs="Aparajita"/>
          <w:sz w:val="28"/>
          <w:szCs w:val="28"/>
        </w:rPr>
      </w:pPr>
      <w:r>
        <w:rPr>
          <w:rFonts w:ascii="Aparajita" w:hAnsi="Aparajita" w:cs="Aparajita"/>
          <w:sz w:val="28"/>
          <w:szCs w:val="28"/>
        </w:rPr>
        <w:t xml:space="preserve">St Andrew’s Church has evolved over time to adapt to specific needs, but consistently provided a space for the community to come together. </w:t>
      </w:r>
      <w:r>
        <w:rPr>
          <w:rFonts w:ascii="Aparajita" w:hAnsi="Aparajita" w:cs="Aparajita"/>
          <w:sz w:val="28"/>
          <w:szCs w:val="28"/>
        </w:rPr>
        <w:t xml:space="preserve">After many projects, the building has been safely restored and has now had all damage repaired. A new organ was installed during the post-war restoration that is still the largest organ west of Bristol – larger than that of Exeter and Truro </w:t>
      </w:r>
      <w:r>
        <w:rPr>
          <w:rFonts w:ascii="Aparajita" w:hAnsi="Aparajita" w:cs="Aparajita"/>
          <w:sz w:val="28"/>
          <w:szCs w:val="28"/>
        </w:rPr>
        <w:t xml:space="preserve">Cathedrals. </w:t>
      </w:r>
      <w:proofErr w:type="gramStart"/>
      <w:r>
        <w:rPr>
          <w:rFonts w:ascii="Aparajita" w:hAnsi="Aparajita" w:cs="Aparajita"/>
          <w:sz w:val="28"/>
          <w:szCs w:val="28"/>
        </w:rPr>
        <w:t>In</w:t>
      </w:r>
      <w:proofErr w:type="gramEnd"/>
      <w:r>
        <w:rPr>
          <w:rFonts w:ascii="Aparajita" w:hAnsi="Aparajita" w:cs="Aparajita"/>
          <w:sz w:val="28"/>
          <w:szCs w:val="28"/>
        </w:rPr>
        <w:t xml:space="preserve"> modern Plymouth, the space is used to host events such as orchestral concerts, taking advantage of the acoustics, as well as various social events for the locals. It is in an optimal position in the city for Christians to travel to, with the Royal Parade built on the same road – a line of bus stops that provide transport to every area in Plymouth and beyond.</w:t>
      </w:r>
    </w:p>
    <w:p w14:paraId="49BE9484" w14:textId="77777777" w:rsidR="00111573" w:rsidRDefault="00111573" w:rsidP="008D33D0">
      <w:pPr>
        <w:rPr>
          <w:rFonts w:ascii="Aparajita" w:hAnsi="Aparajita" w:cs="Aparajita"/>
          <w:sz w:val="28"/>
          <w:szCs w:val="28"/>
        </w:rPr>
      </w:pPr>
    </w:p>
    <w:p w14:paraId="6CD1F4C3" w14:textId="67FB8660" w:rsidR="008D33D0" w:rsidRDefault="00111573" w:rsidP="008D33D0">
      <w:pPr>
        <w:rPr>
          <w:rFonts w:ascii="Aparajita" w:hAnsi="Aparajita" w:cs="Aparajita"/>
          <w:sz w:val="28"/>
          <w:szCs w:val="28"/>
        </w:rPr>
      </w:pPr>
      <w:r>
        <w:rPr>
          <w:rFonts w:ascii="Aparajita" w:hAnsi="Aparajita" w:cs="Aparajita"/>
          <w:sz w:val="28"/>
          <w:szCs w:val="28"/>
        </w:rPr>
        <w:t xml:space="preserve">My study was to research into the purpose of specific architectural elements of traditional churches, and whether St Andrew’s Church successfully functions both as a building </w:t>
      </w:r>
      <w:proofErr w:type="gramStart"/>
      <w:r>
        <w:rPr>
          <w:rFonts w:ascii="Aparajita" w:hAnsi="Aparajita" w:cs="Aparajita"/>
          <w:sz w:val="28"/>
          <w:szCs w:val="28"/>
        </w:rPr>
        <w:t>and also</w:t>
      </w:r>
      <w:proofErr w:type="gramEnd"/>
      <w:r w:rsidR="00FD2DB7">
        <w:rPr>
          <w:rFonts w:ascii="Aparajita" w:hAnsi="Aparajita" w:cs="Aparajita"/>
          <w:sz w:val="28"/>
          <w:szCs w:val="28"/>
        </w:rPr>
        <w:t xml:space="preserve"> achieves its purpose of being a safe place for Christians. If a similar study was to be done, I’d have taken the time to visit the site to fully experience the space and the feeling it brings to me, as well as speak to the locals who attend church regularly.</w:t>
      </w:r>
    </w:p>
    <w:p w14:paraId="38D84333" w14:textId="5C828081" w:rsidR="008D33D0" w:rsidRDefault="008D33D0" w:rsidP="008D33D0">
      <w:pPr>
        <w:rPr>
          <w:rFonts w:ascii="Aparajita" w:hAnsi="Aparajita" w:cs="Aparajita"/>
          <w:sz w:val="28"/>
          <w:szCs w:val="28"/>
        </w:rPr>
      </w:pPr>
    </w:p>
    <w:p w14:paraId="29B3815E" w14:textId="77777777" w:rsidR="008D33D0" w:rsidRDefault="008D33D0" w:rsidP="008D33D0">
      <w:pPr>
        <w:rPr>
          <w:rFonts w:ascii="Aparajita" w:hAnsi="Aparajita" w:cs="Aparajita"/>
          <w:sz w:val="28"/>
          <w:szCs w:val="28"/>
        </w:rPr>
      </w:pPr>
    </w:p>
    <w:p w14:paraId="795B3D36" w14:textId="77777777" w:rsidR="008D33D0" w:rsidRPr="008D33D0" w:rsidRDefault="008D33D0" w:rsidP="008D33D0">
      <w:pPr>
        <w:rPr>
          <w:rFonts w:ascii="Aparajita" w:hAnsi="Aparajita" w:cs="Aparajita"/>
          <w:sz w:val="28"/>
          <w:szCs w:val="28"/>
        </w:rPr>
      </w:pPr>
    </w:p>
    <w:p w14:paraId="2BC0F487" w14:textId="77777777" w:rsidR="005E72B7" w:rsidRDefault="005E72B7" w:rsidP="005629D8"/>
    <w:p w14:paraId="423CA8A8" w14:textId="77777777" w:rsidR="005629D8" w:rsidRDefault="005629D8" w:rsidP="005629D8"/>
    <w:p w14:paraId="6F9E9515" w14:textId="77777777" w:rsidR="00111573" w:rsidRDefault="00111573" w:rsidP="005629D8"/>
    <w:p w14:paraId="1EC28360" w14:textId="77777777" w:rsidR="00111573" w:rsidRDefault="00111573" w:rsidP="005629D8"/>
    <w:p w14:paraId="77F2C3DF" w14:textId="77777777" w:rsidR="00111573" w:rsidRDefault="00111573" w:rsidP="005629D8"/>
    <w:p w14:paraId="43E763D5" w14:textId="77777777" w:rsidR="00111573" w:rsidRDefault="00111573" w:rsidP="005629D8"/>
    <w:p w14:paraId="223D97CD" w14:textId="77777777" w:rsidR="00111573" w:rsidRDefault="00111573" w:rsidP="005629D8"/>
    <w:p w14:paraId="729268B6" w14:textId="77777777" w:rsidR="00111573" w:rsidRDefault="00111573" w:rsidP="005629D8"/>
    <w:p w14:paraId="134AFA9C" w14:textId="77777777" w:rsidR="00111573" w:rsidRDefault="00111573" w:rsidP="005629D8"/>
    <w:p w14:paraId="13E8C885" w14:textId="77777777" w:rsidR="00F525B8" w:rsidRPr="000A3B73" w:rsidRDefault="00F525B8">
      <w:pPr>
        <w:rPr>
          <w:sz w:val="20"/>
          <w:szCs w:val="20"/>
        </w:rPr>
      </w:pPr>
    </w:p>
    <w:p w14:paraId="0A7CB9F4" w14:textId="4AF20FFE" w:rsidR="000A3B73" w:rsidRDefault="000A3B73">
      <w:pPr>
        <w:rPr>
          <w:rFonts w:ascii="Aparajita" w:hAnsi="Aparajita" w:cs="Aparajita"/>
          <w:b/>
          <w:bCs/>
          <w:sz w:val="28"/>
          <w:szCs w:val="28"/>
        </w:rPr>
      </w:pPr>
      <w:r w:rsidRPr="000A3B73">
        <w:rPr>
          <w:rFonts w:ascii="Aparajita" w:hAnsi="Aparajita" w:cs="Aparajita"/>
          <w:b/>
          <w:bCs/>
          <w:sz w:val="28"/>
          <w:szCs w:val="28"/>
        </w:rPr>
        <w:t>Bibliography</w:t>
      </w:r>
    </w:p>
    <w:p w14:paraId="2C9AC1A1" w14:textId="798A9F86" w:rsidR="00374000" w:rsidRPr="00374000" w:rsidRDefault="00374000">
      <w:pPr>
        <w:rPr>
          <w:rFonts w:ascii="Aparajita" w:hAnsi="Aparajita" w:cs="Aparajita"/>
          <w:sz w:val="28"/>
          <w:szCs w:val="28"/>
        </w:rPr>
      </w:pPr>
      <w:r>
        <w:rPr>
          <w:rFonts w:ascii="Aparajita" w:hAnsi="Aparajita" w:cs="Aparajita"/>
          <w:sz w:val="28"/>
          <w:szCs w:val="28"/>
        </w:rPr>
        <w:t xml:space="preserve">Gilbert Scott. (2018). </w:t>
      </w:r>
      <w:r>
        <w:rPr>
          <w:rFonts w:ascii="Aparajita" w:hAnsi="Aparajita" w:cs="Aparajita"/>
          <w:i/>
          <w:iCs/>
          <w:sz w:val="28"/>
          <w:szCs w:val="28"/>
        </w:rPr>
        <w:t>St Andrew’s, Plymouth</w:t>
      </w:r>
      <w:r>
        <w:rPr>
          <w:rFonts w:ascii="Aparajita" w:hAnsi="Aparajita" w:cs="Aparajita"/>
          <w:sz w:val="28"/>
          <w:szCs w:val="28"/>
        </w:rPr>
        <w:t xml:space="preserve"> [online]. Available from: </w:t>
      </w:r>
      <w:hyperlink r:id="rId8" w:history="1">
        <w:r w:rsidRPr="00366C9D">
          <w:rPr>
            <w:rStyle w:val="Hyperlink"/>
            <w:rFonts w:ascii="Aparajita" w:hAnsi="Aparajita" w:cs="Aparajita"/>
            <w:sz w:val="28"/>
            <w:szCs w:val="28"/>
          </w:rPr>
          <w:t>https://gilbertscott.org/st-andrews-plymouth/</w:t>
        </w:r>
      </w:hyperlink>
      <w:r>
        <w:rPr>
          <w:rFonts w:ascii="Aparajita" w:hAnsi="Aparajita" w:cs="Aparajita"/>
          <w:sz w:val="28"/>
          <w:szCs w:val="28"/>
        </w:rPr>
        <w:t xml:space="preserve"> [Accessed on 15/1/24].</w:t>
      </w:r>
    </w:p>
    <w:p w14:paraId="3905BFF8" w14:textId="3D11F525" w:rsidR="008D33D0" w:rsidRDefault="008D33D0">
      <w:pPr>
        <w:rPr>
          <w:rFonts w:ascii="Aparajita" w:hAnsi="Aparajita" w:cs="Aparajita"/>
          <w:sz w:val="28"/>
          <w:szCs w:val="28"/>
        </w:rPr>
      </w:pPr>
      <w:r>
        <w:rPr>
          <w:rFonts w:ascii="Aparajita" w:hAnsi="Aparajita" w:cs="Aparajita"/>
          <w:sz w:val="28"/>
          <w:szCs w:val="28"/>
        </w:rPr>
        <w:t xml:space="preserve">Graham Naylor. (2016). </w:t>
      </w:r>
      <w:r>
        <w:rPr>
          <w:rFonts w:ascii="Aparajita" w:hAnsi="Aparajita" w:cs="Aparajita"/>
          <w:i/>
          <w:iCs/>
          <w:sz w:val="28"/>
          <w:szCs w:val="28"/>
        </w:rPr>
        <w:t>Minister Church of St Andrew, Plymouth</w:t>
      </w:r>
      <w:r>
        <w:rPr>
          <w:rFonts w:ascii="Aparajita" w:hAnsi="Aparajita" w:cs="Aparajita"/>
          <w:sz w:val="28"/>
          <w:szCs w:val="28"/>
        </w:rPr>
        <w:t xml:space="preserve"> [online]. Available from: </w:t>
      </w:r>
      <w:hyperlink r:id="rId9" w:history="1">
        <w:r w:rsidRPr="00584E23">
          <w:rPr>
            <w:rStyle w:val="Hyperlink"/>
            <w:rFonts w:ascii="Aparajita" w:hAnsi="Aparajita" w:cs="Aparajita"/>
            <w:sz w:val="28"/>
            <w:szCs w:val="28"/>
          </w:rPr>
          <w:t>https://someolddevonchurches.files.wordpress.com/2016/02/st-andrews-exterior-late-19c.jpg?w=900</w:t>
        </w:r>
      </w:hyperlink>
      <w:r>
        <w:rPr>
          <w:rFonts w:ascii="Aparajita" w:hAnsi="Aparajita" w:cs="Aparajita"/>
          <w:sz w:val="28"/>
          <w:szCs w:val="28"/>
        </w:rPr>
        <w:t xml:space="preserve"> [Accessed 13/1/24].</w:t>
      </w:r>
    </w:p>
    <w:p w14:paraId="2FAAAF54" w14:textId="1AEFDD8B" w:rsidR="005B4496" w:rsidRPr="005B4496" w:rsidRDefault="005B4496">
      <w:pPr>
        <w:rPr>
          <w:rFonts w:ascii="Aparajita" w:hAnsi="Aparajita" w:cs="Aparajita"/>
          <w:sz w:val="28"/>
          <w:szCs w:val="28"/>
        </w:rPr>
      </w:pPr>
      <w:r>
        <w:rPr>
          <w:rFonts w:ascii="Aparajita" w:hAnsi="Aparajita" w:cs="Aparajita"/>
          <w:sz w:val="28"/>
          <w:szCs w:val="28"/>
        </w:rPr>
        <w:t xml:space="preserve">Old Ashburton. (2017). </w:t>
      </w:r>
      <w:r>
        <w:rPr>
          <w:rFonts w:ascii="Aparajita" w:hAnsi="Aparajita" w:cs="Aparajita"/>
          <w:i/>
          <w:iCs/>
          <w:sz w:val="28"/>
          <w:szCs w:val="28"/>
        </w:rPr>
        <w:t>St Andrew’s Church</w:t>
      </w:r>
      <w:r>
        <w:rPr>
          <w:rFonts w:ascii="Aparajita" w:hAnsi="Aparajita" w:cs="Aparajita"/>
          <w:sz w:val="28"/>
          <w:szCs w:val="28"/>
        </w:rPr>
        <w:t xml:space="preserve"> [online]. Available from: </w:t>
      </w:r>
      <w:hyperlink r:id="rId10" w:history="1">
        <w:r w:rsidRPr="00366C9D">
          <w:rPr>
            <w:rStyle w:val="Hyperlink"/>
            <w:rFonts w:ascii="Aparajita" w:hAnsi="Aparajita" w:cs="Aparajita"/>
            <w:sz w:val="28"/>
            <w:szCs w:val="28"/>
          </w:rPr>
          <w:t>https://www.oldashburton.co.uk/st-andrews-church.php</w:t>
        </w:r>
      </w:hyperlink>
      <w:r>
        <w:rPr>
          <w:rFonts w:ascii="Aparajita" w:hAnsi="Aparajita" w:cs="Aparajita"/>
          <w:sz w:val="28"/>
          <w:szCs w:val="28"/>
        </w:rPr>
        <w:t xml:space="preserve"> [Accessed on 15/1/24]</w:t>
      </w:r>
    </w:p>
    <w:p w14:paraId="4B8C1B90" w14:textId="35A5A1F1" w:rsidR="005E72B7" w:rsidRPr="005E72B7" w:rsidRDefault="005E72B7">
      <w:pPr>
        <w:rPr>
          <w:rFonts w:ascii="Aparajita" w:hAnsi="Aparajita" w:cs="Aparajita"/>
          <w:sz w:val="28"/>
          <w:szCs w:val="28"/>
        </w:rPr>
      </w:pPr>
      <w:r>
        <w:rPr>
          <w:rFonts w:ascii="Aparajita" w:hAnsi="Aparajita" w:cs="Aparajita"/>
          <w:sz w:val="28"/>
          <w:szCs w:val="28"/>
        </w:rPr>
        <w:t>Old Plymouth</w:t>
      </w:r>
      <w:r w:rsidR="005B4496">
        <w:rPr>
          <w:rFonts w:ascii="Aparajita" w:hAnsi="Aparajita" w:cs="Aparajita"/>
          <w:sz w:val="28"/>
          <w:szCs w:val="28"/>
        </w:rPr>
        <w:t>.</w:t>
      </w:r>
      <w:r>
        <w:rPr>
          <w:rFonts w:ascii="Aparajita" w:hAnsi="Aparajita" w:cs="Aparajita"/>
          <w:sz w:val="28"/>
          <w:szCs w:val="28"/>
        </w:rPr>
        <w:t xml:space="preserve"> (2017). </w:t>
      </w:r>
      <w:r>
        <w:rPr>
          <w:rFonts w:ascii="Aparajita" w:hAnsi="Aparajita" w:cs="Aparajita"/>
          <w:i/>
          <w:iCs/>
          <w:sz w:val="28"/>
          <w:szCs w:val="28"/>
        </w:rPr>
        <w:t>Anglican Minister Church of Saint Andrew the Apostle</w:t>
      </w:r>
      <w:r>
        <w:rPr>
          <w:rFonts w:ascii="Aparajita" w:hAnsi="Aparajita" w:cs="Aparajita"/>
          <w:sz w:val="28"/>
          <w:szCs w:val="28"/>
        </w:rPr>
        <w:t xml:space="preserve"> [online]. Available from:</w:t>
      </w:r>
      <w:r w:rsidR="005B4496" w:rsidRPr="005B4496">
        <w:t xml:space="preserve"> </w:t>
      </w:r>
      <w:r w:rsidR="005B4496" w:rsidRPr="005B4496">
        <w:rPr>
          <w:rFonts w:ascii="Aparajita" w:hAnsi="Aparajita" w:cs="Aparajita"/>
          <w:sz w:val="28"/>
          <w:szCs w:val="28"/>
        </w:rPr>
        <w:t>https://www.oldplymouth.uk/Saint%20Andrew%20the%20Apostle%20(Anglican%20Minster%20Church%20of).htm</w:t>
      </w:r>
      <w:r>
        <w:rPr>
          <w:rFonts w:ascii="Aparajita" w:hAnsi="Aparajita" w:cs="Aparajita"/>
          <w:sz w:val="28"/>
          <w:szCs w:val="28"/>
        </w:rPr>
        <w:t xml:space="preserve"> [Accessed 14/1/24].</w:t>
      </w:r>
    </w:p>
    <w:p w14:paraId="796B14B7" w14:textId="1000BB29" w:rsidR="004033A7" w:rsidRDefault="004033A7">
      <w:pPr>
        <w:rPr>
          <w:rFonts w:ascii="Aparajita" w:hAnsi="Aparajita" w:cs="Aparajita"/>
          <w:sz w:val="28"/>
          <w:szCs w:val="28"/>
        </w:rPr>
      </w:pPr>
      <w:r>
        <w:rPr>
          <w:rFonts w:ascii="Aparajita" w:hAnsi="Aparajita" w:cs="Aparajita"/>
          <w:sz w:val="28"/>
          <w:szCs w:val="28"/>
        </w:rPr>
        <w:t xml:space="preserve">Old Plymouth Society. (2012). </w:t>
      </w:r>
      <w:r>
        <w:rPr>
          <w:rFonts w:ascii="Aparajita" w:hAnsi="Aparajita" w:cs="Aparajita"/>
          <w:i/>
          <w:iCs/>
          <w:sz w:val="28"/>
          <w:szCs w:val="28"/>
        </w:rPr>
        <w:t>A Brief History of St Andrew’s Church</w:t>
      </w:r>
      <w:r>
        <w:rPr>
          <w:rFonts w:ascii="Aparajita" w:hAnsi="Aparajita" w:cs="Aparajita"/>
          <w:sz w:val="28"/>
          <w:szCs w:val="28"/>
        </w:rPr>
        <w:t xml:space="preserve"> [online]. Available from: </w:t>
      </w:r>
      <w:hyperlink r:id="rId11" w:history="1">
        <w:r w:rsidRPr="00584E23">
          <w:rPr>
            <w:rStyle w:val="Hyperlink"/>
            <w:rFonts w:ascii="Aparajita" w:hAnsi="Aparajita" w:cs="Aparajita"/>
            <w:sz w:val="28"/>
            <w:szCs w:val="28"/>
          </w:rPr>
          <w:t>https://oldplymouthsociety.net/a-brief-history-of-st-andrews-church/</w:t>
        </w:r>
      </w:hyperlink>
      <w:r>
        <w:rPr>
          <w:rFonts w:ascii="Aparajita" w:hAnsi="Aparajita" w:cs="Aparajita"/>
          <w:sz w:val="28"/>
          <w:szCs w:val="28"/>
        </w:rPr>
        <w:t xml:space="preserve"> [Accessed on 12/1/24).</w:t>
      </w:r>
    </w:p>
    <w:p w14:paraId="417CC39F" w14:textId="2B1527AC" w:rsidR="009E6DC4" w:rsidRPr="009E6DC4" w:rsidRDefault="009E6DC4">
      <w:pPr>
        <w:rPr>
          <w:rFonts w:ascii="Aparajita" w:hAnsi="Aparajita" w:cs="Aparajita"/>
          <w:sz w:val="28"/>
          <w:szCs w:val="28"/>
        </w:rPr>
      </w:pPr>
      <w:r>
        <w:rPr>
          <w:rFonts w:ascii="Aparajita" w:hAnsi="Aparajita" w:cs="Aparajita"/>
          <w:sz w:val="28"/>
          <w:szCs w:val="28"/>
        </w:rPr>
        <w:t xml:space="preserve">Plymouth City Council (2007). </w:t>
      </w:r>
      <w:r>
        <w:rPr>
          <w:rFonts w:ascii="Aparajita" w:hAnsi="Aparajita" w:cs="Aparajita"/>
          <w:i/>
          <w:iCs/>
          <w:sz w:val="28"/>
          <w:szCs w:val="28"/>
        </w:rPr>
        <w:t>Places of Worship</w:t>
      </w:r>
      <w:r>
        <w:rPr>
          <w:rFonts w:ascii="Aparajita" w:hAnsi="Aparajita" w:cs="Aparajita"/>
          <w:sz w:val="28"/>
          <w:szCs w:val="28"/>
        </w:rPr>
        <w:t xml:space="preserve"> [online]. Available from: </w:t>
      </w:r>
      <w:hyperlink r:id="rId12" w:history="1">
        <w:r w:rsidRPr="00584E23">
          <w:rPr>
            <w:rStyle w:val="Hyperlink"/>
            <w:rFonts w:ascii="Aparajita" w:hAnsi="Aparajita" w:cs="Aparajita"/>
            <w:sz w:val="28"/>
            <w:szCs w:val="28"/>
          </w:rPr>
          <w:t>https://web.archive.org/web/20071013045716/http://www.plymouth.gov.uk/placesofworship</w:t>
        </w:r>
      </w:hyperlink>
      <w:r>
        <w:rPr>
          <w:rFonts w:ascii="Aparajita" w:hAnsi="Aparajita" w:cs="Aparajita"/>
          <w:sz w:val="28"/>
          <w:szCs w:val="28"/>
        </w:rPr>
        <w:t xml:space="preserve"> [Accessed on 13/1/24].</w:t>
      </w:r>
    </w:p>
    <w:p w14:paraId="0CFA3F71" w14:textId="0E5BEA47" w:rsidR="000A3B73" w:rsidRDefault="002A2405">
      <w:pPr>
        <w:rPr>
          <w:rFonts w:ascii="Aparajita" w:hAnsi="Aparajita" w:cs="Aparajita"/>
          <w:sz w:val="28"/>
          <w:szCs w:val="28"/>
        </w:rPr>
      </w:pPr>
      <w:r>
        <w:rPr>
          <w:rFonts w:ascii="Aparajita" w:hAnsi="Aparajita" w:cs="Aparajita"/>
          <w:sz w:val="28"/>
          <w:szCs w:val="28"/>
        </w:rPr>
        <w:t xml:space="preserve">St. Andrew’s Church. (2009). </w:t>
      </w:r>
      <w:r w:rsidR="00C44A45">
        <w:rPr>
          <w:rFonts w:ascii="Aparajita" w:hAnsi="Aparajita" w:cs="Aparajita"/>
          <w:i/>
          <w:iCs/>
          <w:sz w:val="28"/>
          <w:szCs w:val="28"/>
        </w:rPr>
        <w:t>History</w:t>
      </w:r>
      <w:r w:rsidR="00C44A45">
        <w:rPr>
          <w:rFonts w:ascii="Aparajita" w:hAnsi="Aparajita" w:cs="Aparajita"/>
          <w:sz w:val="28"/>
          <w:szCs w:val="28"/>
        </w:rPr>
        <w:t xml:space="preserve"> [online]. Available from: </w:t>
      </w:r>
      <w:hyperlink r:id="rId13" w:history="1">
        <w:r w:rsidR="00C44A45" w:rsidRPr="00584E23">
          <w:rPr>
            <w:rStyle w:val="Hyperlink"/>
            <w:rFonts w:ascii="Aparajita" w:hAnsi="Aparajita" w:cs="Aparajita"/>
            <w:sz w:val="28"/>
            <w:szCs w:val="28"/>
          </w:rPr>
          <w:t>https://www.standrewschurch.org.uk/visit-us/history/</w:t>
        </w:r>
      </w:hyperlink>
      <w:r w:rsidR="00C44A45">
        <w:rPr>
          <w:rFonts w:ascii="Aparajita" w:hAnsi="Aparajita" w:cs="Aparajita"/>
          <w:sz w:val="28"/>
          <w:szCs w:val="28"/>
        </w:rPr>
        <w:t xml:space="preserve"> [Accessed 12/1/24].</w:t>
      </w:r>
    </w:p>
    <w:p w14:paraId="1FB95124" w14:textId="77777777" w:rsidR="00C44A45" w:rsidRPr="00C44A45" w:rsidRDefault="00C44A45">
      <w:pPr>
        <w:rPr>
          <w:rFonts w:ascii="Aparajita" w:hAnsi="Aparajita" w:cs="Aparajita"/>
          <w:sz w:val="28"/>
          <w:szCs w:val="28"/>
        </w:rPr>
      </w:pPr>
    </w:p>
    <w:sectPr w:rsidR="00C44A45" w:rsidRPr="00C44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710"/>
    <w:multiLevelType w:val="multilevel"/>
    <w:tmpl w:val="0BCAA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4097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1C"/>
    <w:rsid w:val="00026A98"/>
    <w:rsid w:val="000A3B73"/>
    <w:rsid w:val="00111573"/>
    <w:rsid w:val="002A2405"/>
    <w:rsid w:val="00367E3D"/>
    <w:rsid w:val="00374000"/>
    <w:rsid w:val="004033A7"/>
    <w:rsid w:val="005629D8"/>
    <w:rsid w:val="005B4496"/>
    <w:rsid w:val="005E72B7"/>
    <w:rsid w:val="0060051C"/>
    <w:rsid w:val="008D33D0"/>
    <w:rsid w:val="0098207B"/>
    <w:rsid w:val="009E6DC4"/>
    <w:rsid w:val="00C44A45"/>
    <w:rsid w:val="00D2129E"/>
    <w:rsid w:val="00F525B8"/>
    <w:rsid w:val="00FD2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0C06"/>
  <w15:chartTrackingRefBased/>
  <w15:docId w15:val="{5006E063-BF6A-4895-9B41-AE72C6EB5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5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5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5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5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5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5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51C"/>
    <w:rPr>
      <w:rFonts w:eastAsiaTheme="majorEastAsia" w:cstheme="majorBidi"/>
      <w:color w:val="272727" w:themeColor="text1" w:themeTint="D8"/>
    </w:rPr>
  </w:style>
  <w:style w:type="paragraph" w:styleId="Title">
    <w:name w:val="Title"/>
    <w:basedOn w:val="Normal"/>
    <w:next w:val="Normal"/>
    <w:link w:val="TitleChar"/>
    <w:uiPriority w:val="10"/>
    <w:qFormat/>
    <w:rsid w:val="00600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51C"/>
    <w:pPr>
      <w:spacing w:before="160"/>
      <w:jc w:val="center"/>
    </w:pPr>
    <w:rPr>
      <w:i/>
      <w:iCs/>
      <w:color w:val="404040" w:themeColor="text1" w:themeTint="BF"/>
    </w:rPr>
  </w:style>
  <w:style w:type="character" w:customStyle="1" w:styleId="QuoteChar">
    <w:name w:val="Quote Char"/>
    <w:basedOn w:val="DefaultParagraphFont"/>
    <w:link w:val="Quote"/>
    <w:uiPriority w:val="29"/>
    <w:rsid w:val="0060051C"/>
    <w:rPr>
      <w:i/>
      <w:iCs/>
      <w:color w:val="404040" w:themeColor="text1" w:themeTint="BF"/>
    </w:rPr>
  </w:style>
  <w:style w:type="paragraph" w:styleId="ListParagraph">
    <w:name w:val="List Paragraph"/>
    <w:basedOn w:val="Normal"/>
    <w:uiPriority w:val="34"/>
    <w:qFormat/>
    <w:rsid w:val="0060051C"/>
    <w:pPr>
      <w:ind w:left="720"/>
      <w:contextualSpacing/>
    </w:pPr>
  </w:style>
  <w:style w:type="character" w:styleId="IntenseEmphasis">
    <w:name w:val="Intense Emphasis"/>
    <w:basedOn w:val="DefaultParagraphFont"/>
    <w:uiPriority w:val="21"/>
    <w:qFormat/>
    <w:rsid w:val="0060051C"/>
    <w:rPr>
      <w:i/>
      <w:iCs/>
      <w:color w:val="0F4761" w:themeColor="accent1" w:themeShade="BF"/>
    </w:rPr>
  </w:style>
  <w:style w:type="paragraph" w:styleId="IntenseQuote">
    <w:name w:val="Intense Quote"/>
    <w:basedOn w:val="Normal"/>
    <w:next w:val="Normal"/>
    <w:link w:val="IntenseQuoteChar"/>
    <w:uiPriority w:val="30"/>
    <w:qFormat/>
    <w:rsid w:val="00600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51C"/>
    <w:rPr>
      <w:i/>
      <w:iCs/>
      <w:color w:val="0F4761" w:themeColor="accent1" w:themeShade="BF"/>
    </w:rPr>
  </w:style>
  <w:style w:type="character" w:styleId="IntenseReference">
    <w:name w:val="Intense Reference"/>
    <w:basedOn w:val="DefaultParagraphFont"/>
    <w:uiPriority w:val="32"/>
    <w:qFormat/>
    <w:rsid w:val="0060051C"/>
    <w:rPr>
      <w:b/>
      <w:bCs/>
      <w:smallCaps/>
      <w:color w:val="0F4761" w:themeColor="accent1" w:themeShade="BF"/>
      <w:spacing w:val="5"/>
    </w:rPr>
  </w:style>
  <w:style w:type="character" w:styleId="Hyperlink">
    <w:name w:val="Hyperlink"/>
    <w:basedOn w:val="DefaultParagraphFont"/>
    <w:uiPriority w:val="99"/>
    <w:unhideWhenUsed/>
    <w:rsid w:val="000A3B73"/>
    <w:rPr>
      <w:color w:val="467886" w:themeColor="hyperlink"/>
      <w:u w:val="single"/>
    </w:rPr>
  </w:style>
  <w:style w:type="character" w:styleId="UnresolvedMention">
    <w:name w:val="Unresolved Mention"/>
    <w:basedOn w:val="DefaultParagraphFont"/>
    <w:uiPriority w:val="99"/>
    <w:semiHidden/>
    <w:unhideWhenUsed/>
    <w:rsid w:val="000A3B73"/>
    <w:rPr>
      <w:color w:val="605E5C"/>
      <w:shd w:val="clear" w:color="auto" w:fill="E1DFDD"/>
    </w:rPr>
  </w:style>
  <w:style w:type="paragraph" w:styleId="NormalWeb">
    <w:name w:val="Normal (Web)"/>
    <w:basedOn w:val="Normal"/>
    <w:uiPriority w:val="99"/>
    <w:unhideWhenUsed/>
    <w:rsid w:val="002A24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212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6896">
      <w:bodyDiv w:val="1"/>
      <w:marLeft w:val="0"/>
      <w:marRight w:val="0"/>
      <w:marTop w:val="0"/>
      <w:marBottom w:val="0"/>
      <w:divBdr>
        <w:top w:val="none" w:sz="0" w:space="0" w:color="auto"/>
        <w:left w:val="none" w:sz="0" w:space="0" w:color="auto"/>
        <w:bottom w:val="none" w:sz="0" w:space="0" w:color="auto"/>
        <w:right w:val="none" w:sz="0" w:space="0" w:color="auto"/>
      </w:divBdr>
    </w:div>
    <w:div w:id="315652908">
      <w:bodyDiv w:val="1"/>
      <w:marLeft w:val="0"/>
      <w:marRight w:val="0"/>
      <w:marTop w:val="0"/>
      <w:marBottom w:val="0"/>
      <w:divBdr>
        <w:top w:val="none" w:sz="0" w:space="0" w:color="auto"/>
        <w:left w:val="none" w:sz="0" w:space="0" w:color="auto"/>
        <w:bottom w:val="none" w:sz="0" w:space="0" w:color="auto"/>
        <w:right w:val="none" w:sz="0" w:space="0" w:color="auto"/>
      </w:divBdr>
      <w:divsChild>
        <w:div w:id="250823582">
          <w:marLeft w:val="0"/>
          <w:marRight w:val="0"/>
          <w:marTop w:val="0"/>
          <w:marBottom w:val="0"/>
          <w:divBdr>
            <w:top w:val="single" w:sz="2" w:space="0" w:color="D9D9E3"/>
            <w:left w:val="single" w:sz="2" w:space="0" w:color="D9D9E3"/>
            <w:bottom w:val="single" w:sz="2" w:space="0" w:color="D9D9E3"/>
            <w:right w:val="single" w:sz="2" w:space="0" w:color="D9D9E3"/>
          </w:divBdr>
          <w:divsChild>
            <w:div w:id="759107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31016868">
                  <w:marLeft w:val="0"/>
                  <w:marRight w:val="0"/>
                  <w:marTop w:val="0"/>
                  <w:marBottom w:val="0"/>
                  <w:divBdr>
                    <w:top w:val="single" w:sz="2" w:space="0" w:color="D9D9E3"/>
                    <w:left w:val="single" w:sz="2" w:space="0" w:color="D9D9E3"/>
                    <w:bottom w:val="single" w:sz="2" w:space="0" w:color="D9D9E3"/>
                    <w:right w:val="single" w:sz="2" w:space="0" w:color="D9D9E3"/>
                  </w:divBdr>
                  <w:divsChild>
                    <w:div w:id="2089375549">
                      <w:marLeft w:val="0"/>
                      <w:marRight w:val="0"/>
                      <w:marTop w:val="0"/>
                      <w:marBottom w:val="0"/>
                      <w:divBdr>
                        <w:top w:val="single" w:sz="2" w:space="0" w:color="D9D9E3"/>
                        <w:left w:val="single" w:sz="2" w:space="0" w:color="D9D9E3"/>
                        <w:bottom w:val="single" w:sz="2" w:space="0" w:color="D9D9E3"/>
                        <w:right w:val="single" w:sz="2" w:space="0" w:color="D9D9E3"/>
                      </w:divBdr>
                      <w:divsChild>
                        <w:div w:id="1906796041">
                          <w:marLeft w:val="0"/>
                          <w:marRight w:val="0"/>
                          <w:marTop w:val="0"/>
                          <w:marBottom w:val="0"/>
                          <w:divBdr>
                            <w:top w:val="single" w:sz="2" w:space="0" w:color="D9D9E3"/>
                            <w:left w:val="single" w:sz="2" w:space="0" w:color="D9D9E3"/>
                            <w:bottom w:val="single" w:sz="2" w:space="0" w:color="D9D9E3"/>
                            <w:right w:val="single" w:sz="2" w:space="0" w:color="D9D9E3"/>
                          </w:divBdr>
                          <w:divsChild>
                            <w:div w:id="982465720">
                              <w:marLeft w:val="0"/>
                              <w:marRight w:val="0"/>
                              <w:marTop w:val="0"/>
                              <w:marBottom w:val="0"/>
                              <w:divBdr>
                                <w:top w:val="single" w:sz="2" w:space="0" w:color="D9D9E3"/>
                                <w:left w:val="single" w:sz="2" w:space="0" w:color="D9D9E3"/>
                                <w:bottom w:val="single" w:sz="2" w:space="0" w:color="D9D9E3"/>
                                <w:right w:val="single" w:sz="2" w:space="0" w:color="D9D9E3"/>
                              </w:divBdr>
                              <w:divsChild>
                                <w:div w:id="1378507837">
                                  <w:marLeft w:val="0"/>
                                  <w:marRight w:val="0"/>
                                  <w:marTop w:val="0"/>
                                  <w:marBottom w:val="0"/>
                                  <w:divBdr>
                                    <w:top w:val="single" w:sz="2" w:space="0" w:color="D9D9E3"/>
                                    <w:left w:val="single" w:sz="2" w:space="0" w:color="D9D9E3"/>
                                    <w:bottom w:val="single" w:sz="2" w:space="0" w:color="D9D9E3"/>
                                    <w:right w:val="single" w:sz="2" w:space="0" w:color="D9D9E3"/>
                                  </w:divBdr>
                                  <w:divsChild>
                                    <w:div w:id="1137189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74113226">
      <w:bodyDiv w:val="1"/>
      <w:marLeft w:val="0"/>
      <w:marRight w:val="0"/>
      <w:marTop w:val="0"/>
      <w:marBottom w:val="0"/>
      <w:divBdr>
        <w:top w:val="none" w:sz="0" w:space="0" w:color="auto"/>
        <w:left w:val="none" w:sz="0" w:space="0" w:color="auto"/>
        <w:bottom w:val="none" w:sz="0" w:space="0" w:color="auto"/>
        <w:right w:val="none" w:sz="0" w:space="0" w:color="auto"/>
      </w:divBdr>
      <w:divsChild>
        <w:div w:id="428501000">
          <w:marLeft w:val="0"/>
          <w:marRight w:val="0"/>
          <w:marTop w:val="360"/>
          <w:marBottom w:val="360"/>
          <w:divBdr>
            <w:top w:val="none" w:sz="0" w:space="0" w:color="auto"/>
            <w:left w:val="none" w:sz="0" w:space="0" w:color="auto"/>
            <w:bottom w:val="none" w:sz="0" w:space="0" w:color="auto"/>
            <w:right w:val="none" w:sz="0" w:space="0" w:color="auto"/>
          </w:divBdr>
          <w:divsChild>
            <w:div w:id="1657487378">
              <w:marLeft w:val="0"/>
              <w:marRight w:val="0"/>
              <w:marTop w:val="0"/>
              <w:marBottom w:val="0"/>
              <w:divBdr>
                <w:top w:val="none" w:sz="0" w:space="0" w:color="auto"/>
                <w:left w:val="none" w:sz="0" w:space="0" w:color="auto"/>
                <w:bottom w:val="none" w:sz="0" w:space="0" w:color="auto"/>
                <w:right w:val="none" w:sz="0" w:space="0" w:color="auto"/>
              </w:divBdr>
              <w:divsChild>
                <w:div w:id="1108895327">
                  <w:marLeft w:val="0"/>
                  <w:marRight w:val="0"/>
                  <w:marTop w:val="0"/>
                  <w:marBottom w:val="0"/>
                  <w:divBdr>
                    <w:top w:val="single" w:sz="2" w:space="0" w:color="DFDFDF"/>
                    <w:left w:val="single" w:sz="2" w:space="0" w:color="DFDFDF"/>
                    <w:bottom w:val="single" w:sz="2" w:space="0" w:color="DFDFDF"/>
                    <w:right w:val="single" w:sz="2" w:space="0" w:color="DFDFDF"/>
                  </w:divBdr>
                  <w:divsChild>
                    <w:div w:id="1180585414">
                      <w:marLeft w:val="0"/>
                      <w:marRight w:val="0"/>
                      <w:marTop w:val="75"/>
                      <w:marBottom w:val="0"/>
                      <w:divBdr>
                        <w:top w:val="none" w:sz="0" w:space="0" w:color="auto"/>
                        <w:left w:val="none" w:sz="0" w:space="0" w:color="auto"/>
                        <w:bottom w:val="none" w:sz="0" w:space="0" w:color="auto"/>
                        <w:right w:val="none" w:sz="0" w:space="0" w:color="auto"/>
                      </w:divBdr>
                      <w:divsChild>
                        <w:div w:id="1446272112">
                          <w:marLeft w:val="0"/>
                          <w:marRight w:val="0"/>
                          <w:marTop w:val="0"/>
                          <w:marBottom w:val="0"/>
                          <w:divBdr>
                            <w:top w:val="none" w:sz="0" w:space="0" w:color="auto"/>
                            <w:left w:val="none" w:sz="0" w:space="0" w:color="auto"/>
                            <w:bottom w:val="none" w:sz="0" w:space="0" w:color="auto"/>
                            <w:right w:val="none" w:sz="0" w:space="0" w:color="auto"/>
                          </w:divBdr>
                          <w:divsChild>
                            <w:div w:id="1373994958">
                              <w:marLeft w:val="0"/>
                              <w:marRight w:val="0"/>
                              <w:marTop w:val="0"/>
                              <w:marBottom w:val="0"/>
                              <w:divBdr>
                                <w:top w:val="none" w:sz="0" w:space="0" w:color="auto"/>
                                <w:left w:val="none" w:sz="0" w:space="0" w:color="auto"/>
                                <w:bottom w:val="none" w:sz="0" w:space="0" w:color="auto"/>
                                <w:right w:val="none" w:sz="0" w:space="0" w:color="auto"/>
                              </w:divBdr>
                            </w:div>
                            <w:div w:id="835412738">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43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lbertscott.org/st-andrews-plymouth/" TargetMode="External"/><Relationship Id="rId13" Type="http://schemas.openxmlformats.org/officeDocument/2006/relationships/hyperlink" Target="https://www.standrewschurch.org.uk/visit-us/history/"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eb.archive.org/web/20071013045716/http://www.plymouth.gov.uk/placesofworsh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oldplymouthsociety.net/a-brief-history-of-st-andrews-church/"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oldashburton.co.uk/st-andrews-church.php" TargetMode="External"/><Relationship Id="rId4" Type="http://schemas.openxmlformats.org/officeDocument/2006/relationships/webSettings" Target="webSettings.xml"/><Relationship Id="rId9" Type="http://schemas.openxmlformats.org/officeDocument/2006/relationships/hyperlink" Target="https://someolddevonchurches.files.wordpress.com/2016/02/st-andrews-exterior-late-19c.jpg?w=9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5</Pages>
  <Words>1150</Words>
  <Characters>6556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Valentine (2218521)</dc:creator>
  <cp:keywords/>
  <dc:description/>
  <cp:lastModifiedBy>Angel Valentine (2218521)</cp:lastModifiedBy>
  <cp:revision>2</cp:revision>
  <dcterms:created xsi:type="dcterms:W3CDTF">2024-01-15T20:27:00Z</dcterms:created>
  <dcterms:modified xsi:type="dcterms:W3CDTF">2024-01-15T23:56:00Z</dcterms:modified>
</cp:coreProperties>
</file>