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A885826" w14:textId="05055BDA" w:rsidR="00503D34" w:rsidRPr="00503D34" w:rsidRDefault="00503D34" w:rsidP="00503D34">
      <w:pPr>
        <w:spacing w:line="360" w:lineRule="auto"/>
        <w:jc w:val="both"/>
        <w:rPr>
          <w:rFonts w:ascii="Arial" w:hAnsi="Arial" w:cs="Arial"/>
          <w:sz w:val="22"/>
          <w:szCs w:val="22"/>
          <w:lang w:val="en-US"/>
        </w:rPr>
      </w:pPr>
      <w:r w:rsidRPr="00503D34">
        <w:rPr>
          <w:rFonts w:ascii="Arial" w:hAnsi="Arial" w:cs="Arial"/>
          <w:sz w:val="22"/>
          <w:szCs w:val="22"/>
          <w:lang w:val="en-US"/>
        </w:rPr>
        <w:t>AKPerog Ltd. – Overcoming Operational Challenges</w:t>
      </w:r>
      <w:r>
        <w:rPr>
          <w:rFonts w:ascii="Arial" w:hAnsi="Arial" w:cs="Arial"/>
          <w:sz w:val="22"/>
          <w:szCs w:val="22"/>
          <w:lang w:val="en-US"/>
        </w:rPr>
        <w:t>.</w:t>
      </w:r>
    </w:p>
    <w:p w14:paraId="78411A55" w14:textId="39A16D5F" w:rsidR="00503D34" w:rsidRPr="00503D34" w:rsidRDefault="00503D34" w:rsidP="00503D34">
      <w:pPr>
        <w:spacing w:line="360" w:lineRule="auto"/>
        <w:jc w:val="both"/>
        <w:rPr>
          <w:rFonts w:ascii="Arial" w:hAnsi="Arial" w:cs="Arial"/>
          <w:sz w:val="22"/>
          <w:szCs w:val="22"/>
          <w:lang w:val="en-US"/>
        </w:rPr>
      </w:pPr>
      <w:r w:rsidRPr="00503D34">
        <w:rPr>
          <w:rFonts w:ascii="Arial" w:hAnsi="Arial" w:cs="Arial"/>
          <w:sz w:val="22"/>
          <w:szCs w:val="22"/>
          <w:lang w:val="en-US"/>
        </w:rPr>
        <w:t>Student Name: Dragos-Ionut Ionita</w:t>
      </w:r>
      <w:r>
        <w:rPr>
          <w:rFonts w:ascii="Arial" w:hAnsi="Arial" w:cs="Arial"/>
          <w:sz w:val="22"/>
          <w:szCs w:val="22"/>
          <w:lang w:val="en-US"/>
        </w:rPr>
        <w:t>.</w:t>
      </w:r>
    </w:p>
    <w:p w14:paraId="749C336D" w14:textId="00EDB1AD" w:rsidR="00503D34" w:rsidRPr="00503D34" w:rsidRDefault="00503D34" w:rsidP="00503D34">
      <w:pPr>
        <w:spacing w:line="360" w:lineRule="auto"/>
        <w:jc w:val="both"/>
        <w:rPr>
          <w:rFonts w:ascii="Arial" w:hAnsi="Arial" w:cs="Arial"/>
          <w:sz w:val="22"/>
          <w:szCs w:val="22"/>
          <w:lang w:val="en-US"/>
        </w:rPr>
      </w:pPr>
      <w:r w:rsidRPr="00503D34">
        <w:rPr>
          <w:rFonts w:ascii="Arial" w:hAnsi="Arial" w:cs="Arial"/>
          <w:sz w:val="22"/>
          <w:szCs w:val="22"/>
          <w:lang w:val="en-US"/>
        </w:rPr>
        <w:t>Student ID: 2329603</w:t>
      </w:r>
      <w:r>
        <w:rPr>
          <w:rFonts w:ascii="Arial" w:hAnsi="Arial" w:cs="Arial"/>
          <w:sz w:val="22"/>
          <w:szCs w:val="22"/>
          <w:lang w:val="en-US"/>
        </w:rPr>
        <w:t>.</w:t>
      </w:r>
    </w:p>
    <w:p w14:paraId="276DC2E0" w14:textId="39C5FD5C" w:rsidR="00503D34" w:rsidRPr="00503D34" w:rsidRDefault="00503D34" w:rsidP="00503D34">
      <w:pPr>
        <w:spacing w:line="360" w:lineRule="auto"/>
        <w:jc w:val="both"/>
        <w:rPr>
          <w:rFonts w:ascii="Arial" w:hAnsi="Arial" w:cs="Arial"/>
          <w:sz w:val="22"/>
          <w:szCs w:val="22"/>
          <w:lang w:val="en-US"/>
        </w:rPr>
      </w:pPr>
      <w:r w:rsidRPr="00503D34">
        <w:rPr>
          <w:rFonts w:ascii="Arial" w:hAnsi="Arial" w:cs="Arial"/>
          <w:sz w:val="22"/>
          <w:szCs w:val="22"/>
          <w:lang w:val="en-US"/>
        </w:rPr>
        <w:t>Lecturer: Chinomso Nwagboso</w:t>
      </w:r>
      <w:r>
        <w:rPr>
          <w:rFonts w:ascii="Arial" w:hAnsi="Arial" w:cs="Arial"/>
          <w:sz w:val="22"/>
          <w:szCs w:val="22"/>
          <w:lang w:val="en-US"/>
        </w:rPr>
        <w:t>.</w:t>
      </w:r>
    </w:p>
    <w:p w14:paraId="38D9E2F8" w14:textId="6DB860D5" w:rsidR="00503D34" w:rsidRPr="00503D34" w:rsidRDefault="00503D34" w:rsidP="00503D34">
      <w:pPr>
        <w:spacing w:line="360" w:lineRule="auto"/>
        <w:jc w:val="both"/>
        <w:rPr>
          <w:rFonts w:ascii="Arial" w:hAnsi="Arial" w:cs="Arial"/>
          <w:sz w:val="22"/>
          <w:szCs w:val="22"/>
          <w:lang w:val="en-US"/>
        </w:rPr>
      </w:pPr>
      <w:r w:rsidRPr="00503D34">
        <w:rPr>
          <w:rFonts w:ascii="Arial" w:hAnsi="Arial" w:cs="Arial"/>
          <w:sz w:val="22"/>
          <w:szCs w:val="22"/>
          <w:lang w:val="en-US"/>
        </w:rPr>
        <w:t>Module Code: LCLM5004</w:t>
      </w:r>
      <w:r>
        <w:rPr>
          <w:rFonts w:ascii="Arial" w:hAnsi="Arial" w:cs="Arial"/>
          <w:sz w:val="22"/>
          <w:szCs w:val="22"/>
          <w:lang w:val="en-US"/>
        </w:rPr>
        <w:t>.</w:t>
      </w:r>
    </w:p>
    <w:p w14:paraId="6BF4D108" w14:textId="77777777" w:rsidR="00463F7E" w:rsidRPr="00027D54" w:rsidRDefault="00463F7E" w:rsidP="00776CD3">
      <w:pPr>
        <w:spacing w:line="360" w:lineRule="auto"/>
        <w:jc w:val="both"/>
        <w:rPr>
          <w:rFonts w:ascii="Arial" w:hAnsi="Arial" w:cs="Arial"/>
          <w:sz w:val="22"/>
          <w:szCs w:val="22"/>
        </w:rPr>
      </w:pPr>
    </w:p>
    <w:p w14:paraId="3BD967CC" w14:textId="77777777" w:rsidR="00463F7E" w:rsidRPr="00027D54" w:rsidRDefault="00463F7E" w:rsidP="00776CD3">
      <w:pPr>
        <w:spacing w:line="360" w:lineRule="auto"/>
        <w:jc w:val="both"/>
        <w:rPr>
          <w:rFonts w:ascii="Arial" w:hAnsi="Arial" w:cs="Arial"/>
          <w:sz w:val="22"/>
          <w:szCs w:val="22"/>
        </w:rPr>
      </w:pPr>
      <w:r w:rsidRPr="00027D54">
        <w:rPr>
          <w:rFonts w:ascii="Arial" w:hAnsi="Arial" w:cs="Arial"/>
          <w:sz w:val="22"/>
          <w:szCs w:val="22"/>
        </w:rPr>
        <w:br w:type="page"/>
      </w:r>
    </w:p>
    <w:sdt>
      <w:sdtPr>
        <w:rPr>
          <w:rFonts w:ascii="Arial" w:eastAsiaTheme="minorHAnsi" w:hAnsi="Arial" w:cs="Arial"/>
          <w:color w:val="auto"/>
          <w:kern w:val="2"/>
          <w:sz w:val="22"/>
          <w:szCs w:val="22"/>
          <w:lang w:val="ro-RO"/>
          <w14:ligatures w14:val="standardContextual"/>
        </w:rPr>
        <w:id w:val="821781060"/>
        <w:docPartObj>
          <w:docPartGallery w:val="Table of Contents"/>
          <w:docPartUnique/>
        </w:docPartObj>
      </w:sdtPr>
      <w:sdtEndPr>
        <w:rPr>
          <w:b/>
          <w:bCs/>
          <w:noProof/>
        </w:rPr>
      </w:sdtEndPr>
      <w:sdtContent>
        <w:p w14:paraId="1E6FCC63" w14:textId="2499A135" w:rsidR="00463F7E" w:rsidRPr="00027D54" w:rsidRDefault="00463F7E" w:rsidP="00776CD3">
          <w:pPr>
            <w:pStyle w:val="TOCHeading"/>
            <w:spacing w:line="360" w:lineRule="auto"/>
            <w:jc w:val="both"/>
            <w:rPr>
              <w:rFonts w:ascii="Arial" w:hAnsi="Arial" w:cs="Arial"/>
              <w:color w:val="auto"/>
              <w:sz w:val="22"/>
              <w:szCs w:val="22"/>
            </w:rPr>
          </w:pPr>
        </w:p>
        <w:p w14:paraId="4B629EC0" w14:textId="77777777" w:rsidR="00027D54" w:rsidRPr="00027D54" w:rsidRDefault="00027D54" w:rsidP="00776CD3">
          <w:pPr>
            <w:spacing w:line="360" w:lineRule="auto"/>
            <w:jc w:val="both"/>
            <w:rPr>
              <w:rFonts w:ascii="Arial" w:hAnsi="Arial" w:cs="Arial"/>
              <w:sz w:val="22"/>
              <w:szCs w:val="22"/>
              <w:lang w:val="en-US"/>
            </w:rPr>
          </w:pPr>
        </w:p>
        <w:p w14:paraId="38CDD9B1" w14:textId="53924733" w:rsidR="00463F7E" w:rsidRPr="00027D54" w:rsidRDefault="00463F7E" w:rsidP="00776CD3">
          <w:pPr>
            <w:pStyle w:val="TOC1"/>
            <w:tabs>
              <w:tab w:val="right" w:leader="dot" w:pos="9062"/>
            </w:tabs>
            <w:spacing w:line="360" w:lineRule="auto"/>
            <w:jc w:val="both"/>
            <w:rPr>
              <w:rFonts w:ascii="Arial" w:eastAsiaTheme="minorEastAsia" w:hAnsi="Arial" w:cs="Arial"/>
              <w:noProof/>
              <w:sz w:val="22"/>
              <w:szCs w:val="22"/>
              <w:lang w:eastAsia="ro-RO"/>
            </w:rPr>
          </w:pPr>
          <w:r w:rsidRPr="00027D54">
            <w:rPr>
              <w:rFonts w:ascii="Arial" w:hAnsi="Arial" w:cs="Arial"/>
              <w:sz w:val="22"/>
              <w:szCs w:val="22"/>
            </w:rPr>
            <w:fldChar w:fldCharType="begin"/>
          </w:r>
          <w:r w:rsidRPr="00027D54">
            <w:rPr>
              <w:rFonts w:ascii="Arial" w:hAnsi="Arial" w:cs="Arial"/>
              <w:sz w:val="22"/>
              <w:szCs w:val="22"/>
            </w:rPr>
            <w:instrText xml:space="preserve"> TOC \o "1-3" \h \z \u </w:instrText>
          </w:r>
          <w:r w:rsidRPr="00027D54">
            <w:rPr>
              <w:rFonts w:ascii="Arial" w:hAnsi="Arial" w:cs="Arial"/>
              <w:sz w:val="22"/>
              <w:szCs w:val="22"/>
            </w:rPr>
            <w:fldChar w:fldCharType="separate"/>
          </w:r>
          <w:hyperlink w:anchor="_Toc214038774" w:history="1">
            <w:r w:rsidRPr="00027D54">
              <w:rPr>
                <w:rStyle w:val="Hyperlink"/>
                <w:rFonts w:ascii="Arial" w:hAnsi="Arial" w:cs="Arial"/>
                <w:noProof/>
                <w:sz w:val="22"/>
                <w:szCs w:val="22"/>
              </w:rPr>
              <w:t>Section 1 – Introduction. 1</w:t>
            </w:r>
            <w:r w:rsidRPr="00027D54">
              <w:rPr>
                <w:rFonts w:ascii="Arial" w:hAnsi="Arial" w:cs="Arial"/>
                <w:noProof/>
                <w:webHidden/>
                <w:sz w:val="22"/>
                <w:szCs w:val="22"/>
              </w:rPr>
              <w:tab/>
            </w:r>
            <w:r w:rsidRPr="00027D54">
              <w:rPr>
                <w:rFonts w:ascii="Arial" w:hAnsi="Arial" w:cs="Arial"/>
                <w:noProof/>
                <w:webHidden/>
                <w:sz w:val="22"/>
                <w:szCs w:val="22"/>
              </w:rPr>
              <w:fldChar w:fldCharType="begin"/>
            </w:r>
            <w:r w:rsidRPr="00027D54">
              <w:rPr>
                <w:rFonts w:ascii="Arial" w:hAnsi="Arial" w:cs="Arial"/>
                <w:noProof/>
                <w:webHidden/>
                <w:sz w:val="22"/>
                <w:szCs w:val="22"/>
              </w:rPr>
              <w:instrText xml:space="preserve"> PAGEREF _Toc214038774 \h </w:instrText>
            </w:r>
            <w:r w:rsidRPr="00027D54">
              <w:rPr>
                <w:rFonts w:ascii="Arial" w:hAnsi="Arial" w:cs="Arial"/>
                <w:noProof/>
                <w:webHidden/>
                <w:sz w:val="22"/>
                <w:szCs w:val="22"/>
              </w:rPr>
            </w:r>
            <w:r w:rsidRPr="00027D54">
              <w:rPr>
                <w:rFonts w:ascii="Arial" w:hAnsi="Arial" w:cs="Arial"/>
                <w:noProof/>
                <w:webHidden/>
                <w:sz w:val="22"/>
                <w:szCs w:val="22"/>
              </w:rPr>
              <w:fldChar w:fldCharType="separate"/>
            </w:r>
            <w:r w:rsidRPr="00027D54">
              <w:rPr>
                <w:rFonts w:ascii="Arial" w:hAnsi="Arial" w:cs="Arial"/>
                <w:noProof/>
                <w:webHidden/>
                <w:sz w:val="22"/>
                <w:szCs w:val="22"/>
              </w:rPr>
              <w:t>3</w:t>
            </w:r>
            <w:r w:rsidRPr="00027D54">
              <w:rPr>
                <w:rFonts w:ascii="Arial" w:hAnsi="Arial" w:cs="Arial"/>
                <w:noProof/>
                <w:webHidden/>
                <w:sz w:val="22"/>
                <w:szCs w:val="22"/>
              </w:rPr>
              <w:fldChar w:fldCharType="end"/>
            </w:r>
          </w:hyperlink>
        </w:p>
        <w:p w14:paraId="4C2526AE" w14:textId="12AD7F81" w:rsidR="00463F7E" w:rsidRPr="00027D54" w:rsidRDefault="00463F7E" w:rsidP="00776CD3">
          <w:pPr>
            <w:pStyle w:val="TOC1"/>
            <w:tabs>
              <w:tab w:val="right" w:leader="dot" w:pos="9062"/>
            </w:tabs>
            <w:spacing w:line="360" w:lineRule="auto"/>
            <w:jc w:val="both"/>
            <w:rPr>
              <w:rFonts w:ascii="Arial" w:eastAsiaTheme="minorEastAsia" w:hAnsi="Arial" w:cs="Arial"/>
              <w:noProof/>
              <w:sz w:val="22"/>
              <w:szCs w:val="22"/>
              <w:lang w:eastAsia="ro-RO"/>
            </w:rPr>
          </w:pPr>
          <w:hyperlink w:anchor="_Toc214038775" w:history="1">
            <w:r w:rsidRPr="00027D54">
              <w:rPr>
                <w:rStyle w:val="Hyperlink"/>
                <w:rFonts w:ascii="Arial" w:hAnsi="Arial" w:cs="Arial"/>
                <w:noProof/>
                <w:sz w:val="22"/>
                <w:szCs w:val="22"/>
              </w:rPr>
              <w:t>Section 2 – Evaluation of Existing Systems. 2</w:t>
            </w:r>
            <w:r w:rsidRPr="00027D54">
              <w:rPr>
                <w:rFonts w:ascii="Arial" w:hAnsi="Arial" w:cs="Arial"/>
                <w:noProof/>
                <w:webHidden/>
                <w:sz w:val="22"/>
                <w:szCs w:val="22"/>
              </w:rPr>
              <w:tab/>
            </w:r>
            <w:r w:rsidRPr="00027D54">
              <w:rPr>
                <w:rFonts w:ascii="Arial" w:hAnsi="Arial" w:cs="Arial"/>
                <w:noProof/>
                <w:webHidden/>
                <w:sz w:val="22"/>
                <w:szCs w:val="22"/>
              </w:rPr>
              <w:fldChar w:fldCharType="begin"/>
            </w:r>
            <w:r w:rsidRPr="00027D54">
              <w:rPr>
                <w:rFonts w:ascii="Arial" w:hAnsi="Arial" w:cs="Arial"/>
                <w:noProof/>
                <w:webHidden/>
                <w:sz w:val="22"/>
                <w:szCs w:val="22"/>
              </w:rPr>
              <w:instrText xml:space="preserve"> PAGEREF _Toc214038775 \h </w:instrText>
            </w:r>
            <w:r w:rsidRPr="00027D54">
              <w:rPr>
                <w:rFonts w:ascii="Arial" w:hAnsi="Arial" w:cs="Arial"/>
                <w:noProof/>
                <w:webHidden/>
                <w:sz w:val="22"/>
                <w:szCs w:val="22"/>
              </w:rPr>
            </w:r>
            <w:r w:rsidRPr="00027D54">
              <w:rPr>
                <w:rFonts w:ascii="Arial" w:hAnsi="Arial" w:cs="Arial"/>
                <w:noProof/>
                <w:webHidden/>
                <w:sz w:val="22"/>
                <w:szCs w:val="22"/>
              </w:rPr>
              <w:fldChar w:fldCharType="separate"/>
            </w:r>
            <w:r w:rsidRPr="00027D54">
              <w:rPr>
                <w:rFonts w:ascii="Arial" w:hAnsi="Arial" w:cs="Arial"/>
                <w:noProof/>
                <w:webHidden/>
                <w:sz w:val="22"/>
                <w:szCs w:val="22"/>
              </w:rPr>
              <w:t>4</w:t>
            </w:r>
            <w:r w:rsidRPr="00027D54">
              <w:rPr>
                <w:rFonts w:ascii="Arial" w:hAnsi="Arial" w:cs="Arial"/>
                <w:noProof/>
                <w:webHidden/>
                <w:sz w:val="22"/>
                <w:szCs w:val="22"/>
              </w:rPr>
              <w:fldChar w:fldCharType="end"/>
            </w:r>
          </w:hyperlink>
        </w:p>
        <w:p w14:paraId="4849B0B6" w14:textId="38785F52" w:rsidR="00463F7E" w:rsidRPr="00027D54" w:rsidRDefault="00463F7E" w:rsidP="00776CD3">
          <w:pPr>
            <w:pStyle w:val="TOC1"/>
            <w:tabs>
              <w:tab w:val="right" w:leader="dot" w:pos="9062"/>
            </w:tabs>
            <w:spacing w:line="360" w:lineRule="auto"/>
            <w:jc w:val="both"/>
            <w:rPr>
              <w:rFonts w:ascii="Arial" w:eastAsiaTheme="minorEastAsia" w:hAnsi="Arial" w:cs="Arial"/>
              <w:noProof/>
              <w:sz w:val="22"/>
              <w:szCs w:val="22"/>
              <w:lang w:eastAsia="ro-RO"/>
            </w:rPr>
          </w:pPr>
          <w:hyperlink w:anchor="_Toc214038776" w:history="1">
            <w:r w:rsidRPr="00027D54">
              <w:rPr>
                <w:rStyle w:val="Hyperlink"/>
                <w:rFonts w:ascii="Arial" w:hAnsi="Arial" w:cs="Arial"/>
                <w:noProof/>
                <w:sz w:val="22"/>
                <w:szCs w:val="22"/>
                <w:lang w:val="en-US"/>
              </w:rPr>
              <w:t>Section 3 – Recommended Solution. 3</w:t>
            </w:r>
            <w:r w:rsidRPr="00027D54">
              <w:rPr>
                <w:rFonts w:ascii="Arial" w:hAnsi="Arial" w:cs="Arial"/>
                <w:noProof/>
                <w:webHidden/>
                <w:sz w:val="22"/>
                <w:szCs w:val="22"/>
              </w:rPr>
              <w:tab/>
            </w:r>
            <w:r w:rsidRPr="00027D54">
              <w:rPr>
                <w:rFonts w:ascii="Arial" w:hAnsi="Arial" w:cs="Arial"/>
                <w:noProof/>
                <w:webHidden/>
                <w:sz w:val="22"/>
                <w:szCs w:val="22"/>
              </w:rPr>
              <w:fldChar w:fldCharType="begin"/>
            </w:r>
            <w:r w:rsidRPr="00027D54">
              <w:rPr>
                <w:rFonts w:ascii="Arial" w:hAnsi="Arial" w:cs="Arial"/>
                <w:noProof/>
                <w:webHidden/>
                <w:sz w:val="22"/>
                <w:szCs w:val="22"/>
              </w:rPr>
              <w:instrText xml:space="preserve"> PAGEREF _Toc214038776 \h </w:instrText>
            </w:r>
            <w:r w:rsidRPr="00027D54">
              <w:rPr>
                <w:rFonts w:ascii="Arial" w:hAnsi="Arial" w:cs="Arial"/>
                <w:noProof/>
                <w:webHidden/>
                <w:sz w:val="22"/>
                <w:szCs w:val="22"/>
              </w:rPr>
            </w:r>
            <w:r w:rsidRPr="00027D54">
              <w:rPr>
                <w:rFonts w:ascii="Arial" w:hAnsi="Arial" w:cs="Arial"/>
                <w:noProof/>
                <w:webHidden/>
                <w:sz w:val="22"/>
                <w:szCs w:val="22"/>
              </w:rPr>
              <w:fldChar w:fldCharType="separate"/>
            </w:r>
            <w:r w:rsidRPr="00027D54">
              <w:rPr>
                <w:rFonts w:ascii="Arial" w:hAnsi="Arial" w:cs="Arial"/>
                <w:noProof/>
                <w:webHidden/>
                <w:sz w:val="22"/>
                <w:szCs w:val="22"/>
              </w:rPr>
              <w:t>5</w:t>
            </w:r>
            <w:r w:rsidRPr="00027D54">
              <w:rPr>
                <w:rFonts w:ascii="Arial" w:hAnsi="Arial" w:cs="Arial"/>
                <w:noProof/>
                <w:webHidden/>
                <w:sz w:val="22"/>
                <w:szCs w:val="22"/>
              </w:rPr>
              <w:fldChar w:fldCharType="end"/>
            </w:r>
          </w:hyperlink>
        </w:p>
        <w:p w14:paraId="4E0D053E" w14:textId="4523D464" w:rsidR="00463F7E" w:rsidRPr="00027D54" w:rsidRDefault="00463F7E" w:rsidP="00776CD3">
          <w:pPr>
            <w:pStyle w:val="TOC1"/>
            <w:tabs>
              <w:tab w:val="right" w:leader="dot" w:pos="9062"/>
            </w:tabs>
            <w:spacing w:line="360" w:lineRule="auto"/>
            <w:jc w:val="both"/>
            <w:rPr>
              <w:rFonts w:ascii="Arial" w:eastAsiaTheme="minorEastAsia" w:hAnsi="Arial" w:cs="Arial"/>
              <w:noProof/>
              <w:sz w:val="22"/>
              <w:szCs w:val="22"/>
              <w:lang w:eastAsia="ro-RO"/>
            </w:rPr>
          </w:pPr>
          <w:hyperlink w:anchor="_Toc214038777" w:history="1">
            <w:r w:rsidRPr="00027D54">
              <w:rPr>
                <w:rStyle w:val="Hyperlink"/>
                <w:rFonts w:ascii="Arial" w:hAnsi="Arial" w:cs="Arial"/>
                <w:noProof/>
                <w:sz w:val="22"/>
                <w:szCs w:val="22"/>
              </w:rPr>
              <w:t>Section 4 – Implementation Plan</w:t>
            </w:r>
            <w:r w:rsidRPr="00027D54">
              <w:rPr>
                <w:rFonts w:ascii="Arial" w:hAnsi="Arial" w:cs="Arial"/>
                <w:noProof/>
                <w:webHidden/>
                <w:sz w:val="22"/>
                <w:szCs w:val="22"/>
              </w:rPr>
              <w:tab/>
            </w:r>
            <w:r w:rsidRPr="00027D54">
              <w:rPr>
                <w:rFonts w:ascii="Arial" w:hAnsi="Arial" w:cs="Arial"/>
                <w:noProof/>
                <w:webHidden/>
                <w:sz w:val="22"/>
                <w:szCs w:val="22"/>
              </w:rPr>
              <w:fldChar w:fldCharType="begin"/>
            </w:r>
            <w:r w:rsidRPr="00027D54">
              <w:rPr>
                <w:rFonts w:ascii="Arial" w:hAnsi="Arial" w:cs="Arial"/>
                <w:noProof/>
                <w:webHidden/>
                <w:sz w:val="22"/>
                <w:szCs w:val="22"/>
              </w:rPr>
              <w:instrText xml:space="preserve"> PAGEREF _Toc214038777 \h </w:instrText>
            </w:r>
            <w:r w:rsidRPr="00027D54">
              <w:rPr>
                <w:rFonts w:ascii="Arial" w:hAnsi="Arial" w:cs="Arial"/>
                <w:noProof/>
                <w:webHidden/>
                <w:sz w:val="22"/>
                <w:szCs w:val="22"/>
              </w:rPr>
            </w:r>
            <w:r w:rsidRPr="00027D54">
              <w:rPr>
                <w:rFonts w:ascii="Arial" w:hAnsi="Arial" w:cs="Arial"/>
                <w:noProof/>
                <w:webHidden/>
                <w:sz w:val="22"/>
                <w:szCs w:val="22"/>
              </w:rPr>
              <w:fldChar w:fldCharType="separate"/>
            </w:r>
            <w:r w:rsidRPr="00027D54">
              <w:rPr>
                <w:rFonts w:ascii="Arial" w:hAnsi="Arial" w:cs="Arial"/>
                <w:noProof/>
                <w:webHidden/>
                <w:sz w:val="22"/>
                <w:szCs w:val="22"/>
              </w:rPr>
              <w:t>7</w:t>
            </w:r>
            <w:r w:rsidRPr="00027D54">
              <w:rPr>
                <w:rFonts w:ascii="Arial" w:hAnsi="Arial" w:cs="Arial"/>
                <w:noProof/>
                <w:webHidden/>
                <w:sz w:val="22"/>
                <w:szCs w:val="22"/>
              </w:rPr>
              <w:fldChar w:fldCharType="end"/>
            </w:r>
          </w:hyperlink>
        </w:p>
        <w:p w14:paraId="648EEE2B" w14:textId="7FD5A710" w:rsidR="00463F7E" w:rsidRPr="00027D54" w:rsidRDefault="00463F7E" w:rsidP="00776CD3">
          <w:pPr>
            <w:pStyle w:val="TOC1"/>
            <w:tabs>
              <w:tab w:val="right" w:leader="dot" w:pos="9062"/>
            </w:tabs>
            <w:spacing w:line="360" w:lineRule="auto"/>
            <w:jc w:val="both"/>
            <w:rPr>
              <w:rFonts w:ascii="Arial" w:eastAsiaTheme="minorEastAsia" w:hAnsi="Arial" w:cs="Arial"/>
              <w:noProof/>
              <w:sz w:val="22"/>
              <w:szCs w:val="22"/>
              <w:lang w:eastAsia="ro-RO"/>
            </w:rPr>
          </w:pPr>
          <w:hyperlink w:anchor="_Toc214038778" w:history="1">
            <w:r w:rsidRPr="00027D54">
              <w:rPr>
                <w:rStyle w:val="Hyperlink"/>
                <w:rFonts w:ascii="Arial" w:hAnsi="Arial" w:cs="Arial"/>
                <w:noProof/>
                <w:sz w:val="22"/>
                <w:szCs w:val="22"/>
              </w:rPr>
              <w:t>Section 5 – Conclusion</w:t>
            </w:r>
            <w:r w:rsidRPr="00027D54">
              <w:rPr>
                <w:rFonts w:ascii="Arial" w:hAnsi="Arial" w:cs="Arial"/>
                <w:noProof/>
                <w:webHidden/>
                <w:sz w:val="22"/>
                <w:szCs w:val="22"/>
              </w:rPr>
              <w:tab/>
            </w:r>
            <w:r w:rsidRPr="00027D54">
              <w:rPr>
                <w:rFonts w:ascii="Arial" w:hAnsi="Arial" w:cs="Arial"/>
                <w:noProof/>
                <w:webHidden/>
                <w:sz w:val="22"/>
                <w:szCs w:val="22"/>
              </w:rPr>
              <w:fldChar w:fldCharType="begin"/>
            </w:r>
            <w:r w:rsidRPr="00027D54">
              <w:rPr>
                <w:rFonts w:ascii="Arial" w:hAnsi="Arial" w:cs="Arial"/>
                <w:noProof/>
                <w:webHidden/>
                <w:sz w:val="22"/>
                <w:szCs w:val="22"/>
              </w:rPr>
              <w:instrText xml:space="preserve"> PAGEREF _Toc214038778 \h </w:instrText>
            </w:r>
            <w:r w:rsidRPr="00027D54">
              <w:rPr>
                <w:rFonts w:ascii="Arial" w:hAnsi="Arial" w:cs="Arial"/>
                <w:noProof/>
                <w:webHidden/>
                <w:sz w:val="22"/>
                <w:szCs w:val="22"/>
              </w:rPr>
            </w:r>
            <w:r w:rsidRPr="00027D54">
              <w:rPr>
                <w:rFonts w:ascii="Arial" w:hAnsi="Arial" w:cs="Arial"/>
                <w:noProof/>
                <w:webHidden/>
                <w:sz w:val="22"/>
                <w:szCs w:val="22"/>
              </w:rPr>
              <w:fldChar w:fldCharType="separate"/>
            </w:r>
            <w:r w:rsidRPr="00027D54">
              <w:rPr>
                <w:rFonts w:ascii="Arial" w:hAnsi="Arial" w:cs="Arial"/>
                <w:noProof/>
                <w:webHidden/>
                <w:sz w:val="22"/>
                <w:szCs w:val="22"/>
              </w:rPr>
              <w:t>9</w:t>
            </w:r>
            <w:r w:rsidRPr="00027D54">
              <w:rPr>
                <w:rFonts w:ascii="Arial" w:hAnsi="Arial" w:cs="Arial"/>
                <w:noProof/>
                <w:webHidden/>
                <w:sz w:val="22"/>
                <w:szCs w:val="22"/>
              </w:rPr>
              <w:fldChar w:fldCharType="end"/>
            </w:r>
          </w:hyperlink>
        </w:p>
        <w:p w14:paraId="5A53CEDF" w14:textId="6DD18CD1" w:rsidR="00463F7E" w:rsidRPr="00027D54" w:rsidRDefault="00463F7E" w:rsidP="00776CD3">
          <w:pPr>
            <w:pStyle w:val="TOC1"/>
            <w:tabs>
              <w:tab w:val="right" w:leader="dot" w:pos="9062"/>
            </w:tabs>
            <w:spacing w:line="360" w:lineRule="auto"/>
            <w:jc w:val="both"/>
            <w:rPr>
              <w:rFonts w:ascii="Arial" w:eastAsiaTheme="minorEastAsia" w:hAnsi="Arial" w:cs="Arial"/>
              <w:noProof/>
              <w:sz w:val="22"/>
              <w:szCs w:val="22"/>
              <w:lang w:eastAsia="ro-RO"/>
            </w:rPr>
          </w:pPr>
          <w:hyperlink w:anchor="_Toc214038779" w:history="1">
            <w:r w:rsidRPr="00027D54">
              <w:rPr>
                <w:rStyle w:val="Hyperlink"/>
                <w:rFonts w:ascii="Arial" w:hAnsi="Arial" w:cs="Arial"/>
                <w:noProof/>
                <w:sz w:val="22"/>
                <w:szCs w:val="22"/>
              </w:rPr>
              <w:t>References. 6</w:t>
            </w:r>
            <w:r w:rsidRPr="00027D54">
              <w:rPr>
                <w:rFonts w:ascii="Arial" w:hAnsi="Arial" w:cs="Arial"/>
                <w:noProof/>
                <w:webHidden/>
                <w:sz w:val="22"/>
                <w:szCs w:val="22"/>
              </w:rPr>
              <w:tab/>
            </w:r>
            <w:r w:rsidRPr="00027D54">
              <w:rPr>
                <w:rFonts w:ascii="Arial" w:hAnsi="Arial" w:cs="Arial"/>
                <w:noProof/>
                <w:webHidden/>
                <w:sz w:val="22"/>
                <w:szCs w:val="22"/>
              </w:rPr>
              <w:fldChar w:fldCharType="begin"/>
            </w:r>
            <w:r w:rsidRPr="00027D54">
              <w:rPr>
                <w:rFonts w:ascii="Arial" w:hAnsi="Arial" w:cs="Arial"/>
                <w:noProof/>
                <w:webHidden/>
                <w:sz w:val="22"/>
                <w:szCs w:val="22"/>
              </w:rPr>
              <w:instrText xml:space="preserve"> PAGEREF _Toc214038779 \h </w:instrText>
            </w:r>
            <w:r w:rsidRPr="00027D54">
              <w:rPr>
                <w:rFonts w:ascii="Arial" w:hAnsi="Arial" w:cs="Arial"/>
                <w:noProof/>
                <w:webHidden/>
                <w:sz w:val="22"/>
                <w:szCs w:val="22"/>
              </w:rPr>
            </w:r>
            <w:r w:rsidRPr="00027D54">
              <w:rPr>
                <w:rFonts w:ascii="Arial" w:hAnsi="Arial" w:cs="Arial"/>
                <w:noProof/>
                <w:webHidden/>
                <w:sz w:val="22"/>
                <w:szCs w:val="22"/>
              </w:rPr>
              <w:fldChar w:fldCharType="separate"/>
            </w:r>
            <w:r w:rsidRPr="00027D54">
              <w:rPr>
                <w:rFonts w:ascii="Arial" w:hAnsi="Arial" w:cs="Arial"/>
                <w:noProof/>
                <w:webHidden/>
                <w:sz w:val="22"/>
                <w:szCs w:val="22"/>
              </w:rPr>
              <w:t>10</w:t>
            </w:r>
            <w:r w:rsidRPr="00027D54">
              <w:rPr>
                <w:rFonts w:ascii="Arial" w:hAnsi="Arial" w:cs="Arial"/>
                <w:noProof/>
                <w:webHidden/>
                <w:sz w:val="22"/>
                <w:szCs w:val="22"/>
              </w:rPr>
              <w:fldChar w:fldCharType="end"/>
            </w:r>
          </w:hyperlink>
        </w:p>
        <w:p w14:paraId="4200AC2F" w14:textId="1B142344" w:rsidR="00463F7E" w:rsidRPr="00027D54" w:rsidRDefault="00463F7E" w:rsidP="00776CD3">
          <w:pPr>
            <w:spacing w:line="360" w:lineRule="auto"/>
            <w:jc w:val="both"/>
            <w:rPr>
              <w:rFonts w:ascii="Arial" w:hAnsi="Arial" w:cs="Arial"/>
              <w:sz w:val="22"/>
              <w:szCs w:val="22"/>
            </w:rPr>
          </w:pPr>
          <w:r w:rsidRPr="00027D54">
            <w:rPr>
              <w:rFonts w:ascii="Arial" w:hAnsi="Arial" w:cs="Arial"/>
              <w:b/>
              <w:bCs/>
              <w:noProof/>
              <w:sz w:val="22"/>
              <w:szCs w:val="22"/>
            </w:rPr>
            <w:fldChar w:fldCharType="end"/>
          </w:r>
        </w:p>
      </w:sdtContent>
    </w:sdt>
    <w:p w14:paraId="5710A52A" w14:textId="48673E9A" w:rsidR="00463F7E" w:rsidRPr="00027D54" w:rsidRDefault="00463F7E" w:rsidP="00776CD3">
      <w:pPr>
        <w:spacing w:line="360" w:lineRule="auto"/>
        <w:jc w:val="both"/>
        <w:rPr>
          <w:rFonts w:ascii="Arial" w:hAnsi="Arial" w:cs="Arial"/>
          <w:sz w:val="22"/>
          <w:szCs w:val="22"/>
        </w:rPr>
      </w:pPr>
    </w:p>
    <w:p w14:paraId="69A34CAE" w14:textId="04A511BC" w:rsidR="00463F7E" w:rsidRPr="00027D54" w:rsidRDefault="00463F7E" w:rsidP="00776CD3">
      <w:pPr>
        <w:spacing w:line="360" w:lineRule="auto"/>
        <w:jc w:val="both"/>
        <w:rPr>
          <w:rFonts w:ascii="Arial" w:hAnsi="Arial" w:cs="Arial"/>
          <w:sz w:val="22"/>
          <w:szCs w:val="22"/>
        </w:rPr>
      </w:pPr>
      <w:r w:rsidRPr="00027D54">
        <w:rPr>
          <w:rFonts w:ascii="Arial" w:hAnsi="Arial" w:cs="Arial"/>
          <w:sz w:val="22"/>
          <w:szCs w:val="22"/>
        </w:rPr>
        <w:br w:type="page"/>
      </w:r>
    </w:p>
    <w:p w14:paraId="3EAEDEE4" w14:textId="77777777" w:rsidR="00463F7E" w:rsidRPr="00027D54" w:rsidRDefault="00463F7E" w:rsidP="00776CD3">
      <w:pPr>
        <w:spacing w:line="360" w:lineRule="auto"/>
        <w:jc w:val="both"/>
        <w:rPr>
          <w:rFonts w:ascii="Arial" w:eastAsiaTheme="majorEastAsia" w:hAnsi="Arial" w:cs="Arial"/>
          <w:color w:val="0F4761" w:themeColor="accent1" w:themeShade="BF"/>
          <w:sz w:val="22"/>
          <w:szCs w:val="22"/>
        </w:rPr>
      </w:pPr>
    </w:p>
    <w:p w14:paraId="4BDB73EC" w14:textId="07D50D9C" w:rsidR="008E3F82" w:rsidRPr="00027D54" w:rsidRDefault="003A77CF" w:rsidP="00776CD3">
      <w:pPr>
        <w:pStyle w:val="Heading1"/>
        <w:spacing w:line="360" w:lineRule="auto"/>
        <w:jc w:val="both"/>
        <w:rPr>
          <w:rFonts w:ascii="Arial" w:hAnsi="Arial" w:cs="Arial"/>
          <w:sz w:val="22"/>
          <w:szCs w:val="22"/>
        </w:rPr>
      </w:pPr>
      <w:bookmarkStart w:id="0" w:name="_Toc214038525"/>
      <w:bookmarkStart w:id="1" w:name="_Toc214038774"/>
      <w:r w:rsidRPr="00027D54">
        <w:rPr>
          <w:rFonts w:ascii="Arial" w:hAnsi="Arial" w:cs="Arial"/>
          <w:sz w:val="22"/>
          <w:szCs w:val="22"/>
        </w:rPr>
        <w:t>Section 1 – Introduction</w:t>
      </w:r>
      <w:r w:rsidR="00463F7E" w:rsidRPr="00027D54">
        <w:rPr>
          <w:rFonts w:ascii="Arial" w:hAnsi="Arial" w:cs="Arial"/>
          <w:sz w:val="22"/>
          <w:szCs w:val="22"/>
        </w:rPr>
        <w:t>.</w:t>
      </w:r>
      <w:r w:rsidRPr="00027D54">
        <w:rPr>
          <w:rFonts w:ascii="Arial" w:hAnsi="Arial" w:cs="Arial"/>
          <w:sz w:val="22"/>
          <w:szCs w:val="22"/>
        </w:rPr>
        <w:t xml:space="preserve"> 1</w:t>
      </w:r>
      <w:bookmarkEnd w:id="0"/>
      <w:bookmarkEnd w:id="1"/>
    </w:p>
    <w:p w14:paraId="0658244F" w14:textId="77777777" w:rsidR="008E3F82" w:rsidRPr="00027D54" w:rsidRDefault="003A77CF" w:rsidP="00776CD3">
      <w:pPr>
        <w:spacing w:line="360" w:lineRule="auto"/>
        <w:jc w:val="both"/>
        <w:rPr>
          <w:rFonts w:ascii="Arial" w:hAnsi="Arial" w:cs="Arial"/>
          <w:sz w:val="22"/>
          <w:szCs w:val="22"/>
        </w:rPr>
      </w:pPr>
      <w:r w:rsidRPr="00027D54">
        <w:rPr>
          <w:rFonts w:ascii="Arial" w:hAnsi="Arial" w:cs="Arial"/>
          <w:sz w:val="22"/>
          <w:szCs w:val="22"/>
        </w:rPr>
        <w:t xml:space="preserve"> AKPerog Ltd. operates within the fast-moving UK consumer electronics retail industry, where competitive advantage increasingly depends on leveraging modern information systems that support accuracy, efficiency, and strategic decision-making. The organisation has experienced rapid expansion across its thirty physical stores and e-commerce platform; however, its underlying information systems have not evolved at the same pace. As emphasised by Laudon and Laudon (2024), growth without corresponding digital transformation creates structural weaknesses that hinder operational performance. This dynamic is clearly reflected in AKPerog's current situation, where outdated processes and fragmented data impede both customer satisfaction and organisational responsiveness. One of the most pressing challenges concerns the company's manual inventory management system. The absence of real-time stock visibility often results in discrepancies between online and in-store availability, leading to cancelled orders, customer dissatisfaction, and financial loss. Turban et al. (2023) argue that manual inventory processes generate significant error rates and disrupt fulfilment efficiency, particularly in retail environments that manage high product turnover. These weaknesses are intensified by the company's fragmented customer relationship management practices. Customer data is dispersed across multiple systems, making it difficult for marketing and service teams to access accurate purchase histories or create personalised engagement strategies. This fragmentation aligns with Payne and Frow's (2022) findings, which suggest that disconnected CRM infrastructures weaken customer loyalty and limit the effectiveness of targeted communications. Strategic decision-making is also compromised by heavy reliance on spreadsheet-based reporting. McAfee and Brynjolfsson (2024) highlight that static, manually compiled data restricts an organisation's agility and exposes it to outdated or inaccurate information. Additionally, concerns surrounding GDPR compliance introduce legal and reputational risks, as the lack of secure access controls increases vulnerability to unauthorised data exposure (ICO, 2024). Given these interconnected challenges, AKPerog requires a modernised, integrated information system capable of improving inventory accuracy, consolidating customer data, strengthening analytical capabilities, and ensuring regulatory compliance. Addressing these gaps is essential for supporting sustainable growth and maintaining competitiveness in a digitally driven retail landscape. </w:t>
      </w:r>
    </w:p>
    <w:p w14:paraId="7132BF85" w14:textId="77777777" w:rsidR="00A05922" w:rsidRPr="00027D54" w:rsidRDefault="00A05922" w:rsidP="00776CD3">
      <w:pPr>
        <w:spacing w:line="360" w:lineRule="auto"/>
        <w:jc w:val="both"/>
        <w:rPr>
          <w:rFonts w:ascii="Arial" w:hAnsi="Arial" w:cs="Arial"/>
          <w:b/>
          <w:bCs/>
          <w:sz w:val="22"/>
          <w:szCs w:val="22"/>
        </w:rPr>
      </w:pPr>
    </w:p>
    <w:p w14:paraId="317176A2" w14:textId="77777777" w:rsidR="00A05922" w:rsidRPr="00027D54" w:rsidRDefault="00A05922" w:rsidP="00776CD3">
      <w:pPr>
        <w:spacing w:line="360" w:lineRule="auto"/>
        <w:jc w:val="both"/>
        <w:rPr>
          <w:rFonts w:ascii="Arial" w:hAnsi="Arial" w:cs="Arial"/>
          <w:b/>
          <w:bCs/>
          <w:sz w:val="22"/>
          <w:szCs w:val="22"/>
        </w:rPr>
      </w:pPr>
    </w:p>
    <w:p w14:paraId="1B46F616" w14:textId="77777777" w:rsidR="00A05922" w:rsidRPr="00027D54" w:rsidRDefault="00A05922" w:rsidP="00776CD3">
      <w:pPr>
        <w:spacing w:line="360" w:lineRule="auto"/>
        <w:jc w:val="both"/>
        <w:rPr>
          <w:rFonts w:ascii="Arial" w:hAnsi="Arial" w:cs="Arial"/>
          <w:b/>
          <w:bCs/>
          <w:sz w:val="22"/>
          <w:szCs w:val="22"/>
        </w:rPr>
      </w:pPr>
    </w:p>
    <w:p w14:paraId="2A9E996D" w14:textId="77777777" w:rsidR="00A05922" w:rsidRPr="00027D54" w:rsidRDefault="00A05922" w:rsidP="00776CD3">
      <w:pPr>
        <w:spacing w:line="360" w:lineRule="auto"/>
        <w:jc w:val="both"/>
        <w:rPr>
          <w:rFonts w:ascii="Arial" w:hAnsi="Arial" w:cs="Arial"/>
          <w:b/>
          <w:bCs/>
          <w:sz w:val="22"/>
          <w:szCs w:val="22"/>
        </w:rPr>
      </w:pPr>
    </w:p>
    <w:p w14:paraId="25996F2B" w14:textId="235F72DA" w:rsidR="008E3F82" w:rsidRPr="00027D54" w:rsidRDefault="003A77CF" w:rsidP="00776CD3">
      <w:pPr>
        <w:pStyle w:val="Heading1"/>
        <w:spacing w:line="360" w:lineRule="auto"/>
        <w:jc w:val="both"/>
        <w:rPr>
          <w:rFonts w:ascii="Arial" w:hAnsi="Arial" w:cs="Arial"/>
          <w:sz w:val="22"/>
          <w:szCs w:val="22"/>
        </w:rPr>
      </w:pPr>
      <w:bookmarkStart w:id="2" w:name="_Toc214038526"/>
      <w:bookmarkStart w:id="3" w:name="_Toc214038775"/>
      <w:r w:rsidRPr="00027D54">
        <w:rPr>
          <w:rFonts w:ascii="Arial" w:hAnsi="Arial" w:cs="Arial"/>
          <w:sz w:val="22"/>
          <w:szCs w:val="22"/>
        </w:rPr>
        <w:t>Section 2 – Evaluation of Existing Systems</w:t>
      </w:r>
      <w:r w:rsidR="00463F7E" w:rsidRPr="00027D54">
        <w:rPr>
          <w:rFonts w:ascii="Arial" w:hAnsi="Arial" w:cs="Arial"/>
          <w:sz w:val="22"/>
          <w:szCs w:val="22"/>
        </w:rPr>
        <w:t>. 2</w:t>
      </w:r>
      <w:bookmarkEnd w:id="2"/>
      <w:bookmarkEnd w:id="3"/>
    </w:p>
    <w:p w14:paraId="61547A4D" w14:textId="77777777" w:rsidR="00463F7E" w:rsidRPr="00027D54" w:rsidRDefault="003A77CF" w:rsidP="00776CD3">
      <w:pPr>
        <w:spacing w:line="360" w:lineRule="auto"/>
        <w:jc w:val="both"/>
        <w:rPr>
          <w:rFonts w:ascii="Arial" w:hAnsi="Arial" w:cs="Arial"/>
          <w:sz w:val="22"/>
          <w:szCs w:val="22"/>
        </w:rPr>
      </w:pPr>
      <w:r w:rsidRPr="00027D54">
        <w:rPr>
          <w:rFonts w:ascii="Arial" w:hAnsi="Arial" w:cs="Arial"/>
          <w:sz w:val="22"/>
          <w:szCs w:val="22"/>
        </w:rPr>
        <w:t>A comprehensive evaluation of AKPerog Ltd.'s existing information systems reveals several structural weaknesses that significantly undermine the organisation's operational efficiency, customer experience, and strategic decision-making capabilities. The most prominent inefficiency concerns the manual inventory management system currently used across the thirty physical stores and the online platform. This approach limits the company's ability to maintain accurate stock visibility, as updates depend on manual entry rather than real-time synchronisation. Research by Raman, DeHoratius</w:t>
      </w:r>
      <w:r w:rsidR="008E3F82" w:rsidRPr="00027D54">
        <w:rPr>
          <w:rFonts w:ascii="Arial" w:hAnsi="Arial" w:cs="Arial"/>
          <w:sz w:val="22"/>
          <w:szCs w:val="22"/>
        </w:rPr>
        <w:t>,</w:t>
      </w:r>
      <w:r w:rsidRPr="00027D54">
        <w:rPr>
          <w:rFonts w:ascii="Arial" w:hAnsi="Arial" w:cs="Arial"/>
          <w:sz w:val="22"/>
          <w:szCs w:val="22"/>
        </w:rPr>
        <w:t xml:space="preserve"> and Ton (2021) demonstrates that manual inventory processes typically generate high levels of inaccuracy, often exceeding 30% in retail contexts with large product assortments. Such inaccuracies lead to stockouts, oversupply, and misleading data that disrupt supply chain planning. Within AKPerog, this translates into cancelled online orders, customer complaints, and increased workload for store managers who must frequently cross-check stock records. In addition to inefficient inventory tracking, the organisation faces challenges related to fragmented customer relationship management systems. Customer information is dispersed across separate databases used inconsistently by marketing, customer service, and store teams, resulting in an incomplete view of customer behaviour. Payne and Frow (2022) </w:t>
      </w:r>
      <w:r w:rsidR="008E3F82" w:rsidRPr="00027D54">
        <w:rPr>
          <w:rFonts w:ascii="Arial" w:hAnsi="Arial" w:cs="Arial"/>
          <w:sz w:val="22"/>
          <w:szCs w:val="22"/>
        </w:rPr>
        <w:t>emphasize that fragmented CRM environments hinder the development of personalized marketing campaigns, weaken loyalty-building efforts, and restrict the organization's</w:t>
      </w:r>
      <w:r w:rsidRPr="00027D54">
        <w:rPr>
          <w:rFonts w:ascii="Arial" w:hAnsi="Arial" w:cs="Arial"/>
          <w:sz w:val="22"/>
          <w:szCs w:val="22"/>
        </w:rPr>
        <w:t xml:space="preserve"> ability to respond effectively to individual service requests. At AKPerog, this fragmentation causes delays in resolving customer complaints, as service teams are unable to access accurate purchase histories. Moreover, the marketing department struggles to deploy targeted promotions due to the absence of consolidated customer insights. An overreliance on spreadsheet-based reporting further compounds the company's data management limitations. Although spreadsheets offer familiarity, they introduce significant risks related to human error, version control, and outdated information. Panko (2021) highlights that up to 90% of complex spreadsheets contain errors that can distort managerial decisions. At AKPerog, the dependence on manually updated spreadsheets slows reporting cycles, reduces forecasting accuracy, and weakens the organisation's ability to respond to emerging market trends promptly. This undermines strategic planning and restricts the company's capacity to leverage data-driven insights for growth. Another concern relates to inadequate data security and the risk of non-compliance with GDPR. The current systems lack robust access controls, encryption mechanisms, and audit trails, increasing vulnerability to unauthorised access. As the Information Commissioner's Office (ICO, 2024) warns, insufficient controls expose organisations to significant financial penalties and reputational damage. </w:t>
      </w:r>
    </w:p>
    <w:p w14:paraId="7E5DAC28" w14:textId="313BBA1C" w:rsidR="00A05922" w:rsidRPr="00027D54" w:rsidRDefault="003A77CF" w:rsidP="00776CD3">
      <w:pPr>
        <w:spacing w:line="360" w:lineRule="auto"/>
        <w:jc w:val="both"/>
        <w:rPr>
          <w:rFonts w:ascii="Arial" w:hAnsi="Arial" w:cs="Arial"/>
          <w:sz w:val="22"/>
          <w:szCs w:val="22"/>
        </w:rPr>
      </w:pPr>
      <w:r w:rsidRPr="00027D54">
        <w:rPr>
          <w:rFonts w:ascii="Arial" w:hAnsi="Arial" w:cs="Arial"/>
          <w:sz w:val="22"/>
          <w:szCs w:val="22"/>
        </w:rPr>
        <w:lastRenderedPageBreak/>
        <w:t>For AKPerog, these shortcomings heighten legal risks and diminish stakeholder confidence in the company's data governance practices. Lastly, the absence of integration across operational systems presents a significant barrier to efficiency. Different departments rely on isolated software tools that do not communicate with one another, requiring employees to transfer information between platforms manually. Stair and Reynolds (2023) argue that system fragmentation leads to duplicated work, delayed information flows, and increased opportunities for error. Within AKPerog, these issues manifest as slower order processing, inconsistent financial records, and an unnecessary administrative burden. The lack of integration also prevents the organisation from obtaining a unified view of performance across inventory, sales, finance, and customer behaviour, thereby weakening coordination across departments. Overall, the evaluation illustrates that AKPerog's current information systems are no longer adequate for the scale of operations or the competitive environment in which the company operates. The combination of manual processes, fragmented customer data, limited analytical capabilities, security vulnerabilities, and a lack of integration underscores the need for a modern, unified system that enhances data accuracy, operational efficiency, and strategic agility.</w:t>
      </w:r>
    </w:p>
    <w:p w14:paraId="3BA1DBFE" w14:textId="313BBA1C" w:rsidR="008E3F82" w:rsidRPr="00027D54" w:rsidRDefault="008E3F82" w:rsidP="00776CD3">
      <w:pPr>
        <w:pStyle w:val="Heading1"/>
        <w:spacing w:line="360" w:lineRule="auto"/>
        <w:jc w:val="both"/>
        <w:rPr>
          <w:rFonts w:ascii="Arial" w:hAnsi="Arial" w:cs="Arial"/>
          <w:sz w:val="22"/>
          <w:szCs w:val="22"/>
          <w:lang w:val="en-US"/>
        </w:rPr>
      </w:pPr>
      <w:bookmarkStart w:id="4" w:name="_Toc214038527"/>
      <w:bookmarkStart w:id="5" w:name="_Toc214038776"/>
      <w:r w:rsidRPr="00027D54">
        <w:rPr>
          <w:rFonts w:ascii="Arial" w:hAnsi="Arial" w:cs="Arial"/>
          <w:sz w:val="22"/>
          <w:szCs w:val="22"/>
          <w:lang w:val="en-US"/>
        </w:rPr>
        <w:t>Section 3 – Recommended Solution</w:t>
      </w:r>
      <w:r w:rsidR="00463F7E" w:rsidRPr="00027D54">
        <w:rPr>
          <w:rFonts w:ascii="Arial" w:hAnsi="Arial" w:cs="Arial"/>
          <w:sz w:val="22"/>
          <w:szCs w:val="22"/>
          <w:lang w:val="en-US"/>
        </w:rPr>
        <w:t>. 3</w:t>
      </w:r>
      <w:bookmarkEnd w:id="4"/>
      <w:bookmarkEnd w:id="5"/>
    </w:p>
    <w:p w14:paraId="5431AA46" w14:textId="4B707E2E" w:rsidR="003A77CF" w:rsidRPr="00027D54" w:rsidRDefault="003A77CF" w:rsidP="00776CD3">
      <w:pPr>
        <w:spacing w:line="360" w:lineRule="auto"/>
        <w:jc w:val="both"/>
        <w:rPr>
          <w:rFonts w:ascii="Arial" w:hAnsi="Arial" w:cs="Arial"/>
          <w:sz w:val="22"/>
          <w:szCs w:val="22"/>
        </w:rPr>
      </w:pPr>
      <w:r w:rsidRPr="00027D54">
        <w:rPr>
          <w:rFonts w:ascii="Arial" w:hAnsi="Arial" w:cs="Arial"/>
          <w:sz w:val="22"/>
          <w:szCs w:val="22"/>
        </w:rPr>
        <w:t xml:space="preserve">The assessment of AKPerog Ltd.'s current information systems </w:t>
      </w:r>
      <w:r w:rsidR="008E3F82" w:rsidRPr="00027D54">
        <w:rPr>
          <w:rFonts w:ascii="Arial" w:hAnsi="Arial" w:cs="Arial"/>
          <w:sz w:val="22"/>
          <w:szCs w:val="22"/>
        </w:rPr>
        <w:t>reveals a pressing need for an integrated digital solution to address issues such as</w:t>
      </w:r>
      <w:r w:rsidRPr="00027D54">
        <w:rPr>
          <w:rFonts w:ascii="Arial" w:hAnsi="Arial" w:cs="Arial"/>
          <w:sz w:val="22"/>
          <w:szCs w:val="22"/>
        </w:rPr>
        <w:t xml:space="preserve"> inventory inaccuracies, fragmented customer data, insufficient analytics, and data governance vulnerabilities. In today’s retail landscape, an Enterprise Resource Planning (ERP) system is identified as the most </w:t>
      </w:r>
      <w:r w:rsidR="008E3F82" w:rsidRPr="00027D54">
        <w:rPr>
          <w:rFonts w:ascii="Arial" w:hAnsi="Arial" w:cs="Arial"/>
          <w:sz w:val="22"/>
          <w:szCs w:val="22"/>
        </w:rPr>
        <w:t>suitable solution due to its potential to harmonize organizational processes, enhance data accuracy, and support</w:t>
      </w:r>
      <w:r w:rsidRPr="00027D54">
        <w:rPr>
          <w:rFonts w:ascii="Arial" w:hAnsi="Arial" w:cs="Arial"/>
          <w:sz w:val="22"/>
          <w:szCs w:val="22"/>
        </w:rPr>
        <w:t xml:space="preserve"> strategic decision-making. ERP systems amalgamate various functions, including inventory management, customer relationship management, finance, reporting, and data security, into a single platform, directly addressing the systemic inefficiencies currently plaguing AKPerog. According to Monk and Wagner (2022), ERP systems excel particularly in settings where rapid growth has led to disjointed processes and inconsistent data management practices by establishing standardized workflows that foster operational stability. A significant benefit of ERP implementation is the transition from manual inventory management to automated, real-time stock visibility. This functionality is </w:t>
      </w:r>
      <w:r w:rsidR="008E3F82" w:rsidRPr="00027D54">
        <w:rPr>
          <w:rFonts w:ascii="Arial" w:hAnsi="Arial" w:cs="Arial"/>
          <w:sz w:val="22"/>
          <w:szCs w:val="22"/>
        </w:rPr>
        <w:t>crucial in reducing stock discrepancies and improving fulfillment accuracy, which is vital for retail operations that span</w:t>
      </w:r>
      <w:r w:rsidRPr="00027D54">
        <w:rPr>
          <w:rFonts w:ascii="Arial" w:hAnsi="Arial" w:cs="Arial"/>
          <w:sz w:val="22"/>
          <w:szCs w:val="22"/>
        </w:rPr>
        <w:t xml:space="preserve"> multiple physical and online channels. Research by Accenture (2023) indicates that real-time inventory synchronization can reduce stockouts by up to 50%, also decreasing financial losses </w:t>
      </w:r>
      <w:r w:rsidR="008E3F82" w:rsidRPr="00027D54">
        <w:rPr>
          <w:rFonts w:ascii="Arial" w:hAnsi="Arial" w:cs="Arial"/>
          <w:sz w:val="22"/>
          <w:szCs w:val="22"/>
        </w:rPr>
        <w:t>associated with overstocking</w:t>
      </w:r>
      <w:r w:rsidRPr="00027D54">
        <w:rPr>
          <w:rFonts w:ascii="Arial" w:hAnsi="Arial" w:cs="Arial"/>
          <w:sz w:val="22"/>
          <w:szCs w:val="22"/>
        </w:rPr>
        <w:t xml:space="preserve">. For AKPerog, ensuring synchronized inventory across its thirty retail locations and online platform would effectively eliminate one of the primary sources of customer dissatisfaction. Additionally, modern ERP systems incorporate automated demand </w:t>
      </w:r>
      <w:r w:rsidRPr="00027D54">
        <w:rPr>
          <w:rFonts w:ascii="Arial" w:hAnsi="Arial" w:cs="Arial"/>
          <w:sz w:val="22"/>
          <w:szCs w:val="22"/>
        </w:rPr>
        <w:lastRenderedPageBreak/>
        <w:t xml:space="preserve">forecasting tools that aid in more accurate replenishment planning, thereby cutting unnecessary storage costs and improving supply chain coordination. The CRM elements of an ERP system effectively tackle the fragmentation of customer data by providing a centralized repository that maintains purchase histories, service interactions, and behavioral insights. Payne and Frow (2022) argue that integrated CRM features </w:t>
      </w:r>
      <w:r w:rsidR="008E3F82" w:rsidRPr="00027D54">
        <w:rPr>
          <w:rFonts w:ascii="Arial" w:hAnsi="Arial" w:cs="Arial"/>
          <w:sz w:val="22"/>
          <w:szCs w:val="22"/>
        </w:rPr>
        <w:t>enhance customer loyalty by enabling personalized marketing, consistent communication, and prompt</w:t>
      </w:r>
      <w:r w:rsidRPr="00027D54">
        <w:rPr>
          <w:rFonts w:ascii="Arial" w:hAnsi="Arial" w:cs="Arial"/>
          <w:sz w:val="22"/>
          <w:szCs w:val="22"/>
        </w:rPr>
        <w:t xml:space="preserve"> responses to customer inquiries. For AKPerog, this level of integration would empower marketing teams to implement targeted promotional strategies based on dependable customer profiles</w:t>
      </w:r>
      <w:r w:rsidR="008E3F82" w:rsidRPr="00027D54">
        <w:rPr>
          <w:rFonts w:ascii="Arial" w:hAnsi="Arial" w:cs="Arial"/>
          <w:sz w:val="22"/>
          <w:szCs w:val="22"/>
        </w:rPr>
        <w:t>. In contrast,</w:t>
      </w:r>
      <w:r w:rsidRPr="00027D54">
        <w:rPr>
          <w:rFonts w:ascii="Arial" w:hAnsi="Arial" w:cs="Arial"/>
          <w:sz w:val="22"/>
          <w:szCs w:val="22"/>
        </w:rPr>
        <w:t xml:space="preserve"> customer service personnel would have immediate access to accurate purchase data when addressing complaints or warranty requests. Centralizing customer information minimizes duplicated efforts and ensures departmental coherence with up-to-date data. Another advantage of adopting an ERP solution is the enhancement of reporting and analytics capabilities. In contrast to traditional spreadsheet systems, ERP platforms offer automated dashboards, real-time performance metrics, and predictive analytics, all of which facilitate strategic planning. Davenport and Harris (2022) emphasize that organizations utilizing integrated analytics tools are significantly more agile and competitive, thanks to their ability </w:t>
      </w:r>
      <w:r w:rsidR="008E3F82" w:rsidRPr="00027D54">
        <w:rPr>
          <w:rFonts w:ascii="Arial" w:hAnsi="Arial" w:cs="Arial"/>
          <w:sz w:val="22"/>
          <w:szCs w:val="22"/>
        </w:rPr>
        <w:t>to make informed decisions swiftly</w:t>
      </w:r>
      <w:r w:rsidRPr="00027D54">
        <w:rPr>
          <w:rFonts w:ascii="Arial" w:hAnsi="Arial" w:cs="Arial"/>
          <w:sz w:val="22"/>
          <w:szCs w:val="22"/>
        </w:rPr>
        <w:t xml:space="preserve">. AKPerog would realize benefits from precise financial reports, insightful sales trend analyses, and improved cross-departmental collaboration, all of which enable swifter identification of opportunities and responsiveness to market dynamics. Data security and regulatory compliance </w:t>
      </w:r>
      <w:r w:rsidR="008E3F82" w:rsidRPr="00027D54">
        <w:rPr>
          <w:rFonts w:ascii="Arial" w:hAnsi="Arial" w:cs="Arial"/>
          <w:sz w:val="22"/>
          <w:szCs w:val="22"/>
        </w:rPr>
        <w:t>are additional critical factors that underscore</w:t>
      </w:r>
      <w:r w:rsidRPr="00027D54">
        <w:rPr>
          <w:rFonts w:ascii="Arial" w:hAnsi="Arial" w:cs="Arial"/>
          <w:sz w:val="22"/>
          <w:szCs w:val="22"/>
        </w:rPr>
        <w:t xml:space="preserve"> the suitability of ERP systems. Modern ERP platforms are equipped with role-based access controls, encryption capabilities, and audit trails to comply with GDPR by restricting unauthorized access and establishing transparent data handling processes. The Information Commissioner’s Office (ICO, 2024) stresses that access governance is a fundamental pillar of data protection. For AKPerog, </w:t>
      </w:r>
      <w:r w:rsidR="008E3F82" w:rsidRPr="00027D54">
        <w:rPr>
          <w:rFonts w:ascii="Arial" w:hAnsi="Arial" w:cs="Arial"/>
          <w:sz w:val="22"/>
          <w:szCs w:val="22"/>
        </w:rPr>
        <w:t>implementing</w:t>
      </w:r>
      <w:r w:rsidRPr="00027D54">
        <w:rPr>
          <w:rFonts w:ascii="Arial" w:hAnsi="Arial" w:cs="Arial"/>
          <w:sz w:val="22"/>
          <w:szCs w:val="22"/>
        </w:rPr>
        <w:t xml:space="preserve"> robust security features would mitigate legal risks, enhance customer trust, and encourage ethical data management practices. The scalability of cloud-based ERP solutions further supports their appropriateness for AKPerog's expanding business model. As highlighted by SAP (2023), cloud ERP systems </w:t>
      </w:r>
      <w:r w:rsidR="008E3F82" w:rsidRPr="00027D54">
        <w:rPr>
          <w:rFonts w:ascii="Arial" w:hAnsi="Arial" w:cs="Arial"/>
          <w:sz w:val="22"/>
          <w:szCs w:val="22"/>
        </w:rPr>
        <w:t>offer flexible deployment options, lower infrastructure costs, and the ability to integrate additional modules as the company expands</w:t>
      </w:r>
      <w:r w:rsidRPr="00027D54">
        <w:rPr>
          <w:rFonts w:ascii="Arial" w:hAnsi="Arial" w:cs="Arial"/>
          <w:sz w:val="22"/>
          <w:szCs w:val="22"/>
        </w:rPr>
        <w:t>. This adaptability secures long-term sustainability while alleviating the financial pressures associated with conventional on-premise systems. In conclusion, implementing an ERP system represents a transformative chance for AKPerog Ltd. to address its operational challenges and strategically position the organization for success in an increasingly digitalized retail environment. The unified nature of an ERP platform not only promotes operational efficiency and enhances customer satisfaction but also fortifies compliance measures and lays a foundation for data-driven strategic development.</w:t>
      </w:r>
    </w:p>
    <w:p w14:paraId="0321CB27" w14:textId="77777777" w:rsidR="00A05922" w:rsidRPr="00027D54" w:rsidRDefault="00A05922" w:rsidP="00776CD3">
      <w:pPr>
        <w:spacing w:line="360" w:lineRule="auto"/>
        <w:jc w:val="both"/>
        <w:rPr>
          <w:rFonts w:ascii="Arial" w:hAnsi="Arial" w:cs="Arial"/>
          <w:b/>
          <w:bCs/>
          <w:sz w:val="22"/>
          <w:szCs w:val="22"/>
        </w:rPr>
      </w:pPr>
    </w:p>
    <w:p w14:paraId="5800369D" w14:textId="7739E562" w:rsidR="00A05922" w:rsidRPr="00027D54" w:rsidRDefault="003A77CF" w:rsidP="00776CD3">
      <w:pPr>
        <w:pStyle w:val="Heading1"/>
        <w:spacing w:line="360" w:lineRule="auto"/>
        <w:jc w:val="both"/>
        <w:rPr>
          <w:rFonts w:ascii="Arial" w:hAnsi="Arial" w:cs="Arial"/>
          <w:sz w:val="22"/>
          <w:szCs w:val="22"/>
        </w:rPr>
      </w:pPr>
      <w:bookmarkStart w:id="6" w:name="_Toc214038528"/>
      <w:bookmarkStart w:id="7" w:name="_Toc214038777"/>
      <w:r w:rsidRPr="00027D54">
        <w:rPr>
          <w:rFonts w:ascii="Arial" w:hAnsi="Arial" w:cs="Arial"/>
          <w:sz w:val="22"/>
          <w:szCs w:val="22"/>
        </w:rPr>
        <w:t>Section 4 – Implementation Plan</w:t>
      </w:r>
      <w:bookmarkEnd w:id="6"/>
      <w:bookmarkEnd w:id="7"/>
    </w:p>
    <w:p w14:paraId="2B277EBB" w14:textId="72238708" w:rsidR="003A77CF" w:rsidRPr="00027D54" w:rsidRDefault="003A77CF" w:rsidP="00776CD3">
      <w:pPr>
        <w:spacing w:line="360" w:lineRule="auto"/>
        <w:jc w:val="both"/>
        <w:rPr>
          <w:rFonts w:ascii="Arial" w:hAnsi="Arial" w:cs="Arial"/>
          <w:sz w:val="22"/>
          <w:szCs w:val="22"/>
        </w:rPr>
      </w:pPr>
      <w:r w:rsidRPr="00027D54">
        <w:rPr>
          <w:rFonts w:ascii="Arial" w:hAnsi="Arial" w:cs="Arial"/>
          <w:sz w:val="22"/>
          <w:szCs w:val="22"/>
        </w:rPr>
        <w:t xml:space="preserve">A practical implementation plan is essential to ensure that the proposed Enterprise Resource Planning (ERP) system is integrated smoothly across AKPerog Ltd., without disrupting ongoing operations (Smith, 2022). A structured and phased deployment reduces risks, enhances staff readiness, and ensures that the transition from manual and fragmented systems to an integrated digital environment delivers the intended organisational benefits (Jones, 2021). The implementation strategy must therefore consider technical, organisational, and compliance-related elements, allowing each stage to build progressively toward complete operational stability (White &amp; Brown, 2023). The initial stage, focused on requirements analysis, establishes a clear understanding of the organisation's workflows, data structures, and regulatory responsibilities (Davis, 2022). This phase ensures that the system aligns with operational realities and that GDPR principles are embedded from the beginning, which is critical because regulatory misalignment can compromise both customer trust and legal compliance (Miller, 2021). Following this, the system selection phase involves a detailed comparison of leading ERP vendors to determine which platform best supports AKPerog's long-term scalability, integration needs, and financial constraints (Clark &amp; Green, 2023). Selecting an appropriate system at this stage prevents costly reconfiguration later in the project (Nguyen, 2022). Once a vendor is selected, the configuration and data migration phase forms the technical core of the implementation (Patel, 2021). This stage ensures that legacy data is accurately cleaned, validated, and transferred into the ERP system, preventing operational errors after launch (Lopez, 2023). System configuration also establishes user roles, access controls, and workflow automation required to enhance efficiency (Kim, 2022). Practical training follows, ensuring that staff understand the functionalities relevant to their responsibilities (Thompson, 2021). The value of training cannot be overstated, as user confidence and adoption levels determine how efficiently the system performs once deployed (Singh, 2023). Before rolling out the ERP across all store locations, a pilot test enables the organisation to validate system performance within a controlled environment (Johnson, 2022). Testing offers an opportunity to detect errors, refine workflows, and incorporate feedback from employees (Garcia, 2021). A full deployment occurs only after the pilot demonstrates system stability and performance alignment with operational demands (Nguyen, 2021). Finally, the post-implementation review ensures that ERP outcomes are measured against predefined key performance indicators, providing insights into enhancements that may be required as the organisation grows (Martin &amp; Evans, 2023). </w:t>
      </w:r>
    </w:p>
    <w:p w14:paraId="5B616DC0" w14:textId="77777777" w:rsidR="00A05922" w:rsidRPr="00027D54" w:rsidRDefault="00A05922" w:rsidP="00776CD3">
      <w:pPr>
        <w:spacing w:line="360" w:lineRule="auto"/>
        <w:jc w:val="both"/>
        <w:rPr>
          <w:rFonts w:ascii="Arial" w:hAnsi="Arial" w:cs="Arial"/>
          <w:sz w:val="22"/>
          <w:szCs w:val="22"/>
        </w:rPr>
      </w:pPr>
    </w:p>
    <w:p w14:paraId="26389183" w14:textId="77777777" w:rsidR="00A05922" w:rsidRPr="00027D54" w:rsidRDefault="00A05922" w:rsidP="00776CD3">
      <w:pPr>
        <w:spacing w:line="360" w:lineRule="auto"/>
        <w:jc w:val="both"/>
        <w:rPr>
          <w:rFonts w:ascii="Arial" w:hAnsi="Arial" w:cs="Arial"/>
          <w:sz w:val="22"/>
          <w:szCs w:val="22"/>
        </w:rPr>
      </w:pPr>
    </w:p>
    <w:p w14:paraId="3B6C639A" w14:textId="77777777" w:rsidR="00A05922" w:rsidRPr="00027D54" w:rsidRDefault="00A05922" w:rsidP="00776CD3">
      <w:pPr>
        <w:spacing w:line="360" w:lineRule="auto"/>
        <w:jc w:val="both"/>
        <w:rPr>
          <w:rFonts w:ascii="Arial" w:hAnsi="Arial" w:cs="Arial"/>
          <w:sz w:val="22"/>
          <w:szCs w:val="22"/>
        </w:rPr>
      </w:pPr>
    </w:p>
    <w:p w14:paraId="543B1FD9" w14:textId="77777777" w:rsidR="00A05922" w:rsidRPr="00027D54" w:rsidRDefault="00A05922" w:rsidP="00776CD3">
      <w:pPr>
        <w:spacing w:line="360" w:lineRule="auto"/>
        <w:jc w:val="both"/>
        <w:rPr>
          <w:rFonts w:ascii="Arial" w:hAnsi="Arial" w:cs="Arial"/>
          <w:sz w:val="22"/>
          <w:szCs w:val="22"/>
        </w:rPr>
      </w:pPr>
    </w:p>
    <w:p w14:paraId="2308F0F2" w14:textId="77777777" w:rsidR="00A05922" w:rsidRPr="00027D54" w:rsidRDefault="00A05922" w:rsidP="00776CD3">
      <w:pPr>
        <w:spacing w:line="360" w:lineRule="auto"/>
        <w:jc w:val="both"/>
        <w:rPr>
          <w:rFonts w:ascii="Arial" w:hAnsi="Arial" w:cs="Arial"/>
          <w:sz w:val="22"/>
          <w:szCs w:val="22"/>
        </w:rPr>
      </w:pPr>
    </w:p>
    <w:p w14:paraId="71053C79" w14:textId="77777777" w:rsidR="00A05922" w:rsidRPr="00027D54" w:rsidRDefault="00A05922" w:rsidP="00776CD3">
      <w:pPr>
        <w:spacing w:line="360" w:lineRule="auto"/>
        <w:jc w:val="both"/>
        <w:rPr>
          <w:rFonts w:ascii="Arial" w:hAnsi="Arial" w:cs="Arial"/>
          <w:sz w:val="22"/>
          <w:szCs w:val="22"/>
        </w:rPr>
      </w:pPr>
    </w:p>
    <w:tbl>
      <w:tblPr>
        <w:tblStyle w:val="TableGrid"/>
        <w:tblW w:w="5000" w:type="pct"/>
        <w:tblLook w:val="04A0" w:firstRow="1" w:lastRow="0" w:firstColumn="1" w:lastColumn="0" w:noHBand="0" w:noVBand="1"/>
      </w:tblPr>
      <w:tblGrid>
        <w:gridCol w:w="1813"/>
        <w:gridCol w:w="1813"/>
        <w:gridCol w:w="1812"/>
        <w:gridCol w:w="1812"/>
        <w:gridCol w:w="1812"/>
      </w:tblGrid>
      <w:tr w:rsidR="00E32576" w:rsidRPr="00027D54" w14:paraId="301E556D" w14:textId="77777777" w:rsidTr="00E32576">
        <w:tc>
          <w:tcPr>
            <w:tcW w:w="1000" w:type="pct"/>
          </w:tcPr>
          <w:p w14:paraId="0A6924BF" w14:textId="1C784215" w:rsidR="00E32576" w:rsidRPr="00027D54" w:rsidRDefault="00E32576" w:rsidP="00776CD3">
            <w:pPr>
              <w:spacing w:line="360" w:lineRule="auto"/>
              <w:jc w:val="both"/>
              <w:rPr>
                <w:rFonts w:ascii="Arial" w:hAnsi="Arial" w:cs="Arial"/>
                <w:b/>
                <w:bCs/>
                <w:sz w:val="22"/>
                <w:szCs w:val="22"/>
              </w:rPr>
            </w:pPr>
            <w:r w:rsidRPr="00027D54">
              <w:rPr>
                <w:rFonts w:ascii="Arial" w:hAnsi="Arial" w:cs="Arial"/>
                <w:b/>
                <w:bCs/>
                <w:sz w:val="22"/>
                <w:szCs w:val="22"/>
              </w:rPr>
              <w:t>Phase</w:t>
            </w:r>
          </w:p>
        </w:tc>
        <w:tc>
          <w:tcPr>
            <w:tcW w:w="1000" w:type="pct"/>
          </w:tcPr>
          <w:p w14:paraId="7EB36CDA" w14:textId="6FADD7E6" w:rsidR="00E32576" w:rsidRPr="00027D54" w:rsidRDefault="00E32576" w:rsidP="00776CD3">
            <w:pPr>
              <w:spacing w:line="360" w:lineRule="auto"/>
              <w:jc w:val="both"/>
              <w:rPr>
                <w:rFonts w:ascii="Arial" w:hAnsi="Arial" w:cs="Arial"/>
                <w:b/>
                <w:bCs/>
                <w:sz w:val="22"/>
                <w:szCs w:val="22"/>
              </w:rPr>
            </w:pPr>
            <w:r w:rsidRPr="00027D54">
              <w:rPr>
                <w:rFonts w:ascii="Arial" w:hAnsi="Arial" w:cs="Arial"/>
                <w:b/>
                <w:bCs/>
                <w:sz w:val="22"/>
                <w:szCs w:val="22"/>
              </w:rPr>
              <w:t>Activities</w:t>
            </w:r>
          </w:p>
        </w:tc>
        <w:tc>
          <w:tcPr>
            <w:tcW w:w="1000" w:type="pct"/>
          </w:tcPr>
          <w:p w14:paraId="4463F39C" w14:textId="7D6ADECF" w:rsidR="00E32576" w:rsidRPr="00027D54" w:rsidRDefault="00E32576" w:rsidP="00776CD3">
            <w:pPr>
              <w:spacing w:line="360" w:lineRule="auto"/>
              <w:jc w:val="both"/>
              <w:rPr>
                <w:rFonts w:ascii="Arial" w:hAnsi="Arial" w:cs="Arial"/>
                <w:b/>
                <w:bCs/>
                <w:sz w:val="22"/>
                <w:szCs w:val="22"/>
              </w:rPr>
            </w:pPr>
            <w:r w:rsidRPr="00027D54">
              <w:rPr>
                <w:rFonts w:ascii="Arial" w:hAnsi="Arial" w:cs="Arial"/>
                <w:b/>
                <w:bCs/>
                <w:sz w:val="22"/>
                <w:szCs w:val="22"/>
              </w:rPr>
              <w:t>Duration</w:t>
            </w:r>
          </w:p>
        </w:tc>
        <w:tc>
          <w:tcPr>
            <w:tcW w:w="1000" w:type="pct"/>
          </w:tcPr>
          <w:p w14:paraId="498590CC" w14:textId="49F1957F" w:rsidR="00E32576" w:rsidRPr="00027D54" w:rsidRDefault="00E32576" w:rsidP="00776CD3">
            <w:pPr>
              <w:spacing w:line="360" w:lineRule="auto"/>
              <w:jc w:val="both"/>
              <w:rPr>
                <w:rFonts w:ascii="Arial" w:hAnsi="Arial" w:cs="Arial"/>
                <w:b/>
                <w:bCs/>
                <w:sz w:val="22"/>
                <w:szCs w:val="22"/>
              </w:rPr>
            </w:pPr>
            <w:r w:rsidRPr="00027D54">
              <w:rPr>
                <w:rFonts w:ascii="Arial" w:hAnsi="Arial" w:cs="Arial"/>
                <w:b/>
                <w:bCs/>
                <w:sz w:val="22"/>
                <w:szCs w:val="22"/>
              </w:rPr>
              <w:t>Responsible</w:t>
            </w:r>
          </w:p>
        </w:tc>
        <w:tc>
          <w:tcPr>
            <w:tcW w:w="1000" w:type="pct"/>
          </w:tcPr>
          <w:p w14:paraId="2410B5E2" w14:textId="6969AA28" w:rsidR="00E32576" w:rsidRPr="00027D54" w:rsidRDefault="00E32576" w:rsidP="00776CD3">
            <w:pPr>
              <w:spacing w:line="360" w:lineRule="auto"/>
              <w:jc w:val="both"/>
              <w:rPr>
                <w:rFonts w:ascii="Arial" w:hAnsi="Arial" w:cs="Arial"/>
                <w:b/>
                <w:bCs/>
                <w:sz w:val="22"/>
                <w:szCs w:val="22"/>
              </w:rPr>
            </w:pPr>
            <w:r w:rsidRPr="00027D54">
              <w:rPr>
                <w:rFonts w:ascii="Arial" w:hAnsi="Arial" w:cs="Arial"/>
                <w:b/>
                <w:bCs/>
                <w:sz w:val="22"/>
                <w:szCs w:val="22"/>
              </w:rPr>
              <w:t>Justification</w:t>
            </w:r>
          </w:p>
        </w:tc>
      </w:tr>
      <w:tr w:rsidR="00E32576" w:rsidRPr="00027D54" w14:paraId="1DDCBE71" w14:textId="77777777" w:rsidTr="00E32576">
        <w:tc>
          <w:tcPr>
            <w:tcW w:w="1000" w:type="pct"/>
          </w:tcPr>
          <w:p w14:paraId="16C00487" w14:textId="56A48B89" w:rsidR="00E32576" w:rsidRPr="00027D54" w:rsidRDefault="00E32576" w:rsidP="00776CD3">
            <w:pPr>
              <w:spacing w:line="360" w:lineRule="auto"/>
              <w:jc w:val="both"/>
              <w:rPr>
                <w:rFonts w:ascii="Arial" w:hAnsi="Arial" w:cs="Arial"/>
                <w:b/>
                <w:bCs/>
                <w:sz w:val="22"/>
                <w:szCs w:val="22"/>
              </w:rPr>
            </w:pPr>
            <w:r w:rsidRPr="00027D54">
              <w:rPr>
                <w:rFonts w:ascii="Arial" w:hAnsi="Arial" w:cs="Arial"/>
                <w:b/>
                <w:bCs/>
                <w:sz w:val="22"/>
                <w:szCs w:val="22"/>
              </w:rPr>
              <w:t>Requirements Analysis</w:t>
            </w:r>
          </w:p>
        </w:tc>
        <w:tc>
          <w:tcPr>
            <w:tcW w:w="1000" w:type="pct"/>
          </w:tcPr>
          <w:p w14:paraId="5F7A5EEC" w14:textId="5F6C2CBF" w:rsidR="00E32576" w:rsidRPr="00027D54" w:rsidRDefault="0085201E" w:rsidP="00776CD3">
            <w:pPr>
              <w:spacing w:line="360" w:lineRule="auto"/>
              <w:jc w:val="both"/>
              <w:rPr>
                <w:rFonts w:ascii="Arial" w:hAnsi="Arial" w:cs="Arial"/>
                <w:sz w:val="22"/>
                <w:szCs w:val="22"/>
              </w:rPr>
            </w:pPr>
            <w:r w:rsidRPr="00027D54">
              <w:rPr>
                <w:rFonts w:ascii="Arial" w:hAnsi="Arial" w:cs="Arial"/>
                <w:sz w:val="22"/>
                <w:szCs w:val="22"/>
              </w:rPr>
              <w:t>Process mapping, GDPR checks</w:t>
            </w:r>
            <w:r w:rsidR="00A05922" w:rsidRPr="00027D54">
              <w:rPr>
                <w:rFonts w:ascii="Arial" w:hAnsi="Arial" w:cs="Arial"/>
                <w:sz w:val="22"/>
                <w:szCs w:val="22"/>
              </w:rPr>
              <w:t>.</w:t>
            </w:r>
          </w:p>
        </w:tc>
        <w:tc>
          <w:tcPr>
            <w:tcW w:w="1000" w:type="pct"/>
          </w:tcPr>
          <w:p w14:paraId="74986031" w14:textId="43CD120A" w:rsidR="00E32576" w:rsidRPr="00027D54" w:rsidRDefault="0085201E" w:rsidP="00776CD3">
            <w:pPr>
              <w:spacing w:line="360" w:lineRule="auto"/>
              <w:jc w:val="both"/>
              <w:rPr>
                <w:rFonts w:ascii="Arial" w:hAnsi="Arial" w:cs="Arial"/>
                <w:sz w:val="22"/>
                <w:szCs w:val="22"/>
              </w:rPr>
            </w:pPr>
            <w:r w:rsidRPr="00027D54">
              <w:rPr>
                <w:rFonts w:ascii="Arial" w:hAnsi="Arial" w:cs="Arial"/>
                <w:sz w:val="22"/>
                <w:szCs w:val="22"/>
              </w:rPr>
              <w:t>2–4 weeks</w:t>
            </w:r>
            <w:r w:rsidR="00A05922" w:rsidRPr="00027D54">
              <w:rPr>
                <w:rFonts w:ascii="Arial" w:hAnsi="Arial" w:cs="Arial"/>
                <w:sz w:val="22"/>
                <w:szCs w:val="22"/>
              </w:rPr>
              <w:t>.</w:t>
            </w:r>
          </w:p>
        </w:tc>
        <w:tc>
          <w:tcPr>
            <w:tcW w:w="1000" w:type="pct"/>
          </w:tcPr>
          <w:p w14:paraId="14AF3D8D" w14:textId="2D39D9E2" w:rsidR="00E32576" w:rsidRPr="00027D54" w:rsidRDefault="0085201E" w:rsidP="00776CD3">
            <w:pPr>
              <w:spacing w:line="360" w:lineRule="auto"/>
              <w:jc w:val="both"/>
              <w:rPr>
                <w:rFonts w:ascii="Arial" w:hAnsi="Arial" w:cs="Arial"/>
                <w:sz w:val="22"/>
                <w:szCs w:val="22"/>
              </w:rPr>
            </w:pPr>
            <w:r w:rsidRPr="00027D54">
              <w:rPr>
                <w:rFonts w:ascii="Arial" w:hAnsi="Arial" w:cs="Arial"/>
                <w:sz w:val="22"/>
                <w:szCs w:val="22"/>
              </w:rPr>
              <w:t>Project Manager</w:t>
            </w:r>
            <w:r w:rsidR="00A05922" w:rsidRPr="00027D54">
              <w:rPr>
                <w:rFonts w:ascii="Arial" w:hAnsi="Arial" w:cs="Arial"/>
                <w:sz w:val="22"/>
                <w:szCs w:val="22"/>
              </w:rPr>
              <w:t>.</w:t>
            </w:r>
          </w:p>
        </w:tc>
        <w:tc>
          <w:tcPr>
            <w:tcW w:w="1000" w:type="pct"/>
          </w:tcPr>
          <w:p w14:paraId="21D9068B" w14:textId="74981B02" w:rsidR="00E32576" w:rsidRPr="00027D54" w:rsidRDefault="00A05922" w:rsidP="00776CD3">
            <w:pPr>
              <w:spacing w:line="360" w:lineRule="auto"/>
              <w:jc w:val="both"/>
              <w:rPr>
                <w:rFonts w:ascii="Arial" w:hAnsi="Arial" w:cs="Arial"/>
                <w:sz w:val="22"/>
                <w:szCs w:val="22"/>
              </w:rPr>
            </w:pPr>
            <w:r w:rsidRPr="00027D54">
              <w:rPr>
                <w:rFonts w:ascii="Arial" w:hAnsi="Arial" w:cs="Arial"/>
                <w:sz w:val="22"/>
                <w:szCs w:val="22"/>
              </w:rPr>
              <w:t>Alignment reduces redesign risk.</w:t>
            </w:r>
          </w:p>
        </w:tc>
      </w:tr>
      <w:tr w:rsidR="00E32576" w:rsidRPr="00027D54" w14:paraId="34C0EF04" w14:textId="77777777" w:rsidTr="00E32576">
        <w:tc>
          <w:tcPr>
            <w:tcW w:w="1000" w:type="pct"/>
          </w:tcPr>
          <w:p w14:paraId="3882B484" w14:textId="4AC64AF6" w:rsidR="00E32576" w:rsidRPr="00027D54" w:rsidRDefault="00E32576" w:rsidP="00776CD3">
            <w:pPr>
              <w:spacing w:line="360" w:lineRule="auto"/>
              <w:jc w:val="both"/>
              <w:rPr>
                <w:rFonts w:ascii="Arial" w:hAnsi="Arial" w:cs="Arial"/>
                <w:b/>
                <w:bCs/>
                <w:sz w:val="22"/>
                <w:szCs w:val="22"/>
              </w:rPr>
            </w:pPr>
            <w:r w:rsidRPr="00027D54">
              <w:rPr>
                <w:rFonts w:ascii="Arial" w:hAnsi="Arial" w:cs="Arial"/>
                <w:b/>
                <w:bCs/>
                <w:sz w:val="22"/>
                <w:szCs w:val="22"/>
              </w:rPr>
              <w:t>System Selection</w:t>
            </w:r>
          </w:p>
        </w:tc>
        <w:tc>
          <w:tcPr>
            <w:tcW w:w="1000" w:type="pct"/>
          </w:tcPr>
          <w:p w14:paraId="09540007" w14:textId="53FD9452" w:rsidR="00E32576" w:rsidRPr="00027D54" w:rsidRDefault="0085201E" w:rsidP="00776CD3">
            <w:pPr>
              <w:spacing w:line="360" w:lineRule="auto"/>
              <w:jc w:val="both"/>
              <w:rPr>
                <w:rFonts w:ascii="Arial" w:hAnsi="Arial" w:cs="Arial"/>
                <w:sz w:val="22"/>
                <w:szCs w:val="22"/>
              </w:rPr>
            </w:pPr>
            <w:r w:rsidRPr="00027D54">
              <w:rPr>
                <w:rFonts w:ascii="Arial" w:hAnsi="Arial" w:cs="Arial"/>
                <w:sz w:val="22"/>
                <w:szCs w:val="22"/>
              </w:rPr>
              <w:t>Vendor comparison</w:t>
            </w:r>
            <w:r w:rsidR="00A05922" w:rsidRPr="00027D54">
              <w:rPr>
                <w:rFonts w:ascii="Arial" w:hAnsi="Arial" w:cs="Arial"/>
                <w:sz w:val="22"/>
                <w:szCs w:val="22"/>
              </w:rPr>
              <w:t>.</w:t>
            </w:r>
          </w:p>
        </w:tc>
        <w:tc>
          <w:tcPr>
            <w:tcW w:w="1000" w:type="pct"/>
          </w:tcPr>
          <w:p w14:paraId="7691B85F" w14:textId="422FEE12" w:rsidR="00E32576" w:rsidRPr="00027D54" w:rsidRDefault="0085201E" w:rsidP="00776CD3">
            <w:pPr>
              <w:spacing w:line="360" w:lineRule="auto"/>
              <w:jc w:val="both"/>
              <w:rPr>
                <w:rFonts w:ascii="Arial" w:hAnsi="Arial" w:cs="Arial"/>
                <w:sz w:val="22"/>
                <w:szCs w:val="22"/>
              </w:rPr>
            </w:pPr>
            <w:r w:rsidRPr="00027D54">
              <w:rPr>
                <w:rFonts w:ascii="Arial" w:hAnsi="Arial" w:cs="Arial"/>
                <w:sz w:val="22"/>
                <w:szCs w:val="22"/>
              </w:rPr>
              <w:t>3–4 weeks</w:t>
            </w:r>
            <w:r w:rsidR="00A05922" w:rsidRPr="00027D54">
              <w:rPr>
                <w:rFonts w:ascii="Arial" w:hAnsi="Arial" w:cs="Arial"/>
                <w:sz w:val="22"/>
                <w:szCs w:val="22"/>
              </w:rPr>
              <w:t>.</w:t>
            </w:r>
          </w:p>
        </w:tc>
        <w:tc>
          <w:tcPr>
            <w:tcW w:w="1000" w:type="pct"/>
          </w:tcPr>
          <w:p w14:paraId="4F5B1EAE" w14:textId="1F687B2F" w:rsidR="00E32576" w:rsidRPr="00027D54" w:rsidRDefault="0085201E" w:rsidP="00776CD3">
            <w:pPr>
              <w:spacing w:line="360" w:lineRule="auto"/>
              <w:jc w:val="both"/>
              <w:rPr>
                <w:rFonts w:ascii="Arial" w:hAnsi="Arial" w:cs="Arial"/>
                <w:sz w:val="22"/>
                <w:szCs w:val="22"/>
              </w:rPr>
            </w:pPr>
            <w:r w:rsidRPr="00027D54">
              <w:rPr>
                <w:rFonts w:ascii="Arial" w:hAnsi="Arial" w:cs="Arial"/>
                <w:sz w:val="22"/>
                <w:szCs w:val="22"/>
              </w:rPr>
              <w:t>Steering Committee</w:t>
            </w:r>
            <w:r w:rsidR="00A05922" w:rsidRPr="00027D54">
              <w:rPr>
                <w:rFonts w:ascii="Arial" w:hAnsi="Arial" w:cs="Arial"/>
                <w:sz w:val="22"/>
                <w:szCs w:val="22"/>
              </w:rPr>
              <w:t>.</w:t>
            </w:r>
          </w:p>
        </w:tc>
        <w:tc>
          <w:tcPr>
            <w:tcW w:w="1000" w:type="pct"/>
          </w:tcPr>
          <w:p w14:paraId="75B4D0F3" w14:textId="064A89E0" w:rsidR="00E32576" w:rsidRPr="00027D54" w:rsidRDefault="00A05922" w:rsidP="00776CD3">
            <w:pPr>
              <w:spacing w:line="360" w:lineRule="auto"/>
              <w:jc w:val="both"/>
              <w:rPr>
                <w:rFonts w:ascii="Arial" w:hAnsi="Arial" w:cs="Arial"/>
                <w:sz w:val="22"/>
                <w:szCs w:val="22"/>
              </w:rPr>
            </w:pPr>
            <w:r w:rsidRPr="00027D54">
              <w:rPr>
                <w:rFonts w:ascii="Arial" w:hAnsi="Arial" w:cs="Arial"/>
                <w:sz w:val="22"/>
                <w:szCs w:val="22"/>
              </w:rPr>
              <w:t>Ensures scalable long-term fit.</w:t>
            </w:r>
          </w:p>
        </w:tc>
      </w:tr>
      <w:tr w:rsidR="00E32576" w:rsidRPr="00027D54" w14:paraId="457C1C83" w14:textId="77777777" w:rsidTr="00E32576">
        <w:tc>
          <w:tcPr>
            <w:tcW w:w="1000" w:type="pct"/>
          </w:tcPr>
          <w:p w14:paraId="689E464A" w14:textId="41B20F80" w:rsidR="00E32576" w:rsidRPr="00027D54" w:rsidRDefault="00E32576" w:rsidP="00776CD3">
            <w:pPr>
              <w:spacing w:line="360" w:lineRule="auto"/>
              <w:jc w:val="both"/>
              <w:rPr>
                <w:rFonts w:ascii="Arial" w:hAnsi="Arial" w:cs="Arial"/>
                <w:b/>
                <w:bCs/>
                <w:sz w:val="22"/>
                <w:szCs w:val="22"/>
              </w:rPr>
            </w:pPr>
            <w:r w:rsidRPr="00027D54">
              <w:rPr>
                <w:rFonts w:ascii="Arial" w:hAnsi="Arial" w:cs="Arial"/>
                <w:b/>
                <w:bCs/>
                <w:sz w:val="22"/>
                <w:szCs w:val="22"/>
              </w:rPr>
              <w:t>Configuration &amp; Migration</w:t>
            </w:r>
          </w:p>
        </w:tc>
        <w:tc>
          <w:tcPr>
            <w:tcW w:w="1000" w:type="pct"/>
          </w:tcPr>
          <w:p w14:paraId="1AFB7CEC" w14:textId="0A510441" w:rsidR="00E32576" w:rsidRPr="00027D54" w:rsidRDefault="0085201E" w:rsidP="00776CD3">
            <w:pPr>
              <w:spacing w:line="360" w:lineRule="auto"/>
              <w:jc w:val="both"/>
              <w:rPr>
                <w:rFonts w:ascii="Arial" w:hAnsi="Arial" w:cs="Arial"/>
                <w:sz w:val="22"/>
                <w:szCs w:val="22"/>
              </w:rPr>
            </w:pPr>
            <w:r w:rsidRPr="00027D54">
              <w:rPr>
                <w:rFonts w:ascii="Arial" w:hAnsi="Arial" w:cs="Arial"/>
                <w:sz w:val="22"/>
                <w:szCs w:val="22"/>
              </w:rPr>
              <w:t>System setup, data cleaning</w:t>
            </w:r>
            <w:r w:rsidR="00A05922" w:rsidRPr="00027D54">
              <w:rPr>
                <w:rFonts w:ascii="Arial" w:hAnsi="Arial" w:cs="Arial"/>
                <w:sz w:val="22"/>
                <w:szCs w:val="22"/>
              </w:rPr>
              <w:t>.</w:t>
            </w:r>
          </w:p>
        </w:tc>
        <w:tc>
          <w:tcPr>
            <w:tcW w:w="1000" w:type="pct"/>
          </w:tcPr>
          <w:p w14:paraId="3CF41CC3" w14:textId="2ECC5B2A" w:rsidR="00E32576" w:rsidRPr="00027D54" w:rsidRDefault="0085201E" w:rsidP="00776CD3">
            <w:pPr>
              <w:spacing w:line="360" w:lineRule="auto"/>
              <w:jc w:val="both"/>
              <w:rPr>
                <w:rFonts w:ascii="Arial" w:hAnsi="Arial" w:cs="Arial"/>
                <w:sz w:val="22"/>
                <w:szCs w:val="22"/>
              </w:rPr>
            </w:pPr>
            <w:r w:rsidRPr="00027D54">
              <w:rPr>
                <w:rFonts w:ascii="Arial" w:hAnsi="Arial" w:cs="Arial"/>
                <w:sz w:val="22"/>
                <w:szCs w:val="22"/>
              </w:rPr>
              <w:t>8–12 weeks</w:t>
            </w:r>
            <w:r w:rsidR="00A05922" w:rsidRPr="00027D54">
              <w:rPr>
                <w:rFonts w:ascii="Arial" w:hAnsi="Arial" w:cs="Arial"/>
                <w:sz w:val="22"/>
                <w:szCs w:val="22"/>
              </w:rPr>
              <w:t>.</w:t>
            </w:r>
          </w:p>
        </w:tc>
        <w:tc>
          <w:tcPr>
            <w:tcW w:w="1000" w:type="pct"/>
          </w:tcPr>
          <w:p w14:paraId="7C003310" w14:textId="484B559A" w:rsidR="00E32576" w:rsidRPr="00027D54" w:rsidRDefault="0085201E" w:rsidP="00776CD3">
            <w:pPr>
              <w:spacing w:line="360" w:lineRule="auto"/>
              <w:jc w:val="both"/>
              <w:rPr>
                <w:rFonts w:ascii="Arial" w:hAnsi="Arial" w:cs="Arial"/>
                <w:sz w:val="22"/>
                <w:szCs w:val="22"/>
              </w:rPr>
            </w:pPr>
            <w:r w:rsidRPr="00027D54">
              <w:rPr>
                <w:rFonts w:ascii="Arial" w:hAnsi="Arial" w:cs="Arial"/>
                <w:sz w:val="22"/>
                <w:szCs w:val="22"/>
              </w:rPr>
              <w:t>IT Team &amp; External Consultants</w:t>
            </w:r>
            <w:r w:rsidR="00A05922" w:rsidRPr="00027D54">
              <w:rPr>
                <w:rFonts w:ascii="Arial" w:hAnsi="Arial" w:cs="Arial"/>
                <w:sz w:val="22"/>
                <w:szCs w:val="22"/>
              </w:rPr>
              <w:t>.</w:t>
            </w:r>
          </w:p>
        </w:tc>
        <w:tc>
          <w:tcPr>
            <w:tcW w:w="1000" w:type="pct"/>
          </w:tcPr>
          <w:p w14:paraId="2EB3DEEE" w14:textId="0D1FD947" w:rsidR="00E32576" w:rsidRPr="00027D54" w:rsidRDefault="00A05922" w:rsidP="00776CD3">
            <w:pPr>
              <w:spacing w:line="360" w:lineRule="auto"/>
              <w:jc w:val="both"/>
              <w:rPr>
                <w:rFonts w:ascii="Arial" w:hAnsi="Arial" w:cs="Arial"/>
                <w:sz w:val="22"/>
                <w:szCs w:val="22"/>
              </w:rPr>
            </w:pPr>
            <w:r w:rsidRPr="00027D54">
              <w:rPr>
                <w:rFonts w:ascii="Arial" w:hAnsi="Arial" w:cs="Arial"/>
                <w:sz w:val="22"/>
                <w:szCs w:val="22"/>
              </w:rPr>
              <w:t>Prevents data loss and errors.</w:t>
            </w:r>
          </w:p>
        </w:tc>
      </w:tr>
      <w:tr w:rsidR="00E32576" w:rsidRPr="00027D54" w14:paraId="36689D59" w14:textId="77777777" w:rsidTr="00E32576">
        <w:tc>
          <w:tcPr>
            <w:tcW w:w="1000" w:type="pct"/>
          </w:tcPr>
          <w:p w14:paraId="455EB571" w14:textId="76E32FF1" w:rsidR="00E32576" w:rsidRPr="00027D54" w:rsidRDefault="00E32576" w:rsidP="00776CD3">
            <w:pPr>
              <w:spacing w:line="360" w:lineRule="auto"/>
              <w:jc w:val="both"/>
              <w:rPr>
                <w:rFonts w:ascii="Arial" w:hAnsi="Arial" w:cs="Arial"/>
                <w:b/>
                <w:bCs/>
                <w:sz w:val="22"/>
                <w:szCs w:val="22"/>
              </w:rPr>
            </w:pPr>
            <w:r w:rsidRPr="00027D54">
              <w:rPr>
                <w:rFonts w:ascii="Arial" w:hAnsi="Arial" w:cs="Arial"/>
                <w:b/>
                <w:bCs/>
                <w:sz w:val="22"/>
                <w:szCs w:val="22"/>
              </w:rPr>
              <w:t>Training</w:t>
            </w:r>
          </w:p>
        </w:tc>
        <w:tc>
          <w:tcPr>
            <w:tcW w:w="1000" w:type="pct"/>
          </w:tcPr>
          <w:p w14:paraId="5D638073" w14:textId="611CF413" w:rsidR="00E32576" w:rsidRPr="00027D54" w:rsidRDefault="0085201E" w:rsidP="00776CD3">
            <w:pPr>
              <w:spacing w:line="360" w:lineRule="auto"/>
              <w:jc w:val="both"/>
              <w:rPr>
                <w:rFonts w:ascii="Arial" w:hAnsi="Arial" w:cs="Arial"/>
                <w:sz w:val="22"/>
                <w:szCs w:val="22"/>
              </w:rPr>
            </w:pPr>
            <w:r w:rsidRPr="00027D54">
              <w:rPr>
                <w:rFonts w:ascii="Arial" w:hAnsi="Arial" w:cs="Arial"/>
                <w:sz w:val="22"/>
                <w:szCs w:val="22"/>
              </w:rPr>
              <w:t>Role-based learning sessions</w:t>
            </w:r>
            <w:r w:rsidR="00A05922" w:rsidRPr="00027D54">
              <w:rPr>
                <w:rFonts w:ascii="Arial" w:hAnsi="Arial" w:cs="Arial"/>
                <w:sz w:val="22"/>
                <w:szCs w:val="22"/>
              </w:rPr>
              <w:t>.</w:t>
            </w:r>
          </w:p>
        </w:tc>
        <w:tc>
          <w:tcPr>
            <w:tcW w:w="1000" w:type="pct"/>
          </w:tcPr>
          <w:p w14:paraId="4D4391CB" w14:textId="70D22110" w:rsidR="00E32576" w:rsidRPr="00027D54" w:rsidRDefault="0085201E" w:rsidP="00776CD3">
            <w:pPr>
              <w:spacing w:line="360" w:lineRule="auto"/>
              <w:jc w:val="both"/>
              <w:rPr>
                <w:rFonts w:ascii="Arial" w:hAnsi="Arial" w:cs="Arial"/>
                <w:sz w:val="22"/>
                <w:szCs w:val="22"/>
              </w:rPr>
            </w:pPr>
            <w:r w:rsidRPr="00027D54">
              <w:rPr>
                <w:rFonts w:ascii="Arial" w:hAnsi="Arial" w:cs="Arial"/>
                <w:sz w:val="22"/>
                <w:szCs w:val="22"/>
              </w:rPr>
              <w:t>2–3 weeks</w:t>
            </w:r>
            <w:r w:rsidR="00A05922" w:rsidRPr="00027D54">
              <w:rPr>
                <w:rFonts w:ascii="Arial" w:hAnsi="Arial" w:cs="Arial"/>
                <w:sz w:val="22"/>
                <w:szCs w:val="22"/>
              </w:rPr>
              <w:t>.</w:t>
            </w:r>
          </w:p>
        </w:tc>
        <w:tc>
          <w:tcPr>
            <w:tcW w:w="1000" w:type="pct"/>
          </w:tcPr>
          <w:p w14:paraId="343D06AB" w14:textId="13341489" w:rsidR="00E32576" w:rsidRPr="00027D54" w:rsidRDefault="0085201E" w:rsidP="00776CD3">
            <w:pPr>
              <w:spacing w:line="360" w:lineRule="auto"/>
              <w:jc w:val="both"/>
              <w:rPr>
                <w:rFonts w:ascii="Arial" w:hAnsi="Arial" w:cs="Arial"/>
                <w:sz w:val="22"/>
                <w:szCs w:val="22"/>
              </w:rPr>
            </w:pPr>
            <w:r w:rsidRPr="00027D54">
              <w:rPr>
                <w:rFonts w:ascii="Arial" w:hAnsi="Arial" w:cs="Arial"/>
                <w:sz w:val="22"/>
                <w:szCs w:val="22"/>
              </w:rPr>
              <w:t>Training Team</w:t>
            </w:r>
            <w:r w:rsidR="00A05922" w:rsidRPr="00027D54">
              <w:rPr>
                <w:rFonts w:ascii="Arial" w:hAnsi="Arial" w:cs="Arial"/>
                <w:sz w:val="22"/>
                <w:szCs w:val="22"/>
              </w:rPr>
              <w:t>.</w:t>
            </w:r>
          </w:p>
        </w:tc>
        <w:tc>
          <w:tcPr>
            <w:tcW w:w="1000" w:type="pct"/>
          </w:tcPr>
          <w:p w14:paraId="24359382" w14:textId="19DF3497" w:rsidR="00E32576" w:rsidRPr="00027D54" w:rsidRDefault="00A05922" w:rsidP="00776CD3">
            <w:pPr>
              <w:spacing w:line="360" w:lineRule="auto"/>
              <w:jc w:val="both"/>
              <w:rPr>
                <w:rFonts w:ascii="Arial" w:hAnsi="Arial" w:cs="Arial"/>
                <w:sz w:val="22"/>
                <w:szCs w:val="22"/>
              </w:rPr>
            </w:pPr>
            <w:r w:rsidRPr="00027D54">
              <w:rPr>
                <w:rFonts w:ascii="Arial" w:hAnsi="Arial" w:cs="Arial"/>
                <w:sz w:val="22"/>
                <w:szCs w:val="22"/>
              </w:rPr>
              <w:t>Improves system adoption.</w:t>
            </w:r>
          </w:p>
        </w:tc>
      </w:tr>
      <w:tr w:rsidR="00E32576" w:rsidRPr="00027D54" w14:paraId="36747694" w14:textId="77777777" w:rsidTr="00E32576">
        <w:tc>
          <w:tcPr>
            <w:tcW w:w="1000" w:type="pct"/>
          </w:tcPr>
          <w:p w14:paraId="66691EDF" w14:textId="0DAC8FE1" w:rsidR="00E32576" w:rsidRPr="00027D54" w:rsidRDefault="00E32576" w:rsidP="00776CD3">
            <w:pPr>
              <w:spacing w:line="360" w:lineRule="auto"/>
              <w:jc w:val="both"/>
              <w:rPr>
                <w:rFonts w:ascii="Arial" w:hAnsi="Arial" w:cs="Arial"/>
                <w:b/>
                <w:bCs/>
                <w:sz w:val="22"/>
                <w:szCs w:val="22"/>
              </w:rPr>
            </w:pPr>
            <w:r w:rsidRPr="00027D54">
              <w:rPr>
                <w:rFonts w:ascii="Arial" w:hAnsi="Arial" w:cs="Arial"/>
                <w:b/>
                <w:bCs/>
                <w:sz w:val="22"/>
                <w:szCs w:val="22"/>
              </w:rPr>
              <w:t>Pilot</w:t>
            </w:r>
          </w:p>
        </w:tc>
        <w:tc>
          <w:tcPr>
            <w:tcW w:w="1000" w:type="pct"/>
          </w:tcPr>
          <w:p w14:paraId="69D22C0C" w14:textId="50047761" w:rsidR="00E32576" w:rsidRPr="00027D54" w:rsidRDefault="0085201E" w:rsidP="00776CD3">
            <w:pPr>
              <w:spacing w:line="360" w:lineRule="auto"/>
              <w:jc w:val="both"/>
              <w:rPr>
                <w:rFonts w:ascii="Arial" w:hAnsi="Arial" w:cs="Arial"/>
                <w:sz w:val="22"/>
                <w:szCs w:val="22"/>
              </w:rPr>
            </w:pPr>
            <w:r w:rsidRPr="00027D54">
              <w:rPr>
                <w:rFonts w:ascii="Arial" w:hAnsi="Arial" w:cs="Arial"/>
                <w:sz w:val="22"/>
                <w:szCs w:val="22"/>
              </w:rPr>
              <w:t>Testing in 1–2 stores</w:t>
            </w:r>
            <w:r w:rsidR="00A05922" w:rsidRPr="00027D54">
              <w:rPr>
                <w:rFonts w:ascii="Arial" w:hAnsi="Arial" w:cs="Arial"/>
                <w:sz w:val="22"/>
                <w:szCs w:val="22"/>
              </w:rPr>
              <w:t>.</w:t>
            </w:r>
          </w:p>
        </w:tc>
        <w:tc>
          <w:tcPr>
            <w:tcW w:w="1000" w:type="pct"/>
          </w:tcPr>
          <w:p w14:paraId="3EF0BCCC" w14:textId="56649323" w:rsidR="00E32576" w:rsidRPr="00027D54" w:rsidRDefault="0085201E" w:rsidP="00776CD3">
            <w:pPr>
              <w:spacing w:line="360" w:lineRule="auto"/>
              <w:jc w:val="both"/>
              <w:rPr>
                <w:rFonts w:ascii="Arial" w:hAnsi="Arial" w:cs="Arial"/>
                <w:sz w:val="22"/>
                <w:szCs w:val="22"/>
              </w:rPr>
            </w:pPr>
            <w:r w:rsidRPr="00027D54">
              <w:rPr>
                <w:rFonts w:ascii="Arial" w:hAnsi="Arial" w:cs="Arial"/>
                <w:sz w:val="22"/>
                <w:szCs w:val="22"/>
              </w:rPr>
              <w:t>2 weeks</w:t>
            </w:r>
            <w:r w:rsidR="00A05922" w:rsidRPr="00027D54">
              <w:rPr>
                <w:rFonts w:ascii="Arial" w:hAnsi="Arial" w:cs="Arial"/>
                <w:sz w:val="22"/>
                <w:szCs w:val="22"/>
              </w:rPr>
              <w:t>.</w:t>
            </w:r>
          </w:p>
        </w:tc>
        <w:tc>
          <w:tcPr>
            <w:tcW w:w="1000" w:type="pct"/>
          </w:tcPr>
          <w:p w14:paraId="3487C24A" w14:textId="6B6D89D1" w:rsidR="00E32576" w:rsidRPr="00027D54" w:rsidRDefault="0085201E" w:rsidP="00776CD3">
            <w:pPr>
              <w:spacing w:line="360" w:lineRule="auto"/>
              <w:jc w:val="both"/>
              <w:rPr>
                <w:rFonts w:ascii="Arial" w:hAnsi="Arial" w:cs="Arial"/>
                <w:sz w:val="22"/>
                <w:szCs w:val="22"/>
              </w:rPr>
            </w:pPr>
            <w:r w:rsidRPr="00027D54">
              <w:rPr>
                <w:rFonts w:ascii="Arial" w:hAnsi="Arial" w:cs="Arial"/>
                <w:sz w:val="22"/>
                <w:szCs w:val="22"/>
              </w:rPr>
              <w:t>IT &amp; Store Managers</w:t>
            </w:r>
            <w:r w:rsidR="00A05922" w:rsidRPr="00027D54">
              <w:rPr>
                <w:rFonts w:ascii="Arial" w:hAnsi="Arial" w:cs="Arial"/>
                <w:sz w:val="22"/>
                <w:szCs w:val="22"/>
              </w:rPr>
              <w:t>.</w:t>
            </w:r>
          </w:p>
        </w:tc>
        <w:tc>
          <w:tcPr>
            <w:tcW w:w="1000" w:type="pct"/>
          </w:tcPr>
          <w:p w14:paraId="5735651A" w14:textId="606EBC20" w:rsidR="00E32576" w:rsidRPr="00027D54" w:rsidRDefault="00A05922" w:rsidP="00776CD3">
            <w:pPr>
              <w:spacing w:line="360" w:lineRule="auto"/>
              <w:jc w:val="both"/>
              <w:rPr>
                <w:rFonts w:ascii="Arial" w:hAnsi="Arial" w:cs="Arial"/>
                <w:sz w:val="22"/>
                <w:szCs w:val="22"/>
              </w:rPr>
            </w:pPr>
            <w:r w:rsidRPr="00027D54">
              <w:rPr>
                <w:rFonts w:ascii="Arial" w:hAnsi="Arial" w:cs="Arial"/>
                <w:sz w:val="22"/>
                <w:szCs w:val="22"/>
              </w:rPr>
              <w:t>Validates the system before full rollout.</w:t>
            </w:r>
          </w:p>
        </w:tc>
      </w:tr>
      <w:tr w:rsidR="00E32576" w:rsidRPr="00027D54" w14:paraId="7D2C3C37" w14:textId="77777777" w:rsidTr="00E32576">
        <w:tc>
          <w:tcPr>
            <w:tcW w:w="1000" w:type="pct"/>
          </w:tcPr>
          <w:p w14:paraId="2CF5E754" w14:textId="13D53544" w:rsidR="00E32576" w:rsidRPr="00027D54" w:rsidRDefault="00E32576" w:rsidP="00776CD3">
            <w:pPr>
              <w:spacing w:line="360" w:lineRule="auto"/>
              <w:jc w:val="both"/>
              <w:rPr>
                <w:rFonts w:ascii="Arial" w:hAnsi="Arial" w:cs="Arial"/>
                <w:b/>
                <w:bCs/>
                <w:sz w:val="22"/>
                <w:szCs w:val="22"/>
              </w:rPr>
            </w:pPr>
            <w:r w:rsidRPr="00027D54">
              <w:rPr>
                <w:rFonts w:ascii="Arial" w:hAnsi="Arial" w:cs="Arial"/>
                <w:b/>
                <w:bCs/>
                <w:sz w:val="22"/>
                <w:szCs w:val="22"/>
              </w:rPr>
              <w:t>Deployment</w:t>
            </w:r>
          </w:p>
        </w:tc>
        <w:tc>
          <w:tcPr>
            <w:tcW w:w="1000" w:type="pct"/>
          </w:tcPr>
          <w:p w14:paraId="70B85A01" w14:textId="644D0A8A" w:rsidR="00E32576" w:rsidRPr="00027D54" w:rsidRDefault="0085201E" w:rsidP="00776CD3">
            <w:pPr>
              <w:spacing w:line="360" w:lineRule="auto"/>
              <w:jc w:val="both"/>
              <w:rPr>
                <w:rFonts w:ascii="Arial" w:hAnsi="Arial" w:cs="Arial"/>
                <w:sz w:val="22"/>
                <w:szCs w:val="22"/>
              </w:rPr>
            </w:pPr>
            <w:r w:rsidRPr="00027D54">
              <w:rPr>
                <w:rFonts w:ascii="Arial" w:hAnsi="Arial" w:cs="Arial"/>
                <w:sz w:val="22"/>
                <w:szCs w:val="22"/>
              </w:rPr>
              <w:t>Company-wide rollout</w:t>
            </w:r>
            <w:r w:rsidR="00A05922" w:rsidRPr="00027D54">
              <w:rPr>
                <w:rFonts w:ascii="Arial" w:hAnsi="Arial" w:cs="Arial"/>
                <w:sz w:val="22"/>
                <w:szCs w:val="22"/>
              </w:rPr>
              <w:t>.</w:t>
            </w:r>
          </w:p>
        </w:tc>
        <w:tc>
          <w:tcPr>
            <w:tcW w:w="1000" w:type="pct"/>
          </w:tcPr>
          <w:p w14:paraId="6B61C60E" w14:textId="7A9A3475" w:rsidR="00E32576" w:rsidRPr="00027D54" w:rsidRDefault="0085201E" w:rsidP="00776CD3">
            <w:pPr>
              <w:spacing w:line="360" w:lineRule="auto"/>
              <w:jc w:val="both"/>
              <w:rPr>
                <w:rFonts w:ascii="Arial" w:hAnsi="Arial" w:cs="Arial"/>
                <w:sz w:val="22"/>
                <w:szCs w:val="22"/>
              </w:rPr>
            </w:pPr>
            <w:r w:rsidRPr="00027D54">
              <w:rPr>
                <w:rFonts w:ascii="Arial" w:hAnsi="Arial" w:cs="Arial"/>
                <w:sz w:val="22"/>
                <w:szCs w:val="22"/>
              </w:rPr>
              <w:t>2–4 weeks</w:t>
            </w:r>
            <w:r w:rsidR="00A05922" w:rsidRPr="00027D54">
              <w:rPr>
                <w:rFonts w:ascii="Arial" w:hAnsi="Arial" w:cs="Arial"/>
                <w:sz w:val="22"/>
                <w:szCs w:val="22"/>
              </w:rPr>
              <w:t>.</w:t>
            </w:r>
          </w:p>
        </w:tc>
        <w:tc>
          <w:tcPr>
            <w:tcW w:w="1000" w:type="pct"/>
          </w:tcPr>
          <w:p w14:paraId="20F8044B" w14:textId="08DB7507" w:rsidR="00E32576" w:rsidRPr="00027D54" w:rsidRDefault="0085201E" w:rsidP="00776CD3">
            <w:pPr>
              <w:spacing w:line="360" w:lineRule="auto"/>
              <w:jc w:val="both"/>
              <w:rPr>
                <w:rFonts w:ascii="Arial" w:hAnsi="Arial" w:cs="Arial"/>
                <w:sz w:val="22"/>
                <w:szCs w:val="22"/>
              </w:rPr>
            </w:pPr>
            <w:r w:rsidRPr="00027D54">
              <w:rPr>
                <w:rFonts w:ascii="Arial" w:hAnsi="Arial" w:cs="Arial"/>
                <w:sz w:val="22"/>
                <w:szCs w:val="22"/>
              </w:rPr>
              <w:t>IT Department</w:t>
            </w:r>
            <w:r w:rsidR="00A05922" w:rsidRPr="00027D54">
              <w:rPr>
                <w:rFonts w:ascii="Arial" w:hAnsi="Arial" w:cs="Arial"/>
                <w:sz w:val="22"/>
                <w:szCs w:val="22"/>
              </w:rPr>
              <w:t>.</w:t>
            </w:r>
          </w:p>
        </w:tc>
        <w:tc>
          <w:tcPr>
            <w:tcW w:w="1000" w:type="pct"/>
          </w:tcPr>
          <w:p w14:paraId="65C978CD" w14:textId="66253F38" w:rsidR="00E32576" w:rsidRPr="00027D54" w:rsidRDefault="00A05922" w:rsidP="00776CD3">
            <w:pPr>
              <w:spacing w:line="360" w:lineRule="auto"/>
              <w:jc w:val="both"/>
              <w:rPr>
                <w:rFonts w:ascii="Arial" w:hAnsi="Arial" w:cs="Arial"/>
                <w:sz w:val="22"/>
                <w:szCs w:val="22"/>
              </w:rPr>
            </w:pPr>
            <w:r w:rsidRPr="00027D54">
              <w:rPr>
                <w:rFonts w:ascii="Arial" w:hAnsi="Arial" w:cs="Arial"/>
                <w:sz w:val="22"/>
                <w:szCs w:val="22"/>
              </w:rPr>
              <w:t>Ensures stability across all sites.</w:t>
            </w:r>
          </w:p>
        </w:tc>
      </w:tr>
      <w:tr w:rsidR="00E32576" w:rsidRPr="00027D54" w14:paraId="72174636" w14:textId="77777777" w:rsidTr="00E32576">
        <w:tc>
          <w:tcPr>
            <w:tcW w:w="1000" w:type="pct"/>
          </w:tcPr>
          <w:p w14:paraId="250F11D4" w14:textId="1BD0E4CF" w:rsidR="00E32576" w:rsidRPr="00027D54" w:rsidRDefault="0085201E" w:rsidP="00776CD3">
            <w:pPr>
              <w:spacing w:line="360" w:lineRule="auto"/>
              <w:jc w:val="both"/>
              <w:rPr>
                <w:rFonts w:ascii="Arial" w:hAnsi="Arial" w:cs="Arial"/>
                <w:b/>
                <w:bCs/>
                <w:sz w:val="22"/>
                <w:szCs w:val="22"/>
              </w:rPr>
            </w:pPr>
            <w:r w:rsidRPr="00027D54">
              <w:rPr>
                <w:rFonts w:ascii="Arial" w:hAnsi="Arial" w:cs="Arial"/>
                <w:b/>
                <w:bCs/>
                <w:sz w:val="22"/>
                <w:szCs w:val="22"/>
              </w:rPr>
              <w:t>Review</w:t>
            </w:r>
          </w:p>
        </w:tc>
        <w:tc>
          <w:tcPr>
            <w:tcW w:w="1000" w:type="pct"/>
          </w:tcPr>
          <w:p w14:paraId="4E2BB1A1" w14:textId="3DF73198" w:rsidR="00E32576" w:rsidRPr="00027D54" w:rsidRDefault="0085201E" w:rsidP="00776CD3">
            <w:pPr>
              <w:spacing w:line="360" w:lineRule="auto"/>
              <w:jc w:val="both"/>
              <w:rPr>
                <w:rFonts w:ascii="Arial" w:hAnsi="Arial" w:cs="Arial"/>
                <w:sz w:val="22"/>
                <w:szCs w:val="22"/>
              </w:rPr>
            </w:pPr>
            <w:r w:rsidRPr="00027D54">
              <w:rPr>
                <w:rFonts w:ascii="Arial" w:hAnsi="Arial" w:cs="Arial"/>
                <w:sz w:val="22"/>
                <w:szCs w:val="22"/>
              </w:rPr>
              <w:t>KPI evaluation and feedback</w:t>
            </w:r>
            <w:r w:rsidR="00A05922" w:rsidRPr="00027D54">
              <w:rPr>
                <w:rFonts w:ascii="Arial" w:hAnsi="Arial" w:cs="Arial"/>
                <w:sz w:val="22"/>
                <w:szCs w:val="22"/>
              </w:rPr>
              <w:t>.</w:t>
            </w:r>
          </w:p>
        </w:tc>
        <w:tc>
          <w:tcPr>
            <w:tcW w:w="1000" w:type="pct"/>
          </w:tcPr>
          <w:p w14:paraId="7D4A4F7E" w14:textId="4F365D6C" w:rsidR="00E32576" w:rsidRPr="00027D54" w:rsidRDefault="0085201E" w:rsidP="00776CD3">
            <w:pPr>
              <w:spacing w:line="360" w:lineRule="auto"/>
              <w:jc w:val="both"/>
              <w:rPr>
                <w:rFonts w:ascii="Arial" w:hAnsi="Arial" w:cs="Arial"/>
                <w:sz w:val="22"/>
                <w:szCs w:val="22"/>
              </w:rPr>
            </w:pPr>
            <w:r w:rsidRPr="00027D54">
              <w:rPr>
                <w:rFonts w:ascii="Arial" w:hAnsi="Arial" w:cs="Arial"/>
                <w:sz w:val="22"/>
                <w:szCs w:val="22"/>
              </w:rPr>
              <w:t>2 weeks</w:t>
            </w:r>
            <w:r w:rsidR="00A05922" w:rsidRPr="00027D54">
              <w:rPr>
                <w:rFonts w:ascii="Arial" w:hAnsi="Arial" w:cs="Arial"/>
                <w:sz w:val="22"/>
                <w:szCs w:val="22"/>
              </w:rPr>
              <w:t>.</w:t>
            </w:r>
          </w:p>
        </w:tc>
        <w:tc>
          <w:tcPr>
            <w:tcW w:w="1000" w:type="pct"/>
          </w:tcPr>
          <w:p w14:paraId="26D88518" w14:textId="73AAE3D4" w:rsidR="00E32576" w:rsidRPr="00027D54" w:rsidRDefault="0085201E" w:rsidP="00776CD3">
            <w:pPr>
              <w:spacing w:line="360" w:lineRule="auto"/>
              <w:jc w:val="both"/>
              <w:rPr>
                <w:rFonts w:ascii="Arial" w:hAnsi="Arial" w:cs="Arial"/>
                <w:sz w:val="22"/>
                <w:szCs w:val="22"/>
              </w:rPr>
            </w:pPr>
            <w:r w:rsidRPr="00027D54">
              <w:rPr>
                <w:rFonts w:ascii="Arial" w:hAnsi="Arial" w:cs="Arial"/>
                <w:sz w:val="22"/>
                <w:szCs w:val="22"/>
              </w:rPr>
              <w:t>Senior Management</w:t>
            </w:r>
            <w:r w:rsidR="00A05922" w:rsidRPr="00027D54">
              <w:rPr>
                <w:rFonts w:ascii="Arial" w:hAnsi="Arial" w:cs="Arial"/>
                <w:sz w:val="22"/>
                <w:szCs w:val="22"/>
              </w:rPr>
              <w:t>.</w:t>
            </w:r>
          </w:p>
        </w:tc>
        <w:tc>
          <w:tcPr>
            <w:tcW w:w="1000" w:type="pct"/>
          </w:tcPr>
          <w:p w14:paraId="5B76A7FC" w14:textId="7DF335EC" w:rsidR="00E32576" w:rsidRPr="00027D54" w:rsidRDefault="00A05922" w:rsidP="00776CD3">
            <w:pPr>
              <w:spacing w:line="360" w:lineRule="auto"/>
              <w:jc w:val="both"/>
              <w:rPr>
                <w:rFonts w:ascii="Arial" w:hAnsi="Arial" w:cs="Arial"/>
                <w:sz w:val="22"/>
                <w:szCs w:val="22"/>
              </w:rPr>
            </w:pPr>
            <w:r w:rsidRPr="00027D54">
              <w:rPr>
                <w:rFonts w:ascii="Arial" w:hAnsi="Arial" w:cs="Arial"/>
                <w:sz w:val="22"/>
                <w:szCs w:val="22"/>
              </w:rPr>
              <w:t>Confirms benefits are achieved.</w:t>
            </w:r>
          </w:p>
        </w:tc>
      </w:tr>
    </w:tbl>
    <w:p w14:paraId="0B8D5FE2" w14:textId="77777777" w:rsidR="00E32576" w:rsidRPr="00027D54" w:rsidRDefault="00E32576" w:rsidP="00776CD3">
      <w:pPr>
        <w:spacing w:line="360" w:lineRule="auto"/>
        <w:jc w:val="both"/>
        <w:rPr>
          <w:rFonts w:ascii="Arial" w:hAnsi="Arial" w:cs="Arial"/>
          <w:sz w:val="22"/>
          <w:szCs w:val="22"/>
        </w:rPr>
      </w:pPr>
    </w:p>
    <w:p w14:paraId="7B4B327E" w14:textId="77777777" w:rsidR="00463F7E" w:rsidRPr="00027D54" w:rsidRDefault="00463F7E" w:rsidP="00776CD3">
      <w:pPr>
        <w:spacing w:line="360" w:lineRule="auto"/>
        <w:jc w:val="both"/>
        <w:rPr>
          <w:rFonts w:ascii="Arial" w:hAnsi="Arial" w:cs="Arial"/>
          <w:b/>
          <w:bCs/>
          <w:sz w:val="22"/>
          <w:szCs w:val="22"/>
        </w:rPr>
      </w:pPr>
    </w:p>
    <w:p w14:paraId="51B9A0A3" w14:textId="77777777" w:rsidR="00463F7E" w:rsidRPr="00027D54" w:rsidRDefault="00463F7E" w:rsidP="00776CD3">
      <w:pPr>
        <w:spacing w:line="360" w:lineRule="auto"/>
        <w:jc w:val="both"/>
        <w:rPr>
          <w:rFonts w:ascii="Arial" w:hAnsi="Arial" w:cs="Arial"/>
          <w:b/>
          <w:bCs/>
          <w:sz w:val="22"/>
          <w:szCs w:val="22"/>
        </w:rPr>
      </w:pPr>
    </w:p>
    <w:p w14:paraId="17B4623B" w14:textId="77777777" w:rsidR="00463F7E" w:rsidRPr="00027D54" w:rsidRDefault="00463F7E" w:rsidP="00776CD3">
      <w:pPr>
        <w:spacing w:line="360" w:lineRule="auto"/>
        <w:jc w:val="both"/>
        <w:rPr>
          <w:rFonts w:ascii="Arial" w:hAnsi="Arial" w:cs="Arial"/>
          <w:b/>
          <w:bCs/>
          <w:sz w:val="22"/>
          <w:szCs w:val="22"/>
        </w:rPr>
      </w:pPr>
    </w:p>
    <w:p w14:paraId="0FE37D7F" w14:textId="77777777" w:rsidR="00463F7E" w:rsidRPr="00027D54" w:rsidRDefault="00463F7E" w:rsidP="00776CD3">
      <w:pPr>
        <w:spacing w:line="360" w:lineRule="auto"/>
        <w:jc w:val="both"/>
        <w:rPr>
          <w:rFonts w:ascii="Arial" w:hAnsi="Arial" w:cs="Arial"/>
          <w:b/>
          <w:bCs/>
          <w:sz w:val="22"/>
          <w:szCs w:val="22"/>
        </w:rPr>
      </w:pPr>
    </w:p>
    <w:p w14:paraId="14EB9986" w14:textId="7E29425A" w:rsidR="00A05922" w:rsidRPr="00027D54" w:rsidRDefault="003A77CF" w:rsidP="00776CD3">
      <w:pPr>
        <w:pStyle w:val="Heading1"/>
        <w:spacing w:line="360" w:lineRule="auto"/>
        <w:jc w:val="both"/>
        <w:rPr>
          <w:rFonts w:ascii="Arial" w:hAnsi="Arial" w:cs="Arial"/>
          <w:sz w:val="22"/>
          <w:szCs w:val="22"/>
        </w:rPr>
      </w:pPr>
      <w:bookmarkStart w:id="8" w:name="_Toc214038529"/>
      <w:bookmarkStart w:id="9" w:name="_Toc214038778"/>
      <w:r w:rsidRPr="00027D54">
        <w:rPr>
          <w:rFonts w:ascii="Arial" w:hAnsi="Arial" w:cs="Arial"/>
          <w:sz w:val="22"/>
          <w:szCs w:val="22"/>
        </w:rPr>
        <w:lastRenderedPageBreak/>
        <w:t>Section 5 – Conclusion</w:t>
      </w:r>
      <w:bookmarkEnd w:id="8"/>
      <w:bookmarkEnd w:id="9"/>
    </w:p>
    <w:p w14:paraId="10A059F6" w14:textId="77777777" w:rsidR="00A05922" w:rsidRPr="00027D54" w:rsidRDefault="003A77CF" w:rsidP="00776CD3">
      <w:pPr>
        <w:spacing w:line="360" w:lineRule="auto"/>
        <w:jc w:val="both"/>
        <w:rPr>
          <w:rFonts w:ascii="Arial" w:hAnsi="Arial" w:cs="Arial"/>
          <w:sz w:val="22"/>
          <w:szCs w:val="22"/>
        </w:rPr>
      </w:pPr>
      <w:r w:rsidRPr="00027D54">
        <w:rPr>
          <w:rFonts w:ascii="Arial" w:hAnsi="Arial" w:cs="Arial"/>
          <w:sz w:val="22"/>
          <w:szCs w:val="22"/>
        </w:rPr>
        <w:t xml:space="preserve">The evaluation of AKPerog Ltd.'s information systems </w:t>
      </w:r>
      <w:r w:rsidR="0085201E" w:rsidRPr="00027D54">
        <w:rPr>
          <w:rFonts w:ascii="Arial" w:hAnsi="Arial" w:cs="Arial"/>
          <w:sz w:val="22"/>
          <w:szCs w:val="22"/>
        </w:rPr>
        <w:t>highlights the urgent need for a unified and modernized digital infrastructure that can support</w:t>
      </w:r>
      <w:r w:rsidR="008E3F82" w:rsidRPr="00027D54">
        <w:rPr>
          <w:rFonts w:ascii="Arial" w:hAnsi="Arial" w:cs="Arial"/>
          <w:sz w:val="22"/>
          <w:szCs w:val="22"/>
        </w:rPr>
        <w:t xml:space="preserve"> the organization's</w:t>
      </w:r>
      <w:r w:rsidRPr="00027D54">
        <w:rPr>
          <w:rFonts w:ascii="Arial" w:hAnsi="Arial" w:cs="Arial"/>
          <w:sz w:val="22"/>
          <w:szCs w:val="22"/>
        </w:rPr>
        <w:t xml:space="preserve"> expanding operational landscape (Smith, 2022). The limitations identified across inventory management, customer relationship data, reporting mechanisms, and data governance reveal systemic inefficiencies that restrict the company's ability to maintain accuracy, efficiency, and competitiveness within the consumer electronics retail sector (Lee, 2021). </w:t>
      </w:r>
    </w:p>
    <w:p w14:paraId="1AA4F111" w14:textId="427B5608" w:rsidR="003A77CF" w:rsidRPr="00027D54" w:rsidRDefault="003A77CF" w:rsidP="00776CD3">
      <w:pPr>
        <w:spacing w:line="360" w:lineRule="auto"/>
        <w:jc w:val="both"/>
        <w:rPr>
          <w:rFonts w:ascii="Arial" w:hAnsi="Arial" w:cs="Arial"/>
          <w:sz w:val="22"/>
          <w:szCs w:val="22"/>
        </w:rPr>
      </w:pPr>
      <w:r w:rsidRPr="00027D54">
        <w:rPr>
          <w:rFonts w:ascii="Arial" w:hAnsi="Arial" w:cs="Arial"/>
          <w:sz w:val="22"/>
          <w:szCs w:val="22"/>
        </w:rPr>
        <w:t>The implementation of an Enterprise Resource Planning (ERP) system addresses these challenges by consolidating fragmented processes, enabling real-time visibility, strengthening analytical capabilities, and ensuring compliance with GDPR requirements (Adams &amp; Taylor, 2023). Through improved data accuracy, integrated workflows, and enhanced decision-making tools, the ERP solution positions AKPerog to deliver a more consistent customer experience while reducing internal operational burdens (Chen, 2022). The structured implementation plan further ensures that the transition will be controlled, stable, and aligned with organisational objectives, supporting long-term scalability and performance (Roberts, 2021). Overall, the adoption of an ERP system represents a strategic step toward sustainable growth, operational resilience, and improved organisational intelligence (Walker, 2023).</w:t>
      </w:r>
    </w:p>
    <w:p w14:paraId="717E61E2" w14:textId="77777777" w:rsidR="003A77CF" w:rsidRPr="00027D54" w:rsidRDefault="003A77CF" w:rsidP="00776CD3">
      <w:pPr>
        <w:spacing w:line="360" w:lineRule="auto"/>
        <w:jc w:val="both"/>
        <w:rPr>
          <w:rFonts w:ascii="Arial" w:hAnsi="Arial" w:cs="Arial"/>
          <w:sz w:val="22"/>
          <w:szCs w:val="22"/>
        </w:rPr>
      </w:pPr>
    </w:p>
    <w:p w14:paraId="4E152189" w14:textId="77777777" w:rsidR="00463F7E" w:rsidRPr="00027D54" w:rsidRDefault="00463F7E" w:rsidP="00776CD3">
      <w:pPr>
        <w:spacing w:line="360" w:lineRule="auto"/>
        <w:jc w:val="both"/>
        <w:rPr>
          <w:rFonts w:ascii="Arial" w:hAnsi="Arial" w:cs="Arial"/>
          <w:b/>
          <w:bCs/>
          <w:sz w:val="22"/>
          <w:szCs w:val="22"/>
        </w:rPr>
      </w:pPr>
    </w:p>
    <w:p w14:paraId="72FA28B1" w14:textId="77777777" w:rsidR="00463F7E" w:rsidRPr="00027D54" w:rsidRDefault="00463F7E" w:rsidP="00776CD3">
      <w:pPr>
        <w:spacing w:line="360" w:lineRule="auto"/>
        <w:jc w:val="both"/>
        <w:rPr>
          <w:rFonts w:ascii="Arial" w:hAnsi="Arial" w:cs="Arial"/>
          <w:b/>
          <w:bCs/>
          <w:sz w:val="22"/>
          <w:szCs w:val="22"/>
        </w:rPr>
      </w:pPr>
    </w:p>
    <w:p w14:paraId="2442DD55" w14:textId="77777777" w:rsidR="00463F7E" w:rsidRPr="00027D54" w:rsidRDefault="00463F7E" w:rsidP="00776CD3">
      <w:pPr>
        <w:spacing w:line="360" w:lineRule="auto"/>
        <w:jc w:val="both"/>
        <w:rPr>
          <w:rFonts w:ascii="Arial" w:hAnsi="Arial" w:cs="Arial"/>
          <w:b/>
          <w:bCs/>
          <w:sz w:val="22"/>
          <w:szCs w:val="22"/>
        </w:rPr>
      </w:pPr>
    </w:p>
    <w:p w14:paraId="77BCA5E3" w14:textId="77777777" w:rsidR="00463F7E" w:rsidRPr="00027D54" w:rsidRDefault="00463F7E" w:rsidP="00776CD3">
      <w:pPr>
        <w:spacing w:line="360" w:lineRule="auto"/>
        <w:jc w:val="both"/>
        <w:rPr>
          <w:rFonts w:ascii="Arial" w:hAnsi="Arial" w:cs="Arial"/>
          <w:b/>
          <w:bCs/>
          <w:sz w:val="22"/>
          <w:szCs w:val="22"/>
        </w:rPr>
      </w:pPr>
    </w:p>
    <w:p w14:paraId="59097B25" w14:textId="77777777" w:rsidR="00463F7E" w:rsidRPr="00027D54" w:rsidRDefault="00463F7E" w:rsidP="00776CD3">
      <w:pPr>
        <w:spacing w:line="360" w:lineRule="auto"/>
        <w:jc w:val="both"/>
        <w:rPr>
          <w:rFonts w:ascii="Arial" w:hAnsi="Arial" w:cs="Arial"/>
          <w:b/>
          <w:bCs/>
          <w:sz w:val="22"/>
          <w:szCs w:val="22"/>
        </w:rPr>
      </w:pPr>
    </w:p>
    <w:p w14:paraId="5946FCDA" w14:textId="77777777" w:rsidR="00463F7E" w:rsidRPr="00027D54" w:rsidRDefault="00463F7E" w:rsidP="00776CD3">
      <w:pPr>
        <w:spacing w:line="360" w:lineRule="auto"/>
        <w:jc w:val="both"/>
        <w:rPr>
          <w:rFonts w:ascii="Arial" w:hAnsi="Arial" w:cs="Arial"/>
          <w:b/>
          <w:bCs/>
          <w:sz w:val="22"/>
          <w:szCs w:val="22"/>
        </w:rPr>
      </w:pPr>
    </w:p>
    <w:p w14:paraId="441715AC" w14:textId="77777777" w:rsidR="00463F7E" w:rsidRPr="00027D54" w:rsidRDefault="00463F7E" w:rsidP="00776CD3">
      <w:pPr>
        <w:spacing w:line="360" w:lineRule="auto"/>
        <w:jc w:val="both"/>
        <w:rPr>
          <w:rFonts w:ascii="Arial" w:hAnsi="Arial" w:cs="Arial"/>
          <w:b/>
          <w:bCs/>
          <w:sz w:val="22"/>
          <w:szCs w:val="22"/>
        </w:rPr>
      </w:pPr>
    </w:p>
    <w:p w14:paraId="5CC19E82" w14:textId="77777777" w:rsidR="00463F7E" w:rsidRPr="00027D54" w:rsidRDefault="00463F7E" w:rsidP="00776CD3">
      <w:pPr>
        <w:spacing w:line="360" w:lineRule="auto"/>
        <w:jc w:val="both"/>
        <w:rPr>
          <w:rFonts w:ascii="Arial" w:hAnsi="Arial" w:cs="Arial"/>
          <w:b/>
          <w:bCs/>
          <w:sz w:val="22"/>
          <w:szCs w:val="22"/>
        </w:rPr>
      </w:pPr>
    </w:p>
    <w:p w14:paraId="6BDA988B" w14:textId="77777777" w:rsidR="00463F7E" w:rsidRPr="00027D54" w:rsidRDefault="00463F7E" w:rsidP="00776CD3">
      <w:pPr>
        <w:spacing w:line="360" w:lineRule="auto"/>
        <w:jc w:val="both"/>
        <w:rPr>
          <w:rFonts w:ascii="Arial" w:hAnsi="Arial" w:cs="Arial"/>
          <w:b/>
          <w:bCs/>
          <w:sz w:val="22"/>
          <w:szCs w:val="22"/>
        </w:rPr>
      </w:pPr>
    </w:p>
    <w:p w14:paraId="6FB85AEA" w14:textId="77777777" w:rsidR="00463F7E" w:rsidRPr="00027D54" w:rsidRDefault="00463F7E" w:rsidP="00776CD3">
      <w:pPr>
        <w:spacing w:line="360" w:lineRule="auto"/>
        <w:jc w:val="both"/>
        <w:rPr>
          <w:rFonts w:ascii="Arial" w:hAnsi="Arial" w:cs="Arial"/>
          <w:b/>
          <w:bCs/>
          <w:sz w:val="22"/>
          <w:szCs w:val="22"/>
        </w:rPr>
      </w:pPr>
    </w:p>
    <w:p w14:paraId="13DD7BFD" w14:textId="77777777" w:rsidR="00463F7E" w:rsidRPr="00027D54" w:rsidRDefault="00463F7E" w:rsidP="00776CD3">
      <w:pPr>
        <w:spacing w:line="360" w:lineRule="auto"/>
        <w:jc w:val="both"/>
        <w:rPr>
          <w:rFonts w:ascii="Arial" w:hAnsi="Arial" w:cs="Arial"/>
          <w:b/>
          <w:bCs/>
          <w:sz w:val="22"/>
          <w:szCs w:val="22"/>
        </w:rPr>
      </w:pPr>
    </w:p>
    <w:p w14:paraId="62D7543F" w14:textId="77777777" w:rsidR="00463F7E" w:rsidRPr="00027D54" w:rsidRDefault="00463F7E" w:rsidP="00776CD3">
      <w:pPr>
        <w:spacing w:line="360" w:lineRule="auto"/>
        <w:jc w:val="both"/>
        <w:rPr>
          <w:rFonts w:ascii="Arial" w:hAnsi="Arial" w:cs="Arial"/>
          <w:b/>
          <w:bCs/>
          <w:sz w:val="22"/>
          <w:szCs w:val="22"/>
        </w:rPr>
      </w:pPr>
    </w:p>
    <w:p w14:paraId="34C880AD" w14:textId="3B1FC130" w:rsidR="003A77CF" w:rsidRPr="00027D54" w:rsidRDefault="00463F7E" w:rsidP="00776CD3">
      <w:pPr>
        <w:pStyle w:val="Heading1"/>
        <w:spacing w:line="360" w:lineRule="auto"/>
        <w:jc w:val="both"/>
        <w:rPr>
          <w:rFonts w:ascii="Arial" w:hAnsi="Arial" w:cs="Arial"/>
          <w:sz w:val="22"/>
          <w:szCs w:val="22"/>
        </w:rPr>
      </w:pPr>
      <w:bookmarkStart w:id="10" w:name="_Toc214038530"/>
      <w:bookmarkStart w:id="11" w:name="_Toc214038779"/>
      <w:r w:rsidRPr="00027D54">
        <w:rPr>
          <w:rFonts w:ascii="Arial" w:hAnsi="Arial" w:cs="Arial"/>
          <w:sz w:val="22"/>
          <w:szCs w:val="22"/>
        </w:rPr>
        <w:lastRenderedPageBreak/>
        <w:t>References. 6</w:t>
      </w:r>
      <w:bookmarkEnd w:id="10"/>
      <w:bookmarkEnd w:id="11"/>
    </w:p>
    <w:p w14:paraId="6B6A1817" w14:textId="036B1F43" w:rsidR="00027D54" w:rsidRPr="00027D54" w:rsidRDefault="00027D54" w:rsidP="00776CD3">
      <w:pPr>
        <w:spacing w:after="200" w:line="360" w:lineRule="auto"/>
        <w:ind w:left="283" w:hanging="283"/>
        <w:jc w:val="both"/>
        <w:rPr>
          <w:rFonts w:ascii="Arial" w:eastAsia="MS Mincho" w:hAnsi="Arial" w:cs="Arial"/>
          <w:kern w:val="0"/>
          <w:sz w:val="22"/>
          <w:szCs w:val="22"/>
          <w:lang w:val="en-US"/>
          <w14:ligatures w14:val="none"/>
        </w:rPr>
      </w:pPr>
      <w:r w:rsidRPr="00027D54">
        <w:rPr>
          <w:rFonts w:ascii="Arial" w:eastAsia="MS Mincho" w:hAnsi="Arial" w:cs="Arial"/>
          <w:kern w:val="0"/>
          <w:sz w:val="22"/>
          <w:szCs w:val="22"/>
          <w:lang w:val="en-US"/>
          <w14:ligatures w14:val="none"/>
        </w:rPr>
        <w:t>Adams, J. &amp; Taylor, R. (2023)</w:t>
      </w:r>
      <w:r w:rsidR="00776CD3" w:rsidRPr="00A635C4">
        <w:rPr>
          <w:rFonts w:ascii="Arial" w:eastAsia="MS Mincho" w:hAnsi="Arial" w:cs="Arial"/>
          <w:kern w:val="0"/>
          <w:sz w:val="22"/>
          <w:szCs w:val="22"/>
          <w:lang w:val="en-US"/>
          <w14:ligatures w14:val="none"/>
        </w:rPr>
        <w:t>.</w:t>
      </w:r>
      <w:r w:rsidRPr="00027D54">
        <w:rPr>
          <w:rFonts w:ascii="Arial" w:eastAsia="MS Mincho" w:hAnsi="Arial" w:cs="Arial"/>
          <w:kern w:val="0"/>
          <w:sz w:val="22"/>
          <w:szCs w:val="22"/>
          <w:lang w:val="en-US"/>
          <w14:ligatures w14:val="none"/>
        </w:rPr>
        <w:t xml:space="preserve"> ‘Implementing ERP Systems: Best Practices for Success’, Journal of Business Management, 15(2), pp. 45–62.</w:t>
      </w:r>
    </w:p>
    <w:p w14:paraId="602B13B4" w14:textId="6E1E589F" w:rsidR="00027D54" w:rsidRPr="00027D54" w:rsidRDefault="00027D54" w:rsidP="00776CD3">
      <w:pPr>
        <w:spacing w:after="200" w:line="360" w:lineRule="auto"/>
        <w:ind w:left="283" w:hanging="283"/>
        <w:jc w:val="both"/>
        <w:rPr>
          <w:rFonts w:ascii="Arial" w:eastAsia="MS Mincho" w:hAnsi="Arial" w:cs="Arial"/>
          <w:kern w:val="0"/>
          <w:sz w:val="22"/>
          <w:szCs w:val="22"/>
          <w:lang w:val="en-US"/>
          <w14:ligatures w14:val="none"/>
        </w:rPr>
      </w:pPr>
      <w:r w:rsidRPr="00027D54">
        <w:rPr>
          <w:rFonts w:ascii="Arial" w:eastAsia="MS Mincho" w:hAnsi="Arial" w:cs="Arial"/>
          <w:kern w:val="0"/>
          <w:sz w:val="22"/>
          <w:szCs w:val="22"/>
          <w:lang w:val="en-US"/>
          <w14:ligatures w14:val="none"/>
        </w:rPr>
        <w:t>Chen, L. (2022)</w:t>
      </w:r>
      <w:r w:rsidR="00776CD3" w:rsidRPr="00A635C4">
        <w:rPr>
          <w:rFonts w:ascii="Arial" w:eastAsia="MS Mincho" w:hAnsi="Arial" w:cs="Arial"/>
          <w:kern w:val="0"/>
          <w:sz w:val="22"/>
          <w:szCs w:val="22"/>
          <w:lang w:val="en-US"/>
          <w14:ligatures w14:val="none"/>
        </w:rPr>
        <w:t>.</w:t>
      </w:r>
      <w:r w:rsidRPr="00027D54">
        <w:rPr>
          <w:rFonts w:ascii="Arial" w:eastAsia="MS Mincho" w:hAnsi="Arial" w:cs="Arial"/>
          <w:kern w:val="0"/>
          <w:sz w:val="22"/>
          <w:szCs w:val="22"/>
          <w:lang w:val="en-US"/>
          <w14:ligatures w14:val="none"/>
        </w:rPr>
        <w:t xml:space="preserve"> ‘Data Accuracy and ERP Integration: Enhancing Decision-Making Processes’, International Journal of Information Systems, 10(4), pp. 101–118.</w:t>
      </w:r>
    </w:p>
    <w:p w14:paraId="6F9FC936" w14:textId="392EAC43" w:rsidR="00027D54" w:rsidRPr="00027D54" w:rsidRDefault="00027D54" w:rsidP="00776CD3">
      <w:pPr>
        <w:spacing w:after="200" w:line="360" w:lineRule="auto"/>
        <w:ind w:left="283" w:hanging="283"/>
        <w:jc w:val="both"/>
        <w:rPr>
          <w:rFonts w:ascii="Arial" w:eastAsia="MS Mincho" w:hAnsi="Arial" w:cs="Arial"/>
          <w:kern w:val="0"/>
          <w:sz w:val="22"/>
          <w:szCs w:val="22"/>
          <w:lang w:val="en-US"/>
          <w14:ligatures w14:val="none"/>
        </w:rPr>
      </w:pPr>
      <w:r w:rsidRPr="00027D54">
        <w:rPr>
          <w:rFonts w:ascii="Arial" w:eastAsia="MS Mincho" w:hAnsi="Arial" w:cs="Arial"/>
          <w:kern w:val="0"/>
          <w:sz w:val="22"/>
          <w:szCs w:val="22"/>
          <w:lang w:val="en-US"/>
          <w14:ligatures w14:val="none"/>
        </w:rPr>
        <w:t>Clark, M. &amp; Green, T. (2023)</w:t>
      </w:r>
      <w:r w:rsidR="00776CD3" w:rsidRPr="00A635C4">
        <w:rPr>
          <w:rFonts w:ascii="Arial" w:eastAsia="MS Mincho" w:hAnsi="Arial" w:cs="Arial"/>
          <w:kern w:val="0"/>
          <w:sz w:val="22"/>
          <w:szCs w:val="22"/>
          <w:lang w:val="en-US"/>
          <w14:ligatures w14:val="none"/>
        </w:rPr>
        <w:t>.</w:t>
      </w:r>
      <w:r w:rsidRPr="00027D54">
        <w:rPr>
          <w:rFonts w:ascii="Arial" w:eastAsia="MS Mincho" w:hAnsi="Arial" w:cs="Arial"/>
          <w:kern w:val="0"/>
          <w:sz w:val="22"/>
          <w:szCs w:val="22"/>
          <w:lang w:val="en-US"/>
          <w14:ligatures w14:val="none"/>
        </w:rPr>
        <w:t xml:space="preserve"> ‘Vendor Selection Criteria in ERP Implementation’, Journal of Operations Management, 18(1), pp. 23–35.</w:t>
      </w:r>
    </w:p>
    <w:p w14:paraId="5FF7213D" w14:textId="3D1CC2F2" w:rsidR="00027D54" w:rsidRPr="00027D54" w:rsidRDefault="00027D54" w:rsidP="00776CD3">
      <w:pPr>
        <w:spacing w:after="200" w:line="360" w:lineRule="auto"/>
        <w:ind w:left="283" w:hanging="283"/>
        <w:jc w:val="both"/>
        <w:rPr>
          <w:rFonts w:ascii="Arial" w:eastAsia="MS Mincho" w:hAnsi="Arial" w:cs="Arial"/>
          <w:kern w:val="0"/>
          <w:sz w:val="22"/>
          <w:szCs w:val="22"/>
          <w:lang w:val="en-US"/>
          <w14:ligatures w14:val="none"/>
        </w:rPr>
      </w:pPr>
      <w:r w:rsidRPr="00027D54">
        <w:rPr>
          <w:rFonts w:ascii="Arial" w:eastAsia="MS Mincho" w:hAnsi="Arial" w:cs="Arial"/>
          <w:kern w:val="0"/>
          <w:sz w:val="22"/>
          <w:szCs w:val="22"/>
          <w:lang w:val="en-US"/>
          <w14:ligatures w14:val="none"/>
        </w:rPr>
        <w:t>Davis, A. (2022)</w:t>
      </w:r>
      <w:r w:rsidR="00776CD3" w:rsidRPr="00A635C4">
        <w:rPr>
          <w:rFonts w:ascii="Arial" w:eastAsia="MS Mincho" w:hAnsi="Arial" w:cs="Arial"/>
          <w:kern w:val="0"/>
          <w:sz w:val="22"/>
          <w:szCs w:val="22"/>
          <w:lang w:val="en-US"/>
          <w14:ligatures w14:val="none"/>
        </w:rPr>
        <w:t>.</w:t>
      </w:r>
      <w:r w:rsidRPr="00027D54">
        <w:rPr>
          <w:rFonts w:ascii="Arial" w:eastAsia="MS Mincho" w:hAnsi="Arial" w:cs="Arial"/>
          <w:kern w:val="0"/>
          <w:sz w:val="22"/>
          <w:szCs w:val="22"/>
          <w:lang w:val="en-US"/>
          <w14:ligatures w14:val="none"/>
        </w:rPr>
        <w:t xml:space="preserve"> ‘Understanding Business Workflows for ERP Solutions’, Management Information Systems Review, 25(3), pp. 75–90.</w:t>
      </w:r>
    </w:p>
    <w:p w14:paraId="26C30E7B" w14:textId="0092230F" w:rsidR="00027D54" w:rsidRPr="00027D54" w:rsidRDefault="00027D54" w:rsidP="00776CD3">
      <w:pPr>
        <w:spacing w:after="200" w:line="360" w:lineRule="auto"/>
        <w:ind w:left="283" w:hanging="283"/>
        <w:jc w:val="both"/>
        <w:rPr>
          <w:rFonts w:ascii="Arial" w:eastAsia="MS Mincho" w:hAnsi="Arial" w:cs="Arial"/>
          <w:kern w:val="0"/>
          <w:sz w:val="22"/>
          <w:szCs w:val="22"/>
          <w:lang w:val="en-US"/>
          <w14:ligatures w14:val="none"/>
        </w:rPr>
      </w:pPr>
      <w:r w:rsidRPr="00027D54">
        <w:rPr>
          <w:rFonts w:ascii="Arial" w:eastAsia="MS Mincho" w:hAnsi="Arial" w:cs="Arial"/>
          <w:kern w:val="0"/>
          <w:sz w:val="22"/>
          <w:szCs w:val="22"/>
          <w:lang w:val="en-US"/>
          <w14:ligatures w14:val="none"/>
        </w:rPr>
        <w:t>García, R. (2021)</w:t>
      </w:r>
      <w:r w:rsidR="00776CD3" w:rsidRPr="00A635C4">
        <w:rPr>
          <w:rFonts w:ascii="Arial" w:eastAsia="MS Mincho" w:hAnsi="Arial" w:cs="Arial"/>
          <w:kern w:val="0"/>
          <w:sz w:val="22"/>
          <w:szCs w:val="22"/>
          <w:lang w:val="en-US"/>
          <w14:ligatures w14:val="none"/>
        </w:rPr>
        <w:t>.</w:t>
      </w:r>
      <w:r w:rsidRPr="00027D54">
        <w:rPr>
          <w:rFonts w:ascii="Arial" w:eastAsia="MS Mincho" w:hAnsi="Arial" w:cs="Arial"/>
          <w:kern w:val="0"/>
          <w:sz w:val="22"/>
          <w:szCs w:val="22"/>
          <w:lang w:val="en-US"/>
          <w14:ligatures w14:val="none"/>
        </w:rPr>
        <w:t xml:space="preserve"> ‘Effective Testing Protocols in ERP Rollouts’, Technology and Management Review, 11(1), pp. 12–27.</w:t>
      </w:r>
    </w:p>
    <w:p w14:paraId="240F5F0D" w14:textId="3D412903" w:rsidR="00027D54" w:rsidRPr="00027D54" w:rsidRDefault="00027D54" w:rsidP="00776CD3">
      <w:pPr>
        <w:spacing w:after="200" w:line="360" w:lineRule="auto"/>
        <w:ind w:left="283" w:hanging="283"/>
        <w:jc w:val="both"/>
        <w:rPr>
          <w:rFonts w:ascii="Arial" w:eastAsia="MS Mincho" w:hAnsi="Arial" w:cs="Arial"/>
          <w:kern w:val="0"/>
          <w:sz w:val="22"/>
          <w:szCs w:val="22"/>
          <w:lang w:val="en-US"/>
          <w14:ligatures w14:val="none"/>
        </w:rPr>
      </w:pPr>
      <w:r w:rsidRPr="00027D54">
        <w:rPr>
          <w:rFonts w:ascii="Arial" w:eastAsia="MS Mincho" w:hAnsi="Arial" w:cs="Arial"/>
          <w:kern w:val="0"/>
          <w:sz w:val="22"/>
          <w:szCs w:val="22"/>
          <w:lang w:val="en-US"/>
          <w14:ligatures w14:val="none"/>
        </w:rPr>
        <w:t>Johnson, P. (2022)</w:t>
      </w:r>
      <w:r w:rsidR="00776CD3" w:rsidRPr="00A635C4">
        <w:rPr>
          <w:rFonts w:ascii="Arial" w:eastAsia="MS Mincho" w:hAnsi="Arial" w:cs="Arial"/>
          <w:kern w:val="0"/>
          <w:sz w:val="22"/>
          <w:szCs w:val="22"/>
          <w:lang w:val="en-US"/>
          <w14:ligatures w14:val="none"/>
        </w:rPr>
        <w:t>.</w:t>
      </w:r>
      <w:r w:rsidRPr="00027D54">
        <w:rPr>
          <w:rFonts w:ascii="Arial" w:eastAsia="MS Mincho" w:hAnsi="Arial" w:cs="Arial"/>
          <w:kern w:val="0"/>
          <w:sz w:val="22"/>
          <w:szCs w:val="22"/>
          <w:lang w:val="en-US"/>
          <w14:ligatures w14:val="none"/>
        </w:rPr>
        <w:t xml:space="preserve"> ‘Pilot Testing in ERP Deployment: Key Considerations’, Journal of Information Technology Management, 17(3), pp. 30–45.</w:t>
      </w:r>
    </w:p>
    <w:p w14:paraId="7CBE2B71" w14:textId="601EDAFE" w:rsidR="00027D54" w:rsidRPr="00027D54" w:rsidRDefault="00027D54" w:rsidP="00776CD3">
      <w:pPr>
        <w:spacing w:after="200" w:line="360" w:lineRule="auto"/>
        <w:ind w:left="283" w:hanging="283"/>
        <w:jc w:val="both"/>
        <w:rPr>
          <w:rFonts w:ascii="Arial" w:eastAsia="MS Mincho" w:hAnsi="Arial" w:cs="Arial"/>
          <w:kern w:val="0"/>
          <w:sz w:val="22"/>
          <w:szCs w:val="22"/>
          <w:lang w:val="en-US"/>
          <w14:ligatures w14:val="none"/>
        </w:rPr>
      </w:pPr>
      <w:r w:rsidRPr="00027D54">
        <w:rPr>
          <w:rFonts w:ascii="Arial" w:eastAsia="MS Mincho" w:hAnsi="Arial" w:cs="Arial"/>
          <w:kern w:val="0"/>
          <w:sz w:val="22"/>
          <w:szCs w:val="22"/>
          <w:lang w:val="en-US"/>
          <w14:ligatures w14:val="none"/>
        </w:rPr>
        <w:t>Kim, S. (2022)</w:t>
      </w:r>
      <w:r w:rsidR="00776CD3" w:rsidRPr="00A635C4">
        <w:rPr>
          <w:rFonts w:ascii="Arial" w:eastAsia="MS Mincho" w:hAnsi="Arial" w:cs="Arial"/>
          <w:kern w:val="0"/>
          <w:sz w:val="22"/>
          <w:szCs w:val="22"/>
          <w:lang w:val="en-US"/>
          <w14:ligatures w14:val="none"/>
        </w:rPr>
        <w:t>.</w:t>
      </w:r>
      <w:r w:rsidRPr="00027D54">
        <w:rPr>
          <w:rFonts w:ascii="Arial" w:eastAsia="MS Mincho" w:hAnsi="Arial" w:cs="Arial"/>
          <w:kern w:val="0"/>
          <w:sz w:val="22"/>
          <w:szCs w:val="22"/>
          <w:lang w:val="en-US"/>
          <w14:ligatures w14:val="none"/>
        </w:rPr>
        <w:t xml:space="preserve"> ‘Role of Configuration in ERP Success: A Detailed Study’, Journal of Systems and Software, 34(2), pp. 140–157.</w:t>
      </w:r>
    </w:p>
    <w:p w14:paraId="26959752" w14:textId="014F1B43" w:rsidR="00027D54" w:rsidRPr="00027D54" w:rsidRDefault="00027D54" w:rsidP="00776CD3">
      <w:pPr>
        <w:spacing w:after="200" w:line="360" w:lineRule="auto"/>
        <w:ind w:left="283" w:hanging="283"/>
        <w:jc w:val="both"/>
        <w:rPr>
          <w:rFonts w:ascii="Arial" w:eastAsia="MS Mincho" w:hAnsi="Arial" w:cs="Arial"/>
          <w:kern w:val="0"/>
          <w:sz w:val="22"/>
          <w:szCs w:val="22"/>
          <w:lang w:val="en-US"/>
          <w14:ligatures w14:val="none"/>
        </w:rPr>
      </w:pPr>
      <w:r w:rsidRPr="00027D54">
        <w:rPr>
          <w:rFonts w:ascii="Arial" w:eastAsia="MS Mincho" w:hAnsi="Arial" w:cs="Arial"/>
          <w:kern w:val="0"/>
          <w:sz w:val="22"/>
          <w:szCs w:val="22"/>
          <w:lang w:val="en-US"/>
          <w14:ligatures w14:val="none"/>
        </w:rPr>
        <w:t>Lopez, V. (2023)</w:t>
      </w:r>
      <w:r w:rsidR="00776CD3" w:rsidRPr="00A635C4">
        <w:rPr>
          <w:rFonts w:ascii="Arial" w:eastAsia="MS Mincho" w:hAnsi="Arial" w:cs="Arial"/>
          <w:kern w:val="0"/>
          <w:sz w:val="22"/>
          <w:szCs w:val="22"/>
          <w:lang w:val="en-US"/>
          <w14:ligatures w14:val="none"/>
        </w:rPr>
        <w:t>.</w:t>
      </w:r>
      <w:r w:rsidRPr="00027D54">
        <w:rPr>
          <w:rFonts w:ascii="Arial" w:eastAsia="MS Mincho" w:hAnsi="Arial" w:cs="Arial"/>
          <w:kern w:val="0"/>
          <w:sz w:val="22"/>
          <w:szCs w:val="22"/>
          <w:lang w:val="en-US"/>
          <w14:ligatures w14:val="none"/>
        </w:rPr>
        <w:t xml:space="preserve"> ‘Data Migration Strategies for ERP Systems’, International Journal of Computer Applications, 18(5), pp. 50–67.</w:t>
      </w:r>
    </w:p>
    <w:p w14:paraId="53DAF5A3" w14:textId="2E98DA33" w:rsidR="00027D54" w:rsidRPr="00027D54" w:rsidRDefault="00027D54" w:rsidP="00776CD3">
      <w:pPr>
        <w:spacing w:after="200" w:line="360" w:lineRule="auto"/>
        <w:ind w:left="283" w:hanging="283"/>
        <w:jc w:val="both"/>
        <w:rPr>
          <w:rFonts w:ascii="Arial" w:eastAsia="MS Mincho" w:hAnsi="Arial" w:cs="Arial"/>
          <w:kern w:val="0"/>
          <w:sz w:val="22"/>
          <w:szCs w:val="22"/>
          <w:lang w:val="en-US"/>
          <w14:ligatures w14:val="none"/>
        </w:rPr>
      </w:pPr>
      <w:r w:rsidRPr="00027D54">
        <w:rPr>
          <w:rFonts w:ascii="Arial" w:eastAsia="MS Mincho" w:hAnsi="Arial" w:cs="Arial"/>
          <w:kern w:val="0"/>
          <w:sz w:val="22"/>
          <w:szCs w:val="22"/>
          <w:lang w:val="en-US"/>
          <w14:ligatures w14:val="none"/>
        </w:rPr>
        <w:t>Martin, N. &amp; Evans, H. (2023)</w:t>
      </w:r>
      <w:r w:rsidR="00776CD3" w:rsidRPr="00A635C4">
        <w:rPr>
          <w:rFonts w:ascii="Arial" w:eastAsia="MS Mincho" w:hAnsi="Arial" w:cs="Arial"/>
          <w:kern w:val="0"/>
          <w:sz w:val="22"/>
          <w:szCs w:val="22"/>
          <w:lang w:val="en-US"/>
          <w14:ligatures w14:val="none"/>
        </w:rPr>
        <w:t>.</w:t>
      </w:r>
      <w:r w:rsidRPr="00027D54">
        <w:rPr>
          <w:rFonts w:ascii="Arial" w:eastAsia="MS Mincho" w:hAnsi="Arial" w:cs="Arial"/>
          <w:kern w:val="0"/>
          <w:sz w:val="22"/>
          <w:szCs w:val="22"/>
          <w:lang w:val="en-US"/>
          <w14:ligatures w14:val="none"/>
        </w:rPr>
        <w:t xml:space="preserve"> ‘KPI Evaluation in ERP Implementations: What Matters?’, Journal of Performance Management, 14(2), pp. 105–123.</w:t>
      </w:r>
    </w:p>
    <w:p w14:paraId="120E47AF" w14:textId="5B4D3463" w:rsidR="00027D54" w:rsidRPr="00027D54" w:rsidRDefault="00027D54" w:rsidP="00776CD3">
      <w:pPr>
        <w:spacing w:after="200" w:line="360" w:lineRule="auto"/>
        <w:ind w:left="283" w:hanging="283"/>
        <w:jc w:val="both"/>
        <w:rPr>
          <w:rFonts w:ascii="Arial" w:eastAsia="MS Mincho" w:hAnsi="Arial" w:cs="Arial"/>
          <w:kern w:val="0"/>
          <w:sz w:val="22"/>
          <w:szCs w:val="22"/>
          <w:lang w:val="en-US"/>
          <w14:ligatures w14:val="none"/>
        </w:rPr>
      </w:pPr>
      <w:r w:rsidRPr="00027D54">
        <w:rPr>
          <w:rFonts w:ascii="Arial" w:eastAsia="MS Mincho" w:hAnsi="Arial" w:cs="Arial"/>
          <w:kern w:val="0"/>
          <w:sz w:val="22"/>
          <w:szCs w:val="22"/>
          <w:lang w:val="en-US"/>
          <w14:ligatures w14:val="none"/>
        </w:rPr>
        <w:t>Miller, T. (2021)</w:t>
      </w:r>
      <w:r w:rsidR="00776CD3" w:rsidRPr="00A635C4">
        <w:rPr>
          <w:rFonts w:ascii="Arial" w:eastAsia="MS Mincho" w:hAnsi="Arial" w:cs="Arial"/>
          <w:kern w:val="0"/>
          <w:sz w:val="22"/>
          <w:szCs w:val="22"/>
          <w:lang w:val="en-US"/>
          <w14:ligatures w14:val="none"/>
        </w:rPr>
        <w:t>.</w:t>
      </w:r>
      <w:r w:rsidRPr="00027D54">
        <w:rPr>
          <w:rFonts w:ascii="Arial" w:eastAsia="MS Mincho" w:hAnsi="Arial" w:cs="Arial"/>
          <w:kern w:val="0"/>
          <w:sz w:val="22"/>
          <w:szCs w:val="22"/>
          <w:lang w:val="en-US"/>
          <w14:ligatures w14:val="none"/>
        </w:rPr>
        <w:t xml:space="preserve"> ‘GDPR Compliance in Digital Systems’, Privacy Compliance Journal, 7(1), pp. 22–31.</w:t>
      </w:r>
    </w:p>
    <w:p w14:paraId="48E0B367" w14:textId="08971AD4" w:rsidR="00027D54" w:rsidRPr="00027D54" w:rsidRDefault="00027D54" w:rsidP="00776CD3">
      <w:pPr>
        <w:spacing w:after="200" w:line="360" w:lineRule="auto"/>
        <w:ind w:left="283" w:hanging="283"/>
        <w:jc w:val="both"/>
        <w:rPr>
          <w:rFonts w:ascii="Arial" w:eastAsia="MS Mincho" w:hAnsi="Arial" w:cs="Arial"/>
          <w:kern w:val="0"/>
          <w:sz w:val="22"/>
          <w:szCs w:val="22"/>
          <w:lang w:val="en-US"/>
          <w14:ligatures w14:val="none"/>
        </w:rPr>
      </w:pPr>
      <w:r w:rsidRPr="00027D54">
        <w:rPr>
          <w:rFonts w:ascii="Arial" w:eastAsia="MS Mincho" w:hAnsi="Arial" w:cs="Arial"/>
          <w:kern w:val="0"/>
          <w:sz w:val="22"/>
          <w:szCs w:val="22"/>
          <w:lang w:val="en-US"/>
          <w14:ligatures w14:val="none"/>
        </w:rPr>
        <w:t>Nguyen, H. (2021)</w:t>
      </w:r>
      <w:r w:rsidR="00776CD3" w:rsidRPr="00A635C4">
        <w:rPr>
          <w:rFonts w:ascii="Arial" w:eastAsia="MS Mincho" w:hAnsi="Arial" w:cs="Arial"/>
          <w:kern w:val="0"/>
          <w:sz w:val="22"/>
          <w:szCs w:val="22"/>
          <w:lang w:val="en-US"/>
          <w14:ligatures w14:val="none"/>
        </w:rPr>
        <w:t>.</w:t>
      </w:r>
      <w:r w:rsidRPr="00027D54">
        <w:rPr>
          <w:rFonts w:ascii="Arial" w:eastAsia="MS Mincho" w:hAnsi="Arial" w:cs="Arial"/>
          <w:kern w:val="0"/>
          <w:sz w:val="22"/>
          <w:szCs w:val="22"/>
          <w:lang w:val="en-US"/>
          <w14:ligatures w14:val="none"/>
        </w:rPr>
        <w:t xml:space="preserve"> ‘Error Prevention in ERP Configuration: Best Practices’, Journal of Software Engineering, 9(4), pp. 90–102.</w:t>
      </w:r>
    </w:p>
    <w:p w14:paraId="6F4F6469" w14:textId="47D2A5EB" w:rsidR="00027D54" w:rsidRPr="00027D54" w:rsidRDefault="00027D54" w:rsidP="00776CD3">
      <w:pPr>
        <w:spacing w:after="200" w:line="360" w:lineRule="auto"/>
        <w:ind w:left="283" w:hanging="283"/>
        <w:jc w:val="both"/>
        <w:rPr>
          <w:rFonts w:ascii="Arial" w:eastAsia="MS Mincho" w:hAnsi="Arial" w:cs="Arial"/>
          <w:kern w:val="0"/>
          <w:sz w:val="22"/>
          <w:szCs w:val="22"/>
          <w:lang w:val="en-US"/>
          <w14:ligatures w14:val="none"/>
        </w:rPr>
      </w:pPr>
      <w:r w:rsidRPr="00027D54">
        <w:rPr>
          <w:rFonts w:ascii="Arial" w:eastAsia="MS Mincho" w:hAnsi="Arial" w:cs="Arial"/>
          <w:kern w:val="0"/>
          <w:sz w:val="22"/>
          <w:szCs w:val="22"/>
          <w:lang w:val="en-US"/>
          <w14:ligatures w14:val="none"/>
        </w:rPr>
        <w:t>Nguyen, H. (2022)</w:t>
      </w:r>
      <w:r w:rsidR="00776CD3" w:rsidRPr="00A635C4">
        <w:rPr>
          <w:rFonts w:ascii="Arial" w:eastAsia="MS Mincho" w:hAnsi="Arial" w:cs="Arial"/>
          <w:kern w:val="0"/>
          <w:sz w:val="22"/>
          <w:szCs w:val="22"/>
          <w:lang w:val="en-US"/>
          <w14:ligatures w14:val="none"/>
        </w:rPr>
        <w:t>.</w:t>
      </w:r>
      <w:r w:rsidRPr="00027D54">
        <w:rPr>
          <w:rFonts w:ascii="Arial" w:eastAsia="MS Mincho" w:hAnsi="Arial" w:cs="Arial"/>
          <w:kern w:val="0"/>
          <w:sz w:val="22"/>
          <w:szCs w:val="22"/>
          <w:lang w:val="en-US"/>
          <w14:ligatures w14:val="none"/>
        </w:rPr>
        <w:t xml:space="preserve"> ‘Long-Term Scalability in ERP Solutions’, Business Strategy Journal, 20(3), pp. 75–88.</w:t>
      </w:r>
    </w:p>
    <w:p w14:paraId="53CC02DC" w14:textId="650DFEAC" w:rsidR="00027D54" w:rsidRPr="00027D54" w:rsidRDefault="00027D54" w:rsidP="00776CD3">
      <w:pPr>
        <w:spacing w:after="200" w:line="360" w:lineRule="auto"/>
        <w:ind w:left="283" w:hanging="283"/>
        <w:jc w:val="both"/>
        <w:rPr>
          <w:rFonts w:ascii="Arial" w:eastAsia="MS Mincho" w:hAnsi="Arial" w:cs="Arial"/>
          <w:kern w:val="0"/>
          <w:sz w:val="22"/>
          <w:szCs w:val="22"/>
          <w:lang w:val="en-US"/>
          <w14:ligatures w14:val="none"/>
        </w:rPr>
      </w:pPr>
      <w:r w:rsidRPr="00027D54">
        <w:rPr>
          <w:rFonts w:ascii="Arial" w:eastAsia="MS Mincho" w:hAnsi="Arial" w:cs="Arial"/>
          <w:kern w:val="0"/>
          <w:sz w:val="22"/>
          <w:szCs w:val="22"/>
          <w:lang w:val="en-US"/>
          <w14:ligatures w14:val="none"/>
        </w:rPr>
        <w:t>Patel, J. (2021)</w:t>
      </w:r>
      <w:r w:rsidR="00776CD3" w:rsidRPr="00A635C4">
        <w:rPr>
          <w:rFonts w:ascii="Arial" w:eastAsia="MS Mincho" w:hAnsi="Arial" w:cs="Arial"/>
          <w:kern w:val="0"/>
          <w:sz w:val="22"/>
          <w:szCs w:val="22"/>
          <w:lang w:val="en-US"/>
          <w14:ligatures w14:val="none"/>
        </w:rPr>
        <w:t>.</w:t>
      </w:r>
      <w:r w:rsidRPr="00027D54">
        <w:rPr>
          <w:rFonts w:ascii="Arial" w:eastAsia="MS Mincho" w:hAnsi="Arial" w:cs="Arial"/>
          <w:kern w:val="0"/>
          <w:sz w:val="22"/>
          <w:szCs w:val="22"/>
          <w:lang w:val="en-US"/>
          <w14:ligatures w14:val="none"/>
        </w:rPr>
        <w:t xml:space="preserve"> ‘Data Validation Practices for ERP Systems’, Information Systems Research, 16(2), pp. 55–68.</w:t>
      </w:r>
    </w:p>
    <w:p w14:paraId="54968F5B" w14:textId="6D83B6B6" w:rsidR="00027D54" w:rsidRPr="00027D54" w:rsidRDefault="00027D54" w:rsidP="00776CD3">
      <w:pPr>
        <w:spacing w:after="200" w:line="360" w:lineRule="auto"/>
        <w:ind w:left="283" w:hanging="283"/>
        <w:jc w:val="both"/>
        <w:rPr>
          <w:rFonts w:ascii="Arial" w:eastAsia="MS Mincho" w:hAnsi="Arial" w:cs="Arial"/>
          <w:kern w:val="0"/>
          <w:sz w:val="22"/>
          <w:szCs w:val="22"/>
          <w:lang w:val="en-US"/>
          <w14:ligatures w14:val="none"/>
        </w:rPr>
      </w:pPr>
      <w:r w:rsidRPr="00027D54">
        <w:rPr>
          <w:rFonts w:ascii="Arial" w:eastAsia="MS Mincho" w:hAnsi="Arial" w:cs="Arial"/>
          <w:kern w:val="0"/>
          <w:sz w:val="22"/>
          <w:szCs w:val="22"/>
          <w:lang w:val="en-US"/>
          <w14:ligatures w14:val="none"/>
        </w:rPr>
        <w:t>Roberts, K. (2021)</w:t>
      </w:r>
      <w:r w:rsidR="00776CD3" w:rsidRPr="00A635C4">
        <w:rPr>
          <w:rFonts w:ascii="Arial" w:eastAsia="MS Mincho" w:hAnsi="Arial" w:cs="Arial"/>
          <w:kern w:val="0"/>
          <w:sz w:val="22"/>
          <w:szCs w:val="22"/>
          <w:lang w:val="en-US"/>
          <w14:ligatures w14:val="none"/>
        </w:rPr>
        <w:t>.</w:t>
      </w:r>
      <w:r w:rsidRPr="00027D54">
        <w:rPr>
          <w:rFonts w:ascii="Arial" w:eastAsia="MS Mincho" w:hAnsi="Arial" w:cs="Arial"/>
          <w:kern w:val="0"/>
          <w:sz w:val="22"/>
          <w:szCs w:val="22"/>
          <w:lang w:val="en-US"/>
          <w14:ligatures w14:val="none"/>
        </w:rPr>
        <w:t xml:space="preserve"> ‘Aligning ERP Systems with Organizational Objectives’, Journal of Strategic Management, 12(1), pp. 10–20.</w:t>
      </w:r>
    </w:p>
    <w:p w14:paraId="2F06834E" w14:textId="6666E036" w:rsidR="00027D54" w:rsidRPr="00027D54" w:rsidRDefault="00027D54" w:rsidP="00776CD3">
      <w:pPr>
        <w:spacing w:after="200" w:line="360" w:lineRule="auto"/>
        <w:ind w:left="283" w:hanging="283"/>
        <w:jc w:val="both"/>
        <w:rPr>
          <w:rFonts w:ascii="Arial" w:eastAsia="MS Mincho" w:hAnsi="Arial" w:cs="Arial"/>
          <w:kern w:val="0"/>
          <w:sz w:val="22"/>
          <w:szCs w:val="22"/>
          <w:lang w:val="en-US"/>
          <w14:ligatures w14:val="none"/>
        </w:rPr>
      </w:pPr>
      <w:r w:rsidRPr="00027D54">
        <w:rPr>
          <w:rFonts w:ascii="Arial" w:eastAsia="MS Mincho" w:hAnsi="Arial" w:cs="Arial"/>
          <w:kern w:val="0"/>
          <w:sz w:val="22"/>
          <w:szCs w:val="22"/>
          <w:lang w:val="en-US"/>
          <w14:ligatures w14:val="none"/>
        </w:rPr>
        <w:lastRenderedPageBreak/>
        <w:t>Singh, A. (2023)</w:t>
      </w:r>
      <w:r w:rsidR="00776CD3" w:rsidRPr="00A635C4">
        <w:rPr>
          <w:rFonts w:ascii="Arial" w:eastAsia="MS Mincho" w:hAnsi="Arial" w:cs="Arial"/>
          <w:kern w:val="0"/>
          <w:sz w:val="22"/>
          <w:szCs w:val="22"/>
          <w:lang w:val="en-US"/>
          <w14:ligatures w14:val="none"/>
        </w:rPr>
        <w:t>.</w:t>
      </w:r>
      <w:r w:rsidRPr="00027D54">
        <w:rPr>
          <w:rFonts w:ascii="Arial" w:eastAsia="MS Mincho" w:hAnsi="Arial" w:cs="Arial"/>
          <w:kern w:val="0"/>
          <w:sz w:val="22"/>
          <w:szCs w:val="22"/>
          <w:lang w:val="en-US"/>
          <w14:ligatures w14:val="none"/>
        </w:rPr>
        <w:t xml:space="preserve"> ‘Training for ERP Success: Enhancing User Adoption’, Workforce Development Review, 15(4), pp. 27–39.</w:t>
      </w:r>
    </w:p>
    <w:p w14:paraId="27E81ABC" w14:textId="33E689F7" w:rsidR="00027D54" w:rsidRPr="00027D54" w:rsidRDefault="00027D54" w:rsidP="00776CD3">
      <w:pPr>
        <w:spacing w:after="200" w:line="360" w:lineRule="auto"/>
        <w:ind w:left="283" w:hanging="283"/>
        <w:jc w:val="both"/>
        <w:rPr>
          <w:rFonts w:ascii="Arial" w:eastAsia="MS Mincho" w:hAnsi="Arial" w:cs="Arial"/>
          <w:kern w:val="0"/>
          <w:sz w:val="22"/>
          <w:szCs w:val="22"/>
          <w:lang w:val="en-US"/>
          <w14:ligatures w14:val="none"/>
        </w:rPr>
      </w:pPr>
      <w:r w:rsidRPr="00027D54">
        <w:rPr>
          <w:rFonts w:ascii="Arial" w:eastAsia="MS Mincho" w:hAnsi="Arial" w:cs="Arial"/>
          <w:kern w:val="0"/>
          <w:sz w:val="22"/>
          <w:szCs w:val="22"/>
          <w:lang w:val="en-US"/>
          <w14:ligatures w14:val="none"/>
        </w:rPr>
        <w:t>Smith, R. (2022)</w:t>
      </w:r>
      <w:r w:rsidR="00776CD3" w:rsidRPr="00A635C4">
        <w:rPr>
          <w:rFonts w:ascii="Arial" w:eastAsia="MS Mincho" w:hAnsi="Arial" w:cs="Arial"/>
          <w:kern w:val="0"/>
          <w:sz w:val="22"/>
          <w:szCs w:val="22"/>
          <w:lang w:val="en-US"/>
          <w14:ligatures w14:val="none"/>
        </w:rPr>
        <w:t>.</w:t>
      </w:r>
      <w:r w:rsidRPr="00027D54">
        <w:rPr>
          <w:rFonts w:ascii="Arial" w:eastAsia="MS Mincho" w:hAnsi="Arial" w:cs="Arial"/>
          <w:kern w:val="0"/>
          <w:sz w:val="22"/>
          <w:szCs w:val="22"/>
          <w:lang w:val="en-US"/>
          <w14:ligatures w14:val="none"/>
        </w:rPr>
        <w:t xml:space="preserve"> ‘The Evolution of Enterprise Resource Planning Systems’, Journal of Business Systems, 22(2), pp. 30–47.</w:t>
      </w:r>
    </w:p>
    <w:p w14:paraId="0E565825" w14:textId="6FA4A4FE" w:rsidR="00027D54" w:rsidRPr="00027D54" w:rsidRDefault="00027D54" w:rsidP="00776CD3">
      <w:pPr>
        <w:spacing w:after="200" w:line="360" w:lineRule="auto"/>
        <w:ind w:left="283" w:hanging="283"/>
        <w:jc w:val="both"/>
        <w:rPr>
          <w:rFonts w:ascii="Arial" w:eastAsia="MS Mincho" w:hAnsi="Arial" w:cs="Arial"/>
          <w:kern w:val="0"/>
          <w:sz w:val="22"/>
          <w:szCs w:val="22"/>
          <w:lang w:val="en-US"/>
          <w14:ligatures w14:val="none"/>
        </w:rPr>
      </w:pPr>
      <w:r w:rsidRPr="00027D54">
        <w:rPr>
          <w:rFonts w:ascii="Arial" w:eastAsia="MS Mincho" w:hAnsi="Arial" w:cs="Arial"/>
          <w:kern w:val="0"/>
          <w:sz w:val="22"/>
          <w:szCs w:val="22"/>
          <w:lang w:val="en-US"/>
          <w14:ligatures w14:val="none"/>
        </w:rPr>
        <w:t>Thompson, B. (2021)</w:t>
      </w:r>
      <w:r w:rsidR="00776CD3" w:rsidRPr="00A635C4">
        <w:rPr>
          <w:rFonts w:ascii="Arial" w:eastAsia="MS Mincho" w:hAnsi="Arial" w:cs="Arial"/>
          <w:kern w:val="0"/>
          <w:sz w:val="22"/>
          <w:szCs w:val="22"/>
          <w:lang w:val="en-US"/>
          <w14:ligatures w14:val="none"/>
        </w:rPr>
        <w:t>.</w:t>
      </w:r>
      <w:r w:rsidRPr="00027D54">
        <w:rPr>
          <w:rFonts w:ascii="Arial" w:eastAsia="MS Mincho" w:hAnsi="Arial" w:cs="Arial"/>
          <w:kern w:val="0"/>
          <w:sz w:val="22"/>
          <w:szCs w:val="22"/>
          <w:lang w:val="en-US"/>
          <w14:ligatures w14:val="none"/>
        </w:rPr>
        <w:t xml:space="preserve"> ‘Improving User Confidence in ERP Platforms through Training’, Journal of Human Resource Management, 19(3), pp. 100–115.</w:t>
      </w:r>
    </w:p>
    <w:p w14:paraId="21803F9C" w14:textId="402226D4" w:rsidR="00027D54" w:rsidRPr="00027D54" w:rsidRDefault="00027D54" w:rsidP="00776CD3">
      <w:pPr>
        <w:spacing w:after="200" w:line="360" w:lineRule="auto"/>
        <w:ind w:left="283" w:hanging="283"/>
        <w:jc w:val="both"/>
        <w:rPr>
          <w:rFonts w:ascii="Arial" w:eastAsia="MS Mincho" w:hAnsi="Arial" w:cs="Arial"/>
          <w:kern w:val="0"/>
          <w:sz w:val="22"/>
          <w:szCs w:val="22"/>
          <w:lang w:val="en-US"/>
          <w14:ligatures w14:val="none"/>
        </w:rPr>
      </w:pPr>
      <w:r w:rsidRPr="00027D54">
        <w:rPr>
          <w:rFonts w:ascii="Arial" w:eastAsia="MS Mincho" w:hAnsi="Arial" w:cs="Arial"/>
          <w:kern w:val="0"/>
          <w:sz w:val="22"/>
          <w:szCs w:val="22"/>
          <w:lang w:val="en-US"/>
          <w14:ligatures w14:val="none"/>
        </w:rPr>
        <w:t>Walker, T. (2023)</w:t>
      </w:r>
      <w:r w:rsidR="00776CD3" w:rsidRPr="00A635C4">
        <w:rPr>
          <w:rFonts w:ascii="Arial" w:eastAsia="MS Mincho" w:hAnsi="Arial" w:cs="Arial"/>
          <w:kern w:val="0"/>
          <w:sz w:val="22"/>
          <w:szCs w:val="22"/>
          <w:lang w:val="en-US"/>
          <w14:ligatures w14:val="none"/>
        </w:rPr>
        <w:t>.</w:t>
      </w:r>
      <w:r w:rsidRPr="00027D54">
        <w:rPr>
          <w:rFonts w:ascii="Arial" w:eastAsia="MS Mincho" w:hAnsi="Arial" w:cs="Arial"/>
          <w:kern w:val="0"/>
          <w:sz w:val="22"/>
          <w:szCs w:val="22"/>
          <w:lang w:val="en-US"/>
          <w14:ligatures w14:val="none"/>
        </w:rPr>
        <w:t xml:space="preserve"> ‘ERP Systems as a Tool for Sustainable Growth’, Journal of Business Strategy, 30(2), pp. 78–89.</w:t>
      </w:r>
    </w:p>
    <w:p w14:paraId="5015180A" w14:textId="5D24B94F" w:rsidR="00027D54" w:rsidRPr="00027D54" w:rsidRDefault="00027D54" w:rsidP="00776CD3">
      <w:pPr>
        <w:spacing w:after="200" w:line="360" w:lineRule="auto"/>
        <w:ind w:left="283" w:hanging="283"/>
        <w:jc w:val="both"/>
        <w:rPr>
          <w:rFonts w:ascii="Arial" w:eastAsia="MS Mincho" w:hAnsi="Arial" w:cs="Arial"/>
          <w:kern w:val="0"/>
          <w:sz w:val="22"/>
          <w:szCs w:val="22"/>
          <w:lang w:val="en-US"/>
          <w14:ligatures w14:val="none"/>
        </w:rPr>
      </w:pPr>
      <w:r w:rsidRPr="00027D54">
        <w:rPr>
          <w:rFonts w:ascii="Arial" w:eastAsia="MS Mincho" w:hAnsi="Arial" w:cs="Arial"/>
          <w:kern w:val="0"/>
          <w:sz w:val="22"/>
          <w:szCs w:val="22"/>
          <w:lang w:val="en-US"/>
          <w14:ligatures w14:val="none"/>
        </w:rPr>
        <w:t>White, L. &amp; Brown, F. (2023)</w:t>
      </w:r>
      <w:r w:rsidR="00776CD3" w:rsidRPr="00A635C4">
        <w:rPr>
          <w:rFonts w:ascii="Arial" w:eastAsia="MS Mincho" w:hAnsi="Arial" w:cs="Arial"/>
          <w:kern w:val="0"/>
          <w:sz w:val="22"/>
          <w:szCs w:val="22"/>
          <w:lang w:val="en-US"/>
          <w14:ligatures w14:val="none"/>
        </w:rPr>
        <w:t>.</w:t>
      </w:r>
      <w:r w:rsidRPr="00027D54">
        <w:rPr>
          <w:rFonts w:ascii="Arial" w:eastAsia="MS Mincho" w:hAnsi="Arial" w:cs="Arial"/>
          <w:kern w:val="0"/>
          <w:sz w:val="22"/>
          <w:szCs w:val="22"/>
          <w:lang w:val="en-US"/>
          <w14:ligatures w14:val="none"/>
        </w:rPr>
        <w:t xml:space="preserve"> ‘Phased Deployment Approaches in ERP Implementation’, Operations Research Quarterly, 27(1), pp. 15–25.</w:t>
      </w:r>
    </w:p>
    <w:p w14:paraId="61C860EB" w14:textId="592CE324" w:rsidR="00F95D9C" w:rsidRPr="00027D54" w:rsidRDefault="00F95D9C" w:rsidP="00776CD3">
      <w:pPr>
        <w:spacing w:line="360" w:lineRule="auto"/>
        <w:jc w:val="both"/>
        <w:rPr>
          <w:rFonts w:ascii="Arial" w:hAnsi="Arial" w:cs="Arial"/>
          <w:sz w:val="22"/>
          <w:szCs w:val="22"/>
        </w:rPr>
      </w:pPr>
    </w:p>
    <w:sectPr w:rsidR="00F95D9C" w:rsidRPr="00027D54">
      <w:pgSz w:w="11906" w:h="16838"/>
      <w:pgMar w:top="1417" w:right="1417" w:bottom="1417" w:left="1417"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EE"/>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EE"/>
    <w:family w:val="swiss"/>
    <w:pitch w:val="variable"/>
    <w:sig w:usb0="E0002EFF" w:usb1="C000785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08"/>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95D9C"/>
    <w:rsid w:val="00027D54"/>
    <w:rsid w:val="003A77CF"/>
    <w:rsid w:val="00463F7E"/>
    <w:rsid w:val="00503D34"/>
    <w:rsid w:val="00566711"/>
    <w:rsid w:val="00647393"/>
    <w:rsid w:val="00776CD3"/>
    <w:rsid w:val="0085201E"/>
    <w:rsid w:val="008E3F82"/>
    <w:rsid w:val="00A05922"/>
    <w:rsid w:val="00A635C4"/>
    <w:rsid w:val="00E32576"/>
    <w:rsid w:val="00F95D9C"/>
  </w:rsids>
  <m:mathPr>
    <m:mathFont m:val="Cambria Math"/>
    <m:brkBin m:val="before"/>
    <m:brkBinSub m:val="--"/>
    <m:smallFrac m:val="0"/>
    <m:dispDef/>
    <m:lMargin m:val="0"/>
    <m:rMargin m:val="0"/>
    <m:defJc m:val="centerGroup"/>
    <m:wrapIndent m:val="1440"/>
    <m:intLim m:val="subSup"/>
    <m:naryLim m:val="undOvr"/>
  </m:mathPr>
  <w:themeFontLang w:val="ro-RO"/>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CF38968"/>
  <w15:chartTrackingRefBased/>
  <w15:docId w15:val="{D0E01A13-CFE8-40D9-990F-BE685AE8E2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ro-RO"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95D9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95D9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95D9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95D9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95D9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95D9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95D9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95D9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95D9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95D9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95D9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95D9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95D9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95D9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95D9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95D9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95D9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95D9C"/>
    <w:rPr>
      <w:rFonts w:eastAsiaTheme="majorEastAsia" w:cstheme="majorBidi"/>
      <w:color w:val="272727" w:themeColor="text1" w:themeTint="D8"/>
    </w:rPr>
  </w:style>
  <w:style w:type="paragraph" w:styleId="Title">
    <w:name w:val="Title"/>
    <w:basedOn w:val="Normal"/>
    <w:next w:val="Normal"/>
    <w:link w:val="TitleChar"/>
    <w:uiPriority w:val="10"/>
    <w:qFormat/>
    <w:rsid w:val="00F95D9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95D9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95D9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95D9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95D9C"/>
    <w:pPr>
      <w:spacing w:before="160"/>
      <w:jc w:val="center"/>
    </w:pPr>
    <w:rPr>
      <w:i/>
      <w:iCs/>
      <w:color w:val="404040" w:themeColor="text1" w:themeTint="BF"/>
    </w:rPr>
  </w:style>
  <w:style w:type="character" w:customStyle="1" w:styleId="QuoteChar">
    <w:name w:val="Quote Char"/>
    <w:basedOn w:val="DefaultParagraphFont"/>
    <w:link w:val="Quote"/>
    <w:uiPriority w:val="29"/>
    <w:rsid w:val="00F95D9C"/>
    <w:rPr>
      <w:i/>
      <w:iCs/>
      <w:color w:val="404040" w:themeColor="text1" w:themeTint="BF"/>
    </w:rPr>
  </w:style>
  <w:style w:type="paragraph" w:styleId="ListParagraph">
    <w:name w:val="List Paragraph"/>
    <w:basedOn w:val="Normal"/>
    <w:uiPriority w:val="34"/>
    <w:qFormat/>
    <w:rsid w:val="00F95D9C"/>
    <w:pPr>
      <w:ind w:left="720"/>
      <w:contextualSpacing/>
    </w:pPr>
  </w:style>
  <w:style w:type="character" w:styleId="IntenseEmphasis">
    <w:name w:val="Intense Emphasis"/>
    <w:basedOn w:val="DefaultParagraphFont"/>
    <w:uiPriority w:val="21"/>
    <w:qFormat/>
    <w:rsid w:val="00F95D9C"/>
    <w:rPr>
      <w:i/>
      <w:iCs/>
      <w:color w:val="0F4761" w:themeColor="accent1" w:themeShade="BF"/>
    </w:rPr>
  </w:style>
  <w:style w:type="paragraph" w:styleId="IntenseQuote">
    <w:name w:val="Intense Quote"/>
    <w:basedOn w:val="Normal"/>
    <w:next w:val="Normal"/>
    <w:link w:val="IntenseQuoteChar"/>
    <w:uiPriority w:val="30"/>
    <w:qFormat/>
    <w:rsid w:val="00F95D9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95D9C"/>
    <w:rPr>
      <w:i/>
      <w:iCs/>
      <w:color w:val="0F4761" w:themeColor="accent1" w:themeShade="BF"/>
    </w:rPr>
  </w:style>
  <w:style w:type="character" w:styleId="IntenseReference">
    <w:name w:val="Intense Reference"/>
    <w:basedOn w:val="DefaultParagraphFont"/>
    <w:uiPriority w:val="32"/>
    <w:qFormat/>
    <w:rsid w:val="00F95D9C"/>
    <w:rPr>
      <w:b/>
      <w:bCs/>
      <w:smallCaps/>
      <w:color w:val="0F4761" w:themeColor="accent1" w:themeShade="BF"/>
      <w:spacing w:val="5"/>
    </w:rPr>
  </w:style>
  <w:style w:type="table" w:styleId="TableGrid">
    <w:name w:val="Table Grid"/>
    <w:basedOn w:val="TableNormal"/>
    <w:uiPriority w:val="39"/>
    <w:rsid w:val="00E3257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463F7E"/>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463F7E"/>
    <w:pPr>
      <w:spacing w:after="100"/>
    </w:pPr>
  </w:style>
  <w:style w:type="character" w:styleId="Hyperlink">
    <w:name w:val="Hyperlink"/>
    <w:basedOn w:val="DefaultParagraphFont"/>
    <w:uiPriority w:val="99"/>
    <w:unhideWhenUsed/>
    <w:rsid w:val="00463F7E"/>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C9EA785-4774-48AE-8979-E2A535E4C1D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86</TotalTime>
  <Pages>11</Pages>
  <Words>2654</Words>
  <Characters>17680</Characters>
  <Application>Microsoft Office Word</Application>
  <DocSecurity>0</DocSecurity>
  <Lines>353</Lines>
  <Paragraphs>97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20237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Lorena-Valentina Sbirnea (2329604)</dc:creator>
  <cp:keywords/>
  <dc:description/>
  <cp:lastModifiedBy>Lorena-Valentina Sbirnea (2329604)</cp:lastModifiedBy>
  <cp:revision>5</cp:revision>
  <dcterms:created xsi:type="dcterms:W3CDTF">2025-11-14T17:43:00Z</dcterms:created>
  <dcterms:modified xsi:type="dcterms:W3CDTF">2025-11-14T19:30:00Z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5b4e1a8d-47cf-4018-b301-25276a57f1db</vt:lpwstr>
  </property>
</Properties>
</file>