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26A1916" w:rsidR="00986B43" w:rsidRPr="009305A4" w:rsidRDefault="00986B43" w:rsidP="005D3F07">
            <w:pPr>
              <w:overflowPunct/>
              <w:autoSpaceDE/>
              <w:autoSpaceDN/>
              <w:adjustRightInd/>
              <w:ind w:right="-957"/>
              <w:textAlignment w:val="auto"/>
              <w:rPr>
                <w:rFonts w:ascii="Times New Roman" w:hAnsi="Times New Roman" w:cs="Times New Roman"/>
                <w:b/>
                <w:color w:val="auto"/>
                <w:sz w:val="40"/>
                <w:szCs w:val="16"/>
              </w:rPr>
            </w:pPr>
            <w:r w:rsidRPr="009305A4">
              <w:rPr>
                <w:rFonts w:ascii="Times New Roman" w:hAnsi="Times New Roman" w:cs="Times New Roman"/>
                <w:b/>
                <w:color w:val="auto"/>
                <w:sz w:val="40"/>
                <w:szCs w:val="16"/>
              </w:rPr>
              <w:t>Learner’s name:</w:t>
            </w:r>
            <w:r w:rsidR="00247265" w:rsidRPr="009305A4">
              <w:rPr>
                <w:rFonts w:ascii="Times New Roman" w:hAnsi="Times New Roman" w:cs="Times New Roman"/>
                <w:b/>
                <w:color w:val="auto"/>
                <w:sz w:val="40"/>
                <w:szCs w:val="16"/>
              </w:rPr>
              <w:t xml:space="preserve"> </w:t>
            </w:r>
            <w:r w:rsidR="009305A4" w:rsidRPr="009305A4">
              <w:rPr>
                <w:rFonts w:ascii="Times New Roman" w:hAnsi="Times New Roman" w:cs="Times New Roman"/>
                <w:b/>
                <w:color w:val="auto"/>
                <w:sz w:val="40"/>
                <w:szCs w:val="16"/>
              </w:rPr>
              <w:t>Jodie Comley</w:t>
            </w:r>
          </w:p>
          <w:p w14:paraId="0B6CD0DB" w14:textId="689515B5" w:rsidR="009C337F" w:rsidRPr="009305A4" w:rsidRDefault="009C337F" w:rsidP="005D3F07">
            <w:pPr>
              <w:overflowPunct/>
              <w:autoSpaceDE/>
              <w:autoSpaceDN/>
              <w:adjustRightInd/>
              <w:ind w:right="-957"/>
              <w:textAlignment w:val="auto"/>
              <w:rPr>
                <w:rFonts w:ascii="Times New Roman" w:hAnsi="Times New Roman" w:cs="Times New Roman"/>
                <w:b/>
                <w:color w:val="auto"/>
                <w:sz w:val="40"/>
                <w:szCs w:val="16"/>
              </w:rPr>
            </w:pPr>
          </w:p>
          <w:p w14:paraId="3A6EAAC7" w14:textId="242E489A" w:rsidR="009C337F" w:rsidRPr="009305A4" w:rsidRDefault="009C337F" w:rsidP="005D3F07">
            <w:pPr>
              <w:overflowPunct/>
              <w:autoSpaceDE/>
              <w:autoSpaceDN/>
              <w:adjustRightInd/>
              <w:ind w:right="-957"/>
              <w:textAlignment w:val="auto"/>
              <w:rPr>
                <w:rFonts w:ascii="Times New Roman" w:hAnsi="Times New Roman" w:cs="Times New Roman"/>
                <w:b/>
                <w:color w:val="auto"/>
                <w:sz w:val="40"/>
                <w:szCs w:val="16"/>
              </w:rPr>
            </w:pPr>
            <w:r w:rsidRPr="009305A4">
              <w:rPr>
                <w:rFonts w:ascii="Times New Roman" w:hAnsi="Times New Roman" w:cs="Times New Roman"/>
                <w:b/>
                <w:color w:val="auto"/>
                <w:sz w:val="40"/>
                <w:szCs w:val="16"/>
              </w:rPr>
              <w:t>Email address:</w:t>
            </w:r>
            <w:r w:rsidR="009305A4" w:rsidRPr="009305A4">
              <w:rPr>
                <w:rFonts w:ascii="Times New Roman" w:hAnsi="Times New Roman" w:cs="Times New Roman"/>
                <w:b/>
                <w:color w:val="auto"/>
                <w:sz w:val="40"/>
                <w:szCs w:val="16"/>
              </w:rPr>
              <w:t xml:space="preserve"> </w:t>
            </w:r>
            <w:hyperlink r:id="rId11" w:history="1">
              <w:r w:rsidR="009305A4" w:rsidRPr="009305A4">
                <w:rPr>
                  <w:rStyle w:val="Hyperlink"/>
                  <w:rFonts w:ascii="Times New Roman" w:hAnsi="Times New Roman" w:cs="Times New Roman"/>
                  <w:b/>
                  <w:sz w:val="40"/>
                  <w:szCs w:val="16"/>
                </w:rPr>
                <w:t>jodie.comley@swansea.gov.uk</w:t>
              </w:r>
            </w:hyperlink>
            <w:r w:rsidR="009305A4" w:rsidRPr="009305A4">
              <w:rPr>
                <w:rFonts w:ascii="Times New Roman" w:hAnsi="Times New Roman" w:cs="Times New Roman"/>
                <w:b/>
                <w:color w:val="auto"/>
                <w:sz w:val="40"/>
                <w:szCs w:val="16"/>
              </w:rPr>
              <w:t xml:space="preserve"> / </w:t>
            </w:r>
            <w:hyperlink r:id="rId12" w:history="1">
              <w:r w:rsidR="009305A4" w:rsidRPr="009305A4">
                <w:rPr>
                  <w:rStyle w:val="Hyperlink"/>
                  <w:rFonts w:ascii="Times New Roman" w:hAnsi="Times New Roman" w:cs="Times New Roman"/>
                  <w:b/>
                  <w:sz w:val="40"/>
                  <w:szCs w:val="16"/>
                </w:rPr>
                <w:t>jodieekelsiee@hotmail.co.uk</w:t>
              </w:r>
            </w:hyperlink>
            <w:r w:rsidR="009305A4" w:rsidRPr="009305A4">
              <w:rPr>
                <w:rFonts w:ascii="Times New Roman" w:hAnsi="Times New Roman" w:cs="Times New Roman"/>
                <w:b/>
                <w:color w:val="auto"/>
                <w:sz w:val="40"/>
                <w:szCs w:val="16"/>
              </w:rPr>
              <w:t xml:space="preserve"> </w:t>
            </w:r>
          </w:p>
          <w:p w14:paraId="22E38809" w14:textId="77777777" w:rsidR="00986B43" w:rsidRPr="009305A4" w:rsidRDefault="00986B43" w:rsidP="005D3F07">
            <w:pPr>
              <w:overflowPunct/>
              <w:autoSpaceDE/>
              <w:autoSpaceDN/>
              <w:adjustRightInd/>
              <w:ind w:right="-957"/>
              <w:textAlignment w:val="auto"/>
              <w:rPr>
                <w:rFonts w:ascii="Times New Roman" w:hAnsi="Times New Roman" w:cs="Times New Roman"/>
                <w:b/>
                <w:color w:val="auto"/>
                <w:sz w:val="40"/>
                <w:szCs w:val="16"/>
              </w:rPr>
            </w:pPr>
          </w:p>
          <w:p w14:paraId="0DE696B2" w14:textId="2FDD00F7" w:rsidR="00F927A1" w:rsidRPr="009305A4" w:rsidRDefault="0085230E" w:rsidP="005D3F07">
            <w:pPr>
              <w:overflowPunct/>
              <w:autoSpaceDE/>
              <w:autoSpaceDN/>
              <w:adjustRightInd/>
              <w:ind w:right="-957"/>
              <w:textAlignment w:val="auto"/>
              <w:rPr>
                <w:rFonts w:ascii="Times New Roman" w:hAnsi="Times New Roman" w:cs="Times New Roman"/>
                <w:b/>
                <w:color w:val="auto"/>
                <w:sz w:val="40"/>
                <w:szCs w:val="16"/>
              </w:rPr>
            </w:pPr>
            <w:r w:rsidRPr="009305A4">
              <w:rPr>
                <w:rFonts w:ascii="Times New Roman" w:hAnsi="Times New Roman" w:cs="Times New Roman"/>
                <w:b/>
                <w:color w:val="auto"/>
                <w:sz w:val="40"/>
                <w:szCs w:val="16"/>
              </w:rPr>
              <w:t>Learner’s University Registration</w:t>
            </w:r>
            <w:r w:rsidR="00F927A1" w:rsidRPr="009305A4">
              <w:rPr>
                <w:rFonts w:ascii="Times New Roman" w:hAnsi="Times New Roman" w:cs="Times New Roman"/>
                <w:b/>
                <w:color w:val="auto"/>
                <w:sz w:val="40"/>
                <w:szCs w:val="16"/>
              </w:rPr>
              <w:t xml:space="preserve"> Number:</w:t>
            </w:r>
            <w:r w:rsidR="009305A4">
              <w:rPr>
                <w:rFonts w:ascii="Times New Roman" w:hAnsi="Times New Roman" w:cs="Times New Roman"/>
                <w:b/>
                <w:color w:val="auto"/>
                <w:sz w:val="40"/>
                <w:szCs w:val="16"/>
              </w:rPr>
              <w:t xml:space="preserve"> 2417218</w:t>
            </w:r>
          </w:p>
          <w:p w14:paraId="622FD17A" w14:textId="77777777" w:rsidR="0085230E" w:rsidRPr="009305A4" w:rsidRDefault="0085230E" w:rsidP="005D3F07">
            <w:pPr>
              <w:overflowPunct/>
              <w:autoSpaceDE/>
              <w:autoSpaceDN/>
              <w:adjustRightInd/>
              <w:ind w:right="-957"/>
              <w:textAlignment w:val="auto"/>
              <w:rPr>
                <w:rFonts w:ascii="Times New Roman" w:hAnsi="Times New Roman" w:cs="Times New Roman"/>
                <w:b/>
                <w:color w:val="auto"/>
                <w:sz w:val="40"/>
                <w:szCs w:val="16"/>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9305A4">
              <w:rPr>
                <w:rFonts w:ascii="Times New Roman" w:hAnsi="Times New Roman" w:cs="Times New Roman"/>
                <w:b/>
                <w:color w:val="auto"/>
                <w:sz w:val="40"/>
                <w:szCs w:val="16"/>
              </w:rPr>
              <w:t xml:space="preserve">Cohort: </w:t>
            </w:r>
            <w:r w:rsidR="00B037B0" w:rsidRPr="009305A4">
              <w:rPr>
                <w:rFonts w:ascii="Times New Roman" w:hAnsi="Times New Roman" w:cs="Times New Roman"/>
                <w:b/>
                <w:color w:val="auto"/>
                <w:sz w:val="40"/>
                <w:szCs w:val="16"/>
              </w:rPr>
              <w:t>21</w:t>
            </w:r>
            <w:r w:rsidR="00AE6231" w:rsidRPr="009305A4">
              <w:rPr>
                <w:rFonts w:ascii="Times New Roman" w:hAnsi="Times New Roman" w:cs="Times New Roman"/>
                <w:b/>
                <w:color w:val="auto"/>
                <w:sz w:val="40"/>
                <w:szCs w:val="16"/>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51FA516" w14:textId="77777777" w:rsidR="003974A7" w:rsidRDefault="003974A7" w:rsidP="00C96B73">
            <w:pPr>
              <w:spacing w:line="360" w:lineRule="auto"/>
              <w:jc w:val="both"/>
              <w:rPr>
                <w:iCs/>
                <w:sz w:val="24"/>
                <w:szCs w:val="24"/>
              </w:rPr>
            </w:pPr>
            <w:r w:rsidRPr="003974A7">
              <w:rPr>
                <w:iCs/>
                <w:sz w:val="24"/>
                <w:szCs w:val="24"/>
              </w:rPr>
              <w:t>This critically reflective case study will explore a pre-birth assessment I undertook as a newly qualified social worker within a child and family area team in Wales. The assessment concerned an unborn baby with safeguarding concerns relating to parental substance misuse, parental mental health, chaotic lifestyles and criminal history, including a recent arrest of both parents as well as mother’s older children being removed from her care for worries that mirrored the current concerns. This reflective account will look at my knowledge of relevant legislation, strategies, policies and procedures that informed my practice, with particular reference to safeguarding in Wales. I will use Jasper’s (2013) ERA (experience, reflection, action) reflective model to reflect on my understanding of the integration of analysis in assessment, collaborate working and professional judgements in increasingly complex situations and how social work theories such as systems theory and attachment theory have aided my practice. I will reflect on working in Wales, including the duties within the (</w:t>
            </w:r>
            <w:r w:rsidRPr="003974A7">
              <w:rPr>
                <w:i/>
                <w:iCs/>
                <w:sz w:val="24"/>
                <w:szCs w:val="24"/>
              </w:rPr>
              <w:t>Social Services and Well-being (Wales) Act 2014</w:t>
            </w:r>
            <w:r w:rsidRPr="003974A7">
              <w:rPr>
                <w:iCs/>
                <w:sz w:val="24"/>
                <w:szCs w:val="24"/>
              </w:rPr>
              <w:t>), the ‘Active Offer’ under (</w:t>
            </w:r>
            <w:r w:rsidRPr="003974A7">
              <w:rPr>
                <w:i/>
                <w:iCs/>
                <w:sz w:val="24"/>
                <w:szCs w:val="24"/>
              </w:rPr>
              <w:t>The Welsh Language Act 1993</w:t>
            </w:r>
            <w:r w:rsidRPr="003974A7">
              <w:rPr>
                <w:iCs/>
                <w:sz w:val="24"/>
                <w:szCs w:val="24"/>
              </w:rPr>
              <w:t xml:space="preserve">) and the Wales Safeguarding Procedures (2019) and how this has shaped my </w:t>
            </w:r>
            <w:r w:rsidRPr="003974A7">
              <w:rPr>
                <w:iCs/>
                <w:sz w:val="24"/>
                <w:szCs w:val="24"/>
              </w:rPr>
              <w:lastRenderedPageBreak/>
              <w:t>practice when working with this family. I applied the ‘active offer’ in line with the (</w:t>
            </w:r>
            <w:r w:rsidRPr="003974A7">
              <w:rPr>
                <w:i/>
                <w:iCs/>
                <w:sz w:val="24"/>
                <w:szCs w:val="24"/>
              </w:rPr>
              <w:t>Social Services and Well-being (Wales) Act 2014</w:t>
            </w:r>
            <w:r w:rsidRPr="003974A7">
              <w:rPr>
                <w:iCs/>
                <w:sz w:val="24"/>
                <w:szCs w:val="24"/>
              </w:rPr>
              <w:t xml:space="preserve">) and the Welsh Government’s More than Just Words strategy (Care Inspectorate Wales, n.d.). Parents stated a preference for English and respecting this preference aligned with the Code of Professional Practice (Social Care Wales, 2017). </w:t>
            </w:r>
          </w:p>
          <w:p w14:paraId="649F3798" w14:textId="77777777" w:rsidR="00EA5F13" w:rsidRPr="003974A7" w:rsidRDefault="00EA5F13" w:rsidP="00C96B73">
            <w:pPr>
              <w:spacing w:line="360" w:lineRule="auto"/>
              <w:jc w:val="both"/>
              <w:rPr>
                <w:iCs/>
                <w:sz w:val="24"/>
                <w:szCs w:val="24"/>
              </w:rPr>
            </w:pPr>
          </w:p>
          <w:p w14:paraId="4A0CF0EB" w14:textId="77777777" w:rsidR="003974A7" w:rsidRDefault="003974A7" w:rsidP="00C96B73">
            <w:pPr>
              <w:spacing w:line="360" w:lineRule="auto"/>
              <w:jc w:val="both"/>
              <w:rPr>
                <w:iCs/>
                <w:sz w:val="24"/>
                <w:szCs w:val="24"/>
              </w:rPr>
            </w:pPr>
            <w:r w:rsidRPr="003974A7">
              <w:rPr>
                <w:iCs/>
                <w:sz w:val="24"/>
                <w:szCs w:val="24"/>
              </w:rPr>
              <w:t>For confidentiality reasons, I will refer to the individuals in the case example using numbers. The case involved significant safeguarding concerns relating to an unborn baby, referred now as 3, whose mother (1) and father (2) presented with several complex safeguarding concerns that could cause harm to 3. 1 and 2 had not been in a romantic relationship long and 3 will be their first child together, however 1 has two teenage children from a previous relationship who reside with a family member under a Special Guardianship Order due to similar worries around parental ability and ability to provide safety. 1 and 2 have a history of substance misuse and continue to use cannabis. 1 suffers with a number of mental health conditions which have led to crisis interventions in the past, most recently months before the referral. 1 was experiencing a mental health episode and both parents were subsequently found guilty of assaulting a police officer and received community orders. 2 has an extensive criminal history, including periods of incarceration and he was previously a looked after child. 1 and 2 have experienced considerable adverse childhood experiences, loss and adversity throughout their lives, which has shaped their current circumstances and coping mechanisms.  1 is a 36 year old who identifies as white, Welsh and 2 is a 33 year old who also identifies as white, Welsh. In my initial engagement with parents, I applied the ‘active offer’ in line with the (</w:t>
            </w:r>
            <w:r w:rsidRPr="003974A7">
              <w:rPr>
                <w:i/>
                <w:iCs/>
                <w:sz w:val="24"/>
                <w:szCs w:val="24"/>
              </w:rPr>
              <w:t>Social Services and Well-being (Wales) Act 2014</w:t>
            </w:r>
            <w:r w:rsidRPr="003974A7">
              <w:rPr>
                <w:iCs/>
                <w:sz w:val="24"/>
                <w:szCs w:val="24"/>
              </w:rPr>
              <w:t xml:space="preserve">) which is a central principle of the </w:t>
            </w:r>
            <w:r w:rsidRPr="003974A7">
              <w:rPr>
                <w:i/>
                <w:iCs/>
                <w:sz w:val="24"/>
                <w:szCs w:val="24"/>
              </w:rPr>
              <w:t xml:space="preserve">“More than Just Words” </w:t>
            </w:r>
            <w:r w:rsidRPr="003974A7">
              <w:rPr>
                <w:iCs/>
                <w:sz w:val="24"/>
                <w:szCs w:val="24"/>
              </w:rPr>
              <w:t xml:space="preserve">framework (Care Inspectorate Wales, n.d). This means offering services in Welsh without waiting for individuals to ask. 1 and 2 shared that their language preference is English; by offering the choice of language and respecting their preference I have followed legal guidance and Code 1 of the Code of Professional Practice (Social Care Wales, 2017). </w:t>
            </w:r>
          </w:p>
          <w:p w14:paraId="5863C786" w14:textId="77777777" w:rsidR="00EA5F13" w:rsidRPr="003974A7" w:rsidRDefault="00EA5F13" w:rsidP="00C96B73">
            <w:pPr>
              <w:spacing w:line="360" w:lineRule="auto"/>
              <w:jc w:val="both"/>
              <w:rPr>
                <w:iCs/>
                <w:sz w:val="24"/>
                <w:szCs w:val="24"/>
              </w:rPr>
            </w:pPr>
          </w:p>
          <w:p w14:paraId="6D833C7D" w14:textId="77777777" w:rsidR="003974A7" w:rsidRDefault="003974A7" w:rsidP="00C96B73">
            <w:pPr>
              <w:spacing w:line="360" w:lineRule="auto"/>
              <w:jc w:val="both"/>
              <w:rPr>
                <w:iCs/>
                <w:sz w:val="24"/>
                <w:szCs w:val="24"/>
              </w:rPr>
            </w:pPr>
            <w:r w:rsidRPr="003974A7">
              <w:rPr>
                <w:iCs/>
                <w:sz w:val="24"/>
                <w:szCs w:val="24"/>
              </w:rPr>
              <w:t>The safeguarding framework in Wales in shaped not only by devolved legislation such as the (</w:t>
            </w:r>
            <w:r w:rsidRPr="003974A7">
              <w:rPr>
                <w:i/>
                <w:iCs/>
                <w:sz w:val="24"/>
                <w:szCs w:val="24"/>
              </w:rPr>
              <w:t>Social Services and Well-being (Wales) Act 2014</w:t>
            </w:r>
            <w:r w:rsidRPr="003974A7">
              <w:rPr>
                <w:iCs/>
                <w:sz w:val="24"/>
                <w:szCs w:val="24"/>
              </w:rPr>
              <w:t xml:space="preserve">), but also by UK wide and international influences. </w:t>
            </w:r>
            <w:r w:rsidRPr="003974A7">
              <w:rPr>
                <w:i/>
                <w:iCs/>
                <w:sz w:val="24"/>
                <w:szCs w:val="24"/>
              </w:rPr>
              <w:t xml:space="preserve">“Safeguarding is everybody’s responsibility. The Welsh Government expects </w:t>
            </w:r>
            <w:r w:rsidRPr="003974A7">
              <w:rPr>
                <w:i/>
                <w:iCs/>
                <w:sz w:val="24"/>
                <w:szCs w:val="24"/>
              </w:rPr>
              <w:lastRenderedPageBreak/>
              <w:t xml:space="preserve">individuals, groups and organisations offering activities or services to follow this advice” </w:t>
            </w:r>
            <w:r w:rsidRPr="003974A7">
              <w:rPr>
                <w:iCs/>
                <w:sz w:val="24"/>
                <w:szCs w:val="24"/>
              </w:rPr>
              <w:t>(Welsh Government, 2022). The (</w:t>
            </w:r>
            <w:r w:rsidRPr="003974A7">
              <w:rPr>
                <w:i/>
                <w:iCs/>
                <w:sz w:val="24"/>
                <w:szCs w:val="24"/>
              </w:rPr>
              <w:t>Social Services and Well-being (Wales) Act 2014</w:t>
            </w:r>
            <w:r w:rsidRPr="003974A7">
              <w:rPr>
                <w:iCs/>
                <w:sz w:val="24"/>
                <w:szCs w:val="24"/>
              </w:rPr>
              <w:t>), particularly Part 7 which provides guidance on how to report a child at risk, Part 7 also redirects to Section 47 of the (</w:t>
            </w:r>
            <w:r w:rsidRPr="003974A7">
              <w:rPr>
                <w:i/>
                <w:iCs/>
                <w:sz w:val="24"/>
                <w:szCs w:val="24"/>
              </w:rPr>
              <w:t>Children Act 1989</w:t>
            </w:r>
            <w:r w:rsidRPr="003974A7">
              <w:rPr>
                <w:iCs/>
                <w:sz w:val="24"/>
                <w:szCs w:val="24"/>
              </w:rPr>
              <w:t>) which applies across England and Wales and underpins child protection enquiries. The Welsh Government defines safeguarding as the act of protecting a person’s right to live safely, free from abuse and neglect and applies to both children and adults (Welsh Government, 2022). Although the (</w:t>
            </w:r>
            <w:r w:rsidRPr="003974A7">
              <w:rPr>
                <w:i/>
                <w:iCs/>
                <w:sz w:val="24"/>
                <w:szCs w:val="24"/>
              </w:rPr>
              <w:t>Social Services and Well-being (Wales) Act 2014</w:t>
            </w:r>
            <w:r w:rsidRPr="003974A7">
              <w:rPr>
                <w:iCs/>
                <w:sz w:val="24"/>
                <w:szCs w:val="24"/>
              </w:rPr>
              <w:t xml:space="preserve">) provides legal framework for safeguarding children and adults, harm still occurs and there are procedures in place to investigate such matters. The Care Inspectorate Wales’s, Rapid Review of Child Protection Arrangements (2023), derived due to several tragic child deaths, the review found that while there are examples of good practice, inconsistencies remain in how threshold for significant harm are applied, children’s voices and how information is shared across agencies and gaps in multi-agency collaboration were identified as contributing factors to safeguarding failures. This reinforces the importance of effective collaborative working across all services involved in child protection, ensuring that safeguarding is not only a statutory duty but a combined effort by all to protect children from harm. Wales also follows international agreements like the United Nations Convention on the Rights of the Child (UNCRC, 1989) which helps protect children’s rights and is incorporated into legislation, policy and procedures. These integrations wider framework ensure sure that safeguarding in Wales fits with wider UK and global standards. </w:t>
            </w:r>
          </w:p>
          <w:p w14:paraId="62F551C1" w14:textId="77777777" w:rsidR="00EA5F13" w:rsidRPr="003974A7" w:rsidRDefault="00EA5F13" w:rsidP="00C96B73">
            <w:pPr>
              <w:spacing w:line="360" w:lineRule="auto"/>
              <w:jc w:val="both"/>
              <w:rPr>
                <w:iCs/>
                <w:sz w:val="24"/>
                <w:szCs w:val="24"/>
              </w:rPr>
            </w:pPr>
          </w:p>
          <w:p w14:paraId="5EB46E6F" w14:textId="72CC4BD8" w:rsidR="003974A7" w:rsidRDefault="003974A7" w:rsidP="00C96B73">
            <w:pPr>
              <w:spacing w:line="360" w:lineRule="auto"/>
              <w:jc w:val="both"/>
              <w:rPr>
                <w:iCs/>
                <w:sz w:val="24"/>
                <w:szCs w:val="24"/>
              </w:rPr>
            </w:pPr>
            <w:r w:rsidRPr="003974A7">
              <w:rPr>
                <w:iCs/>
                <w:sz w:val="24"/>
                <w:szCs w:val="24"/>
              </w:rPr>
              <w:t>Within my local authority, safeguarding concerns for children are referred through to a specific team, which is the central hub for receiving safeguarding referrals from professionals and members of the public. Professionals are expected to complete a referral performer and to include as much detail ensuring that they are clear in outlining what the concerns are and whether they have gained consent from the individual at the point of referral. Information sharing is guided by the (</w:t>
            </w:r>
            <w:r w:rsidRPr="003974A7">
              <w:rPr>
                <w:i/>
                <w:iCs/>
                <w:sz w:val="24"/>
                <w:szCs w:val="24"/>
              </w:rPr>
              <w:t>Data Protection Act 2018</w:t>
            </w:r>
            <w:r w:rsidRPr="003974A7">
              <w:rPr>
                <w:iCs/>
                <w:sz w:val="24"/>
                <w:szCs w:val="24"/>
              </w:rPr>
              <w:t>) which incorporates principles from the EU’s General Data Protection Regulation (GDPR), UK GDPR (2016), which guides professionals on the legal framework of information sharing when necessary to safeguard children. In this case, the referral was made by the community midwife as per her duty under Section 130 of the (</w:t>
            </w:r>
            <w:r w:rsidRPr="003974A7">
              <w:rPr>
                <w:i/>
                <w:iCs/>
                <w:sz w:val="24"/>
                <w:szCs w:val="24"/>
              </w:rPr>
              <w:t>Social Services and Well-being (Wales) Act 2014</w:t>
            </w:r>
            <w:r w:rsidRPr="003974A7">
              <w:rPr>
                <w:iCs/>
                <w:sz w:val="24"/>
                <w:szCs w:val="24"/>
              </w:rPr>
              <w:t xml:space="preserve">) following booking 1 into </w:t>
            </w:r>
            <w:r w:rsidRPr="003974A7">
              <w:rPr>
                <w:iCs/>
                <w:sz w:val="24"/>
                <w:szCs w:val="24"/>
              </w:rPr>
              <w:lastRenderedPageBreak/>
              <w:t>midwifery services, in line with the (</w:t>
            </w:r>
            <w:r w:rsidRPr="003974A7">
              <w:rPr>
                <w:i/>
                <w:iCs/>
                <w:sz w:val="24"/>
                <w:szCs w:val="24"/>
              </w:rPr>
              <w:t>Social Services and Well-being (Wales) Act 2014</w:t>
            </w:r>
            <w:r w:rsidRPr="003974A7">
              <w:rPr>
                <w:iCs/>
                <w:sz w:val="24"/>
                <w:szCs w:val="24"/>
              </w:rPr>
              <w:t xml:space="preserve">) professionals are encouraged to work collaboratively with families and seek informed consent when making referrals into social services. The midwife gained consent before referring the unborn baby into the local authority because of the information shared by 1 during booking and this was clearly stated within the referral. Furthermore a second referral was made into the local authority by probation services once 1 and 2 had informed probation services of the pregnancy, which is the duty placed on practitioners and partners under </w:t>
            </w:r>
            <w:r w:rsidR="00205782">
              <w:rPr>
                <w:iCs/>
                <w:sz w:val="24"/>
                <w:szCs w:val="24"/>
              </w:rPr>
              <w:t>s.130</w:t>
            </w:r>
            <w:r w:rsidRPr="003974A7">
              <w:rPr>
                <w:iCs/>
                <w:sz w:val="24"/>
                <w:szCs w:val="24"/>
              </w:rPr>
              <w:t xml:space="preserve"> of the (</w:t>
            </w:r>
            <w:r w:rsidRPr="003974A7">
              <w:rPr>
                <w:i/>
                <w:iCs/>
                <w:sz w:val="24"/>
                <w:szCs w:val="24"/>
              </w:rPr>
              <w:t>Social Services and Well-being (Wales) Act 2014</w:t>
            </w:r>
            <w:r w:rsidRPr="003974A7">
              <w:rPr>
                <w:iCs/>
                <w:sz w:val="24"/>
                <w:szCs w:val="24"/>
              </w:rPr>
              <w:t xml:space="preserve">) to report children, including unborn children if they have reasonable cause to suspect are at risk of harm. This evidences good practice from partner agencies and follows the statutory duty to report if they have any concerns about a child under the age of 18 and by sharing information across agencies in a timely manner in line with Wales Safeguarding Procedures (2019). </w:t>
            </w:r>
          </w:p>
          <w:p w14:paraId="5567D895" w14:textId="77777777" w:rsidR="00C96B73" w:rsidRPr="003974A7" w:rsidRDefault="00C96B73" w:rsidP="00C96B73">
            <w:pPr>
              <w:spacing w:line="360" w:lineRule="auto"/>
              <w:jc w:val="both"/>
              <w:rPr>
                <w:iCs/>
                <w:sz w:val="24"/>
                <w:szCs w:val="24"/>
              </w:rPr>
            </w:pPr>
          </w:p>
          <w:p w14:paraId="1484C048" w14:textId="77777777" w:rsidR="00C96B73" w:rsidRDefault="003974A7" w:rsidP="00C96B73">
            <w:pPr>
              <w:spacing w:line="360" w:lineRule="auto"/>
              <w:jc w:val="both"/>
              <w:rPr>
                <w:iCs/>
                <w:sz w:val="24"/>
                <w:szCs w:val="24"/>
              </w:rPr>
            </w:pPr>
            <w:r w:rsidRPr="003974A7">
              <w:rPr>
                <w:iCs/>
                <w:sz w:val="24"/>
                <w:szCs w:val="24"/>
              </w:rPr>
              <w:t>When my team receives a referral concerning an unborn baby, we follow the guidance set out in the Wales Safeguarding Procedures (2019). We apply a multi-agency approach to assess potential risk to unborn babies by having a ‘professionals mapping meeting’, where all relevant professionals involved with the family, such as midwifes, family support services, housing and probation come together to share information. I had already gained consent from 1 and 2 to hold this meeting and I was fortunate to be able to share up to date information about 1 and 2’s circumstances having already met with them and shared with professionals what their goal was in line with my local authorities ‘what matters’ conversations at initial meetings. The mapping allows for us to collectively assess the level of risk and consider whether the threshold for significant harm is met and aligns with the statutory requirement to ensure that safeguarding decisions are informed, proportionate, and multi-agency in nature to support early intervention (Wallace and Garthwaite, 2023). Following the meeting, my manager and I undertook an initial strategy discussion (ISD) with the police to plan how the enquiry would be conducted and to initiate Section 47 enquires under the (</w:t>
            </w:r>
            <w:r w:rsidRPr="003974A7">
              <w:rPr>
                <w:i/>
                <w:iCs/>
                <w:sz w:val="24"/>
                <w:szCs w:val="24"/>
              </w:rPr>
              <w:t>Children Act 1989</w:t>
            </w:r>
            <w:r w:rsidRPr="003974A7">
              <w:rPr>
                <w:iCs/>
                <w:sz w:val="24"/>
                <w:szCs w:val="24"/>
              </w:rPr>
              <w:t xml:space="preserve">), it was decided that a single agency approach was sufficient with the level of concerns and police attendance was not required. An initial children protection case conference (ICPC) was held within 15 days of the strategy meeting and the decision was made by all agencies for 3’s name to be placed on the child protection register at birth, in line with the timescales set out in statutory </w:t>
            </w:r>
            <w:r w:rsidRPr="003974A7">
              <w:rPr>
                <w:iCs/>
                <w:sz w:val="24"/>
                <w:szCs w:val="24"/>
              </w:rPr>
              <w:lastRenderedPageBreak/>
              <w:t xml:space="preserve">guidance from the Wales Safeguarding Procedures (2019). Following the ICPC and the level of concerns, the case was discussed in a legal gateway meeting (LGM), where it was agreed to initiate the Public Law Outline (PLO) process. This is the first case that I had in PLO in respect of an unborn baby and this did cause me anxiety because I knew that PLO is the stage before care proceedings and that the decisions I make during this process could lead to 3 being removed from 1 and 2 at birth and given the severity of the concerns, I felt that it could be a realistic option for 3,  if 1 and 2 did not make substantial and positive changes to their lifestyle within 3’s  timescales. During LGM it was agreed that a CUBAS assessment would be undertaken of 1 and 2 because of 2’s learning needs and instead I would need to complete a PLO analysis and give a final recommendation. I felt somewhat a relief of this given that I was already feeling anxious around being in the PLO process that I was not the one completing the core ‘parenting’ assessment as such. During supervision, I discussed with my supervisor my feelings about the current situation around completing the analysis and what the recommendations could be, my supervisor was supportive and was able to provide me with examples of pre-birth PLO assessments completed by my colleagues. Throughout the assessment timeframe, I ensured that I worked collaboratively with the independent social worker who was completing the CUBAS and shared information that would be relevant for her prior to the start of assessment to aid in her planning in a timely manner.  Although being in PLO process was fairly new to me, I quickly recognised that the process provided clear framework, including set timeframes and expectations for assessment content. On reflection, I found that I responded well to the structure and the timelines helped me to stay focused and manage the case more effectively especially because of the complexities of the case and the number of professionals involved. This experience helped me recognise that I learn and work best when there is structure. Research suggests that social work students often benefit from structured learning approaches, particularly when transitioning into complex practice environments (Wolfsfeld and Haj-Yahia, 2010). I plan to seek out further training on legal processes and around written court work as I now recognise that the structure of these systems compliments my learning style and will support my professional development and competence in safeguarding work especially within the court arena. I remember feeling anxious prior to hand delivering the PLO letter to 1 and 2 in case I could not answer any questions they may have. I had an informal supervision with my supervisor before the visit to </w:t>
            </w:r>
            <w:r w:rsidRPr="003974A7">
              <w:rPr>
                <w:iCs/>
                <w:sz w:val="24"/>
                <w:szCs w:val="24"/>
              </w:rPr>
              <w:lastRenderedPageBreak/>
              <w:t>reassure me and to give me the opportunity to practice what I was going to say and how to explain the process to 1 and 2. My supervisor printed me off a simple flow chart which she had created herself when she case managed to support in how to explain the process to parents in a simple way. 1 was upset on delivering the letter and explaining the possible outcomes of PLO, 1 shared that she would kill herself if the baby was adopted, despite my efforts to provide comfort and explain the purpose of the letter and the support available to parents, 1 was not able to focus. Jasper’s (2013) reflective model helped me think about how I felt following the visit as I did not expect 1 to make the comments she did and it caught me off guard. Whilst I was able to empathises with 1 and reflected how I would feel if a social worker delivered me that information, I remained mindful that my responsibility is to safeguard 3, despite how difficult and upsetting this will be for parents. I believe that I am an emotionally resilient person and this reflection helped me balance compassion with professional judgement. When practicing within child protection, this is importance because emotional intelligence helps us manage our own feelings whilst remaining focused on the child and their needs (Herland, 2022).</w:t>
            </w:r>
          </w:p>
          <w:p w14:paraId="4AFD8F3C" w14:textId="0BECBFBF" w:rsidR="003974A7" w:rsidRPr="003974A7" w:rsidRDefault="003974A7" w:rsidP="00C96B73">
            <w:pPr>
              <w:spacing w:line="360" w:lineRule="auto"/>
              <w:jc w:val="both"/>
              <w:rPr>
                <w:iCs/>
                <w:sz w:val="24"/>
                <w:szCs w:val="24"/>
              </w:rPr>
            </w:pPr>
            <w:r w:rsidRPr="003974A7">
              <w:rPr>
                <w:iCs/>
                <w:sz w:val="24"/>
                <w:szCs w:val="24"/>
              </w:rPr>
              <w:t xml:space="preserve"> </w:t>
            </w:r>
          </w:p>
          <w:p w14:paraId="7C6CD4BF" w14:textId="77777777" w:rsidR="003974A7" w:rsidRDefault="003974A7" w:rsidP="00C96B73">
            <w:pPr>
              <w:spacing w:line="360" w:lineRule="auto"/>
              <w:jc w:val="both"/>
              <w:rPr>
                <w:iCs/>
                <w:sz w:val="24"/>
                <w:szCs w:val="24"/>
              </w:rPr>
            </w:pPr>
            <w:r w:rsidRPr="003974A7">
              <w:rPr>
                <w:iCs/>
                <w:sz w:val="24"/>
                <w:szCs w:val="24"/>
              </w:rPr>
              <w:t xml:space="preserve">Throughout the assessment process and my involvement with 1 and 2, I ensured that I followed the values and standards set out in the Code of Ethics for Social work (British Association of Social Workers, 2014) and followed the Code of Professional Practice (Social Care Wales, 2017). I ensured that I treated 1 and 2 with respect and always listened to their views whilst also being honest about my worries and remained focused on the best interests of 3, but done this in a person-centred way, which at times parents thanked me for. I ensured that I maintained a non-judgment and anti-oppressive approach and communicated with 1 and 2 throughout the process and always used clear communication to make sure 1 and 2 knew what was happening and why. I always gave myself enough time during visits, to ensure that I was able to explain things in detail and to allow for parents to ask any questions they needed. During the assessment period, I ensured that 1 and 2 were being supported by relevant services, this included parenting support and substance support and ensured that all professionals were included within core groups held every 4-6 weeks in line with Wales Safeguarding Procedures (2019).  </w:t>
            </w:r>
          </w:p>
          <w:p w14:paraId="4D69FF32" w14:textId="77777777" w:rsidR="00C96B73" w:rsidRPr="003974A7" w:rsidRDefault="00C96B73" w:rsidP="00C96B73">
            <w:pPr>
              <w:spacing w:line="360" w:lineRule="auto"/>
              <w:jc w:val="both"/>
              <w:rPr>
                <w:iCs/>
                <w:sz w:val="24"/>
                <w:szCs w:val="24"/>
              </w:rPr>
            </w:pPr>
          </w:p>
          <w:p w14:paraId="762AAF6D" w14:textId="77777777" w:rsidR="003974A7" w:rsidRDefault="003974A7" w:rsidP="00C96B73">
            <w:pPr>
              <w:spacing w:line="360" w:lineRule="auto"/>
              <w:jc w:val="both"/>
              <w:rPr>
                <w:iCs/>
                <w:sz w:val="24"/>
                <w:szCs w:val="24"/>
              </w:rPr>
            </w:pPr>
            <w:r w:rsidRPr="003974A7">
              <w:rPr>
                <w:iCs/>
                <w:sz w:val="24"/>
                <w:szCs w:val="24"/>
              </w:rPr>
              <w:lastRenderedPageBreak/>
              <w:t xml:space="preserve">During the PLO process, 1 and 2 were offered family support services and this is a vital part of working in partnership with parents to promote positive change. Both parents engaged well with the support offered, including parenting support, substance and housing support and actively engaged with these sessions. Whilst this change was positive and showed me that they had the capacity to change, the risk to 3 remained high. By providing 1 and 2 these support services, not only does it support the family but also supports my assessment by ensuring an evidence-based approach whilst also demonstrating the steps the local authority has made to support parents into making positive changes. I found myself uncertain about whether 1 and 2’s progress could be sustained over a long period of time given their significant histories but I was also mindful that 3 should remain with her parents if it was safe to do as social work practice aims to keep families together wherever possible but only when the child is not at risk of harm (National Association of Social Workers, 2013). To guide my thinking, within a supervision session, I discussed the risk and protective factor theory by weighing up the risks against protective factors as supported by Wilkins (2013). This theory helped ensure that my recommendation was both child centred and legally sound and helped me balance the risks and protective factors. By having this all written down, it supported my professional judgement in making my recommendation to present in the legal gateway meeting. The outcome of the CUBAS assessment was to issue care proceedings. On using the of risk and protective factors identified within supervision, my recommendation was to issue care proceedings and for 1,2 and 3 to receive additional support in a parent and baby residential placement over a 14 week period as there were a number of protective factors that needed further assessing. As the risks around parents were high, I did wonder whether a residential placement would be offered to the family in light of the concerns. In supervision I discussed with my supervisor our options if a placement was not found shared that  I did not feel that I could recommend 3 to go home with parents because of the risks identified and to aid any final decision making I needed to be able to observe the family within a residential setting to see whether 1 and 2 could safely care for 3 long term. </w:t>
            </w:r>
          </w:p>
          <w:p w14:paraId="414DA36A" w14:textId="77777777" w:rsidR="00C96B73" w:rsidRPr="003974A7" w:rsidRDefault="00C96B73" w:rsidP="00C96B73">
            <w:pPr>
              <w:spacing w:line="360" w:lineRule="auto"/>
              <w:jc w:val="both"/>
              <w:rPr>
                <w:iCs/>
                <w:sz w:val="24"/>
                <w:szCs w:val="24"/>
              </w:rPr>
            </w:pPr>
          </w:p>
          <w:p w14:paraId="6CA77009" w14:textId="77777777" w:rsidR="00C96B73" w:rsidRDefault="003974A7" w:rsidP="00C96B73">
            <w:pPr>
              <w:spacing w:line="360" w:lineRule="auto"/>
              <w:jc w:val="both"/>
              <w:rPr>
                <w:iCs/>
                <w:sz w:val="24"/>
                <w:szCs w:val="24"/>
              </w:rPr>
            </w:pPr>
            <w:r w:rsidRPr="003974A7">
              <w:rPr>
                <w:iCs/>
                <w:sz w:val="24"/>
                <w:szCs w:val="24"/>
              </w:rPr>
              <w:t xml:space="preserve">Following LGM that morning, I contacted parents to arrange for us to meet the following week to discuss the assessment and the recommendations. However, during the phone call, 1 shared that they were currently in the hospital following a scan and due to ongoing </w:t>
            </w:r>
            <w:r w:rsidRPr="003974A7">
              <w:rPr>
                <w:iCs/>
                <w:sz w:val="24"/>
                <w:szCs w:val="24"/>
              </w:rPr>
              <w:lastRenderedPageBreak/>
              <w:t>complications in pregnancy as 3 was not growing, baby was going to be born imminently via emergency caesarean when a slot became available. I am glad that my supervisor was with me as I did panic given that parents were unaware of the local authorities recommendations. I had to share with parents the outcome of the assessment over the phone because of the urgency of baby’s arrival. I reflected on this during an informal supervision following the phone call, and whilst I would have preferred to have shared the outcome in person, I felt that it was better that parents were aware even if this was done via the phone. I recognised that being transparent and timely was essential in maintaining the working relationship I had with 1 and 2 and ensuring that they were fully informed in line with the values of openness and respect set out in the BASW Code of Ethics (2014) and the Code of Professional Practice (Social Care Wales, 2021).</w:t>
            </w:r>
          </w:p>
          <w:p w14:paraId="5E98D52B" w14:textId="5A82F2BF" w:rsidR="003974A7" w:rsidRPr="003974A7" w:rsidRDefault="003974A7" w:rsidP="00C96B73">
            <w:pPr>
              <w:spacing w:line="360" w:lineRule="auto"/>
              <w:jc w:val="both"/>
              <w:rPr>
                <w:iCs/>
                <w:sz w:val="24"/>
                <w:szCs w:val="24"/>
              </w:rPr>
            </w:pPr>
            <w:r w:rsidRPr="003974A7">
              <w:rPr>
                <w:iCs/>
                <w:sz w:val="24"/>
                <w:szCs w:val="24"/>
              </w:rPr>
              <w:t xml:space="preserve">  </w:t>
            </w:r>
          </w:p>
          <w:p w14:paraId="2836B41B" w14:textId="77777777" w:rsidR="003974A7" w:rsidRDefault="003974A7" w:rsidP="00C96B73">
            <w:pPr>
              <w:spacing w:line="360" w:lineRule="auto"/>
              <w:jc w:val="both"/>
              <w:rPr>
                <w:iCs/>
                <w:sz w:val="24"/>
                <w:szCs w:val="24"/>
              </w:rPr>
            </w:pPr>
            <w:r w:rsidRPr="003974A7">
              <w:rPr>
                <w:iCs/>
                <w:sz w:val="24"/>
                <w:szCs w:val="24"/>
              </w:rPr>
              <w:t xml:space="preserve">As 1 and 2 agreed to go to the residential placement, I did not need to make an emergency application to family court for an Interim Care Order (ICO) and instead we had a planned hearing. I was required to complete evidence to accompany the application to court in a matter of a week, I had not completed this report before and whilst it was a short time frame I was able to complete this on time. Within my evidence for court, I ensured that all the facts included were correct, clear and evidence based by incorporating the information already gathered within my pre-birth assessment. After I had filed my evidence to court, I felt a sense of pride as when my manager quality assured the document, she did not feel that any information was missing and that it was written well, this has boosted my confidence as it was my first time completing evidence for court. Reflecting on this experience, it has aided my understanding of the legal process as at the time, I was unaware that there were two different evidence templates used in care proceedings, one template for an urgent listing, which is more basic and a fuller templated for a planned hearing. The hearing date was listed a week after the birth of 3 and 1 was unable to attend in person and was not feeling up to attending due to being in pain from delivery. Whilst 1 was in agreement for just 2 to attended, I felt that it was important for both parents to attend and I reflected on this during supervision that I was glad that I asked our legal representatives to offer 1 a remote hearing whilst being supported by a colleague as this allowed 1 to fully participate in decisions about her baby. This upheld her right to be involved in the assessment process, a key principle in social work. Effective </w:t>
            </w:r>
            <w:r w:rsidRPr="003974A7">
              <w:rPr>
                <w:iCs/>
                <w:sz w:val="24"/>
                <w:szCs w:val="24"/>
              </w:rPr>
              <w:lastRenderedPageBreak/>
              <w:t xml:space="preserve">participation is supported by practices such as accessible meeting formats and respectful relationships contribute to meaningful engagement in decisions that affect them (Kennan, Brady and Forkan (2018).  </w:t>
            </w:r>
          </w:p>
          <w:p w14:paraId="0CD202CB" w14:textId="77777777" w:rsidR="00C96B73" w:rsidRPr="003974A7" w:rsidRDefault="00C96B73" w:rsidP="00C96B73">
            <w:pPr>
              <w:spacing w:line="360" w:lineRule="auto"/>
              <w:jc w:val="both"/>
              <w:rPr>
                <w:iCs/>
                <w:sz w:val="24"/>
                <w:szCs w:val="24"/>
              </w:rPr>
            </w:pPr>
          </w:p>
          <w:p w14:paraId="55A82F59" w14:textId="77777777" w:rsidR="003974A7" w:rsidRDefault="003974A7" w:rsidP="00C96B73">
            <w:pPr>
              <w:spacing w:line="360" w:lineRule="auto"/>
              <w:jc w:val="both"/>
              <w:rPr>
                <w:iCs/>
                <w:sz w:val="24"/>
                <w:szCs w:val="24"/>
              </w:rPr>
            </w:pPr>
            <w:r w:rsidRPr="003974A7">
              <w:rPr>
                <w:iCs/>
                <w:sz w:val="24"/>
                <w:szCs w:val="24"/>
              </w:rPr>
              <w:t xml:space="preserve">During care proceedings, I have had the opportunity to work collaboratively with a number of professionals, some roles that I’ve never worked alongside before, such as 3’s guardian and the staff in the residential placement. Overall, this has been a very positive experience which has supported my decision making throughout proceedings, however there were a few dilemmas whilst working collaboratively with outside agencies. The residential placement has robust health and safety rules and at times I questioned whether some issues that were being raised as concerns could be better seen as learning opportunities rather than safeguarding concerns. For example, 1 changed 3’s nappy on the bed instead of the changing table which is what is advised at the placement. I used professional curiosity to understand the rationale of why this was flagged up as a concern, rather than make assumptions. This reflective approach enabled me to consider the underlying risks, such as 3 falling off the bed when she is more mobile and just generally being in a good routine of always ensuring 3’s safety to avoid any accidents, like rolling off the bed. Professional curiosity is essential in safeguarding practices as it encourages to question and make sense of situations rather than accepting at face value (Anka et al., 2025). </w:t>
            </w:r>
          </w:p>
          <w:p w14:paraId="7DE1CCE8" w14:textId="77777777" w:rsidR="00C96B73" w:rsidRPr="003974A7" w:rsidRDefault="00C96B73" w:rsidP="00C96B73">
            <w:pPr>
              <w:spacing w:line="360" w:lineRule="auto"/>
              <w:jc w:val="both"/>
              <w:rPr>
                <w:iCs/>
                <w:sz w:val="24"/>
                <w:szCs w:val="24"/>
              </w:rPr>
            </w:pPr>
          </w:p>
          <w:p w14:paraId="302D445F" w14:textId="77777777" w:rsidR="003974A7" w:rsidRDefault="003974A7" w:rsidP="00C96B73">
            <w:pPr>
              <w:spacing w:line="360" w:lineRule="auto"/>
              <w:jc w:val="both"/>
              <w:rPr>
                <w:iCs/>
                <w:sz w:val="24"/>
                <w:szCs w:val="24"/>
              </w:rPr>
            </w:pPr>
            <w:r w:rsidRPr="003974A7">
              <w:rPr>
                <w:iCs/>
                <w:sz w:val="24"/>
                <w:szCs w:val="24"/>
              </w:rPr>
              <w:t xml:space="preserve">Whilst at the residential, 1 and 2 underwent a post birth assessment completed by an in-house social worker, the outcome of this was for family to return to the community. I did feel anxious about the family returning home and whether they would be able to safely care for 3 within their own home and in the community without the structure and presence of staff. I couldn’t ignore the positive progress and the commitment that 1 and 2 had shown whilst at placement. To ease my anxieties and to enable the family to have the best support around them, I knew that I needed to have a robust safety plan and trajectory. I drew on Systems Theory as it encourages a holistic view of the family’s situation and helps to understand how individuals interact with their environments (Friedman and Allen, 2014) and knew that the families support network, and professional network would be key in planning and implementing of a trajectory. I arranged for a family network meeting with 1, 2 and their support network, this allowed for </w:t>
            </w:r>
            <w:r w:rsidRPr="003974A7">
              <w:rPr>
                <w:iCs/>
                <w:sz w:val="24"/>
                <w:szCs w:val="24"/>
              </w:rPr>
              <w:lastRenderedPageBreak/>
              <w:t xml:space="preserve">me to identify the key members and to understand what support and to what level they could offer the family during the trajectory home, this encouraged joint working with all individuals who would be part of 3’s ‘system’. This theory allowed me to have an understanding of each family members role and a more personal and accurate reflection of parents, such as what parents ‘good days’ and ‘bad days’ looked like as 1 and 2 found it difficult to visualise or describe, given things were good at present. However close family members were able to identify what they would notice about 1 and 2 if they started to struggle and enter ‘bad days’ and this all supported safety planning and the trajectory.  When looking at the wider system around 3, it was important to recognise what roles professionals would have too and it allowed for me to identify key professionals who would be integral to the trajectory plan, such as including the support worker who had a good working relationship with parents. We introduced parent and child workers (PAC) to help 1 and 2 build a supportive network in their new community and integrated this into the plan by supporting parents to attend local groups in the community on the days that family could not support. As systems are dynamic and often change, I ensured that we incorporated weekly reviews to review the plan and added in adaptions as the weeks went on in line with parents predicted progress, such as the step back from (PAC). </w:t>
            </w:r>
          </w:p>
          <w:p w14:paraId="4EB65AF8" w14:textId="77777777" w:rsidR="00C96B73" w:rsidRPr="003974A7" w:rsidRDefault="00C96B73" w:rsidP="00C96B73">
            <w:pPr>
              <w:spacing w:line="360" w:lineRule="auto"/>
              <w:jc w:val="both"/>
              <w:rPr>
                <w:iCs/>
                <w:sz w:val="24"/>
                <w:szCs w:val="24"/>
              </w:rPr>
            </w:pPr>
          </w:p>
          <w:p w14:paraId="53A4BE96" w14:textId="77777777" w:rsidR="003974A7" w:rsidRPr="003974A7" w:rsidRDefault="003974A7" w:rsidP="00C96B73">
            <w:pPr>
              <w:spacing w:line="360" w:lineRule="auto"/>
              <w:jc w:val="both"/>
              <w:rPr>
                <w:iCs/>
                <w:sz w:val="24"/>
                <w:szCs w:val="24"/>
              </w:rPr>
            </w:pPr>
            <w:r w:rsidRPr="003974A7">
              <w:rPr>
                <w:iCs/>
                <w:sz w:val="24"/>
                <w:szCs w:val="24"/>
              </w:rPr>
              <w:t xml:space="preserve">The trajectory enabled 1, 2, support network and professionals to have clear and structured steps to achieve the goal of the family returning home. The trajectory was a key tool in the assessment process as it ensured that the interventions were purposeful and measurable. </w:t>
            </w:r>
          </w:p>
          <w:p w14:paraId="723064AB" w14:textId="77777777" w:rsidR="003974A7" w:rsidRPr="003974A7" w:rsidRDefault="003974A7" w:rsidP="00C96B73">
            <w:pPr>
              <w:spacing w:line="360" w:lineRule="auto"/>
              <w:jc w:val="both"/>
              <w:rPr>
                <w:iCs/>
                <w:sz w:val="24"/>
                <w:szCs w:val="24"/>
              </w:rPr>
            </w:pPr>
            <w:r w:rsidRPr="003974A7">
              <w:rPr>
                <w:iCs/>
                <w:sz w:val="24"/>
                <w:szCs w:val="24"/>
              </w:rPr>
              <w:t xml:space="preserve">Bowlby’s attachment theory (McLeod, 2025) enables social works to assess the quality of relationships between children and their caregivers. Both 1 and 2 have experienced adverse childhood experiences which may have disrupted their own attachment experiences, and this could influence their capacity to form secure attachments with 3. Whilst in residential placement, I observed 1 and 2 to develop attuned responses to 3’s needs, which is essential to creating a secure attachment. This informed my trajectory plan with continued support post placement by applying attachment theory, I was able to assess not only the immediate safety concerns but also the long term risks and protective factors that would influence 3.  </w:t>
            </w:r>
          </w:p>
          <w:p w14:paraId="4592EEB4" w14:textId="77777777" w:rsidR="003974A7" w:rsidRPr="003974A7" w:rsidRDefault="003974A7" w:rsidP="00C96B73">
            <w:pPr>
              <w:spacing w:line="360" w:lineRule="auto"/>
              <w:jc w:val="both"/>
              <w:rPr>
                <w:iCs/>
                <w:sz w:val="24"/>
                <w:szCs w:val="24"/>
              </w:rPr>
            </w:pPr>
            <w:r w:rsidRPr="003974A7">
              <w:rPr>
                <w:iCs/>
                <w:sz w:val="24"/>
                <w:szCs w:val="24"/>
              </w:rPr>
              <w:t xml:space="preserve">Reflecting using Jasper’s (2013) model, there are several areas that I recognise for development that will aid my safeguarding practice and knowledge during my career. Whilst I </w:t>
            </w:r>
            <w:r w:rsidRPr="003974A7">
              <w:rPr>
                <w:iCs/>
                <w:sz w:val="24"/>
                <w:szCs w:val="24"/>
              </w:rPr>
              <w:lastRenderedPageBreak/>
              <w:t xml:space="preserve">feel that I have a good understanding of safeguarding legislation and procedures within my local authority and country of practice. I think having more experience will only benefit me long term and to ensure that I keep up to date with legislation I will ensure that I will regularly attend any training in this area and take the time to read any new guidance sent out my management, rather than only reading new guidance when I require it. This was first time initiating care proceedings and I feel that moving forward, my confidence in this area will only grow and whilst the idea of having to give verbal evidence causes me anxiety, I am aware that this is likely going to happen during my career and that it is important to continually seek out any training in relation to court work to only improve my written evidence and confidence around needing to give oral evidence.  I have learnt the importance of ensuring that all evidence is clear and recorded within documents submitted to court or on our system, so that if I needed to give oral evidence I will be able to refer to this whilst on the stand. I would not change any of the approaches or how I conducted myself throughout this case study as I felt that I was always open and honest with the family and feel that this has benefited our working relationship. The approach and theories used throughout were relevant and always supported my professional judgement. </w:t>
            </w:r>
          </w:p>
          <w:p w14:paraId="11CA94D4" w14:textId="77777777" w:rsidR="003974A7" w:rsidRPr="003974A7" w:rsidRDefault="003974A7" w:rsidP="00FF7EBB">
            <w:pPr>
              <w:jc w:val="both"/>
              <w:rPr>
                <w:iCs/>
                <w:sz w:val="24"/>
                <w:szCs w:val="24"/>
              </w:rPr>
            </w:pPr>
          </w:p>
          <w:p w14:paraId="12DC2F24" w14:textId="24094196" w:rsidR="00D3203C" w:rsidRDefault="00D3203C" w:rsidP="00FF7EBB">
            <w:pPr>
              <w:jc w:val="both"/>
              <w:rPr>
                <w:i/>
                <w:sz w:val="24"/>
                <w:szCs w:val="24"/>
              </w:rPr>
            </w:pPr>
          </w:p>
          <w:p w14:paraId="1225D23D" w14:textId="39CCEC66" w:rsidR="00D3203C" w:rsidRPr="00C96B73" w:rsidRDefault="00C96B73" w:rsidP="00FF7EBB">
            <w:pPr>
              <w:jc w:val="both"/>
              <w:rPr>
                <w:iCs/>
                <w:sz w:val="24"/>
                <w:szCs w:val="24"/>
              </w:rPr>
            </w:pPr>
            <w:r>
              <w:rPr>
                <w:iCs/>
                <w:sz w:val="24"/>
                <w:szCs w:val="24"/>
              </w:rPr>
              <w:t>Word count: 4384</w:t>
            </w: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Times New Roman"/>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05782"/>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697"/>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4A7"/>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E40C5"/>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05A4"/>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6B73"/>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5F13"/>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9305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jodieekelsiee@hotmail.co.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odie.comley@swansea.gov.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5</TotalTime>
  <Pages>12</Pages>
  <Words>4594</Words>
  <Characters>23607</Characters>
  <Application>Microsoft Office Word</Application>
  <DocSecurity>0</DocSecurity>
  <Lines>196</Lines>
  <Paragraphs>56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Jodie Comley</cp:lastModifiedBy>
  <cp:revision>7</cp:revision>
  <cp:lastPrinted>2020-02-11T19:20:00Z</cp:lastPrinted>
  <dcterms:created xsi:type="dcterms:W3CDTF">2025-10-05T19:00:00Z</dcterms:created>
  <dcterms:modified xsi:type="dcterms:W3CDTF">2025-10-05T19:12:00Z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