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3C133" w14:textId="0592E00F" w:rsidR="008152EE" w:rsidRDefault="008152EE">
      <w:r w:rsidRPr="00580DCF">
        <w:rPr>
          <w:b/>
          <w:bCs/>
          <w:u w:val="single"/>
        </w:rPr>
        <w:t>Thematic Review</w:t>
      </w:r>
      <w:r w:rsidR="009B2313">
        <w:rPr>
          <w:b/>
          <w:bCs/>
          <w:u w:val="single"/>
        </w:rPr>
        <w:t xml:space="preserve"> of Results</w:t>
      </w:r>
      <w:r w:rsidR="009B2313" w:rsidRPr="008152EE">
        <w:t xml:space="preserve"> </w:t>
      </w:r>
      <w:r w:rsidRPr="008152EE">
        <w:br/>
      </w:r>
      <w:r w:rsidRPr="008152EE">
        <w:br/>
        <w:t xml:space="preserve">This thematic review explores the question: </w:t>
      </w:r>
      <w:r>
        <w:t>“</w:t>
      </w:r>
      <w:r w:rsidRPr="008152EE">
        <w:t>Does early detection and management of hearing loss reduce the rate of cognitive decline and dementia progression?</w:t>
      </w:r>
      <w:r>
        <w:t>”</w:t>
      </w:r>
      <w:r w:rsidRPr="008152EE">
        <w:t xml:space="preserve"> It draws on two key sources of evidence: The Lancet Commission on Dementia Prevention, Intervention, and Care (Livingston </w:t>
      </w:r>
      <w:r w:rsidRPr="008152EE">
        <w:rPr>
          <w:i/>
          <w:iCs/>
        </w:rPr>
        <w:t xml:space="preserve">et al., </w:t>
      </w:r>
      <w:r w:rsidRPr="008152EE">
        <w:t xml:space="preserve">2020), which presents a global comprehensive review of dementia risk factors; and a longitudinal population study by Maharani </w:t>
      </w:r>
      <w:r w:rsidRPr="008152EE">
        <w:rPr>
          <w:i/>
          <w:iCs/>
        </w:rPr>
        <w:t>et al.</w:t>
      </w:r>
      <w:r w:rsidRPr="008152EE">
        <w:t xml:space="preserve"> (2021) published in the Journal of the American Geriatrics Society, which examined hearing aid use and cognitive outcomes in older adults across England. By examining these sources thematically, this review synthesises areas of agreement, difference, and uncertainty within the current evidence base.</w:t>
      </w:r>
    </w:p>
    <w:p w14:paraId="1AF846B2" w14:textId="77777777" w:rsidR="00E87B40" w:rsidRDefault="00E87B40">
      <w:r w:rsidRPr="00580DCF">
        <w:rPr>
          <w:u w:val="single"/>
        </w:rPr>
        <w:t>Theme 1: Hearing Loss as a Modifiable Risk Factor</w:t>
      </w:r>
      <w:r w:rsidRPr="008152EE">
        <w:br/>
      </w:r>
      <w:r w:rsidRPr="008152EE">
        <w:br/>
        <w:t xml:space="preserve">Both papers agree that hearing loss is a significant concern in the context of cognitive health. Livingston </w:t>
      </w:r>
      <w:r w:rsidRPr="008152EE">
        <w:rPr>
          <w:i/>
          <w:iCs/>
        </w:rPr>
        <w:t>et al.</w:t>
      </w:r>
      <w:r w:rsidRPr="008152EE">
        <w:t xml:space="preserve"> (2020) identify mid-life hearing loss as potentially the largest modifiable risk factor for dementia, estimating that addressing hearing loss could contribute to a meaningful reduction in overall dementia prevalence. They propose several mechanisms through which untreated hearing loss may influence cognitive health, including social isolation, increased cognitive load, and shared underlying pathology.</w:t>
      </w:r>
      <w:r w:rsidRPr="008152EE">
        <w:br/>
      </w:r>
      <w:r w:rsidRPr="008152EE">
        <w:br/>
        <w:t xml:space="preserve">Similarly, Maharani </w:t>
      </w:r>
      <w:r w:rsidRPr="008152EE">
        <w:rPr>
          <w:i/>
          <w:iCs/>
        </w:rPr>
        <w:t>et al.</w:t>
      </w:r>
      <w:r w:rsidRPr="008152EE">
        <w:t xml:space="preserve"> (2021) acknowledge the strong association between hearing loss and poorer cognitive outcomes over time. Their analysis of data from the English Longitudinal Study of Ageing confirms that participants with hearing loss performed less well on cognitive tests than those without, at baseline. Both studies therefore establish hearing loss not merely as a sensory inconvenience, but as an important clinical concern with wider implications for brain health.</w:t>
      </w:r>
      <w:r w:rsidR="008152EE" w:rsidRPr="008152EE">
        <w:br/>
        <w:t>A shared theme across both papers is the need for caution when interpreting evidence. Livingston et al. (2020) are transparent that their recommendations are based largely on observational evidence rather than randomised controlled trials — the gold standard for proving cause and effect. Maharani et al. (2021) echo this, noting that without robust trial data, it remains difficult to separate correlation from causation.</w:t>
      </w:r>
    </w:p>
    <w:p w14:paraId="406854E1" w14:textId="77777777" w:rsidR="00F5577E" w:rsidRDefault="00E87B40" w:rsidP="00E87B40">
      <w:r w:rsidRPr="00580DCF">
        <w:rPr>
          <w:u w:val="single"/>
        </w:rPr>
        <w:t>Theme 2: Early Detection and Intervention — The Question of Effectiveness</w:t>
      </w:r>
      <w:r w:rsidRPr="008152EE">
        <w:br/>
      </w:r>
      <w:r w:rsidRPr="008152EE">
        <w:br/>
        <w:t xml:space="preserve">Where the papers differ most notably is in the strength of conclusion regarding intervention effectiveness. Livingston </w:t>
      </w:r>
      <w:r w:rsidRPr="008152EE">
        <w:rPr>
          <w:i/>
          <w:iCs/>
        </w:rPr>
        <w:t>et al.</w:t>
      </w:r>
      <w:r w:rsidRPr="008152EE">
        <w:t xml:space="preserve"> (2020) take a positive stance, recommending that hearing loss should be detected and managed early as a potentially preventative measure against dementia progression. They argue that because hearing loss is identifiable and treatable, clinical services should prioritise early assessment and fitting of amplification devices to mitigate associated risks</w:t>
      </w:r>
      <w:r w:rsidR="00143A45">
        <w:t>.</w:t>
      </w:r>
      <w:r w:rsidRPr="008152EE">
        <w:br/>
      </w:r>
      <w:r w:rsidRPr="008152EE">
        <w:lastRenderedPageBreak/>
        <w:br/>
        <w:t xml:space="preserve">In contrast, Maharani </w:t>
      </w:r>
      <w:r w:rsidRPr="008152EE">
        <w:rPr>
          <w:i/>
          <w:iCs/>
        </w:rPr>
        <w:t>et al.</w:t>
      </w:r>
      <w:r w:rsidRPr="008152EE">
        <w:t xml:space="preserve"> (2021) offer a more cautious perspective. While they found that participants who used hearing aids maintained slightly better cognitive trajectories than those who did not, the authors explicitly state that their findings cannot prove causation. They observe that people who choose to use hearing aids may differ in other important ways — such as socioeconomic status, access to healthcare, or levels of social engagement — all of which independently influence cognitive outcomes. Consequently, they conclude that while early detection is important, we cannot yet be certain that hearing aid use itself directly slows cognitive decline or prevents dementia.</w:t>
      </w:r>
      <w:r w:rsidR="008152EE" w:rsidRPr="008152EE">
        <w:br/>
      </w:r>
      <w:r w:rsidR="008152EE" w:rsidRPr="008152EE">
        <w:br/>
        <w:t>Taken together, the implication for clinical practice is balanced: audiologists should continue to identify and support people with hearing loss, but with a realistic understanding of what current evidence can demonstrate. Early detection remains valuable for quality of life, communication, and social engagement — all factors that themselves support wellbeing — while the specific link to dementia prevention remains an important area for ongoing research.</w:t>
      </w:r>
      <w:r w:rsidR="008152EE" w:rsidRPr="008152EE">
        <w:br/>
      </w:r>
    </w:p>
    <w:p w14:paraId="59BEA9E6" w14:textId="7D8D0623" w:rsidR="00580DCF" w:rsidRDefault="008152EE" w:rsidP="00E87B40">
      <w:r w:rsidRPr="008152EE">
        <w:t>Conclusion</w:t>
      </w:r>
      <w:r w:rsidR="00F5577E">
        <w:t>:</w:t>
      </w:r>
      <w:r w:rsidRPr="008152EE">
        <w:br/>
      </w:r>
      <w:r w:rsidRPr="008152EE">
        <w:br/>
        <w:t xml:space="preserve">In summary, both papers support the view that hearing loss is closely associated with cognitive health, but they present differing levels of certainty regarding intervention outcomes. Livingston </w:t>
      </w:r>
      <w:r w:rsidRPr="008152EE">
        <w:rPr>
          <w:i/>
          <w:iCs/>
        </w:rPr>
        <w:t>et al.</w:t>
      </w:r>
      <w:r w:rsidRPr="008152EE">
        <w:t xml:space="preserve"> (2020) present an optimistic framework positioning early hearing care as a preventative dementia strategy, whereas Maharani </w:t>
      </w:r>
      <w:r w:rsidRPr="008152EE">
        <w:rPr>
          <w:i/>
          <w:iCs/>
        </w:rPr>
        <w:t>et al.</w:t>
      </w:r>
      <w:r w:rsidRPr="008152EE">
        <w:t xml:space="preserve"> (2021) remind us that the evidence is not yet conclusive. Rather than conflicting, these perspectives complement one another: hearing loss should be identified and treated early, but expectations about its direct effect on dementia progression should remain grounded in the limitations of the available evidence.</w:t>
      </w:r>
    </w:p>
    <w:p w14:paraId="41A02157" w14:textId="77777777" w:rsidR="00580DCF" w:rsidRDefault="00580DCF">
      <w:pPr>
        <w:rPr>
          <w:b/>
          <w:bCs/>
          <w:u w:val="single"/>
        </w:rPr>
      </w:pPr>
    </w:p>
    <w:p w14:paraId="5C24454E" w14:textId="77777777" w:rsidR="00401CC1" w:rsidRDefault="00401CC1">
      <w:pPr>
        <w:rPr>
          <w:b/>
          <w:bCs/>
          <w:u w:val="single"/>
        </w:rPr>
      </w:pPr>
    </w:p>
    <w:p w14:paraId="36544BF0" w14:textId="77777777" w:rsidR="00401CC1" w:rsidRDefault="00401CC1">
      <w:pPr>
        <w:rPr>
          <w:b/>
          <w:bCs/>
          <w:u w:val="single"/>
        </w:rPr>
      </w:pPr>
    </w:p>
    <w:p w14:paraId="10D40B72" w14:textId="77777777" w:rsidR="00401CC1" w:rsidRDefault="00401CC1">
      <w:pPr>
        <w:rPr>
          <w:b/>
          <w:bCs/>
          <w:u w:val="single"/>
        </w:rPr>
      </w:pPr>
    </w:p>
    <w:p w14:paraId="59D335E9" w14:textId="77777777" w:rsidR="00401CC1" w:rsidRDefault="00401CC1">
      <w:pPr>
        <w:rPr>
          <w:b/>
          <w:bCs/>
          <w:u w:val="single"/>
        </w:rPr>
      </w:pPr>
    </w:p>
    <w:p w14:paraId="14B4DEA2" w14:textId="77777777" w:rsidR="00401CC1" w:rsidRDefault="00401CC1">
      <w:pPr>
        <w:rPr>
          <w:b/>
          <w:bCs/>
          <w:u w:val="single"/>
        </w:rPr>
      </w:pPr>
    </w:p>
    <w:p w14:paraId="6166FE5B" w14:textId="77777777" w:rsidR="00401CC1" w:rsidRDefault="00401CC1">
      <w:pPr>
        <w:rPr>
          <w:b/>
          <w:bCs/>
          <w:u w:val="single"/>
        </w:rPr>
      </w:pPr>
    </w:p>
    <w:p w14:paraId="6C5C8C64" w14:textId="77777777" w:rsidR="00401CC1" w:rsidRDefault="00401CC1">
      <w:pPr>
        <w:rPr>
          <w:b/>
          <w:bCs/>
          <w:u w:val="single"/>
        </w:rPr>
      </w:pPr>
    </w:p>
    <w:p w14:paraId="74839023" w14:textId="77777777" w:rsidR="00401CC1" w:rsidRDefault="00401CC1">
      <w:pPr>
        <w:rPr>
          <w:b/>
          <w:bCs/>
          <w:u w:val="single"/>
        </w:rPr>
      </w:pPr>
    </w:p>
    <w:p w14:paraId="32028628" w14:textId="77777777" w:rsidR="00401CC1" w:rsidRDefault="00401CC1">
      <w:pPr>
        <w:rPr>
          <w:b/>
          <w:bCs/>
          <w:u w:val="single"/>
        </w:rPr>
      </w:pPr>
    </w:p>
    <w:p w14:paraId="575742E8" w14:textId="77777777" w:rsidR="00401CC1" w:rsidRDefault="00401CC1">
      <w:pPr>
        <w:rPr>
          <w:b/>
          <w:bCs/>
          <w:u w:val="single"/>
        </w:rPr>
      </w:pPr>
    </w:p>
    <w:p w14:paraId="55B5453A" w14:textId="25E1827A" w:rsidR="00580DCF" w:rsidRDefault="008152EE">
      <w:r w:rsidRPr="00580DCF">
        <w:rPr>
          <w:b/>
          <w:bCs/>
          <w:u w:val="single"/>
        </w:rPr>
        <w:t>References</w:t>
      </w:r>
    </w:p>
    <w:p w14:paraId="0325938C" w14:textId="0288D08C" w:rsidR="008152EE" w:rsidRDefault="008152EE">
      <w:r w:rsidRPr="008152EE">
        <w:br/>
        <w:t xml:space="preserve">Livingston, G., Huntley, J., Sommerlad, A., Ames, D., Ballard, C., Banerjee, S., Brayne, C., Burns, A., Cohen-Mansfield, J., Cooper, C., Costafreda, S.G., Dias, A., Fox, N., Gitlin, L.N., Howard, R., Kales, H.C., Kivimäki, M., Larson, E.B., Ogunniyi, A., Orgeta, V., Ritchie, K., Rockwood, K., Sampson, E.L., Samus, Q., Schneider, L.S., Selbæk, G., Teri, L. and Mukadam, N. (2020). Dementia prevention, intervention, and care: 2020 Report of the Lancet Commission. </w:t>
      </w:r>
      <w:r w:rsidRPr="008152EE">
        <w:rPr>
          <w:i/>
          <w:iCs/>
        </w:rPr>
        <w:t>The Lancet</w:t>
      </w:r>
      <w:r w:rsidRPr="008152EE">
        <w:t>, 396(10248), pp.413–446. doi:10.1016/s0140-6736(20)30367-6.</w:t>
      </w:r>
      <w:r w:rsidRPr="008152EE">
        <w:br/>
      </w:r>
      <w:r w:rsidRPr="008152EE">
        <w:br/>
        <w:t>Maharani, A., Dawes, P., Nazroo, J. &amp; Tampubolon, G. (2021). Hearing aid use and subsequent cognitive function: evidence from the English Longitudinal Study of Ageing. Journal of the American Geriatrics Society, 69(12), pp.3406–3415.</w:t>
      </w:r>
      <w:r>
        <w:t>”</w:t>
      </w:r>
    </w:p>
    <w:p w14:paraId="61DECB7C" w14:textId="77777777" w:rsidR="00580DCF" w:rsidRDefault="00580DCF"/>
    <w:p w14:paraId="3C79A522" w14:textId="77777777" w:rsidR="00580DCF" w:rsidRPr="00580DCF" w:rsidRDefault="00580DCF" w:rsidP="00580DCF"/>
    <w:p w14:paraId="6949E8AB" w14:textId="77777777" w:rsidR="00580DCF" w:rsidRPr="007B3183" w:rsidRDefault="00580DCF"/>
    <w:p w14:paraId="4A0C901C" w14:textId="77777777" w:rsidR="007B3183" w:rsidRDefault="007B3183"/>
    <w:sectPr w:rsidR="007B31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A93"/>
    <w:rsid w:val="00143A45"/>
    <w:rsid w:val="0014573F"/>
    <w:rsid w:val="001E2C9B"/>
    <w:rsid w:val="00343535"/>
    <w:rsid w:val="00401CC1"/>
    <w:rsid w:val="00580DCF"/>
    <w:rsid w:val="007B3183"/>
    <w:rsid w:val="008152EE"/>
    <w:rsid w:val="008A7D27"/>
    <w:rsid w:val="009733EC"/>
    <w:rsid w:val="009B2313"/>
    <w:rsid w:val="00A91F61"/>
    <w:rsid w:val="00A92A00"/>
    <w:rsid w:val="00B91A93"/>
    <w:rsid w:val="00E722B3"/>
    <w:rsid w:val="00E87B40"/>
    <w:rsid w:val="00F55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8920D"/>
  <w15:chartTrackingRefBased/>
  <w15:docId w15:val="{BF1BA04F-5A16-439E-8073-F00D7CF90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1A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1A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1A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1A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1A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1A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1A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1A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1A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A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1A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1A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1A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1A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1A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1A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1A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1A93"/>
    <w:rPr>
      <w:rFonts w:eastAsiaTheme="majorEastAsia" w:cstheme="majorBidi"/>
      <w:color w:val="272727" w:themeColor="text1" w:themeTint="D8"/>
    </w:rPr>
  </w:style>
  <w:style w:type="paragraph" w:styleId="Title">
    <w:name w:val="Title"/>
    <w:basedOn w:val="Normal"/>
    <w:next w:val="Normal"/>
    <w:link w:val="TitleChar"/>
    <w:uiPriority w:val="10"/>
    <w:qFormat/>
    <w:rsid w:val="00B91A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1A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1A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1A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1A93"/>
    <w:pPr>
      <w:spacing w:before="160"/>
      <w:jc w:val="center"/>
    </w:pPr>
    <w:rPr>
      <w:i/>
      <w:iCs/>
      <w:color w:val="404040" w:themeColor="text1" w:themeTint="BF"/>
    </w:rPr>
  </w:style>
  <w:style w:type="character" w:customStyle="1" w:styleId="QuoteChar">
    <w:name w:val="Quote Char"/>
    <w:basedOn w:val="DefaultParagraphFont"/>
    <w:link w:val="Quote"/>
    <w:uiPriority w:val="29"/>
    <w:rsid w:val="00B91A93"/>
    <w:rPr>
      <w:i/>
      <w:iCs/>
      <w:color w:val="404040" w:themeColor="text1" w:themeTint="BF"/>
    </w:rPr>
  </w:style>
  <w:style w:type="paragraph" w:styleId="ListParagraph">
    <w:name w:val="List Paragraph"/>
    <w:basedOn w:val="Normal"/>
    <w:uiPriority w:val="34"/>
    <w:qFormat/>
    <w:rsid w:val="00B91A93"/>
    <w:pPr>
      <w:ind w:left="720"/>
      <w:contextualSpacing/>
    </w:pPr>
  </w:style>
  <w:style w:type="character" w:styleId="IntenseEmphasis">
    <w:name w:val="Intense Emphasis"/>
    <w:basedOn w:val="DefaultParagraphFont"/>
    <w:uiPriority w:val="21"/>
    <w:qFormat/>
    <w:rsid w:val="00B91A93"/>
    <w:rPr>
      <w:i/>
      <w:iCs/>
      <w:color w:val="0F4761" w:themeColor="accent1" w:themeShade="BF"/>
    </w:rPr>
  </w:style>
  <w:style w:type="paragraph" w:styleId="IntenseQuote">
    <w:name w:val="Intense Quote"/>
    <w:basedOn w:val="Normal"/>
    <w:next w:val="Normal"/>
    <w:link w:val="IntenseQuoteChar"/>
    <w:uiPriority w:val="30"/>
    <w:qFormat/>
    <w:rsid w:val="00B91A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1A93"/>
    <w:rPr>
      <w:i/>
      <w:iCs/>
      <w:color w:val="0F4761" w:themeColor="accent1" w:themeShade="BF"/>
    </w:rPr>
  </w:style>
  <w:style w:type="character" w:styleId="IntenseReference">
    <w:name w:val="Intense Reference"/>
    <w:basedOn w:val="DefaultParagraphFont"/>
    <w:uiPriority w:val="32"/>
    <w:qFormat/>
    <w:rsid w:val="00B91A93"/>
    <w:rPr>
      <w:b/>
      <w:bCs/>
      <w:smallCaps/>
      <w:color w:val="0F4761" w:themeColor="accent1" w:themeShade="BF"/>
      <w:spacing w:val="5"/>
    </w:rPr>
  </w:style>
  <w:style w:type="table" w:styleId="TableGrid">
    <w:name w:val="Table Grid"/>
    <w:basedOn w:val="TableNormal"/>
    <w:uiPriority w:val="39"/>
    <w:rsid w:val="001457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234</TotalTime>
  <Pages>3</Pages>
  <Words>804</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 Jones</dc:creator>
  <cp:keywords/>
  <dc:description/>
  <cp:lastModifiedBy>Shane Jones</cp:lastModifiedBy>
  <cp:revision>10</cp:revision>
  <dcterms:created xsi:type="dcterms:W3CDTF">2026-10-24T10:53:00Z</dcterms:created>
  <dcterms:modified xsi:type="dcterms:W3CDTF">2026-10-25T09:25:00Z</dcterms:modified>
</cp:coreProperties>
</file>