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FFE8F" w14:textId="77777777" w:rsidR="003D56DF" w:rsidRDefault="003D56DF" w:rsidP="003D56DF">
      <w:pPr>
        <w:pStyle w:val="NormalWeb"/>
        <w:spacing w:before="0" w:beforeAutospacing="0" w:after="0" w:afterAutospacing="0" w:line="480" w:lineRule="auto"/>
        <w:jc w:val="center"/>
        <w:rPr>
          <w:rStyle w:val="Strong"/>
          <w:color w:val="0E101A"/>
        </w:rPr>
      </w:pPr>
    </w:p>
    <w:p w14:paraId="4897AD6D" w14:textId="77777777" w:rsidR="00152C86" w:rsidRDefault="00152C86" w:rsidP="00BF2BFE">
      <w:pPr>
        <w:pStyle w:val="NormalWeb"/>
        <w:spacing w:before="0" w:beforeAutospacing="0" w:after="0" w:afterAutospacing="0" w:line="480" w:lineRule="auto"/>
        <w:rPr>
          <w:rStyle w:val="Strong"/>
          <w:color w:val="0E101A"/>
        </w:rPr>
      </w:pPr>
    </w:p>
    <w:p w14:paraId="54709A28" w14:textId="77777777" w:rsidR="00152C86" w:rsidRDefault="00152C86" w:rsidP="003D56DF">
      <w:pPr>
        <w:pStyle w:val="NormalWeb"/>
        <w:spacing w:before="0" w:beforeAutospacing="0" w:after="0" w:afterAutospacing="0" w:line="480" w:lineRule="auto"/>
        <w:jc w:val="center"/>
        <w:rPr>
          <w:rStyle w:val="Strong"/>
          <w:color w:val="0E101A"/>
        </w:rPr>
      </w:pPr>
    </w:p>
    <w:p w14:paraId="0CC1E1D9" w14:textId="77777777" w:rsidR="00BF2BFE" w:rsidRDefault="00BF2BFE" w:rsidP="003D56DF">
      <w:pPr>
        <w:pStyle w:val="NormalWeb"/>
        <w:spacing w:before="0" w:beforeAutospacing="0" w:after="0" w:afterAutospacing="0" w:line="480" w:lineRule="auto"/>
        <w:jc w:val="center"/>
        <w:rPr>
          <w:rStyle w:val="Strong"/>
          <w:color w:val="0E101A"/>
        </w:rPr>
      </w:pPr>
    </w:p>
    <w:p w14:paraId="38B95786" w14:textId="77777777" w:rsidR="00BF2BFE" w:rsidRDefault="00BF2BFE" w:rsidP="003D56DF">
      <w:pPr>
        <w:pStyle w:val="NormalWeb"/>
        <w:spacing w:before="0" w:beforeAutospacing="0" w:after="0" w:afterAutospacing="0" w:line="480" w:lineRule="auto"/>
        <w:jc w:val="center"/>
        <w:rPr>
          <w:rStyle w:val="Strong"/>
          <w:color w:val="0E101A"/>
        </w:rPr>
      </w:pPr>
    </w:p>
    <w:p w14:paraId="3455889F" w14:textId="40B2B061" w:rsidR="00152C86" w:rsidRDefault="00BF2BFE" w:rsidP="003D56DF">
      <w:pPr>
        <w:spacing w:after="0" w:line="480" w:lineRule="auto"/>
        <w:jc w:val="center"/>
        <w:rPr>
          <w:rFonts w:ascii="Times New Roman" w:eastAsia="Arial" w:hAnsi="Times New Roman" w:cs="Times New Roman"/>
          <w:b/>
        </w:rPr>
      </w:pPr>
      <w:r w:rsidRPr="00BF2BFE">
        <w:rPr>
          <w:rFonts w:ascii="Times New Roman" w:eastAsia="Arial" w:hAnsi="Times New Roman" w:cs="Times New Roman"/>
          <w:b/>
        </w:rPr>
        <w:t>Report Case Study: The Seaview Resort</w:t>
      </w:r>
    </w:p>
    <w:p w14:paraId="1CCE90F7" w14:textId="77777777" w:rsidR="00152C86" w:rsidRDefault="00152C86" w:rsidP="003D56DF">
      <w:pPr>
        <w:spacing w:after="0" w:line="480" w:lineRule="auto"/>
        <w:jc w:val="center"/>
        <w:rPr>
          <w:rFonts w:ascii="Times New Roman" w:eastAsia="Arial" w:hAnsi="Times New Roman" w:cs="Times New Roman"/>
          <w:b/>
        </w:rPr>
      </w:pPr>
    </w:p>
    <w:p w14:paraId="6F25E762" w14:textId="77777777" w:rsidR="00152C86" w:rsidRDefault="00152C86" w:rsidP="003D56DF">
      <w:pPr>
        <w:spacing w:after="0" w:line="480" w:lineRule="auto"/>
        <w:jc w:val="center"/>
        <w:rPr>
          <w:rFonts w:ascii="Times New Roman" w:eastAsia="Arial" w:hAnsi="Times New Roman" w:cs="Times New Roman"/>
          <w:b/>
        </w:rPr>
      </w:pPr>
    </w:p>
    <w:p w14:paraId="1EFD42FD" w14:textId="77777777" w:rsidR="00BF2BFE" w:rsidRDefault="00BF2BFE" w:rsidP="003D56DF">
      <w:pPr>
        <w:spacing w:after="0" w:line="480" w:lineRule="auto"/>
        <w:jc w:val="center"/>
        <w:rPr>
          <w:rFonts w:ascii="Times New Roman" w:eastAsia="Arial" w:hAnsi="Times New Roman" w:cs="Times New Roman"/>
          <w:b/>
        </w:rPr>
      </w:pPr>
    </w:p>
    <w:p w14:paraId="10B510B8" w14:textId="77777777" w:rsidR="00BF2BFE" w:rsidRDefault="00BF2BFE" w:rsidP="003D56DF">
      <w:pPr>
        <w:spacing w:after="0" w:line="480" w:lineRule="auto"/>
        <w:jc w:val="center"/>
        <w:rPr>
          <w:rFonts w:ascii="Times New Roman" w:eastAsia="Arial" w:hAnsi="Times New Roman" w:cs="Times New Roman"/>
          <w:b/>
        </w:rPr>
      </w:pPr>
    </w:p>
    <w:p w14:paraId="311A76CE" w14:textId="77777777" w:rsidR="00BF2BFE" w:rsidRDefault="00BF2BFE" w:rsidP="003D56DF">
      <w:pPr>
        <w:spacing w:after="0" w:line="480" w:lineRule="auto"/>
        <w:jc w:val="center"/>
        <w:rPr>
          <w:rFonts w:ascii="Times New Roman" w:eastAsia="Arial" w:hAnsi="Times New Roman" w:cs="Times New Roman"/>
          <w:b/>
        </w:rPr>
      </w:pPr>
    </w:p>
    <w:p w14:paraId="13A2B18C" w14:textId="77777777" w:rsidR="00BF2BFE" w:rsidRDefault="00BF2BFE" w:rsidP="003D56DF">
      <w:pPr>
        <w:spacing w:after="0" w:line="480" w:lineRule="auto"/>
        <w:jc w:val="center"/>
        <w:rPr>
          <w:rFonts w:ascii="Times New Roman" w:eastAsia="Arial" w:hAnsi="Times New Roman" w:cs="Times New Roman"/>
          <w:b/>
        </w:rPr>
      </w:pPr>
    </w:p>
    <w:p w14:paraId="3E03679F" w14:textId="2A96DD6C" w:rsidR="003D56DF" w:rsidRDefault="003D56DF" w:rsidP="003D56DF">
      <w:pPr>
        <w:spacing w:after="0" w:line="480" w:lineRule="auto"/>
        <w:jc w:val="center"/>
        <w:rPr>
          <w:rFonts w:ascii="Times New Roman" w:eastAsia="Arial" w:hAnsi="Times New Roman" w:cs="Times New Roman"/>
          <w:b/>
        </w:rPr>
      </w:pPr>
      <w:r>
        <w:rPr>
          <w:rFonts w:ascii="Times New Roman" w:eastAsia="Arial" w:hAnsi="Times New Roman" w:cs="Times New Roman"/>
          <w:b/>
        </w:rPr>
        <w:t xml:space="preserve">By </w:t>
      </w:r>
      <w:r w:rsidR="00BF2BFE">
        <w:rPr>
          <w:rFonts w:ascii="Times New Roman" w:eastAsia="Arial" w:hAnsi="Times New Roman" w:cs="Times New Roman"/>
          <w:b/>
        </w:rPr>
        <w:t>Livia Valentina Vladu</w:t>
      </w:r>
    </w:p>
    <w:p w14:paraId="2A8D1762" w14:textId="6959D619" w:rsidR="00152C86" w:rsidRPr="00BF2BFE" w:rsidRDefault="00BF2BFE" w:rsidP="00BF2BFE">
      <w:pPr>
        <w:spacing w:after="0" w:line="480" w:lineRule="auto"/>
        <w:jc w:val="center"/>
        <w:rPr>
          <w:rFonts w:ascii="Times New Roman" w:hAnsi="Times New Roman" w:cs="Times New Roman"/>
          <w:b/>
          <w:sz w:val="24"/>
          <w:szCs w:val="24"/>
        </w:rPr>
      </w:pPr>
      <w:r>
        <w:rPr>
          <w:rFonts w:ascii="Times New Roman" w:eastAsia="Arial" w:hAnsi="Times New Roman" w:cs="Times New Roman"/>
          <w:b/>
        </w:rPr>
        <w:t>2127120</w:t>
      </w:r>
    </w:p>
    <w:p w14:paraId="6D24D6DA" w14:textId="3480A126" w:rsidR="00BF2BFE" w:rsidRPr="00BF2BFE" w:rsidRDefault="00BF2BFE" w:rsidP="00BF2BFE">
      <w:pPr>
        <w:spacing w:after="0" w:line="480" w:lineRule="auto"/>
        <w:jc w:val="center"/>
        <w:rPr>
          <w:rFonts w:ascii="Times New Roman" w:hAnsi="Times New Roman" w:cs="Times New Roman"/>
          <w:b/>
          <w:bCs/>
          <w:sz w:val="24"/>
          <w:szCs w:val="24"/>
          <w:lang w:val="en-GB"/>
        </w:rPr>
      </w:pPr>
      <w:r w:rsidRPr="00BF2BFE">
        <w:rPr>
          <w:rFonts w:ascii="Times New Roman" w:hAnsi="Times New Roman" w:cs="Times New Roman"/>
          <w:b/>
          <w:bCs/>
          <w:sz w:val="24"/>
          <w:szCs w:val="24"/>
          <w:lang w:val="en-GB"/>
        </w:rPr>
        <w:t>Financial Management for the Hotel Industry (BMIH5007,</w:t>
      </w:r>
      <w:r>
        <w:rPr>
          <w:rFonts w:ascii="Times New Roman" w:hAnsi="Times New Roman" w:cs="Times New Roman"/>
          <w:b/>
          <w:bCs/>
          <w:sz w:val="24"/>
          <w:szCs w:val="24"/>
          <w:lang w:val="en-GB"/>
        </w:rPr>
        <w:t xml:space="preserve"> </w:t>
      </w:r>
      <w:r w:rsidRPr="00BF2BFE">
        <w:rPr>
          <w:rFonts w:ascii="Times New Roman" w:hAnsi="Times New Roman" w:cs="Times New Roman"/>
          <w:b/>
          <w:bCs/>
          <w:sz w:val="24"/>
          <w:szCs w:val="24"/>
          <w:lang w:val="en-GB"/>
        </w:rPr>
        <w:t>BMIH5002)</w:t>
      </w:r>
    </w:p>
    <w:p w14:paraId="65CB2029" w14:textId="313583F2" w:rsidR="003D56DF" w:rsidRPr="00BF2BFE" w:rsidRDefault="003D56DF" w:rsidP="003D56DF">
      <w:pPr>
        <w:spacing w:after="0" w:line="480" w:lineRule="auto"/>
        <w:jc w:val="center"/>
        <w:rPr>
          <w:rFonts w:ascii="Times New Roman" w:hAnsi="Times New Roman" w:cs="Times New Roman"/>
          <w:b/>
          <w:bCs/>
          <w:sz w:val="24"/>
          <w:szCs w:val="24"/>
        </w:rPr>
      </w:pPr>
      <w:r w:rsidRPr="00BF2BFE">
        <w:rPr>
          <w:rFonts w:ascii="Times New Roman" w:hAnsi="Times New Roman" w:cs="Times New Roman"/>
          <w:b/>
          <w:bCs/>
          <w:sz w:val="24"/>
          <w:szCs w:val="24"/>
        </w:rPr>
        <w:t>Professor's Name</w:t>
      </w:r>
      <w:r w:rsidR="00BF2BFE" w:rsidRPr="00BF2BFE">
        <w:rPr>
          <w:rFonts w:ascii="Times New Roman" w:hAnsi="Times New Roman" w:cs="Times New Roman"/>
          <w:b/>
          <w:bCs/>
          <w:sz w:val="24"/>
          <w:szCs w:val="24"/>
        </w:rPr>
        <w:t>: Jalya De Silva</w:t>
      </w:r>
    </w:p>
    <w:p w14:paraId="385F0AFE" w14:textId="77777777" w:rsidR="00BF2BFE" w:rsidRPr="00BF2BFE" w:rsidRDefault="00BF2BFE" w:rsidP="003D56DF">
      <w:pPr>
        <w:spacing w:after="0" w:line="480" w:lineRule="auto"/>
        <w:jc w:val="center"/>
        <w:rPr>
          <w:rFonts w:ascii="Times New Roman" w:hAnsi="Times New Roman" w:cs="Times New Roman"/>
          <w:b/>
          <w:bCs/>
          <w:sz w:val="24"/>
          <w:szCs w:val="24"/>
        </w:rPr>
      </w:pPr>
      <w:r w:rsidRPr="00BF2BFE">
        <w:rPr>
          <w:rFonts w:ascii="Times New Roman" w:hAnsi="Times New Roman" w:cs="Times New Roman"/>
          <w:b/>
          <w:bCs/>
          <w:sz w:val="24"/>
          <w:szCs w:val="24"/>
        </w:rPr>
        <w:t>University of Wales Trinity Saint David</w:t>
      </w:r>
    </w:p>
    <w:p w14:paraId="08C5029B" w14:textId="77777777" w:rsidR="003D56DF" w:rsidRDefault="003D56DF">
      <w:pPr>
        <w:rPr>
          <w:rStyle w:val="Strong"/>
          <w:rFonts w:ascii="Times New Roman" w:eastAsia="Times New Roman" w:hAnsi="Times New Roman" w:cs="Times New Roman"/>
          <w:color w:val="0E101A"/>
          <w:sz w:val="24"/>
          <w:szCs w:val="24"/>
        </w:rPr>
      </w:pPr>
      <w:r>
        <w:rPr>
          <w:rStyle w:val="Strong"/>
          <w:color w:val="0E101A"/>
        </w:rPr>
        <w:br w:type="page"/>
      </w:r>
    </w:p>
    <w:p w14:paraId="0901B247"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lastRenderedPageBreak/>
        <w:t>The Seaview Resort: Navigating Challenges and Steering Towards Renewal</w:t>
      </w:r>
    </w:p>
    <w:p w14:paraId="21210997" w14:textId="77777777" w:rsidR="002406E3" w:rsidRDefault="002406E3" w:rsidP="003D56DF">
      <w:pPr>
        <w:pStyle w:val="NormalWeb"/>
        <w:spacing w:before="0" w:beforeAutospacing="0" w:after="0" w:afterAutospacing="0" w:line="480" w:lineRule="auto"/>
        <w:ind w:firstLine="720"/>
        <w:rPr>
          <w:color w:val="0E101A"/>
        </w:rPr>
      </w:pPr>
      <w:r>
        <w:rPr>
          <w:color w:val="0E101A"/>
        </w:rPr>
        <w:t>The resort was situated along a beautiful sea shoreline for the elite who wanted to relax and be in luxury. For some time now, this formerly flourishing holiday destination has been increasingly experiencing a decline in earnings, a reduction of occupancies, and decreasing guest contentment. The reduction is more than just raising doubts about the resort's current operational and strategic approach but even about its sustained success amidst fierce competition. However, the resort's owner, Mr James Henderson, has a very hard job to try and see if the business can be saved and bring it back from where it was. A comprehensive examination of the profitability, market position, and operational matters of The Seaview Resort is done in this paper. The purpose is to build a strong turnaround plan for reviving the lost charm and restoring it to the desired status of a renowned place for sophisticated vacationers.</w:t>
      </w:r>
    </w:p>
    <w:p w14:paraId="0B799763"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Market Analysis and Competitive Environment</w:t>
      </w:r>
    </w:p>
    <w:p w14:paraId="52B166EA" w14:textId="77777777" w:rsidR="002406E3" w:rsidRDefault="002406E3" w:rsidP="003D56DF">
      <w:pPr>
        <w:pStyle w:val="NormalWeb"/>
        <w:spacing w:before="0" w:beforeAutospacing="0" w:after="0" w:afterAutospacing="0" w:line="480" w:lineRule="auto"/>
        <w:ind w:firstLine="720"/>
        <w:rPr>
          <w:color w:val="0E101A"/>
        </w:rPr>
      </w:pPr>
      <w:r>
        <w:rPr>
          <w:color w:val="0E101A"/>
        </w:rPr>
        <w:t>It is not easy for the Seaview Resort in the coastal resort domain to face a dynamically changing competition environment. It features plenty of modern-day resorts with lavish standards for comfort and luxury. Using modern architectural designs with the latest equipment, these agencies aim at those with exquisite taste. The evolution of the market towards modernization presents a direct competition to The Seaview Resort, which was previously an elite destination.</w:t>
      </w:r>
    </w:p>
    <w:p w14:paraId="7AC5F074" w14:textId="77777777" w:rsidR="002406E3" w:rsidRDefault="002406E3" w:rsidP="003D56DF">
      <w:pPr>
        <w:pStyle w:val="NormalWeb"/>
        <w:spacing w:before="0" w:beforeAutospacing="0" w:after="0" w:afterAutospacing="0" w:line="480" w:lineRule="auto"/>
        <w:ind w:firstLine="720"/>
        <w:rPr>
          <w:color w:val="0E101A"/>
        </w:rPr>
      </w:pPr>
      <w:r>
        <w:rPr>
          <w:color w:val="0E101A"/>
        </w:rPr>
        <w:t xml:space="preserve">A notable shift in customer preferences further complicates the situation. Modern vacationers are increasingly drawn toward eco-friendly and experiential tourism options (Hang and Adrien, 2021; Kapoor et al., 2022; Vijayabanu et al., 2023). This trend reflects a growing consciousness about environmental impacts and a desire for unique, immersive experiences. Resorts that have successfully integrated eco-friendly practices, such as sustainable operations, </w:t>
      </w:r>
      <w:r>
        <w:rPr>
          <w:color w:val="0E101A"/>
        </w:rPr>
        <w:lastRenderedPageBreak/>
        <w:t>and those offering unique, localized experiences are gaining favor. This shift signals a critical need for The Seaview Resort to reassess and realign its offerings to meet these new customer expectations.</w:t>
      </w:r>
    </w:p>
    <w:p w14:paraId="16A67CFE" w14:textId="77777777" w:rsidR="002406E3" w:rsidRDefault="002406E3" w:rsidP="003D56DF">
      <w:pPr>
        <w:pStyle w:val="NormalWeb"/>
        <w:spacing w:before="0" w:beforeAutospacing="0" w:after="0" w:afterAutospacing="0" w:line="480" w:lineRule="auto"/>
        <w:ind w:firstLine="720"/>
        <w:rPr>
          <w:color w:val="0E101A"/>
        </w:rPr>
      </w:pPr>
      <w:r>
        <w:rPr>
          <w:color w:val="0E101A"/>
        </w:rPr>
        <w:t>Compounding these challenges are the insights gleaned from customer reviews. These reviews depict a resort struggling to maintain its erstwhile glory. Recurrent themes in the feedback highlight declining service quality, pointing towards inadequacies in staff training, customer service protocols, and overall guest experience management (Liao et al., 2023; Nikolskaya et al., 2020). Moreover, the amenities, once a hallmark of luxury, now need to be updated compared to the modern, technologically advanced facilities offered by competitors. This perception of obsolescence diminishes the resort's appeal to new customers and risks alienating its existing clientele.</w:t>
      </w:r>
    </w:p>
    <w:p w14:paraId="0C15D0A7" w14:textId="7427CAD6" w:rsidR="002406E3" w:rsidRDefault="00152C86" w:rsidP="003D56DF">
      <w:pPr>
        <w:pStyle w:val="NormalWeb"/>
        <w:spacing w:before="0" w:beforeAutospacing="0" w:after="0" w:afterAutospacing="0" w:line="480" w:lineRule="auto"/>
        <w:ind w:firstLine="720"/>
        <w:rPr>
          <w:color w:val="0E101A"/>
        </w:rPr>
      </w:pPr>
      <w:r>
        <w:rPr>
          <w:color w:val="0E101A"/>
        </w:rPr>
        <w:t>T</w:t>
      </w:r>
      <w:r w:rsidR="002406E3">
        <w:rPr>
          <w:color w:val="0E101A"/>
        </w:rPr>
        <w:t>he Seaview Resort faces a crossroads, and the management must restructure its operations, considering that the market has undergone a tremendous transformation. It should, however, develop an appropriate answer for new competition from newer resorts, grow with more environmentally conscious and experimental travelers, and fix quality service and amenities as its customers call.</w:t>
      </w:r>
    </w:p>
    <w:p w14:paraId="3BF248DF"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Financial Performance Review (2020-2022)</w:t>
      </w:r>
    </w:p>
    <w:p w14:paraId="58E26150" w14:textId="77777777" w:rsidR="002406E3" w:rsidRDefault="002406E3" w:rsidP="003D56DF">
      <w:pPr>
        <w:pStyle w:val="NormalWeb"/>
        <w:spacing w:before="0" w:beforeAutospacing="0" w:after="0" w:afterAutospacing="0" w:line="480" w:lineRule="auto"/>
        <w:ind w:firstLine="720"/>
        <w:rPr>
          <w:color w:val="0E101A"/>
        </w:rPr>
      </w:pPr>
      <w:r>
        <w:rPr>
          <w:color w:val="0E101A"/>
        </w:rPr>
        <w:t>The financial trajectory of The Seaview Resort from 2020 to 2022 reveals a concerning downturn, necessitating a comprehensive analysis of its income statements, balance sheets, and cash flow statements. This period, marked by declining revenues and profitability, underscores the resort's struggles amid an evolving market landscape.</w:t>
      </w:r>
    </w:p>
    <w:p w14:paraId="7FBC0CC8" w14:textId="77777777" w:rsidR="002406E3" w:rsidRDefault="002406E3" w:rsidP="003D56DF">
      <w:pPr>
        <w:pStyle w:val="NormalWeb"/>
        <w:spacing w:before="0" w:beforeAutospacing="0" w:after="0" w:afterAutospacing="0" w:line="480" w:lineRule="auto"/>
        <w:ind w:firstLine="720"/>
        <w:rPr>
          <w:color w:val="0E101A"/>
        </w:rPr>
      </w:pPr>
      <w:r>
        <w:rPr>
          <w:color w:val="0E101A"/>
        </w:rPr>
        <w:t xml:space="preserve">In 2020, the resort reported a total revenue of £520,000, which decreased consistently over the next two years to £480,000 in 2021 and to £430,000 in 2022. This downward trend in </w:t>
      </w:r>
      <w:r>
        <w:rPr>
          <w:color w:val="0E101A"/>
        </w:rPr>
        <w:lastRenderedPageBreak/>
        <w:t>revenue is a clear indicator of diminishing guest interest and occupancy rates, a significant concern for any hospitality business. In contrast, operating expenses climbed from £390,000 in 2020 to £450,000 in 2022, indicating rising costs without commensurate rise in revenue. This serious mismatch between income and expenses suggests that there may be excessive overhead and inefficiencies in operational management.</w:t>
      </w:r>
    </w:p>
    <w:p w14:paraId="6C4342E0" w14:textId="77777777" w:rsidR="002406E3" w:rsidRDefault="002406E3" w:rsidP="003D56DF">
      <w:pPr>
        <w:pStyle w:val="NormalWeb"/>
        <w:spacing w:before="0" w:beforeAutospacing="0" w:after="0" w:afterAutospacing="0" w:line="480" w:lineRule="auto"/>
        <w:ind w:firstLine="720"/>
        <w:rPr>
          <w:color w:val="0E101A"/>
        </w:rPr>
      </w:pPr>
      <w:r>
        <w:rPr>
          <w:color w:val="0E101A"/>
        </w:rPr>
        <w:t>The gross profit statistics further show the resort's financial problems. The resort's profitability declined from a gross profit of £130,000 in 2020 to £80,000 in 2021 and then to a gross loss of £20,000 in 2022. It is concerning that the resort's primary business activities are no longer lucrative, given this negative gross profit. The net profit margins can include further information regarding the resort's deteriorating financial situation. A consistent 15% profit in 2020 fell to 8% in 2021; in 2022, there was a net loss margin of -11%. The resort's incapacity to control costs in the face of declining revenues is evident in this abrupt transition from profitability to loss in three years.</w:t>
      </w:r>
    </w:p>
    <w:p w14:paraId="6B696CB4" w14:textId="77777777" w:rsidR="002406E3" w:rsidRDefault="002406E3" w:rsidP="003D56DF">
      <w:pPr>
        <w:pStyle w:val="NormalWeb"/>
        <w:spacing w:before="0" w:beforeAutospacing="0" w:after="0" w:afterAutospacing="0" w:line="480" w:lineRule="auto"/>
        <w:ind w:firstLine="720"/>
        <w:rPr>
          <w:color w:val="0E101A"/>
        </w:rPr>
      </w:pPr>
      <w:r>
        <w:rPr>
          <w:color w:val="0E101A"/>
        </w:rPr>
        <w:t>At the end of 2022, the balance statement displays total liabilities of £580,000 and total assets of £1,030,000, with a sizable amount of assets invested in property and equipment. Pressure on the resort's liquidity is shown by the cash flow analysis for 2021, which shows a net cash flow from operations of -£80,000 and a negative change in the cash balance of -£110,000.</w:t>
      </w:r>
    </w:p>
    <w:p w14:paraId="467C33CB" w14:textId="06BDD6F9" w:rsidR="002406E3" w:rsidRDefault="00152C86" w:rsidP="003D56DF">
      <w:pPr>
        <w:pStyle w:val="NormalWeb"/>
        <w:spacing w:before="0" w:beforeAutospacing="0" w:after="0" w:afterAutospacing="0" w:line="480" w:lineRule="auto"/>
        <w:ind w:firstLine="720"/>
        <w:rPr>
          <w:color w:val="0E101A"/>
        </w:rPr>
      </w:pPr>
      <w:r>
        <w:rPr>
          <w:color w:val="0E101A"/>
        </w:rPr>
        <w:t>T</w:t>
      </w:r>
      <w:r w:rsidR="002406E3">
        <w:rPr>
          <w:color w:val="0E101A"/>
        </w:rPr>
        <w:t>he financial performance of The Seaview Resort from 2020 to 2022 is marked by a decline in revenue, an increase in expenses, a decline in profitability, and stretched cash flows. All of these elements combined point to a company in desperate need of a strategic financial makeover to turn around its failing operation.</w:t>
      </w:r>
    </w:p>
    <w:p w14:paraId="25DBDD12"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Key Reasons for Profitability Decline</w:t>
      </w:r>
    </w:p>
    <w:p w14:paraId="7EBCCBB5" w14:textId="77777777" w:rsidR="002406E3" w:rsidRDefault="002406E3" w:rsidP="003D56DF">
      <w:pPr>
        <w:pStyle w:val="NormalWeb"/>
        <w:spacing w:before="0" w:beforeAutospacing="0" w:after="0" w:afterAutospacing="0" w:line="480" w:lineRule="auto"/>
        <w:ind w:firstLine="720"/>
        <w:rPr>
          <w:color w:val="0E101A"/>
        </w:rPr>
      </w:pPr>
      <w:r>
        <w:rPr>
          <w:color w:val="0E101A"/>
        </w:rPr>
        <w:lastRenderedPageBreak/>
        <w:t>Over the past few years, the Seaview Resort's profitability has declined due to internal failures and external market factors. The details concerning this decline are imperative in establishing the causal factors for this recession.</w:t>
      </w:r>
    </w:p>
    <w:p w14:paraId="2BDFEC98" w14:textId="77777777" w:rsidR="002406E3" w:rsidRDefault="002406E3" w:rsidP="003D56DF">
      <w:pPr>
        <w:pStyle w:val="NormalWeb"/>
        <w:spacing w:before="0" w:beforeAutospacing="0" w:after="0" w:afterAutospacing="0" w:line="480" w:lineRule="auto"/>
        <w:ind w:firstLine="720"/>
        <w:rPr>
          <w:color w:val="0E101A"/>
        </w:rPr>
      </w:pPr>
      <w:r>
        <w:rPr>
          <w:color w:val="0E101A"/>
        </w:rPr>
        <w:t>Practices for managing within The Seaview Resort were not as effective in meeting evolving consumer needs or developing opportunities within the new market environment. This may have been informed by slow or wrong adjustments to fast-changing customers' tastes and market competition (Holbeche, 2019; Srinivasan et al., 2020). The resort's slow strategic response in an ever-changing hospitality environment probably added to this erosion of attractiveness.</w:t>
      </w:r>
    </w:p>
    <w:p w14:paraId="48845737" w14:textId="77777777" w:rsidR="002406E3" w:rsidRDefault="002406E3" w:rsidP="003D56DF">
      <w:pPr>
        <w:pStyle w:val="NormalWeb"/>
        <w:spacing w:before="0" w:beforeAutospacing="0" w:after="0" w:afterAutospacing="0" w:line="480" w:lineRule="auto"/>
        <w:ind w:firstLine="720"/>
        <w:rPr>
          <w:color w:val="0E101A"/>
        </w:rPr>
      </w:pPr>
      <w:r>
        <w:rPr>
          <w:color w:val="0E101A"/>
        </w:rPr>
        <w:t>Service quality, a cornerstone of the hospitality industry, also emerges as a significant factor (Khalifa et al., 2022). Customer reviews and feedback have consistently highlighted a decline in service standards at the resort. This drop in service quality can be detrimental to guest satisfaction and loyalty, directly impacting repeat business and word-of-mouth referrals, which are vital for the sustained success of any hospitality enterprise.</w:t>
      </w:r>
    </w:p>
    <w:p w14:paraId="1812A436" w14:textId="77777777" w:rsidR="002406E3" w:rsidRDefault="002406E3" w:rsidP="003D56DF">
      <w:pPr>
        <w:pStyle w:val="NormalWeb"/>
        <w:spacing w:before="0" w:beforeAutospacing="0" w:after="0" w:afterAutospacing="0" w:line="480" w:lineRule="auto"/>
        <w:ind w:firstLine="720"/>
        <w:rPr>
          <w:color w:val="0E101A"/>
        </w:rPr>
      </w:pPr>
      <w:r>
        <w:rPr>
          <w:color w:val="0E101A"/>
        </w:rPr>
        <w:t>Operational inefficiencies are another internal factor impacting profitability (Bilan et al., 2020; Alzoubi et al., 2022; Al-Suraihi et al., 2021). Despite declining revenues, the increase in operating expenses suggests that the resort has been struggling with cost management. These inefficiencies could stem from outdated operational practices, overstaffing, or excessive expenditure in areas that do not directly contribute to guest satisfaction or operational productivity.</w:t>
      </w:r>
    </w:p>
    <w:p w14:paraId="1E326D2F" w14:textId="77777777" w:rsidR="002406E3" w:rsidRDefault="002406E3" w:rsidP="003D56DF">
      <w:pPr>
        <w:pStyle w:val="NormalWeb"/>
        <w:spacing w:before="0" w:beforeAutospacing="0" w:after="0" w:afterAutospacing="0" w:line="480" w:lineRule="auto"/>
        <w:ind w:firstLine="720"/>
        <w:rPr>
          <w:color w:val="0E101A"/>
        </w:rPr>
      </w:pPr>
      <w:r>
        <w:rPr>
          <w:color w:val="0E101A"/>
        </w:rPr>
        <w:t xml:space="preserve">From a market positioning perspective, The Seaview Resort has struggled to adapt to the shifting preferences towards eco-friendly and experiential tourism. Failure to innovate and align with these trends has likely made the resort less attractive to a new generation of travelers who </w:t>
      </w:r>
      <w:r>
        <w:rPr>
          <w:color w:val="0E101A"/>
        </w:rPr>
        <w:lastRenderedPageBreak/>
        <w:t>prioritize sustainability and unique experiences (Kuokkanen and Catrett, 2023; Bosone and Nocca, 2022). Externally, the resort has faced intense competition from newer, more modern resorts. These competitors, offering advanced amenities and tailored experiences, have captured a significant market share, drawing away potential guests. The inability of The Seaview Resort to match or differentiate from these offerings has further exacerbated its decline.</w:t>
      </w:r>
    </w:p>
    <w:p w14:paraId="0F935515" w14:textId="77777777" w:rsidR="002406E3" w:rsidRDefault="002406E3" w:rsidP="003D56DF">
      <w:pPr>
        <w:pStyle w:val="NormalWeb"/>
        <w:spacing w:before="0" w:beforeAutospacing="0" w:after="0" w:afterAutospacing="0" w:line="480" w:lineRule="auto"/>
        <w:ind w:firstLine="720"/>
        <w:rPr>
          <w:color w:val="0E101A"/>
        </w:rPr>
      </w:pPr>
      <w:r>
        <w:rPr>
          <w:color w:val="0E101A"/>
        </w:rPr>
        <w:t>Hence, multiple interrelated reasons have caused the decrease in profitability for The Seaview Resort. The resort faces financial difficulties due to weak management practices, diminished service delivery, operational inefficiency, poor positioning, and competition pressure. Thus, It will be imperative to comprehensively address all these issues to formulate a viable turnaround strategy.</w:t>
      </w:r>
    </w:p>
    <w:p w14:paraId="2233B22A"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Turnaround Strategy Development</w:t>
      </w:r>
    </w:p>
    <w:p w14:paraId="3446BD31" w14:textId="77777777" w:rsidR="002406E3" w:rsidRDefault="002406E3" w:rsidP="003D56DF">
      <w:pPr>
        <w:pStyle w:val="NormalWeb"/>
        <w:spacing w:before="0" w:beforeAutospacing="0" w:after="0" w:afterAutospacing="0" w:line="480" w:lineRule="auto"/>
        <w:ind w:firstLine="720"/>
        <w:rPr>
          <w:color w:val="0E101A"/>
        </w:rPr>
      </w:pPr>
      <w:r>
        <w:rPr>
          <w:color w:val="0E101A"/>
        </w:rPr>
        <w:t>A turnaround strategy would be needed to tackle the problems of The Seaview Resort and revive its financial and operational welfare. This will involve operational improvement, marketing, improved customer service, careful costing, and incorporating up-to-date and green features.</w:t>
      </w:r>
    </w:p>
    <w:p w14:paraId="18D4C2AA" w14:textId="77777777" w:rsidR="002406E3" w:rsidRDefault="002406E3" w:rsidP="003D56DF">
      <w:pPr>
        <w:pStyle w:val="NormalWeb"/>
        <w:spacing w:before="0" w:beforeAutospacing="0" w:after="0" w:afterAutospacing="0" w:line="480" w:lineRule="auto"/>
        <w:ind w:firstLine="720"/>
        <w:rPr>
          <w:color w:val="0E101A"/>
        </w:rPr>
      </w:pPr>
      <w:r>
        <w:rPr>
          <w:color w:val="0E101A"/>
        </w:rPr>
        <w:t>Firstly, operational improvements are crucial. The resort should thoroughly audit its current operations to identify inefficiencies and areas of wastage. Streamlining processes, adopting new technologies, and possibly downsizing or retraining staff can help reduce operational costs while improving service quality (Martínez-Peláez et al., 2023; Chadha, 2021). Implementing an integrated management system that aligns all departments toward efficiency and guest satisfaction can also be transformative.</w:t>
      </w:r>
    </w:p>
    <w:p w14:paraId="353CC0A3" w14:textId="77777777" w:rsidR="002406E3" w:rsidRDefault="002406E3" w:rsidP="003D56DF">
      <w:pPr>
        <w:pStyle w:val="NormalWeb"/>
        <w:spacing w:before="0" w:beforeAutospacing="0" w:after="0" w:afterAutospacing="0" w:line="480" w:lineRule="auto"/>
        <w:ind w:firstLine="720"/>
        <w:rPr>
          <w:color w:val="0E101A"/>
        </w:rPr>
      </w:pPr>
      <w:r>
        <w:rPr>
          <w:color w:val="0E101A"/>
        </w:rPr>
        <w:t xml:space="preserve">Regarding marketing, The Seaview Resort needs a robust strategy that leverages digital platforms and social media to reach a broader audience. Developing a strong online presence, </w:t>
      </w:r>
      <w:r>
        <w:rPr>
          <w:color w:val="0E101A"/>
        </w:rPr>
        <w:lastRenderedPageBreak/>
        <w:t>engaging in targeted advertising, and utilizing social media for marketing can help attract new demographics (Dolega et al., 2021; Mason et al., 2021). Tailoring marketing messages to highlight unique aspects of the resort, such as any distinctive experiences or local cultural integrations it offers, can differentiate it from competitors. Enhancing customer service is non-negotiable. Training programs for staff to improve their hospitality skills and customer interaction can significantly boost guest satisfaction. Personalized guest experiences, prompt service, and attention to feedback can help build a loyal customer base.</w:t>
      </w:r>
    </w:p>
    <w:p w14:paraId="76B6EEA0" w14:textId="77777777" w:rsidR="002406E3" w:rsidRDefault="002406E3" w:rsidP="003D56DF">
      <w:pPr>
        <w:pStyle w:val="NormalWeb"/>
        <w:spacing w:before="0" w:beforeAutospacing="0" w:after="0" w:afterAutospacing="0" w:line="480" w:lineRule="auto"/>
        <w:ind w:firstLine="720"/>
        <w:rPr>
          <w:color w:val="0E101A"/>
        </w:rPr>
      </w:pPr>
      <w:r>
        <w:rPr>
          <w:color w:val="0E101A"/>
        </w:rPr>
        <w:t>Cost management is another critical aspect. The resort should review all expenditure areas and identify where costs can be reduced without compromising service quality. Energy-efficient practices and reduce unnecessary expenditures can improve financial health (Ragazou et al., 2022; Lui et al., 2021). Lastly, investing in eco-friendly and modern amenities is vital to align with current market trends. Upgrading facilities to be more sustainable, incorporating green practices, and modernizing rooms and common areas to meet contemporary standards will appeal to environmentally conscious and experience-seeking guests.</w:t>
      </w:r>
    </w:p>
    <w:p w14:paraId="62ED5FEB" w14:textId="77777777" w:rsidR="002406E3" w:rsidRDefault="002406E3" w:rsidP="003D56DF">
      <w:pPr>
        <w:pStyle w:val="NormalWeb"/>
        <w:spacing w:before="0" w:beforeAutospacing="0" w:after="0" w:afterAutospacing="0" w:line="480" w:lineRule="auto"/>
        <w:ind w:firstLine="720"/>
        <w:rPr>
          <w:color w:val="0E101A"/>
        </w:rPr>
      </w:pPr>
      <w:r>
        <w:rPr>
          <w:color w:val="0E101A"/>
        </w:rPr>
        <w:t>Implementing this comprehensive strategy requires careful planning, execution, and continuous monitoring. However, if done effectively, it can significantly revitalize The Seaview Resort's financial health and restore its reputation as a premier vacation destination.</w:t>
      </w:r>
    </w:p>
    <w:p w14:paraId="47859482"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Financial Projections and Expected Outcomes</w:t>
      </w:r>
    </w:p>
    <w:p w14:paraId="6A9F2CC5" w14:textId="77777777" w:rsidR="002406E3" w:rsidRDefault="002406E3" w:rsidP="003D56DF">
      <w:pPr>
        <w:pStyle w:val="NormalWeb"/>
        <w:spacing w:before="0" w:beforeAutospacing="0" w:after="0" w:afterAutospacing="0" w:line="480" w:lineRule="auto"/>
        <w:ind w:firstLine="720"/>
        <w:rPr>
          <w:color w:val="0E101A"/>
        </w:rPr>
      </w:pPr>
      <w:r>
        <w:rPr>
          <w:color w:val="0E101A"/>
        </w:rPr>
        <w:t>Implementing a comprehensive turnaround strategy at The Seaview Resort is expected to improve its financial performance significantly. To gauge the effectiveness of these changes, it is vital to project future financial outcomes and establish key performance indicators (KPIs) for monitoring progress.</w:t>
      </w:r>
    </w:p>
    <w:p w14:paraId="45D54E0E" w14:textId="77777777" w:rsidR="00152C86" w:rsidRDefault="002406E3" w:rsidP="00152C86">
      <w:pPr>
        <w:pStyle w:val="NormalWeb"/>
        <w:spacing w:before="0" w:beforeAutospacing="0" w:after="0" w:afterAutospacing="0" w:line="480" w:lineRule="auto"/>
        <w:rPr>
          <w:rStyle w:val="Strong"/>
          <w:color w:val="0E101A"/>
        </w:rPr>
      </w:pPr>
      <w:r>
        <w:rPr>
          <w:rStyle w:val="Strong"/>
          <w:color w:val="0E101A"/>
        </w:rPr>
        <w:t>Revenue Projections</w:t>
      </w:r>
    </w:p>
    <w:p w14:paraId="778570D5" w14:textId="6DA74A2B" w:rsidR="002406E3" w:rsidRDefault="002406E3" w:rsidP="00152C86">
      <w:pPr>
        <w:pStyle w:val="NormalWeb"/>
        <w:spacing w:before="0" w:beforeAutospacing="0" w:after="0" w:afterAutospacing="0" w:line="480" w:lineRule="auto"/>
        <w:ind w:firstLine="720"/>
        <w:rPr>
          <w:color w:val="0E101A"/>
        </w:rPr>
      </w:pPr>
      <w:r>
        <w:rPr>
          <w:color w:val="0E101A"/>
        </w:rPr>
        <w:lastRenderedPageBreak/>
        <w:t>The proposed efficiencies in operations, marketing, customer services, and improvement of facilities will be incremental over time, leading to increased revenue. Introducing new attractions will help boost the revenue in the first year following implementation. This is expected given that there will be an increasing number of visitors, high monthly occupancy rates, and additional room nights. In the second or third year, with the improved reputation of the resort established and the marketing efforts maturing, larger revenue increases are anticipated. Improved service quality will also result in more rooms occupied; hence, higher occupancy rates will fuel this growth through higher average room rates.</w:t>
      </w:r>
    </w:p>
    <w:p w14:paraId="277B0AB4" w14:textId="2C4F7BF4" w:rsidR="00152C86" w:rsidRDefault="002406E3" w:rsidP="00152C86">
      <w:pPr>
        <w:pStyle w:val="NormalWeb"/>
        <w:spacing w:before="0" w:beforeAutospacing="0" w:after="0" w:afterAutospacing="0" w:line="480" w:lineRule="auto"/>
        <w:rPr>
          <w:color w:val="0E101A"/>
        </w:rPr>
      </w:pPr>
      <w:r>
        <w:rPr>
          <w:rStyle w:val="Strong"/>
          <w:color w:val="0E101A"/>
        </w:rPr>
        <w:t>Expense Forecasting</w:t>
      </w:r>
    </w:p>
    <w:p w14:paraId="55469177" w14:textId="2320416F" w:rsidR="002406E3" w:rsidRDefault="002406E3" w:rsidP="00152C86">
      <w:pPr>
        <w:pStyle w:val="NormalWeb"/>
        <w:spacing w:before="0" w:beforeAutospacing="0" w:after="0" w:afterAutospacing="0" w:line="480" w:lineRule="auto"/>
        <w:ind w:firstLine="720"/>
        <w:rPr>
          <w:color w:val="0E101A"/>
        </w:rPr>
      </w:pPr>
      <w:r>
        <w:rPr>
          <w:color w:val="0E101A"/>
        </w:rPr>
        <w:t>Operational improvements and cost management initiatives are expected to stabilize and reduce operating expenses over time. Initial investments in staff training, marketing, and facility upgrades may temporarily increase expenses. However, these costs are expected to be offset by efficiencies gained from streamlined operations and energy-saving measures, leading to a gradual reduction in operational expenses in subsequent years.</w:t>
      </w:r>
    </w:p>
    <w:p w14:paraId="0DF161C6" w14:textId="0040A7F3" w:rsidR="00152C86" w:rsidRDefault="002406E3" w:rsidP="00152C86">
      <w:pPr>
        <w:pStyle w:val="NormalWeb"/>
        <w:spacing w:before="0" w:beforeAutospacing="0" w:after="0" w:afterAutospacing="0" w:line="480" w:lineRule="auto"/>
        <w:rPr>
          <w:color w:val="0E101A"/>
        </w:rPr>
      </w:pPr>
      <w:r>
        <w:rPr>
          <w:rStyle w:val="Strong"/>
          <w:color w:val="0E101A"/>
        </w:rPr>
        <w:t>Cash Flow and Profitability</w:t>
      </w:r>
      <w:r>
        <w:rPr>
          <w:color w:val="0E101A"/>
        </w:rPr>
        <w:t> </w:t>
      </w:r>
    </w:p>
    <w:p w14:paraId="0F476643" w14:textId="0053124A" w:rsidR="002406E3" w:rsidRDefault="002406E3" w:rsidP="00152C86">
      <w:pPr>
        <w:pStyle w:val="NormalWeb"/>
        <w:spacing w:before="0" w:beforeAutospacing="0" w:after="0" w:afterAutospacing="0" w:line="480" w:lineRule="auto"/>
        <w:ind w:firstLine="720"/>
        <w:rPr>
          <w:color w:val="0E101A"/>
        </w:rPr>
      </w:pPr>
      <w:r>
        <w:rPr>
          <w:color w:val="0E101A"/>
        </w:rPr>
        <w:t>Improved revenue and controlled expenses will positively impact cash flow and profitability. The resort should move from a negative cash flow position to a positive one as revenue increases and expenses are optimized. Net profit margins, which were negative in the recent financial analysis, are expected to turn positive within the first two years of implementing the turnaround strategy, reflecting the resort's return to profitability.</w:t>
      </w:r>
    </w:p>
    <w:p w14:paraId="3278A377" w14:textId="77777777" w:rsidR="00152C86" w:rsidRDefault="002406E3" w:rsidP="00152C86">
      <w:pPr>
        <w:pStyle w:val="NormalWeb"/>
        <w:spacing w:before="0" w:beforeAutospacing="0" w:after="0" w:afterAutospacing="0" w:line="480" w:lineRule="auto"/>
        <w:rPr>
          <w:rStyle w:val="Strong"/>
          <w:color w:val="0E101A"/>
        </w:rPr>
      </w:pPr>
      <w:r>
        <w:rPr>
          <w:rStyle w:val="Strong"/>
          <w:color w:val="0E101A"/>
        </w:rPr>
        <w:t>Timeline and KPIs</w:t>
      </w:r>
    </w:p>
    <w:p w14:paraId="412ADE9F" w14:textId="3E03CA67" w:rsidR="002406E3" w:rsidRDefault="002406E3" w:rsidP="00152C86">
      <w:pPr>
        <w:pStyle w:val="NormalWeb"/>
        <w:spacing w:before="0" w:beforeAutospacing="0" w:after="0" w:afterAutospacing="0" w:line="480" w:lineRule="auto"/>
        <w:ind w:firstLine="720"/>
        <w:rPr>
          <w:color w:val="0E101A"/>
        </w:rPr>
      </w:pPr>
      <w:r>
        <w:rPr>
          <w:color w:val="0E101A"/>
        </w:rPr>
        <w:t xml:space="preserve">A realistic timeline for observing these financial changes could span three years, with the first year focused on implementing changes and the subsequent years on realizing financial </w:t>
      </w:r>
      <w:r>
        <w:rPr>
          <w:color w:val="0E101A"/>
        </w:rPr>
        <w:lastRenderedPageBreak/>
        <w:t>improvements. ARR, occupancy rates, net profit margins, guest satisfaction scores, and cost savings from operational efficiencies would be key performance indicators in this plan. Monitoring KPIs regularly will be vital in tracing the performance of the turnaround strategy and effecting suitable amendments.</w:t>
      </w:r>
    </w:p>
    <w:p w14:paraId="24AB6224" w14:textId="77777777" w:rsidR="002406E3" w:rsidRDefault="002406E3" w:rsidP="003D56DF">
      <w:pPr>
        <w:pStyle w:val="NormalWeb"/>
        <w:spacing w:before="0" w:beforeAutospacing="0" w:after="0" w:afterAutospacing="0" w:line="480" w:lineRule="auto"/>
        <w:jc w:val="center"/>
        <w:rPr>
          <w:color w:val="0E101A"/>
        </w:rPr>
      </w:pPr>
      <w:r>
        <w:rPr>
          <w:rStyle w:val="Strong"/>
          <w:color w:val="0E101A"/>
        </w:rPr>
        <w:t>Conclusion</w:t>
      </w:r>
    </w:p>
    <w:p w14:paraId="5DE0B387" w14:textId="77777777" w:rsidR="00AB656D" w:rsidRDefault="002406E3" w:rsidP="003D56DF">
      <w:pPr>
        <w:pStyle w:val="NormalWeb"/>
        <w:spacing w:before="0" w:beforeAutospacing="0" w:after="0" w:afterAutospacing="0" w:line="480" w:lineRule="auto"/>
        <w:ind w:firstLine="720"/>
        <w:rPr>
          <w:color w:val="0E101A"/>
        </w:rPr>
      </w:pPr>
      <w:r>
        <w:rPr>
          <w:color w:val="0E101A"/>
        </w:rPr>
        <w:t>Analyzing The Seaview Resort shows that it is a company at a crossroads due to competition, operational wastages, and shifting tastes. Low revenues and profits indicate the necessity of a thorough restructuring program for this resort. The strategic plan that involves operational changes strengthened advertising efforts, superior customer handling, cost control, and modern environmentally friendly facilities to improve the resort's financial position and status. On the other hand, the planned results show an improvement in revenue, profitability, and guest satisfaction for three years. Performance indicators must be followed through well to succeed while continuously monitoring Key Performance Indicators to reclaim The Seaview Resort into the top resort in the region.</w:t>
      </w:r>
    </w:p>
    <w:p w14:paraId="10542194" w14:textId="77777777" w:rsidR="00AB656D" w:rsidRDefault="00AB656D">
      <w:pPr>
        <w:rPr>
          <w:rFonts w:ascii="Times New Roman" w:eastAsia="Times New Roman" w:hAnsi="Times New Roman" w:cs="Times New Roman"/>
          <w:color w:val="0E101A"/>
          <w:sz w:val="24"/>
          <w:szCs w:val="24"/>
        </w:rPr>
      </w:pPr>
      <w:r>
        <w:rPr>
          <w:color w:val="0E101A"/>
        </w:rPr>
        <w:br w:type="page"/>
      </w:r>
    </w:p>
    <w:p w14:paraId="0698F4F3" w14:textId="77777777" w:rsidR="00114569" w:rsidRDefault="00AB656D" w:rsidP="00AB656D">
      <w:pPr>
        <w:pStyle w:val="NormalWeb"/>
        <w:spacing w:before="0" w:beforeAutospacing="0" w:after="0" w:afterAutospacing="0" w:line="480" w:lineRule="auto"/>
        <w:jc w:val="center"/>
        <w:rPr>
          <w:b/>
          <w:color w:val="0E101A"/>
        </w:rPr>
      </w:pPr>
      <w:r>
        <w:rPr>
          <w:b/>
          <w:color w:val="0E101A"/>
        </w:rPr>
        <w:lastRenderedPageBreak/>
        <w:t>Bibliography</w:t>
      </w:r>
    </w:p>
    <w:p w14:paraId="34F9BB03"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Al-Suraihi, W.A., Samikon, S.A. and Ibrahim, I., 2021. Employee Turnover Causes, Importance and Retention Strategies. </w:t>
      </w:r>
      <w:r w:rsidRPr="00323964">
        <w:rPr>
          <w:rFonts w:ascii="Times New Roman" w:hAnsi="Times New Roman" w:cs="Times New Roman"/>
          <w:i/>
          <w:iCs/>
          <w:color w:val="222222"/>
          <w:sz w:val="24"/>
          <w:szCs w:val="24"/>
          <w:shd w:val="clear" w:color="auto" w:fill="FFFFFF"/>
        </w:rPr>
        <w:t>European Journal of Business and Management Research (EJBMR)</w:t>
      </w:r>
      <w:r w:rsidRPr="00323964">
        <w:rPr>
          <w:rFonts w:ascii="Times New Roman" w:hAnsi="Times New Roman" w:cs="Times New Roman"/>
          <w:color w:val="222222"/>
          <w:sz w:val="24"/>
          <w:szCs w:val="24"/>
          <w:shd w:val="clear" w:color="auto" w:fill="FFFFFF"/>
        </w:rPr>
        <w:t>.</w:t>
      </w:r>
      <w:r w:rsidRPr="00323964">
        <w:rPr>
          <w:rFonts w:ascii="Times New Roman" w:hAnsi="Times New Roman" w:cs="Times New Roman"/>
          <w:sz w:val="24"/>
          <w:szCs w:val="24"/>
        </w:rPr>
        <w:t xml:space="preserve"> </w:t>
      </w:r>
      <w:hyperlink r:id="rId7" w:history="1">
        <w:r w:rsidRPr="00323964">
          <w:rPr>
            <w:rStyle w:val="Hyperlink"/>
            <w:rFonts w:ascii="Times New Roman" w:hAnsi="Times New Roman" w:cs="Times New Roman"/>
            <w:sz w:val="24"/>
            <w:szCs w:val="24"/>
            <w:shd w:val="clear" w:color="auto" w:fill="FFFFFF"/>
          </w:rPr>
          <w:t>https://www.inderscienceonline.com/doi/abs/10.1504/IJBEX.2022.123036</w:t>
        </w:r>
      </w:hyperlink>
      <w:r w:rsidRPr="00323964">
        <w:rPr>
          <w:rFonts w:ascii="Times New Roman" w:hAnsi="Times New Roman" w:cs="Times New Roman"/>
          <w:color w:val="222222"/>
          <w:sz w:val="24"/>
          <w:szCs w:val="24"/>
          <w:shd w:val="clear" w:color="auto" w:fill="FFFFFF"/>
        </w:rPr>
        <w:t xml:space="preserve"> </w:t>
      </w:r>
    </w:p>
    <w:p w14:paraId="6B88266C"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Alzoubi, H. M., In'airat, M., &amp; Ahmed, G. (2022). Investigating the impact of total quality management practices and Six Sigma processes to enhance the quality and reduce the cost of quality: the case of Dubai. </w:t>
      </w:r>
      <w:r w:rsidRPr="00323964">
        <w:rPr>
          <w:rFonts w:ascii="Times New Roman" w:hAnsi="Times New Roman" w:cs="Times New Roman"/>
          <w:i/>
          <w:iCs/>
          <w:color w:val="222222"/>
          <w:sz w:val="24"/>
          <w:szCs w:val="24"/>
          <w:shd w:val="clear" w:color="auto" w:fill="FFFFFF"/>
        </w:rPr>
        <w:t>International Journal of Business Excellence</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27</w:t>
      </w:r>
      <w:r w:rsidRPr="00323964">
        <w:rPr>
          <w:rFonts w:ascii="Times New Roman" w:hAnsi="Times New Roman" w:cs="Times New Roman"/>
          <w:color w:val="222222"/>
          <w:sz w:val="24"/>
          <w:szCs w:val="24"/>
          <w:shd w:val="clear" w:color="auto" w:fill="FFFFFF"/>
        </w:rPr>
        <w:t>(1), 94-109.</w:t>
      </w:r>
      <w:r w:rsidRPr="00323964">
        <w:rPr>
          <w:rFonts w:ascii="Times New Roman" w:hAnsi="Times New Roman" w:cs="Times New Roman"/>
          <w:sz w:val="24"/>
          <w:szCs w:val="24"/>
        </w:rPr>
        <w:t xml:space="preserve"> </w:t>
      </w:r>
      <w:hyperlink r:id="rId8" w:history="1">
        <w:r w:rsidRPr="00323964">
          <w:rPr>
            <w:rStyle w:val="Hyperlink"/>
            <w:rFonts w:ascii="Times New Roman" w:hAnsi="Times New Roman" w:cs="Times New Roman"/>
            <w:sz w:val="24"/>
            <w:szCs w:val="24"/>
            <w:shd w:val="clear" w:color="auto" w:fill="FFFFFF"/>
          </w:rPr>
          <w:t>https://www.inderscienceonline.com/doi/abs/10.1504/IJBEX.2022.123036</w:t>
        </w:r>
      </w:hyperlink>
      <w:r w:rsidRPr="00323964">
        <w:rPr>
          <w:rFonts w:ascii="Times New Roman" w:hAnsi="Times New Roman" w:cs="Times New Roman"/>
          <w:color w:val="222222"/>
          <w:sz w:val="24"/>
          <w:szCs w:val="24"/>
          <w:shd w:val="clear" w:color="auto" w:fill="FFFFFF"/>
        </w:rPr>
        <w:t xml:space="preserve"> </w:t>
      </w:r>
    </w:p>
    <w:p w14:paraId="6136F03F"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Bilan, Y., Mishchuk, H., Roshchyk, I. and Joshi, O., 2020. Hiring and retaining skilled employees in SMEs: problems in human resource practices and links with organizational success. </w:t>
      </w:r>
      <w:r w:rsidRPr="00323964">
        <w:rPr>
          <w:rFonts w:ascii="Times New Roman" w:hAnsi="Times New Roman" w:cs="Times New Roman"/>
          <w:i/>
          <w:iCs/>
          <w:color w:val="222222"/>
          <w:sz w:val="24"/>
          <w:szCs w:val="24"/>
          <w:shd w:val="clear" w:color="auto" w:fill="FFFFFF"/>
        </w:rPr>
        <w:t>Business: Theory and Practice</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21</w:t>
      </w:r>
      <w:r w:rsidRPr="00323964">
        <w:rPr>
          <w:rFonts w:ascii="Times New Roman" w:hAnsi="Times New Roman" w:cs="Times New Roman"/>
          <w:color w:val="222222"/>
          <w:sz w:val="24"/>
          <w:szCs w:val="24"/>
          <w:shd w:val="clear" w:color="auto" w:fill="FFFFFF"/>
        </w:rPr>
        <w:t>(2), pp.780-791.</w:t>
      </w:r>
      <w:r w:rsidRPr="00323964">
        <w:rPr>
          <w:rFonts w:ascii="Times New Roman" w:hAnsi="Times New Roman" w:cs="Times New Roman"/>
          <w:sz w:val="24"/>
          <w:szCs w:val="24"/>
        </w:rPr>
        <w:t xml:space="preserve"> </w:t>
      </w:r>
      <w:hyperlink r:id="rId9" w:history="1">
        <w:r w:rsidRPr="00323964">
          <w:rPr>
            <w:rStyle w:val="Hyperlink"/>
            <w:rFonts w:ascii="Times New Roman" w:hAnsi="Times New Roman" w:cs="Times New Roman"/>
            <w:sz w:val="24"/>
            <w:szCs w:val="24"/>
            <w:shd w:val="clear" w:color="auto" w:fill="FFFFFF"/>
          </w:rPr>
          <w:t>https://www.ceeol.com/search/article-detail?id=950999</w:t>
        </w:r>
      </w:hyperlink>
    </w:p>
    <w:p w14:paraId="13AB9A33"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Bosone, M. and Nocca, F., 2022. Human circular tourism as the tourism of tomorrow: The role of travellers in achieving a more sustainable and circular tourism. </w:t>
      </w:r>
      <w:r w:rsidRPr="00323964">
        <w:rPr>
          <w:rFonts w:ascii="Times New Roman" w:hAnsi="Times New Roman" w:cs="Times New Roman"/>
          <w:i/>
          <w:iCs/>
          <w:color w:val="222222"/>
          <w:sz w:val="24"/>
          <w:szCs w:val="24"/>
          <w:shd w:val="clear" w:color="auto" w:fill="FFFFFF"/>
        </w:rPr>
        <w:t>Sustainability</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14</w:t>
      </w:r>
      <w:r w:rsidRPr="00323964">
        <w:rPr>
          <w:rFonts w:ascii="Times New Roman" w:hAnsi="Times New Roman" w:cs="Times New Roman"/>
          <w:color w:val="222222"/>
          <w:sz w:val="24"/>
          <w:szCs w:val="24"/>
          <w:shd w:val="clear" w:color="auto" w:fill="FFFFFF"/>
        </w:rPr>
        <w:t>(19), p.12218.</w:t>
      </w:r>
      <w:r w:rsidRPr="00323964">
        <w:rPr>
          <w:rFonts w:ascii="Times New Roman" w:hAnsi="Times New Roman" w:cs="Times New Roman"/>
          <w:sz w:val="24"/>
          <w:szCs w:val="24"/>
        </w:rPr>
        <w:t xml:space="preserve"> </w:t>
      </w:r>
      <w:hyperlink r:id="rId10" w:history="1">
        <w:r w:rsidRPr="00323964">
          <w:rPr>
            <w:rStyle w:val="Hyperlink"/>
            <w:rFonts w:ascii="Times New Roman" w:hAnsi="Times New Roman" w:cs="Times New Roman"/>
            <w:sz w:val="24"/>
            <w:szCs w:val="24"/>
            <w:shd w:val="clear" w:color="auto" w:fill="FFFFFF"/>
          </w:rPr>
          <w:t>https://www.mdpi.com/2071-1050/14/19/12218</w:t>
        </w:r>
      </w:hyperlink>
      <w:r w:rsidRPr="00323964">
        <w:rPr>
          <w:rFonts w:ascii="Times New Roman" w:hAnsi="Times New Roman" w:cs="Times New Roman"/>
          <w:color w:val="222222"/>
          <w:sz w:val="24"/>
          <w:szCs w:val="24"/>
          <w:shd w:val="clear" w:color="auto" w:fill="FFFFFF"/>
        </w:rPr>
        <w:t xml:space="preserve"> </w:t>
      </w:r>
    </w:p>
    <w:p w14:paraId="39474CED"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Chadha, R., 2021. The Analysis of the Effect of Downsizing on Employee as Well as Organisation. </w:t>
      </w:r>
      <w:r w:rsidRPr="00323964">
        <w:rPr>
          <w:rFonts w:ascii="Times New Roman" w:hAnsi="Times New Roman" w:cs="Times New Roman"/>
          <w:i/>
          <w:iCs/>
          <w:color w:val="222222"/>
          <w:sz w:val="24"/>
          <w:szCs w:val="24"/>
          <w:shd w:val="clear" w:color="auto" w:fill="FFFFFF"/>
        </w:rPr>
        <w:t>Issue 3 Int'l JL Mgmt. &amp; Human.</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4</w:t>
      </w:r>
      <w:r w:rsidRPr="00323964">
        <w:rPr>
          <w:rFonts w:ascii="Times New Roman" w:hAnsi="Times New Roman" w:cs="Times New Roman"/>
          <w:color w:val="222222"/>
          <w:sz w:val="24"/>
          <w:szCs w:val="24"/>
          <w:shd w:val="clear" w:color="auto" w:fill="FFFFFF"/>
        </w:rPr>
        <w:t>, p.3393.</w:t>
      </w:r>
      <w:r w:rsidRPr="00323964">
        <w:rPr>
          <w:rFonts w:ascii="Times New Roman" w:hAnsi="Times New Roman" w:cs="Times New Roman"/>
          <w:sz w:val="24"/>
          <w:szCs w:val="24"/>
        </w:rPr>
        <w:t xml:space="preserve"> </w:t>
      </w:r>
      <w:hyperlink r:id="rId11" w:history="1">
        <w:r w:rsidRPr="00323964">
          <w:rPr>
            <w:rStyle w:val="Hyperlink"/>
            <w:rFonts w:ascii="Times New Roman" w:hAnsi="Times New Roman" w:cs="Times New Roman"/>
            <w:sz w:val="24"/>
            <w:szCs w:val="24"/>
            <w:shd w:val="clear" w:color="auto" w:fill="FFFFFF"/>
          </w:rPr>
          <w:t>https://heinonline.org/hol-cgi-bin/get_pdf.cgi?handle=hein.journals/ijlmhs11&amp;section=306</w:t>
        </w:r>
      </w:hyperlink>
      <w:r w:rsidRPr="00323964">
        <w:rPr>
          <w:rFonts w:ascii="Times New Roman" w:hAnsi="Times New Roman" w:cs="Times New Roman"/>
          <w:color w:val="222222"/>
          <w:sz w:val="24"/>
          <w:szCs w:val="24"/>
          <w:shd w:val="clear" w:color="auto" w:fill="FFFFFF"/>
        </w:rPr>
        <w:t xml:space="preserve"> </w:t>
      </w:r>
    </w:p>
    <w:p w14:paraId="7F5EF4FD"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Choi, T.M., Kumar, S., Yue, X. and Chan, H.L., 2022. Disruptive technologies and operations management in the Industry 4.0 era and beyond. </w:t>
      </w:r>
      <w:r w:rsidRPr="00323964">
        <w:rPr>
          <w:rFonts w:ascii="Times New Roman" w:hAnsi="Times New Roman" w:cs="Times New Roman"/>
          <w:i/>
          <w:iCs/>
          <w:color w:val="222222"/>
          <w:sz w:val="24"/>
          <w:szCs w:val="24"/>
          <w:shd w:val="clear" w:color="auto" w:fill="FFFFFF"/>
        </w:rPr>
        <w:t>Production and Operations Management</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31</w:t>
      </w:r>
      <w:r w:rsidRPr="00323964">
        <w:rPr>
          <w:rFonts w:ascii="Times New Roman" w:hAnsi="Times New Roman" w:cs="Times New Roman"/>
          <w:color w:val="222222"/>
          <w:sz w:val="24"/>
          <w:szCs w:val="24"/>
          <w:shd w:val="clear" w:color="auto" w:fill="FFFFFF"/>
        </w:rPr>
        <w:t>(1), pp.9-31.</w:t>
      </w:r>
      <w:r w:rsidRPr="00323964">
        <w:rPr>
          <w:rFonts w:ascii="Times New Roman" w:hAnsi="Times New Roman" w:cs="Times New Roman"/>
          <w:sz w:val="24"/>
          <w:szCs w:val="24"/>
        </w:rPr>
        <w:t xml:space="preserve"> </w:t>
      </w:r>
      <w:hyperlink r:id="rId12" w:history="1">
        <w:r w:rsidRPr="00323964">
          <w:rPr>
            <w:rStyle w:val="Hyperlink"/>
            <w:rFonts w:ascii="Times New Roman" w:hAnsi="Times New Roman" w:cs="Times New Roman"/>
            <w:sz w:val="24"/>
            <w:szCs w:val="24"/>
            <w:shd w:val="clear" w:color="auto" w:fill="FFFFFF"/>
          </w:rPr>
          <w:t>https://onlinelibrary.wiley.com/doi/abs/10.1111/poms.13622</w:t>
        </w:r>
      </w:hyperlink>
    </w:p>
    <w:p w14:paraId="78E98664"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lastRenderedPageBreak/>
        <w:t>Dolega, L., Rowe, F. and Branagan, E., 2021. Going digital? The impact of social media marketing on retail website traffic, orders and sales. </w:t>
      </w:r>
      <w:r w:rsidRPr="00323964">
        <w:rPr>
          <w:rFonts w:ascii="Times New Roman" w:hAnsi="Times New Roman" w:cs="Times New Roman"/>
          <w:i/>
          <w:iCs/>
          <w:color w:val="222222"/>
          <w:sz w:val="24"/>
          <w:szCs w:val="24"/>
          <w:shd w:val="clear" w:color="auto" w:fill="FFFFFF"/>
        </w:rPr>
        <w:t>Journal of Retailing and Consumer Services</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60</w:t>
      </w:r>
      <w:r w:rsidRPr="00323964">
        <w:rPr>
          <w:rFonts w:ascii="Times New Roman" w:hAnsi="Times New Roman" w:cs="Times New Roman"/>
          <w:color w:val="222222"/>
          <w:sz w:val="24"/>
          <w:szCs w:val="24"/>
          <w:shd w:val="clear" w:color="auto" w:fill="FFFFFF"/>
        </w:rPr>
        <w:t>, p.102501.</w:t>
      </w:r>
      <w:r w:rsidRPr="00323964">
        <w:rPr>
          <w:rFonts w:ascii="Times New Roman" w:hAnsi="Times New Roman" w:cs="Times New Roman"/>
          <w:sz w:val="24"/>
          <w:szCs w:val="24"/>
        </w:rPr>
        <w:t xml:space="preserve"> </w:t>
      </w:r>
      <w:hyperlink r:id="rId13" w:history="1">
        <w:r w:rsidRPr="00323964">
          <w:rPr>
            <w:rStyle w:val="Hyperlink"/>
            <w:rFonts w:ascii="Times New Roman" w:hAnsi="Times New Roman" w:cs="Times New Roman"/>
            <w:sz w:val="24"/>
            <w:szCs w:val="24"/>
            <w:shd w:val="clear" w:color="auto" w:fill="FFFFFF"/>
          </w:rPr>
          <w:t>https://www.sciencedirect.com/science/article/pii/S0969698921000679</w:t>
        </w:r>
      </w:hyperlink>
      <w:r w:rsidRPr="00323964">
        <w:rPr>
          <w:rFonts w:ascii="Times New Roman" w:hAnsi="Times New Roman" w:cs="Times New Roman"/>
          <w:color w:val="222222"/>
          <w:sz w:val="24"/>
          <w:szCs w:val="24"/>
          <w:shd w:val="clear" w:color="auto" w:fill="FFFFFF"/>
        </w:rPr>
        <w:t xml:space="preserve"> </w:t>
      </w:r>
    </w:p>
    <w:p w14:paraId="31D5AD87" w14:textId="77777777" w:rsidR="00AB656D" w:rsidRPr="00323964" w:rsidRDefault="00AB656D" w:rsidP="00AB656D">
      <w:pPr>
        <w:spacing w:after="0" w:line="480" w:lineRule="auto"/>
        <w:ind w:left="720" w:hanging="720"/>
        <w:rPr>
          <w:rFonts w:ascii="Times New Roman" w:hAnsi="Times New Roman" w:cs="Times New Roman"/>
          <w:color w:val="222222"/>
          <w:sz w:val="24"/>
          <w:szCs w:val="24"/>
          <w:shd w:val="clear" w:color="auto" w:fill="FFFFFF"/>
        </w:rPr>
      </w:pPr>
      <w:r w:rsidRPr="00323964">
        <w:rPr>
          <w:rFonts w:ascii="Times New Roman" w:hAnsi="Times New Roman" w:cs="Times New Roman"/>
          <w:color w:val="222222"/>
          <w:sz w:val="24"/>
          <w:szCs w:val="24"/>
          <w:shd w:val="clear" w:color="auto" w:fill="FFFFFF"/>
        </w:rPr>
        <w:t>Hang, C.T. and Adrien, G., 2021. Eco-friendly and agricultural destinations as green tourism trends. </w:t>
      </w:r>
      <w:r w:rsidRPr="00323964">
        <w:rPr>
          <w:rFonts w:ascii="Times New Roman" w:hAnsi="Times New Roman" w:cs="Times New Roman"/>
          <w:i/>
          <w:iCs/>
          <w:color w:val="222222"/>
          <w:sz w:val="24"/>
          <w:szCs w:val="24"/>
          <w:shd w:val="clear" w:color="auto" w:fill="FFFFFF"/>
        </w:rPr>
        <w:t>Вестник Российского университета дружбы народов. Серия: Экология и безопасность жизнедеятельности</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29</w:t>
      </w:r>
      <w:r w:rsidRPr="00323964">
        <w:rPr>
          <w:rFonts w:ascii="Times New Roman" w:hAnsi="Times New Roman" w:cs="Times New Roman"/>
          <w:color w:val="222222"/>
          <w:sz w:val="24"/>
          <w:szCs w:val="24"/>
          <w:shd w:val="clear" w:color="auto" w:fill="FFFFFF"/>
        </w:rPr>
        <w:t>(3), pp.266-276.</w:t>
      </w:r>
      <w:r w:rsidRPr="00323964">
        <w:rPr>
          <w:rFonts w:ascii="Times New Roman" w:hAnsi="Times New Roman" w:cs="Times New Roman"/>
          <w:sz w:val="24"/>
          <w:szCs w:val="24"/>
        </w:rPr>
        <w:t xml:space="preserve"> </w:t>
      </w:r>
      <w:hyperlink r:id="rId14" w:history="1">
        <w:r w:rsidRPr="00323964">
          <w:rPr>
            <w:rStyle w:val="Hyperlink"/>
            <w:rFonts w:ascii="Times New Roman" w:hAnsi="Times New Roman" w:cs="Times New Roman"/>
            <w:sz w:val="24"/>
            <w:szCs w:val="24"/>
            <w:shd w:val="clear" w:color="auto" w:fill="FFFFFF"/>
          </w:rPr>
          <w:t>https://cyberleninka.ru/article/n/eco-friendly-and-agricultural-destinations-as-green-tourism-trends</w:t>
        </w:r>
      </w:hyperlink>
      <w:r w:rsidRPr="00323964">
        <w:rPr>
          <w:rFonts w:ascii="Times New Roman" w:hAnsi="Times New Roman" w:cs="Times New Roman"/>
          <w:color w:val="222222"/>
          <w:sz w:val="24"/>
          <w:szCs w:val="24"/>
          <w:shd w:val="clear" w:color="auto" w:fill="FFFFFF"/>
        </w:rPr>
        <w:t xml:space="preserve"> </w:t>
      </w:r>
    </w:p>
    <w:p w14:paraId="6D6EEFFA"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Holbeche, L.S., 2019. Shifts in organizational culture when implementing agility. </w:t>
      </w:r>
      <w:r w:rsidRPr="00323964">
        <w:rPr>
          <w:rFonts w:ascii="Times New Roman" w:hAnsi="Times New Roman" w:cs="Times New Roman"/>
          <w:i/>
          <w:iCs/>
          <w:color w:val="222222"/>
          <w:sz w:val="24"/>
          <w:szCs w:val="24"/>
          <w:shd w:val="clear" w:color="auto" w:fill="FFFFFF"/>
        </w:rPr>
        <w:t>Journal of Creating Value</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5</w:t>
      </w:r>
      <w:r w:rsidRPr="00323964">
        <w:rPr>
          <w:rFonts w:ascii="Times New Roman" w:hAnsi="Times New Roman" w:cs="Times New Roman"/>
          <w:color w:val="222222"/>
          <w:sz w:val="24"/>
          <w:szCs w:val="24"/>
          <w:shd w:val="clear" w:color="auto" w:fill="FFFFFF"/>
        </w:rPr>
        <w:t>(2), pp.124-138.</w:t>
      </w:r>
      <w:r w:rsidRPr="00323964">
        <w:rPr>
          <w:rFonts w:ascii="Times New Roman" w:hAnsi="Times New Roman" w:cs="Times New Roman"/>
          <w:sz w:val="24"/>
          <w:szCs w:val="24"/>
        </w:rPr>
        <w:t xml:space="preserve"> </w:t>
      </w:r>
      <w:hyperlink r:id="rId15" w:history="1">
        <w:r w:rsidRPr="00323964">
          <w:rPr>
            <w:rStyle w:val="Hyperlink"/>
            <w:rFonts w:ascii="Times New Roman" w:hAnsi="Times New Roman" w:cs="Times New Roman"/>
            <w:sz w:val="24"/>
            <w:szCs w:val="24"/>
            <w:shd w:val="clear" w:color="auto" w:fill="FFFFFF"/>
          </w:rPr>
          <w:t>https://journals.sagepub.com/doi/abs/10.1177/2394964319853164</w:t>
        </w:r>
      </w:hyperlink>
      <w:r w:rsidRPr="00323964">
        <w:rPr>
          <w:rFonts w:ascii="Times New Roman" w:hAnsi="Times New Roman" w:cs="Times New Roman"/>
          <w:color w:val="222222"/>
          <w:sz w:val="24"/>
          <w:szCs w:val="24"/>
          <w:shd w:val="clear" w:color="auto" w:fill="FFFFFF"/>
        </w:rPr>
        <w:t xml:space="preserve"> </w:t>
      </w:r>
    </w:p>
    <w:p w14:paraId="53F94527"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Kapoor, P.S., Balaji, M.S., Jiang, Y. and Jebarajakirthy, C., 2022. Effectiveness of travel social media influencers: A case of eco-friendly hotels. </w:t>
      </w:r>
      <w:r w:rsidRPr="00323964">
        <w:rPr>
          <w:rFonts w:ascii="Times New Roman" w:hAnsi="Times New Roman" w:cs="Times New Roman"/>
          <w:i/>
          <w:iCs/>
          <w:color w:val="222222"/>
          <w:sz w:val="24"/>
          <w:szCs w:val="24"/>
          <w:shd w:val="clear" w:color="auto" w:fill="FFFFFF"/>
        </w:rPr>
        <w:t>Journal of travel research</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61</w:t>
      </w:r>
      <w:r w:rsidRPr="00323964">
        <w:rPr>
          <w:rFonts w:ascii="Times New Roman" w:hAnsi="Times New Roman" w:cs="Times New Roman"/>
          <w:color w:val="222222"/>
          <w:sz w:val="24"/>
          <w:szCs w:val="24"/>
          <w:shd w:val="clear" w:color="auto" w:fill="FFFFFF"/>
        </w:rPr>
        <w:t>(5), pp.1138-1155.</w:t>
      </w:r>
      <w:r w:rsidRPr="00323964">
        <w:rPr>
          <w:rFonts w:ascii="Times New Roman" w:hAnsi="Times New Roman" w:cs="Times New Roman"/>
          <w:sz w:val="24"/>
          <w:szCs w:val="24"/>
        </w:rPr>
        <w:t xml:space="preserve"> </w:t>
      </w:r>
      <w:hyperlink r:id="rId16" w:history="1">
        <w:r w:rsidRPr="00323964">
          <w:rPr>
            <w:rStyle w:val="Hyperlink"/>
            <w:rFonts w:ascii="Times New Roman" w:hAnsi="Times New Roman" w:cs="Times New Roman"/>
            <w:sz w:val="24"/>
            <w:szCs w:val="24"/>
            <w:shd w:val="clear" w:color="auto" w:fill="FFFFFF"/>
          </w:rPr>
          <w:t>https://journals.sagepub.com/doi/abs/10.1177/00472875211019469</w:t>
        </w:r>
      </w:hyperlink>
      <w:r w:rsidRPr="00323964">
        <w:rPr>
          <w:rFonts w:ascii="Times New Roman" w:hAnsi="Times New Roman" w:cs="Times New Roman"/>
          <w:color w:val="222222"/>
          <w:sz w:val="24"/>
          <w:szCs w:val="24"/>
          <w:shd w:val="clear" w:color="auto" w:fill="FFFFFF"/>
        </w:rPr>
        <w:t xml:space="preserve"> </w:t>
      </w:r>
    </w:p>
    <w:p w14:paraId="1CDEC269"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Khalifa, G.S., Trung, N.V.H. and Hossain, M.S., 2022. Predicting Customer Engagement Behaviour: The mediating role of hotel functional quality in the Vietnamese Hotel industry. </w:t>
      </w:r>
      <w:r w:rsidRPr="00323964">
        <w:rPr>
          <w:rFonts w:ascii="Times New Roman" w:hAnsi="Times New Roman" w:cs="Times New Roman"/>
          <w:i/>
          <w:iCs/>
          <w:color w:val="222222"/>
          <w:sz w:val="24"/>
          <w:szCs w:val="24"/>
          <w:shd w:val="clear" w:color="auto" w:fill="FFFFFF"/>
        </w:rPr>
        <w:t>International Journal of Services and Operations Management</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43</w:t>
      </w:r>
      <w:r w:rsidRPr="00323964">
        <w:rPr>
          <w:rFonts w:ascii="Times New Roman" w:hAnsi="Times New Roman" w:cs="Times New Roman"/>
          <w:color w:val="222222"/>
          <w:sz w:val="24"/>
          <w:szCs w:val="24"/>
          <w:shd w:val="clear" w:color="auto" w:fill="FFFFFF"/>
        </w:rPr>
        <w:t>(3), pp.312-337.</w:t>
      </w:r>
      <w:r w:rsidRPr="00323964">
        <w:rPr>
          <w:rFonts w:ascii="Times New Roman" w:hAnsi="Times New Roman" w:cs="Times New Roman"/>
          <w:sz w:val="24"/>
          <w:szCs w:val="24"/>
        </w:rPr>
        <w:t xml:space="preserve"> </w:t>
      </w:r>
      <w:hyperlink r:id="rId17" w:history="1">
        <w:r w:rsidRPr="00323964">
          <w:rPr>
            <w:rStyle w:val="Hyperlink"/>
            <w:rFonts w:ascii="Times New Roman" w:hAnsi="Times New Roman" w:cs="Times New Roman"/>
            <w:sz w:val="24"/>
            <w:szCs w:val="24"/>
            <w:shd w:val="clear" w:color="auto" w:fill="FFFFFF"/>
          </w:rPr>
          <w:t>https://www.inderscienceonline.com/doi/abs/10.1504/IJSOM.2022.126979</w:t>
        </w:r>
      </w:hyperlink>
      <w:r w:rsidRPr="00323964">
        <w:rPr>
          <w:rFonts w:ascii="Times New Roman" w:hAnsi="Times New Roman" w:cs="Times New Roman"/>
          <w:color w:val="222222"/>
          <w:sz w:val="24"/>
          <w:szCs w:val="24"/>
          <w:shd w:val="clear" w:color="auto" w:fill="FFFFFF"/>
        </w:rPr>
        <w:t xml:space="preserve"> </w:t>
      </w:r>
    </w:p>
    <w:p w14:paraId="28D4F66F"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Kuokkanen, H. and Catrett, J., 2023. Ethically meaningful customer experiences: satisfying an evolving desire for purpose through CSR. </w:t>
      </w:r>
      <w:r w:rsidRPr="00323964">
        <w:rPr>
          <w:rFonts w:ascii="Times New Roman" w:hAnsi="Times New Roman" w:cs="Times New Roman"/>
          <w:i/>
          <w:iCs/>
          <w:color w:val="222222"/>
          <w:sz w:val="24"/>
          <w:szCs w:val="24"/>
          <w:shd w:val="clear" w:color="auto" w:fill="FFFFFF"/>
        </w:rPr>
        <w:t>Journal of Sustainable Tourism</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31</w:t>
      </w:r>
      <w:r w:rsidRPr="00323964">
        <w:rPr>
          <w:rFonts w:ascii="Times New Roman" w:hAnsi="Times New Roman" w:cs="Times New Roman"/>
          <w:color w:val="222222"/>
          <w:sz w:val="24"/>
          <w:szCs w:val="24"/>
          <w:shd w:val="clear" w:color="auto" w:fill="FFFFFF"/>
        </w:rPr>
        <w:t xml:space="preserve">(6), pp.1464-1481. </w:t>
      </w:r>
      <w:hyperlink r:id="rId18" w:history="1">
        <w:r w:rsidRPr="00323964">
          <w:rPr>
            <w:rStyle w:val="Hyperlink"/>
            <w:rFonts w:ascii="Times New Roman" w:hAnsi="Times New Roman" w:cs="Times New Roman"/>
            <w:sz w:val="24"/>
            <w:szCs w:val="24"/>
            <w:shd w:val="clear" w:color="auto" w:fill="FFFFFF"/>
          </w:rPr>
          <w:t>https://www.tandfonline.com/doi/abs/10.1080/09669582.2022.2064481</w:t>
        </w:r>
      </w:hyperlink>
      <w:r w:rsidRPr="00323964">
        <w:rPr>
          <w:rFonts w:ascii="Times New Roman" w:hAnsi="Times New Roman" w:cs="Times New Roman"/>
          <w:color w:val="222222"/>
          <w:sz w:val="24"/>
          <w:szCs w:val="24"/>
          <w:shd w:val="clear" w:color="auto" w:fill="FFFFFF"/>
        </w:rPr>
        <w:t xml:space="preserve"> </w:t>
      </w:r>
    </w:p>
    <w:p w14:paraId="0CFED453"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lastRenderedPageBreak/>
        <w:t>Liao, Y.Y., Soltani, E. and Wilkinson, A., 2023. From product to service quality: the role of managerial mindsets. </w:t>
      </w:r>
      <w:r w:rsidRPr="00323964">
        <w:rPr>
          <w:rFonts w:ascii="Times New Roman" w:hAnsi="Times New Roman" w:cs="Times New Roman"/>
          <w:i/>
          <w:iCs/>
          <w:color w:val="222222"/>
          <w:sz w:val="24"/>
          <w:szCs w:val="24"/>
          <w:shd w:val="clear" w:color="auto" w:fill="FFFFFF"/>
        </w:rPr>
        <w:t>Production Planning &amp; Control</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34</w:t>
      </w:r>
      <w:r w:rsidRPr="00323964">
        <w:rPr>
          <w:rFonts w:ascii="Times New Roman" w:hAnsi="Times New Roman" w:cs="Times New Roman"/>
          <w:color w:val="222222"/>
          <w:sz w:val="24"/>
          <w:szCs w:val="24"/>
          <w:shd w:val="clear" w:color="auto" w:fill="FFFFFF"/>
        </w:rPr>
        <w:t>(8), pp.705-726.</w:t>
      </w:r>
      <w:r w:rsidRPr="00323964">
        <w:rPr>
          <w:rFonts w:ascii="Times New Roman" w:hAnsi="Times New Roman" w:cs="Times New Roman"/>
          <w:sz w:val="24"/>
          <w:szCs w:val="24"/>
        </w:rPr>
        <w:t xml:space="preserve"> </w:t>
      </w:r>
      <w:hyperlink r:id="rId19" w:history="1">
        <w:r w:rsidRPr="00323964">
          <w:rPr>
            <w:rStyle w:val="Hyperlink"/>
            <w:rFonts w:ascii="Times New Roman" w:hAnsi="Times New Roman" w:cs="Times New Roman"/>
            <w:sz w:val="24"/>
            <w:szCs w:val="24"/>
            <w:shd w:val="clear" w:color="auto" w:fill="FFFFFF"/>
          </w:rPr>
          <w:t>https://www.tandfonline.com/doi/abs/10.1080/09537287.2021.1957173</w:t>
        </w:r>
      </w:hyperlink>
    </w:p>
    <w:p w14:paraId="27241905"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Lui, A.K., Lo, C.K., Ngai, E.W. and Yeung, A.C., 2021. Forced to be green? The performance impact of energy-efficient systems under institutional pressures. </w:t>
      </w:r>
      <w:r w:rsidRPr="00323964">
        <w:rPr>
          <w:rFonts w:ascii="Times New Roman" w:hAnsi="Times New Roman" w:cs="Times New Roman"/>
          <w:i/>
          <w:iCs/>
          <w:color w:val="222222"/>
          <w:sz w:val="24"/>
          <w:szCs w:val="24"/>
          <w:shd w:val="clear" w:color="auto" w:fill="FFFFFF"/>
        </w:rPr>
        <w:t>International Journal of Production Economics</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239</w:t>
      </w:r>
      <w:r w:rsidRPr="00323964">
        <w:rPr>
          <w:rFonts w:ascii="Times New Roman" w:hAnsi="Times New Roman" w:cs="Times New Roman"/>
          <w:color w:val="222222"/>
          <w:sz w:val="24"/>
          <w:szCs w:val="24"/>
          <w:shd w:val="clear" w:color="auto" w:fill="FFFFFF"/>
        </w:rPr>
        <w:t>, p.108213.</w:t>
      </w:r>
    </w:p>
    <w:p w14:paraId="2EE09661"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Martínez-Peláez, R., Ochoa-Brust, A., Rivera, S., Félix, V.G., Ostos, R., Brito, H., Félix, R.A. and Mena, L.J., 2023. Role of digital transformation for achieving sustainability: mediated role of stakeholders, key capabilities, and technology. </w:t>
      </w:r>
      <w:r w:rsidRPr="00323964">
        <w:rPr>
          <w:rFonts w:ascii="Times New Roman" w:hAnsi="Times New Roman" w:cs="Times New Roman"/>
          <w:i/>
          <w:iCs/>
          <w:color w:val="222222"/>
          <w:sz w:val="24"/>
          <w:szCs w:val="24"/>
          <w:shd w:val="clear" w:color="auto" w:fill="FFFFFF"/>
        </w:rPr>
        <w:t>Sustainability</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15</w:t>
      </w:r>
      <w:r w:rsidRPr="00323964">
        <w:rPr>
          <w:rFonts w:ascii="Times New Roman" w:hAnsi="Times New Roman" w:cs="Times New Roman"/>
          <w:color w:val="222222"/>
          <w:sz w:val="24"/>
          <w:szCs w:val="24"/>
          <w:shd w:val="clear" w:color="auto" w:fill="FFFFFF"/>
        </w:rPr>
        <w:t>(14), p.11221.</w:t>
      </w:r>
      <w:r w:rsidRPr="00323964">
        <w:rPr>
          <w:rFonts w:ascii="Times New Roman" w:hAnsi="Times New Roman" w:cs="Times New Roman"/>
          <w:sz w:val="24"/>
          <w:szCs w:val="24"/>
        </w:rPr>
        <w:t xml:space="preserve"> </w:t>
      </w:r>
      <w:hyperlink r:id="rId20" w:history="1">
        <w:r w:rsidRPr="00323964">
          <w:rPr>
            <w:rStyle w:val="Hyperlink"/>
            <w:rFonts w:ascii="Times New Roman" w:hAnsi="Times New Roman" w:cs="Times New Roman"/>
            <w:sz w:val="24"/>
            <w:szCs w:val="24"/>
            <w:shd w:val="clear" w:color="auto" w:fill="FFFFFF"/>
          </w:rPr>
          <w:t>https://www.mdpi.com/2071-1050/15/14/11221</w:t>
        </w:r>
      </w:hyperlink>
    </w:p>
    <w:p w14:paraId="78F5DE9A"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Mason, A.N., Narcum, J. and Mason, K., 2021. Social media marketing gains importance after Covid-19. </w:t>
      </w:r>
      <w:r w:rsidRPr="00323964">
        <w:rPr>
          <w:rFonts w:ascii="Times New Roman" w:hAnsi="Times New Roman" w:cs="Times New Roman"/>
          <w:i/>
          <w:iCs/>
          <w:color w:val="222222"/>
          <w:sz w:val="24"/>
          <w:szCs w:val="24"/>
          <w:shd w:val="clear" w:color="auto" w:fill="FFFFFF"/>
        </w:rPr>
        <w:t>Cogent Business &amp; Management</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8</w:t>
      </w:r>
      <w:r w:rsidRPr="00323964">
        <w:rPr>
          <w:rFonts w:ascii="Times New Roman" w:hAnsi="Times New Roman" w:cs="Times New Roman"/>
          <w:color w:val="222222"/>
          <w:sz w:val="24"/>
          <w:szCs w:val="24"/>
          <w:shd w:val="clear" w:color="auto" w:fill="FFFFFF"/>
        </w:rPr>
        <w:t>(1), p.1870797.</w:t>
      </w:r>
      <w:r w:rsidRPr="00323964">
        <w:rPr>
          <w:rFonts w:ascii="Times New Roman" w:hAnsi="Times New Roman" w:cs="Times New Roman"/>
          <w:sz w:val="24"/>
          <w:szCs w:val="24"/>
        </w:rPr>
        <w:t xml:space="preserve"> </w:t>
      </w:r>
      <w:hyperlink r:id="rId21" w:history="1">
        <w:r w:rsidRPr="00323964">
          <w:rPr>
            <w:rStyle w:val="Hyperlink"/>
            <w:rFonts w:ascii="Times New Roman" w:hAnsi="Times New Roman" w:cs="Times New Roman"/>
            <w:sz w:val="24"/>
            <w:szCs w:val="24"/>
            <w:shd w:val="clear" w:color="auto" w:fill="FFFFFF"/>
          </w:rPr>
          <w:t>https://www.tandfonline.com/doi/abs/10.1080/23311975.2020.1870797</w:t>
        </w:r>
      </w:hyperlink>
      <w:r w:rsidRPr="00323964">
        <w:rPr>
          <w:rFonts w:ascii="Times New Roman" w:hAnsi="Times New Roman" w:cs="Times New Roman"/>
          <w:color w:val="222222"/>
          <w:sz w:val="24"/>
          <w:szCs w:val="24"/>
          <w:shd w:val="clear" w:color="auto" w:fill="FFFFFF"/>
        </w:rPr>
        <w:t xml:space="preserve"> </w:t>
      </w:r>
    </w:p>
    <w:p w14:paraId="0B69B235"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Nikolskaya, E. Y., Lepeshkin, V. A., Kulgachev, I. P., Matveev, A. A., &amp; Lebedeva, O. Y. (2020). Perfection of quality management of hotel services. </w:t>
      </w:r>
      <w:r w:rsidRPr="00323964">
        <w:rPr>
          <w:rFonts w:ascii="Times New Roman" w:hAnsi="Times New Roman" w:cs="Times New Roman"/>
          <w:i/>
          <w:iCs/>
          <w:color w:val="222222"/>
          <w:sz w:val="24"/>
          <w:szCs w:val="24"/>
          <w:shd w:val="clear" w:color="auto" w:fill="FFFFFF"/>
        </w:rPr>
        <w:t>Journal of Environmental Management and Tourism</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11</w:t>
      </w:r>
      <w:r w:rsidRPr="00323964">
        <w:rPr>
          <w:rFonts w:ascii="Times New Roman" w:hAnsi="Times New Roman" w:cs="Times New Roman"/>
          <w:color w:val="222222"/>
          <w:sz w:val="24"/>
          <w:szCs w:val="24"/>
          <w:shd w:val="clear" w:color="auto" w:fill="FFFFFF"/>
        </w:rPr>
        <w:t>(2 (42)), 417.</w:t>
      </w:r>
      <w:r w:rsidRPr="00323964">
        <w:rPr>
          <w:rFonts w:ascii="Times New Roman" w:hAnsi="Times New Roman" w:cs="Times New Roman"/>
          <w:sz w:val="24"/>
          <w:szCs w:val="24"/>
        </w:rPr>
        <w:t xml:space="preserve"> </w:t>
      </w:r>
      <w:hyperlink r:id="rId22" w:history="1">
        <w:r w:rsidRPr="00323964">
          <w:rPr>
            <w:rStyle w:val="Hyperlink"/>
            <w:rFonts w:ascii="Times New Roman" w:hAnsi="Times New Roman" w:cs="Times New Roman"/>
            <w:sz w:val="24"/>
            <w:szCs w:val="24"/>
            <w:shd w:val="clear" w:color="auto" w:fill="FFFFFF"/>
          </w:rPr>
          <w:t>https://search.proquest.com/openview/a91f430ebf25f1b6d89df5c9a4d1d52f/1?pq-origsite=gscholar&amp;cbl=466419</w:t>
        </w:r>
      </w:hyperlink>
      <w:r w:rsidRPr="00323964">
        <w:rPr>
          <w:rFonts w:ascii="Times New Roman" w:hAnsi="Times New Roman" w:cs="Times New Roman"/>
          <w:color w:val="222222"/>
          <w:sz w:val="24"/>
          <w:szCs w:val="24"/>
          <w:shd w:val="clear" w:color="auto" w:fill="FFFFFF"/>
        </w:rPr>
        <w:t xml:space="preserve"> </w:t>
      </w:r>
    </w:p>
    <w:p w14:paraId="70E66342"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Ragazou, K., Garefalakis, A., Zafeiriou, E. and Passas, I., 2022. Agriculture 5.0: A new strategic management mode for a cut cost and an energy efficient agriculture sector. </w:t>
      </w:r>
      <w:r w:rsidRPr="00323964">
        <w:rPr>
          <w:rFonts w:ascii="Times New Roman" w:hAnsi="Times New Roman" w:cs="Times New Roman"/>
          <w:i/>
          <w:iCs/>
          <w:color w:val="222222"/>
          <w:sz w:val="24"/>
          <w:szCs w:val="24"/>
          <w:shd w:val="clear" w:color="auto" w:fill="FFFFFF"/>
        </w:rPr>
        <w:t>Energies</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15</w:t>
      </w:r>
      <w:r w:rsidRPr="00323964">
        <w:rPr>
          <w:rFonts w:ascii="Times New Roman" w:hAnsi="Times New Roman" w:cs="Times New Roman"/>
          <w:color w:val="222222"/>
          <w:sz w:val="24"/>
          <w:szCs w:val="24"/>
          <w:shd w:val="clear" w:color="auto" w:fill="FFFFFF"/>
        </w:rPr>
        <w:t>(9), p.3113.</w:t>
      </w:r>
      <w:r w:rsidRPr="00323964">
        <w:rPr>
          <w:rFonts w:ascii="Times New Roman" w:hAnsi="Times New Roman" w:cs="Times New Roman"/>
          <w:sz w:val="24"/>
          <w:szCs w:val="24"/>
        </w:rPr>
        <w:t xml:space="preserve"> </w:t>
      </w:r>
      <w:hyperlink r:id="rId23" w:history="1">
        <w:r w:rsidRPr="00323964">
          <w:rPr>
            <w:rStyle w:val="Hyperlink"/>
            <w:rFonts w:ascii="Times New Roman" w:hAnsi="Times New Roman" w:cs="Times New Roman"/>
            <w:sz w:val="24"/>
            <w:szCs w:val="24"/>
            <w:shd w:val="clear" w:color="auto" w:fill="FFFFFF"/>
          </w:rPr>
          <w:t>https://www.mdpi.com/1996-1073/15/9/3113</w:t>
        </w:r>
      </w:hyperlink>
    </w:p>
    <w:p w14:paraId="517ACA2B" w14:textId="77777777" w:rsidR="00AB656D" w:rsidRPr="00323964"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Srinivasan, M., Srivastava, P., &amp; Iyer, K. N. (2020). Response strategy to environment context factors using a lean and agile approach: Implications for firm performance. </w:t>
      </w:r>
      <w:r w:rsidRPr="00323964">
        <w:rPr>
          <w:rFonts w:ascii="Times New Roman" w:hAnsi="Times New Roman" w:cs="Times New Roman"/>
          <w:i/>
          <w:iCs/>
          <w:color w:val="222222"/>
          <w:sz w:val="24"/>
          <w:szCs w:val="24"/>
          <w:shd w:val="clear" w:color="auto" w:fill="FFFFFF"/>
        </w:rPr>
        <w:t xml:space="preserve">European </w:t>
      </w:r>
      <w:r w:rsidRPr="00323964">
        <w:rPr>
          <w:rFonts w:ascii="Times New Roman" w:hAnsi="Times New Roman" w:cs="Times New Roman"/>
          <w:i/>
          <w:iCs/>
          <w:color w:val="222222"/>
          <w:sz w:val="24"/>
          <w:szCs w:val="24"/>
          <w:shd w:val="clear" w:color="auto" w:fill="FFFFFF"/>
        </w:rPr>
        <w:lastRenderedPageBreak/>
        <w:t>Management Journal</w:t>
      </w:r>
      <w:r w:rsidRPr="00323964">
        <w:rPr>
          <w:rFonts w:ascii="Times New Roman" w:hAnsi="Times New Roman" w:cs="Times New Roman"/>
          <w:color w:val="222222"/>
          <w:sz w:val="24"/>
          <w:szCs w:val="24"/>
          <w:shd w:val="clear" w:color="auto" w:fill="FFFFFF"/>
        </w:rPr>
        <w:t>, </w:t>
      </w:r>
      <w:r w:rsidRPr="00323964">
        <w:rPr>
          <w:rFonts w:ascii="Times New Roman" w:hAnsi="Times New Roman" w:cs="Times New Roman"/>
          <w:i/>
          <w:iCs/>
          <w:color w:val="222222"/>
          <w:sz w:val="24"/>
          <w:szCs w:val="24"/>
          <w:shd w:val="clear" w:color="auto" w:fill="FFFFFF"/>
        </w:rPr>
        <w:t>38</w:t>
      </w:r>
      <w:r w:rsidRPr="00323964">
        <w:rPr>
          <w:rFonts w:ascii="Times New Roman" w:hAnsi="Times New Roman" w:cs="Times New Roman"/>
          <w:color w:val="222222"/>
          <w:sz w:val="24"/>
          <w:szCs w:val="24"/>
          <w:shd w:val="clear" w:color="auto" w:fill="FFFFFF"/>
        </w:rPr>
        <w:t>(6), 900-913.</w:t>
      </w:r>
      <w:r w:rsidRPr="00323964">
        <w:rPr>
          <w:rFonts w:ascii="Times New Roman" w:hAnsi="Times New Roman" w:cs="Times New Roman"/>
          <w:sz w:val="24"/>
          <w:szCs w:val="24"/>
        </w:rPr>
        <w:t xml:space="preserve"> </w:t>
      </w:r>
      <w:hyperlink r:id="rId24" w:history="1">
        <w:r w:rsidRPr="00323964">
          <w:rPr>
            <w:rStyle w:val="Hyperlink"/>
            <w:rFonts w:ascii="Times New Roman" w:hAnsi="Times New Roman" w:cs="Times New Roman"/>
            <w:sz w:val="24"/>
            <w:szCs w:val="24"/>
            <w:shd w:val="clear" w:color="auto" w:fill="FFFFFF"/>
          </w:rPr>
          <w:t>https://www.sciencedirect.com/science/article/pii/S0263237320300554</w:t>
        </w:r>
      </w:hyperlink>
      <w:r w:rsidRPr="00323964">
        <w:rPr>
          <w:rFonts w:ascii="Times New Roman" w:hAnsi="Times New Roman" w:cs="Times New Roman"/>
          <w:color w:val="222222"/>
          <w:sz w:val="24"/>
          <w:szCs w:val="24"/>
          <w:shd w:val="clear" w:color="auto" w:fill="FFFFFF"/>
        </w:rPr>
        <w:t xml:space="preserve"> </w:t>
      </w:r>
    </w:p>
    <w:p w14:paraId="6EAAC2BD" w14:textId="77777777" w:rsidR="00AB656D" w:rsidRPr="00AB656D" w:rsidRDefault="00AB656D" w:rsidP="00AB656D">
      <w:pPr>
        <w:spacing w:after="0" w:line="480" w:lineRule="auto"/>
        <w:ind w:left="720" w:hanging="720"/>
        <w:rPr>
          <w:rFonts w:ascii="Times New Roman" w:hAnsi="Times New Roman" w:cs="Times New Roman"/>
          <w:sz w:val="24"/>
          <w:szCs w:val="24"/>
        </w:rPr>
      </w:pPr>
      <w:r w:rsidRPr="00323964">
        <w:rPr>
          <w:rFonts w:ascii="Times New Roman" w:hAnsi="Times New Roman" w:cs="Times New Roman"/>
          <w:color w:val="222222"/>
          <w:sz w:val="24"/>
          <w:szCs w:val="24"/>
          <w:shd w:val="clear" w:color="auto" w:fill="FFFFFF"/>
        </w:rPr>
        <w:t>Vijayabanu, C., Rajakarthikeyan, G. and Kavipriya, J., 2023. Divine Destinations: Unpacking the Prospects and Challenges of Global Pilgrimage Tourism and Hospitality. </w:t>
      </w:r>
      <w:r w:rsidRPr="00323964">
        <w:rPr>
          <w:rFonts w:ascii="Times New Roman" w:hAnsi="Times New Roman" w:cs="Times New Roman"/>
          <w:i/>
          <w:iCs/>
          <w:color w:val="222222"/>
          <w:sz w:val="24"/>
          <w:szCs w:val="24"/>
          <w:shd w:val="clear" w:color="auto" w:fill="FFFFFF"/>
        </w:rPr>
        <w:t>Management and Practices of Pilgrimage Tourism and Hospitality</w:t>
      </w:r>
      <w:r w:rsidRPr="00323964">
        <w:rPr>
          <w:rFonts w:ascii="Times New Roman" w:hAnsi="Times New Roman" w:cs="Times New Roman"/>
          <w:color w:val="222222"/>
          <w:sz w:val="24"/>
          <w:szCs w:val="24"/>
          <w:shd w:val="clear" w:color="auto" w:fill="FFFFFF"/>
        </w:rPr>
        <w:t>, pp.61-77.</w:t>
      </w:r>
      <w:r w:rsidRPr="00323964">
        <w:rPr>
          <w:rFonts w:ascii="Times New Roman" w:hAnsi="Times New Roman" w:cs="Times New Roman"/>
          <w:sz w:val="24"/>
          <w:szCs w:val="24"/>
        </w:rPr>
        <w:t xml:space="preserve"> </w:t>
      </w:r>
      <w:hyperlink r:id="rId25" w:history="1">
        <w:r w:rsidRPr="00323964">
          <w:rPr>
            <w:rStyle w:val="Hyperlink"/>
            <w:rFonts w:ascii="Times New Roman" w:hAnsi="Times New Roman" w:cs="Times New Roman"/>
            <w:sz w:val="24"/>
            <w:szCs w:val="24"/>
            <w:shd w:val="clear" w:color="auto" w:fill="FFFFFF"/>
          </w:rPr>
          <w:t>https://www.igi-global.com/chapter/divine-destinations/332178</w:t>
        </w:r>
      </w:hyperlink>
      <w:r w:rsidRPr="00323964">
        <w:rPr>
          <w:rFonts w:ascii="Times New Roman" w:hAnsi="Times New Roman" w:cs="Times New Roman"/>
          <w:color w:val="222222"/>
          <w:sz w:val="24"/>
          <w:szCs w:val="24"/>
          <w:shd w:val="clear" w:color="auto" w:fill="FFFFFF"/>
        </w:rPr>
        <w:t xml:space="preserve"> </w:t>
      </w:r>
    </w:p>
    <w:sectPr w:rsidR="00AB656D" w:rsidRPr="00AB656D">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37DD8" w14:textId="77777777" w:rsidR="00CB3AE0" w:rsidRDefault="00CB3AE0" w:rsidP="003D56DF">
      <w:pPr>
        <w:spacing w:after="0" w:line="240" w:lineRule="auto"/>
      </w:pPr>
      <w:r>
        <w:separator/>
      </w:r>
    </w:p>
  </w:endnote>
  <w:endnote w:type="continuationSeparator" w:id="0">
    <w:p w14:paraId="6FB789E5" w14:textId="77777777" w:rsidR="00CB3AE0" w:rsidRDefault="00CB3AE0" w:rsidP="003D5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DB3DE" w14:textId="77777777" w:rsidR="00CB3AE0" w:rsidRDefault="00CB3AE0" w:rsidP="003D56DF">
      <w:pPr>
        <w:spacing w:after="0" w:line="240" w:lineRule="auto"/>
      </w:pPr>
      <w:r>
        <w:separator/>
      </w:r>
    </w:p>
  </w:footnote>
  <w:footnote w:type="continuationSeparator" w:id="0">
    <w:p w14:paraId="386ED4A4" w14:textId="77777777" w:rsidR="00CB3AE0" w:rsidRDefault="00CB3AE0" w:rsidP="003D56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C1FAD" w14:textId="77777777" w:rsidR="003D56DF" w:rsidRPr="003D56DF" w:rsidRDefault="003D56DF">
    <w:pPr>
      <w:pStyle w:val="Header"/>
      <w:jc w:val="right"/>
      <w:rPr>
        <w:rFonts w:ascii="Times New Roman" w:hAnsi="Times New Roman" w:cs="Times New Roman"/>
        <w:b/>
        <w:sz w:val="24"/>
        <w:szCs w:val="24"/>
      </w:rPr>
    </w:pPr>
    <w:r w:rsidRPr="003D56DF">
      <w:rPr>
        <w:rStyle w:val="Strong"/>
        <w:rFonts w:ascii="Times New Roman" w:hAnsi="Times New Roman" w:cs="Times New Roman"/>
        <w:b w:val="0"/>
        <w:color w:val="0E101A"/>
        <w:sz w:val="24"/>
        <w:szCs w:val="24"/>
      </w:rPr>
      <w:t>The Seaview Resort</w:t>
    </w:r>
    <w:r w:rsidRPr="003D56DF">
      <w:rPr>
        <w:rFonts w:ascii="Times New Roman" w:hAnsi="Times New Roman" w:cs="Times New Roman"/>
        <w:b/>
        <w:sz w:val="24"/>
        <w:szCs w:val="24"/>
      </w:rPr>
      <w:t xml:space="preserve"> </w:t>
    </w:r>
    <w:sdt>
      <w:sdtPr>
        <w:rPr>
          <w:rFonts w:ascii="Times New Roman" w:hAnsi="Times New Roman" w:cs="Times New Roman"/>
          <w:b/>
          <w:sz w:val="24"/>
          <w:szCs w:val="24"/>
        </w:rPr>
        <w:id w:val="1144769577"/>
        <w:docPartObj>
          <w:docPartGallery w:val="Page Numbers (Top of Page)"/>
          <w:docPartUnique/>
        </w:docPartObj>
      </w:sdtPr>
      <w:sdtEndPr>
        <w:rPr>
          <w:noProof/>
        </w:rPr>
      </w:sdtEndPr>
      <w:sdtContent>
        <w:r w:rsidRPr="003D56DF">
          <w:rPr>
            <w:rFonts w:ascii="Times New Roman" w:hAnsi="Times New Roman" w:cs="Times New Roman"/>
            <w:b/>
            <w:sz w:val="24"/>
            <w:szCs w:val="24"/>
          </w:rPr>
          <w:fldChar w:fldCharType="begin"/>
        </w:r>
        <w:r w:rsidRPr="003D56DF">
          <w:rPr>
            <w:rFonts w:ascii="Times New Roman" w:hAnsi="Times New Roman" w:cs="Times New Roman"/>
            <w:b/>
            <w:sz w:val="24"/>
            <w:szCs w:val="24"/>
          </w:rPr>
          <w:instrText xml:space="preserve"> PAGE   \* MERGEFORMAT </w:instrText>
        </w:r>
        <w:r w:rsidRPr="003D56DF">
          <w:rPr>
            <w:rFonts w:ascii="Times New Roman" w:hAnsi="Times New Roman" w:cs="Times New Roman"/>
            <w:b/>
            <w:sz w:val="24"/>
            <w:szCs w:val="24"/>
          </w:rPr>
          <w:fldChar w:fldCharType="separate"/>
        </w:r>
        <w:r w:rsidR="00AB656D">
          <w:rPr>
            <w:rFonts w:ascii="Times New Roman" w:hAnsi="Times New Roman" w:cs="Times New Roman"/>
            <w:b/>
            <w:noProof/>
            <w:sz w:val="24"/>
            <w:szCs w:val="24"/>
          </w:rPr>
          <w:t>2</w:t>
        </w:r>
        <w:r w:rsidRPr="003D56DF">
          <w:rPr>
            <w:rFonts w:ascii="Times New Roman" w:hAnsi="Times New Roman" w:cs="Times New Roman"/>
            <w:b/>
            <w:noProof/>
            <w:sz w:val="24"/>
            <w:szCs w:val="24"/>
          </w:rPr>
          <w:fldChar w:fldCharType="end"/>
        </w:r>
      </w:sdtContent>
    </w:sdt>
  </w:p>
  <w:p w14:paraId="1177FE3A" w14:textId="77777777" w:rsidR="003D56DF" w:rsidRDefault="003D56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224AD"/>
    <w:multiLevelType w:val="hybridMultilevel"/>
    <w:tmpl w:val="945E4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7067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1MDQ0M7A0N7EwMTJX0lEKTi0uzszPAykwrAUATM4WliwAAAA="/>
  </w:docVars>
  <w:rsids>
    <w:rsidRoot w:val="00384B23"/>
    <w:rsid w:val="0005219F"/>
    <w:rsid w:val="000D11BC"/>
    <w:rsid w:val="001002EF"/>
    <w:rsid w:val="00114569"/>
    <w:rsid w:val="00144514"/>
    <w:rsid w:val="00152C86"/>
    <w:rsid w:val="002406E3"/>
    <w:rsid w:val="00324679"/>
    <w:rsid w:val="00370E47"/>
    <w:rsid w:val="00384B23"/>
    <w:rsid w:val="003D56DF"/>
    <w:rsid w:val="003E7546"/>
    <w:rsid w:val="00437D98"/>
    <w:rsid w:val="00454C0F"/>
    <w:rsid w:val="004D307B"/>
    <w:rsid w:val="008E1724"/>
    <w:rsid w:val="009F7D01"/>
    <w:rsid w:val="00A00425"/>
    <w:rsid w:val="00A562DD"/>
    <w:rsid w:val="00A93C1C"/>
    <w:rsid w:val="00AB656D"/>
    <w:rsid w:val="00BF2BFE"/>
    <w:rsid w:val="00CB3AE0"/>
    <w:rsid w:val="00D72249"/>
    <w:rsid w:val="00E65A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195001"/>
  <w15:chartTrackingRefBased/>
  <w15:docId w15:val="{BA74D838-9BB8-4C6F-802B-080C77033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06E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406E3"/>
    <w:rPr>
      <w:b/>
      <w:bCs/>
    </w:rPr>
  </w:style>
  <w:style w:type="paragraph" w:styleId="Header">
    <w:name w:val="header"/>
    <w:basedOn w:val="Normal"/>
    <w:link w:val="HeaderChar"/>
    <w:uiPriority w:val="99"/>
    <w:unhideWhenUsed/>
    <w:rsid w:val="003D56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56DF"/>
  </w:style>
  <w:style w:type="paragraph" w:styleId="Footer">
    <w:name w:val="footer"/>
    <w:basedOn w:val="Normal"/>
    <w:link w:val="FooterChar"/>
    <w:uiPriority w:val="99"/>
    <w:unhideWhenUsed/>
    <w:rsid w:val="003D56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56DF"/>
  </w:style>
  <w:style w:type="character" w:styleId="Hyperlink">
    <w:name w:val="Hyperlink"/>
    <w:basedOn w:val="DefaultParagraphFont"/>
    <w:uiPriority w:val="99"/>
    <w:unhideWhenUsed/>
    <w:rsid w:val="00AB65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406">
      <w:bodyDiv w:val="1"/>
      <w:marLeft w:val="0"/>
      <w:marRight w:val="0"/>
      <w:marTop w:val="0"/>
      <w:marBottom w:val="0"/>
      <w:divBdr>
        <w:top w:val="none" w:sz="0" w:space="0" w:color="auto"/>
        <w:left w:val="none" w:sz="0" w:space="0" w:color="auto"/>
        <w:bottom w:val="none" w:sz="0" w:space="0" w:color="auto"/>
        <w:right w:val="none" w:sz="0" w:space="0" w:color="auto"/>
      </w:divBdr>
    </w:div>
    <w:div w:id="402260987">
      <w:bodyDiv w:val="1"/>
      <w:marLeft w:val="0"/>
      <w:marRight w:val="0"/>
      <w:marTop w:val="0"/>
      <w:marBottom w:val="0"/>
      <w:divBdr>
        <w:top w:val="none" w:sz="0" w:space="0" w:color="auto"/>
        <w:left w:val="none" w:sz="0" w:space="0" w:color="auto"/>
        <w:bottom w:val="none" w:sz="0" w:space="0" w:color="auto"/>
        <w:right w:val="none" w:sz="0" w:space="0" w:color="auto"/>
      </w:divBdr>
    </w:div>
    <w:div w:id="938828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rscienceonline.com/doi/abs/10.1504/IJBEX.2022.123036" TargetMode="External"/><Relationship Id="rId13" Type="http://schemas.openxmlformats.org/officeDocument/2006/relationships/hyperlink" Target="https://www.sciencedirect.com/science/article/pii/S0969698921000679" TargetMode="External"/><Relationship Id="rId18" Type="http://schemas.openxmlformats.org/officeDocument/2006/relationships/hyperlink" Target="https://www.tandfonline.com/doi/abs/10.1080/09669582.2022.2064481"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andfonline.com/doi/abs/10.1080/23311975.2020.1870797" TargetMode="External"/><Relationship Id="rId7" Type="http://schemas.openxmlformats.org/officeDocument/2006/relationships/hyperlink" Target="https://www.inderscienceonline.com/doi/abs/10.1504/IJBEX.2022.123036" TargetMode="External"/><Relationship Id="rId12" Type="http://schemas.openxmlformats.org/officeDocument/2006/relationships/hyperlink" Target="https://onlinelibrary.wiley.com/doi/abs/10.1111/poms.13622" TargetMode="External"/><Relationship Id="rId17" Type="http://schemas.openxmlformats.org/officeDocument/2006/relationships/hyperlink" Target="https://www.inderscienceonline.com/doi/abs/10.1504/IJSOM.2022.126979" TargetMode="External"/><Relationship Id="rId25" Type="http://schemas.openxmlformats.org/officeDocument/2006/relationships/hyperlink" Target="https://www.igi-global.com/chapter/divine-destinations/332178" TargetMode="External"/><Relationship Id="rId2" Type="http://schemas.openxmlformats.org/officeDocument/2006/relationships/styles" Target="styles.xml"/><Relationship Id="rId16" Type="http://schemas.openxmlformats.org/officeDocument/2006/relationships/hyperlink" Target="https://journals.sagepub.com/doi/abs/10.1177/00472875211019469" TargetMode="External"/><Relationship Id="rId20" Type="http://schemas.openxmlformats.org/officeDocument/2006/relationships/hyperlink" Target="https://www.mdpi.com/2071-1050/15/14/112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inonline.org/hol-cgi-bin/get_pdf.cgi?handle=hein.journals/ijlmhs11&amp;section=306" TargetMode="External"/><Relationship Id="rId24" Type="http://schemas.openxmlformats.org/officeDocument/2006/relationships/hyperlink" Target="https://www.sciencedirect.com/science/article/pii/S0263237320300554" TargetMode="External"/><Relationship Id="rId5" Type="http://schemas.openxmlformats.org/officeDocument/2006/relationships/footnotes" Target="footnotes.xml"/><Relationship Id="rId15" Type="http://schemas.openxmlformats.org/officeDocument/2006/relationships/hyperlink" Target="https://journals.sagepub.com/doi/abs/10.1177/2394964319853164" TargetMode="External"/><Relationship Id="rId23" Type="http://schemas.openxmlformats.org/officeDocument/2006/relationships/hyperlink" Target="https://www.mdpi.com/1996-1073/15/9/3113" TargetMode="External"/><Relationship Id="rId28" Type="http://schemas.openxmlformats.org/officeDocument/2006/relationships/theme" Target="theme/theme1.xml"/><Relationship Id="rId10" Type="http://schemas.openxmlformats.org/officeDocument/2006/relationships/hyperlink" Target="https://www.mdpi.com/2071-1050/14/19/12218" TargetMode="External"/><Relationship Id="rId19" Type="http://schemas.openxmlformats.org/officeDocument/2006/relationships/hyperlink" Target="https://www.tandfonline.com/doi/abs/10.1080/09537287.2021.1957173" TargetMode="External"/><Relationship Id="rId4" Type="http://schemas.openxmlformats.org/officeDocument/2006/relationships/webSettings" Target="webSettings.xml"/><Relationship Id="rId9" Type="http://schemas.openxmlformats.org/officeDocument/2006/relationships/hyperlink" Target="https://www.ceeol.com/search/article-detail?id=950999" TargetMode="External"/><Relationship Id="rId14" Type="http://schemas.openxmlformats.org/officeDocument/2006/relationships/hyperlink" Target="https://cyberleninka.ru/article/n/eco-friendly-and-agricultural-destinations-as-green-tourism-trends" TargetMode="External"/><Relationship Id="rId22" Type="http://schemas.openxmlformats.org/officeDocument/2006/relationships/hyperlink" Target="https://search.proquest.com/openview/a91f430ebf25f1b6d89df5c9a4d1d52f/1?pq-origsite=gscholar&amp;cbl=4664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2641</Words>
  <Characters>17107</Characters>
  <Application>Microsoft Office Word</Application>
  <DocSecurity>0</DocSecurity>
  <Lines>266</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c:creator>
  <cp:keywords/>
  <dc:description/>
  <cp:lastModifiedBy>Livia Vladu</cp:lastModifiedBy>
  <cp:revision>7</cp:revision>
  <dcterms:created xsi:type="dcterms:W3CDTF">2023-11-16T04:11:00Z</dcterms:created>
  <dcterms:modified xsi:type="dcterms:W3CDTF">2023-11-16T23:02:00Z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47273bc9bb52eb06e485cb397424da5ccacf2db59fef2512b2c1e183c18d0a75</vt:lpwstr>
  </property>
</Properties>
</file>