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5A0C8C" w14:textId="77777777" w:rsidR="00255E4E" w:rsidRPr="00922363" w:rsidRDefault="00255E4E" w:rsidP="00255E4E">
      <w:pPr>
        <w:spacing w:line="360" w:lineRule="auto"/>
        <w:jc w:val="center"/>
        <w:rPr>
          <w:rFonts w:ascii="Arial" w:hAnsi="Arial" w:cs="Arial"/>
        </w:rPr>
      </w:pPr>
      <w:r w:rsidRPr="00922363">
        <w:rPr>
          <w:rFonts w:ascii="Arial" w:hAnsi="Arial" w:cs="Arial"/>
          <w:noProof/>
        </w:rPr>
        <w:drawing>
          <wp:inline distT="0" distB="0" distL="0" distR="0" wp14:anchorId="46832012" wp14:editId="2F723A64">
            <wp:extent cx="2867025" cy="15906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inline>
        </w:drawing>
      </w:r>
    </w:p>
    <w:p w14:paraId="3DA040F5" w14:textId="77777777" w:rsidR="00255E4E" w:rsidRPr="00922363" w:rsidRDefault="00255E4E" w:rsidP="00255E4E">
      <w:pPr>
        <w:spacing w:line="360" w:lineRule="auto"/>
        <w:jc w:val="center"/>
        <w:rPr>
          <w:rFonts w:ascii="Arial" w:hAnsi="Arial" w:cs="Arial"/>
          <w:sz w:val="28"/>
          <w:szCs w:val="28"/>
        </w:rPr>
      </w:pPr>
      <w:proofErr w:type="spellStart"/>
      <w:r w:rsidRPr="00922363">
        <w:rPr>
          <w:rFonts w:ascii="Arial" w:hAnsi="Arial" w:cs="Arial"/>
          <w:sz w:val="28"/>
          <w:szCs w:val="28"/>
        </w:rPr>
        <w:t>Programme</w:t>
      </w:r>
      <w:proofErr w:type="spellEnd"/>
      <w:r w:rsidRPr="00922363">
        <w:rPr>
          <w:rFonts w:ascii="Arial" w:hAnsi="Arial" w:cs="Arial"/>
          <w:sz w:val="28"/>
          <w:szCs w:val="28"/>
        </w:rPr>
        <w:t xml:space="preserve">: Master of Business Administration </w:t>
      </w:r>
    </w:p>
    <w:p w14:paraId="47E8D8A3" w14:textId="77777777" w:rsidR="00255E4E" w:rsidRPr="00922363" w:rsidRDefault="00255E4E" w:rsidP="00255E4E">
      <w:pPr>
        <w:spacing w:line="360" w:lineRule="auto"/>
        <w:jc w:val="center"/>
        <w:rPr>
          <w:rFonts w:ascii="Arial" w:hAnsi="Arial" w:cs="Arial"/>
          <w:sz w:val="28"/>
          <w:szCs w:val="28"/>
        </w:rPr>
      </w:pPr>
      <w:r w:rsidRPr="00922363">
        <w:rPr>
          <w:rFonts w:ascii="Arial" w:hAnsi="Arial" w:cs="Arial"/>
          <w:sz w:val="28"/>
          <w:szCs w:val="28"/>
        </w:rPr>
        <w:t xml:space="preserve">Module: Financial Management </w:t>
      </w:r>
    </w:p>
    <w:p w14:paraId="4ACBB2B1" w14:textId="77777777" w:rsidR="00255E4E" w:rsidRPr="00922363" w:rsidRDefault="00255E4E" w:rsidP="00255E4E">
      <w:pPr>
        <w:spacing w:line="360" w:lineRule="auto"/>
        <w:jc w:val="center"/>
        <w:rPr>
          <w:rFonts w:ascii="Arial" w:hAnsi="Arial" w:cs="Arial"/>
          <w:sz w:val="28"/>
          <w:szCs w:val="28"/>
        </w:rPr>
      </w:pPr>
      <w:r w:rsidRPr="00922363">
        <w:rPr>
          <w:rFonts w:ascii="Arial" w:hAnsi="Arial" w:cs="Arial"/>
          <w:sz w:val="28"/>
          <w:szCs w:val="28"/>
        </w:rPr>
        <w:t xml:space="preserve">Module code: LCMB7002 </w:t>
      </w:r>
    </w:p>
    <w:p w14:paraId="0393031A" w14:textId="77777777" w:rsidR="00255E4E" w:rsidRPr="00922363" w:rsidRDefault="00255E4E" w:rsidP="00255E4E">
      <w:pPr>
        <w:spacing w:line="360" w:lineRule="auto"/>
        <w:jc w:val="center"/>
        <w:rPr>
          <w:rFonts w:ascii="Arial" w:hAnsi="Arial" w:cs="Arial"/>
          <w:sz w:val="28"/>
          <w:szCs w:val="28"/>
        </w:rPr>
      </w:pPr>
    </w:p>
    <w:p w14:paraId="39EAA4E8" w14:textId="77777777" w:rsidR="00255E4E" w:rsidRPr="00922363" w:rsidRDefault="00255E4E" w:rsidP="00255E4E">
      <w:pPr>
        <w:spacing w:line="360" w:lineRule="auto"/>
        <w:jc w:val="center"/>
        <w:rPr>
          <w:rFonts w:ascii="Arial" w:hAnsi="Arial" w:cs="Arial"/>
          <w:sz w:val="28"/>
          <w:szCs w:val="28"/>
        </w:rPr>
      </w:pPr>
      <w:r>
        <w:rPr>
          <w:rFonts w:ascii="Arial" w:hAnsi="Arial" w:cs="Arial"/>
          <w:sz w:val="28"/>
          <w:szCs w:val="28"/>
        </w:rPr>
        <w:t xml:space="preserve">Assignment Title: </w:t>
      </w:r>
      <w:r w:rsidRPr="00922363">
        <w:rPr>
          <w:rFonts w:ascii="Arial" w:hAnsi="Arial" w:cs="Arial"/>
          <w:sz w:val="28"/>
          <w:szCs w:val="28"/>
        </w:rPr>
        <w:t>Financial Analysis of General Electronics</w:t>
      </w:r>
    </w:p>
    <w:p w14:paraId="79C5356A" w14:textId="77777777" w:rsidR="00255E4E" w:rsidRPr="00922363" w:rsidRDefault="00255E4E" w:rsidP="00255E4E">
      <w:pPr>
        <w:spacing w:line="360" w:lineRule="auto"/>
        <w:jc w:val="center"/>
        <w:rPr>
          <w:rFonts w:ascii="Arial" w:hAnsi="Arial" w:cs="Arial"/>
          <w:sz w:val="28"/>
          <w:szCs w:val="28"/>
        </w:rPr>
      </w:pPr>
    </w:p>
    <w:p w14:paraId="1D9F1B3F" w14:textId="69811A9E" w:rsidR="00255E4E" w:rsidRPr="00922363" w:rsidRDefault="00255E4E" w:rsidP="00255E4E">
      <w:pPr>
        <w:spacing w:line="360" w:lineRule="auto"/>
        <w:jc w:val="center"/>
        <w:rPr>
          <w:rFonts w:ascii="Arial" w:hAnsi="Arial" w:cs="Arial"/>
          <w:sz w:val="28"/>
          <w:szCs w:val="28"/>
        </w:rPr>
      </w:pPr>
      <w:r w:rsidRPr="00922363">
        <w:rPr>
          <w:rFonts w:ascii="Arial" w:hAnsi="Arial" w:cs="Arial"/>
          <w:sz w:val="28"/>
          <w:szCs w:val="28"/>
        </w:rPr>
        <w:t>Student Name:</w:t>
      </w:r>
      <w:r>
        <w:rPr>
          <w:rFonts w:ascii="Arial" w:hAnsi="Arial" w:cs="Arial"/>
          <w:sz w:val="28"/>
          <w:szCs w:val="28"/>
        </w:rPr>
        <w:t xml:space="preserve"> </w:t>
      </w:r>
      <w:r w:rsidR="004B6AE6">
        <w:rPr>
          <w:rFonts w:ascii="Arial" w:hAnsi="Arial" w:cs="Arial"/>
          <w:sz w:val="28"/>
          <w:szCs w:val="28"/>
        </w:rPr>
        <w:t xml:space="preserve">Tanvir Ahmed </w:t>
      </w:r>
      <w:proofErr w:type="spellStart"/>
      <w:r w:rsidR="004B6AE6">
        <w:rPr>
          <w:rFonts w:ascii="Arial" w:hAnsi="Arial" w:cs="Arial"/>
          <w:sz w:val="28"/>
          <w:szCs w:val="28"/>
        </w:rPr>
        <w:t>Tipu</w:t>
      </w:r>
      <w:proofErr w:type="spellEnd"/>
    </w:p>
    <w:p w14:paraId="7BE4FD8D" w14:textId="77777777" w:rsidR="00255E4E" w:rsidRPr="00922363" w:rsidRDefault="00255E4E" w:rsidP="00255E4E">
      <w:pPr>
        <w:spacing w:line="360" w:lineRule="auto"/>
        <w:jc w:val="center"/>
        <w:rPr>
          <w:rFonts w:ascii="Arial" w:hAnsi="Arial" w:cs="Arial"/>
          <w:sz w:val="28"/>
          <w:szCs w:val="28"/>
        </w:rPr>
      </w:pPr>
    </w:p>
    <w:p w14:paraId="1ADFF6DF" w14:textId="1247C5F8" w:rsidR="00255E4E" w:rsidRPr="00922363" w:rsidRDefault="00255E4E" w:rsidP="00255E4E">
      <w:pPr>
        <w:spacing w:line="360" w:lineRule="auto"/>
        <w:jc w:val="center"/>
        <w:rPr>
          <w:rFonts w:ascii="Arial" w:hAnsi="Arial" w:cs="Arial"/>
          <w:sz w:val="28"/>
          <w:szCs w:val="28"/>
        </w:rPr>
      </w:pPr>
      <w:r w:rsidRPr="00922363">
        <w:rPr>
          <w:rFonts w:ascii="Arial" w:hAnsi="Arial" w:cs="Arial"/>
          <w:sz w:val="28"/>
          <w:szCs w:val="28"/>
        </w:rPr>
        <w:t>Student ID:</w:t>
      </w:r>
      <w:r>
        <w:rPr>
          <w:rFonts w:ascii="Arial" w:hAnsi="Arial" w:cs="Arial"/>
          <w:sz w:val="28"/>
          <w:szCs w:val="28"/>
        </w:rPr>
        <w:t xml:space="preserve"> </w:t>
      </w:r>
      <w:r w:rsidR="004B6AE6">
        <w:rPr>
          <w:rFonts w:ascii="Arial" w:hAnsi="Arial" w:cs="Arial"/>
          <w:sz w:val="28"/>
          <w:szCs w:val="28"/>
        </w:rPr>
        <w:t>2504655</w:t>
      </w:r>
    </w:p>
    <w:p w14:paraId="1D0E8B2D" w14:textId="77777777" w:rsidR="00255E4E" w:rsidRDefault="00255E4E" w:rsidP="00255E4E">
      <w:pPr>
        <w:spacing w:line="360" w:lineRule="auto"/>
        <w:jc w:val="center"/>
        <w:rPr>
          <w:rFonts w:ascii="Arial" w:hAnsi="Arial" w:cs="Arial"/>
          <w:sz w:val="28"/>
          <w:szCs w:val="28"/>
        </w:rPr>
      </w:pPr>
    </w:p>
    <w:p w14:paraId="51FDFFBC" w14:textId="4FC38411" w:rsidR="00255E4E" w:rsidRPr="00922363" w:rsidRDefault="00255E4E" w:rsidP="00255E4E">
      <w:pPr>
        <w:spacing w:line="360" w:lineRule="auto"/>
        <w:jc w:val="center"/>
        <w:rPr>
          <w:rFonts w:ascii="Arial" w:hAnsi="Arial" w:cs="Arial"/>
          <w:sz w:val="28"/>
          <w:szCs w:val="28"/>
        </w:rPr>
      </w:pPr>
      <w:r w:rsidRPr="00922363">
        <w:rPr>
          <w:rFonts w:ascii="Arial" w:hAnsi="Arial" w:cs="Arial"/>
          <w:sz w:val="28"/>
          <w:szCs w:val="28"/>
        </w:rPr>
        <w:t xml:space="preserve">Lecturer: </w:t>
      </w:r>
      <w:proofErr w:type="spellStart"/>
      <w:r w:rsidR="004B6AE6">
        <w:rPr>
          <w:rFonts w:ascii="Arial" w:hAnsi="Arial" w:cs="Arial"/>
          <w:sz w:val="28"/>
          <w:szCs w:val="28"/>
        </w:rPr>
        <w:t>Shengfeng</w:t>
      </w:r>
      <w:proofErr w:type="spellEnd"/>
      <w:r w:rsidR="004B6AE6">
        <w:rPr>
          <w:rFonts w:ascii="Arial" w:hAnsi="Arial" w:cs="Arial"/>
          <w:sz w:val="28"/>
          <w:szCs w:val="28"/>
        </w:rPr>
        <w:t xml:space="preserve"> Mei</w:t>
      </w:r>
    </w:p>
    <w:p w14:paraId="1848A697" w14:textId="77777777" w:rsidR="00255E4E" w:rsidRPr="00922363" w:rsidRDefault="00255E4E" w:rsidP="00255E4E">
      <w:pPr>
        <w:spacing w:line="360" w:lineRule="auto"/>
        <w:jc w:val="center"/>
        <w:rPr>
          <w:rFonts w:ascii="Arial" w:hAnsi="Arial" w:cs="Arial"/>
          <w:sz w:val="28"/>
          <w:szCs w:val="28"/>
        </w:rPr>
      </w:pPr>
    </w:p>
    <w:p w14:paraId="362BB9C9" w14:textId="291D6EBC" w:rsidR="00255E4E" w:rsidRDefault="00255E4E" w:rsidP="00255E4E">
      <w:pPr>
        <w:spacing w:line="360" w:lineRule="auto"/>
        <w:jc w:val="center"/>
        <w:rPr>
          <w:rFonts w:ascii="Arial" w:hAnsi="Arial" w:cs="Arial"/>
          <w:sz w:val="28"/>
          <w:szCs w:val="28"/>
        </w:rPr>
      </w:pPr>
      <w:r w:rsidRPr="00922363">
        <w:rPr>
          <w:rFonts w:ascii="Arial" w:hAnsi="Arial" w:cs="Arial"/>
          <w:sz w:val="28"/>
          <w:szCs w:val="28"/>
        </w:rPr>
        <w:t>Word Count:</w:t>
      </w:r>
      <w:r w:rsidR="004B6AE6">
        <w:rPr>
          <w:rFonts w:ascii="Arial" w:hAnsi="Arial" w:cs="Arial"/>
          <w:sz w:val="28"/>
          <w:szCs w:val="28"/>
        </w:rPr>
        <w:t>5288</w:t>
      </w:r>
      <w:bookmarkStart w:id="0" w:name="_GoBack"/>
      <w:bookmarkEnd w:id="0"/>
    </w:p>
    <w:p w14:paraId="05DD624E" w14:textId="1910F9B1" w:rsidR="006D582B" w:rsidRDefault="006D582B" w:rsidP="00255E4E">
      <w:pPr>
        <w:spacing w:line="360" w:lineRule="auto"/>
        <w:jc w:val="center"/>
        <w:rPr>
          <w:rFonts w:ascii="Arial" w:hAnsi="Arial" w:cs="Arial"/>
          <w:sz w:val="28"/>
          <w:szCs w:val="28"/>
        </w:rPr>
      </w:pPr>
    </w:p>
    <w:p w14:paraId="3B47CD59" w14:textId="4C9DA533" w:rsidR="006D582B" w:rsidRDefault="006D582B" w:rsidP="00255E4E">
      <w:pPr>
        <w:spacing w:line="360" w:lineRule="auto"/>
        <w:jc w:val="center"/>
        <w:rPr>
          <w:rFonts w:ascii="Arial" w:hAnsi="Arial" w:cs="Arial"/>
          <w:sz w:val="28"/>
          <w:szCs w:val="28"/>
        </w:rPr>
      </w:pPr>
    </w:p>
    <w:p w14:paraId="56D77582" w14:textId="2391E150" w:rsidR="00565E39" w:rsidRDefault="00565E39" w:rsidP="00255E4E">
      <w:pPr>
        <w:spacing w:line="360" w:lineRule="auto"/>
        <w:jc w:val="center"/>
        <w:rPr>
          <w:rFonts w:ascii="Arial" w:hAnsi="Arial" w:cs="Arial"/>
          <w:sz w:val="28"/>
          <w:szCs w:val="28"/>
        </w:rPr>
      </w:pPr>
    </w:p>
    <w:sdt>
      <w:sdtPr>
        <w:rPr>
          <w:rFonts w:asciiTheme="minorHAnsi" w:eastAsiaTheme="minorHAnsi" w:hAnsiTheme="minorHAnsi" w:cstheme="minorBidi"/>
          <w:color w:val="auto"/>
          <w:sz w:val="22"/>
          <w:szCs w:val="22"/>
        </w:rPr>
        <w:id w:val="773603390"/>
        <w:docPartObj>
          <w:docPartGallery w:val="Table of Contents"/>
          <w:docPartUnique/>
        </w:docPartObj>
      </w:sdtPr>
      <w:sdtEndPr>
        <w:rPr>
          <w:b/>
          <w:bCs/>
          <w:noProof/>
        </w:rPr>
      </w:sdtEndPr>
      <w:sdtContent>
        <w:p w14:paraId="12993B28" w14:textId="55401911" w:rsidR="00565E39" w:rsidRDefault="00565E39">
          <w:pPr>
            <w:pStyle w:val="TOCHeading"/>
          </w:pPr>
          <w:r>
            <w:t>Table of Contents</w:t>
          </w:r>
        </w:p>
        <w:p w14:paraId="67434FCF" w14:textId="7F3EC258" w:rsidR="00565E39" w:rsidRDefault="00565E39">
          <w:pPr>
            <w:pStyle w:val="TOC1"/>
            <w:tabs>
              <w:tab w:val="right" w:leader="dot" w:pos="9350"/>
            </w:tabs>
            <w:rPr>
              <w:noProof/>
            </w:rPr>
          </w:pPr>
          <w:r>
            <w:fldChar w:fldCharType="begin"/>
          </w:r>
          <w:r>
            <w:instrText xml:space="preserve"> TOC \o "1-3" \h \z \u </w:instrText>
          </w:r>
          <w:r>
            <w:fldChar w:fldCharType="separate"/>
          </w:r>
          <w:hyperlink w:anchor="_Toc217082132" w:history="1">
            <w:r w:rsidRPr="00082DFD">
              <w:rPr>
                <w:rStyle w:val="Hyperlink"/>
                <w:rFonts w:cs="Arial"/>
                <w:noProof/>
              </w:rPr>
              <w:t>Introduction</w:t>
            </w:r>
            <w:r>
              <w:rPr>
                <w:noProof/>
                <w:webHidden/>
              </w:rPr>
              <w:tab/>
            </w:r>
            <w:r>
              <w:rPr>
                <w:noProof/>
                <w:webHidden/>
              </w:rPr>
              <w:fldChar w:fldCharType="begin"/>
            </w:r>
            <w:r>
              <w:rPr>
                <w:noProof/>
                <w:webHidden/>
              </w:rPr>
              <w:instrText xml:space="preserve"> PAGEREF _Toc217082132 \h </w:instrText>
            </w:r>
            <w:r>
              <w:rPr>
                <w:noProof/>
                <w:webHidden/>
              </w:rPr>
            </w:r>
            <w:r>
              <w:rPr>
                <w:noProof/>
                <w:webHidden/>
              </w:rPr>
              <w:fldChar w:fldCharType="separate"/>
            </w:r>
            <w:r w:rsidR="001017BA">
              <w:rPr>
                <w:noProof/>
                <w:webHidden/>
              </w:rPr>
              <w:t>4</w:t>
            </w:r>
            <w:r>
              <w:rPr>
                <w:noProof/>
                <w:webHidden/>
              </w:rPr>
              <w:fldChar w:fldCharType="end"/>
            </w:r>
          </w:hyperlink>
        </w:p>
        <w:p w14:paraId="1C599CD5" w14:textId="2FB7DC17" w:rsidR="00565E39" w:rsidRDefault="00C16CDE">
          <w:pPr>
            <w:pStyle w:val="TOC1"/>
            <w:tabs>
              <w:tab w:val="right" w:leader="dot" w:pos="9350"/>
            </w:tabs>
            <w:rPr>
              <w:noProof/>
            </w:rPr>
          </w:pPr>
          <w:hyperlink w:anchor="_Toc217082133" w:history="1">
            <w:r w:rsidR="00565E39" w:rsidRPr="00082DFD">
              <w:rPr>
                <w:rStyle w:val="Hyperlink"/>
                <w:noProof/>
              </w:rPr>
              <w:t>1. Financial Health Check of General Electronics (2020–2024)</w:t>
            </w:r>
            <w:r w:rsidR="00565E39">
              <w:rPr>
                <w:noProof/>
                <w:webHidden/>
              </w:rPr>
              <w:tab/>
            </w:r>
            <w:r w:rsidR="00565E39">
              <w:rPr>
                <w:noProof/>
                <w:webHidden/>
              </w:rPr>
              <w:fldChar w:fldCharType="begin"/>
            </w:r>
            <w:r w:rsidR="00565E39">
              <w:rPr>
                <w:noProof/>
                <w:webHidden/>
              </w:rPr>
              <w:instrText xml:space="preserve"> PAGEREF _Toc217082133 \h </w:instrText>
            </w:r>
            <w:r w:rsidR="00565E39">
              <w:rPr>
                <w:noProof/>
                <w:webHidden/>
              </w:rPr>
            </w:r>
            <w:r w:rsidR="00565E39">
              <w:rPr>
                <w:noProof/>
                <w:webHidden/>
              </w:rPr>
              <w:fldChar w:fldCharType="separate"/>
            </w:r>
            <w:r w:rsidR="001017BA">
              <w:rPr>
                <w:noProof/>
                <w:webHidden/>
              </w:rPr>
              <w:t>5</w:t>
            </w:r>
            <w:r w:rsidR="00565E39">
              <w:rPr>
                <w:noProof/>
                <w:webHidden/>
              </w:rPr>
              <w:fldChar w:fldCharType="end"/>
            </w:r>
          </w:hyperlink>
        </w:p>
        <w:p w14:paraId="34E248AF" w14:textId="2FC5993D" w:rsidR="00565E39" w:rsidRDefault="00C16CDE">
          <w:pPr>
            <w:pStyle w:val="TOC2"/>
            <w:tabs>
              <w:tab w:val="right" w:leader="dot" w:pos="9350"/>
            </w:tabs>
            <w:rPr>
              <w:noProof/>
            </w:rPr>
          </w:pPr>
          <w:hyperlink w:anchor="_Toc217082134" w:history="1">
            <w:r w:rsidR="00565E39" w:rsidRPr="00082DFD">
              <w:rPr>
                <w:rStyle w:val="Hyperlink"/>
                <w:noProof/>
              </w:rPr>
              <w:t>1.1 Introduction</w:t>
            </w:r>
            <w:r w:rsidR="00565E39">
              <w:rPr>
                <w:noProof/>
                <w:webHidden/>
              </w:rPr>
              <w:tab/>
            </w:r>
            <w:r w:rsidR="00565E39">
              <w:rPr>
                <w:noProof/>
                <w:webHidden/>
              </w:rPr>
              <w:fldChar w:fldCharType="begin"/>
            </w:r>
            <w:r w:rsidR="00565E39">
              <w:rPr>
                <w:noProof/>
                <w:webHidden/>
              </w:rPr>
              <w:instrText xml:space="preserve"> PAGEREF _Toc217082134 \h </w:instrText>
            </w:r>
            <w:r w:rsidR="00565E39">
              <w:rPr>
                <w:noProof/>
                <w:webHidden/>
              </w:rPr>
            </w:r>
            <w:r w:rsidR="00565E39">
              <w:rPr>
                <w:noProof/>
                <w:webHidden/>
              </w:rPr>
              <w:fldChar w:fldCharType="separate"/>
            </w:r>
            <w:r w:rsidR="001017BA">
              <w:rPr>
                <w:noProof/>
                <w:webHidden/>
              </w:rPr>
              <w:t>5</w:t>
            </w:r>
            <w:r w:rsidR="00565E39">
              <w:rPr>
                <w:noProof/>
                <w:webHidden/>
              </w:rPr>
              <w:fldChar w:fldCharType="end"/>
            </w:r>
          </w:hyperlink>
        </w:p>
        <w:p w14:paraId="680B28FB" w14:textId="40FAB71F" w:rsidR="00565E39" w:rsidRDefault="00C16CDE">
          <w:pPr>
            <w:pStyle w:val="TOC2"/>
            <w:tabs>
              <w:tab w:val="right" w:leader="dot" w:pos="9350"/>
            </w:tabs>
            <w:rPr>
              <w:noProof/>
            </w:rPr>
          </w:pPr>
          <w:hyperlink w:anchor="_Toc217082135" w:history="1">
            <w:r w:rsidR="00565E39" w:rsidRPr="00082DFD">
              <w:rPr>
                <w:rStyle w:val="Hyperlink"/>
                <w:noProof/>
              </w:rPr>
              <w:t>1.2 Profitability Ratio Analysis</w:t>
            </w:r>
            <w:r w:rsidR="00565E39">
              <w:rPr>
                <w:noProof/>
                <w:webHidden/>
              </w:rPr>
              <w:tab/>
            </w:r>
            <w:r w:rsidR="00565E39">
              <w:rPr>
                <w:noProof/>
                <w:webHidden/>
              </w:rPr>
              <w:fldChar w:fldCharType="begin"/>
            </w:r>
            <w:r w:rsidR="00565E39">
              <w:rPr>
                <w:noProof/>
                <w:webHidden/>
              </w:rPr>
              <w:instrText xml:space="preserve"> PAGEREF _Toc217082135 \h </w:instrText>
            </w:r>
            <w:r w:rsidR="00565E39">
              <w:rPr>
                <w:noProof/>
                <w:webHidden/>
              </w:rPr>
            </w:r>
            <w:r w:rsidR="00565E39">
              <w:rPr>
                <w:noProof/>
                <w:webHidden/>
              </w:rPr>
              <w:fldChar w:fldCharType="separate"/>
            </w:r>
            <w:r w:rsidR="001017BA">
              <w:rPr>
                <w:noProof/>
                <w:webHidden/>
              </w:rPr>
              <w:t>5</w:t>
            </w:r>
            <w:r w:rsidR="00565E39">
              <w:rPr>
                <w:noProof/>
                <w:webHidden/>
              </w:rPr>
              <w:fldChar w:fldCharType="end"/>
            </w:r>
          </w:hyperlink>
        </w:p>
        <w:p w14:paraId="0F3002FF" w14:textId="2E7FDD09" w:rsidR="00565E39" w:rsidRDefault="00C16CDE">
          <w:pPr>
            <w:pStyle w:val="TOC2"/>
            <w:tabs>
              <w:tab w:val="right" w:leader="dot" w:pos="9350"/>
            </w:tabs>
            <w:rPr>
              <w:noProof/>
            </w:rPr>
          </w:pPr>
          <w:hyperlink w:anchor="_Toc217082136" w:history="1">
            <w:r w:rsidR="00565E39" w:rsidRPr="00082DFD">
              <w:rPr>
                <w:rStyle w:val="Hyperlink"/>
                <w:noProof/>
              </w:rPr>
              <w:t>1.3 Liquidity Ratio Analysis</w:t>
            </w:r>
            <w:r w:rsidR="00565E39">
              <w:rPr>
                <w:noProof/>
                <w:webHidden/>
              </w:rPr>
              <w:tab/>
            </w:r>
            <w:r w:rsidR="00565E39">
              <w:rPr>
                <w:noProof/>
                <w:webHidden/>
              </w:rPr>
              <w:fldChar w:fldCharType="begin"/>
            </w:r>
            <w:r w:rsidR="00565E39">
              <w:rPr>
                <w:noProof/>
                <w:webHidden/>
              </w:rPr>
              <w:instrText xml:space="preserve"> PAGEREF _Toc217082136 \h </w:instrText>
            </w:r>
            <w:r w:rsidR="00565E39">
              <w:rPr>
                <w:noProof/>
                <w:webHidden/>
              </w:rPr>
            </w:r>
            <w:r w:rsidR="00565E39">
              <w:rPr>
                <w:noProof/>
                <w:webHidden/>
              </w:rPr>
              <w:fldChar w:fldCharType="separate"/>
            </w:r>
            <w:r w:rsidR="001017BA">
              <w:rPr>
                <w:noProof/>
                <w:webHidden/>
              </w:rPr>
              <w:t>6</w:t>
            </w:r>
            <w:r w:rsidR="00565E39">
              <w:rPr>
                <w:noProof/>
                <w:webHidden/>
              </w:rPr>
              <w:fldChar w:fldCharType="end"/>
            </w:r>
          </w:hyperlink>
        </w:p>
        <w:p w14:paraId="3FEFB3FF" w14:textId="53A72EE2" w:rsidR="00565E39" w:rsidRDefault="00C16CDE">
          <w:pPr>
            <w:pStyle w:val="TOC2"/>
            <w:tabs>
              <w:tab w:val="right" w:leader="dot" w:pos="9350"/>
            </w:tabs>
            <w:rPr>
              <w:noProof/>
            </w:rPr>
          </w:pPr>
          <w:hyperlink w:anchor="_Toc217082137" w:history="1">
            <w:r w:rsidR="00565E39" w:rsidRPr="00082DFD">
              <w:rPr>
                <w:rStyle w:val="Hyperlink"/>
                <w:noProof/>
              </w:rPr>
              <w:t>1.4 Efficiency Ratio Analysis</w:t>
            </w:r>
            <w:r w:rsidR="00565E39">
              <w:rPr>
                <w:noProof/>
                <w:webHidden/>
              </w:rPr>
              <w:tab/>
            </w:r>
            <w:r w:rsidR="00565E39">
              <w:rPr>
                <w:noProof/>
                <w:webHidden/>
              </w:rPr>
              <w:fldChar w:fldCharType="begin"/>
            </w:r>
            <w:r w:rsidR="00565E39">
              <w:rPr>
                <w:noProof/>
                <w:webHidden/>
              </w:rPr>
              <w:instrText xml:space="preserve"> PAGEREF _Toc217082137 \h </w:instrText>
            </w:r>
            <w:r w:rsidR="00565E39">
              <w:rPr>
                <w:noProof/>
                <w:webHidden/>
              </w:rPr>
            </w:r>
            <w:r w:rsidR="00565E39">
              <w:rPr>
                <w:noProof/>
                <w:webHidden/>
              </w:rPr>
              <w:fldChar w:fldCharType="separate"/>
            </w:r>
            <w:r w:rsidR="001017BA">
              <w:rPr>
                <w:noProof/>
                <w:webHidden/>
              </w:rPr>
              <w:t>6</w:t>
            </w:r>
            <w:r w:rsidR="00565E39">
              <w:rPr>
                <w:noProof/>
                <w:webHidden/>
              </w:rPr>
              <w:fldChar w:fldCharType="end"/>
            </w:r>
          </w:hyperlink>
        </w:p>
        <w:p w14:paraId="69D922CA" w14:textId="563F1739" w:rsidR="00565E39" w:rsidRDefault="00C16CDE">
          <w:pPr>
            <w:pStyle w:val="TOC2"/>
            <w:tabs>
              <w:tab w:val="right" w:leader="dot" w:pos="9350"/>
            </w:tabs>
            <w:rPr>
              <w:noProof/>
            </w:rPr>
          </w:pPr>
          <w:hyperlink w:anchor="_Toc217082138" w:history="1">
            <w:r w:rsidR="00565E39" w:rsidRPr="00082DFD">
              <w:rPr>
                <w:rStyle w:val="Hyperlink"/>
                <w:noProof/>
              </w:rPr>
              <w:t>1.5 Gearing and Capital Structure Analysis</w:t>
            </w:r>
            <w:r w:rsidR="00565E39">
              <w:rPr>
                <w:noProof/>
                <w:webHidden/>
              </w:rPr>
              <w:tab/>
            </w:r>
            <w:r w:rsidR="00565E39">
              <w:rPr>
                <w:noProof/>
                <w:webHidden/>
              </w:rPr>
              <w:fldChar w:fldCharType="begin"/>
            </w:r>
            <w:r w:rsidR="00565E39">
              <w:rPr>
                <w:noProof/>
                <w:webHidden/>
              </w:rPr>
              <w:instrText xml:space="preserve"> PAGEREF _Toc217082138 \h </w:instrText>
            </w:r>
            <w:r w:rsidR="00565E39">
              <w:rPr>
                <w:noProof/>
                <w:webHidden/>
              </w:rPr>
            </w:r>
            <w:r w:rsidR="00565E39">
              <w:rPr>
                <w:noProof/>
                <w:webHidden/>
              </w:rPr>
              <w:fldChar w:fldCharType="separate"/>
            </w:r>
            <w:r w:rsidR="001017BA">
              <w:rPr>
                <w:noProof/>
                <w:webHidden/>
              </w:rPr>
              <w:t>7</w:t>
            </w:r>
            <w:r w:rsidR="00565E39">
              <w:rPr>
                <w:noProof/>
                <w:webHidden/>
              </w:rPr>
              <w:fldChar w:fldCharType="end"/>
            </w:r>
          </w:hyperlink>
        </w:p>
        <w:p w14:paraId="4A188177" w14:textId="15D851CA" w:rsidR="00565E39" w:rsidRDefault="00C16CDE">
          <w:pPr>
            <w:pStyle w:val="TOC2"/>
            <w:tabs>
              <w:tab w:val="right" w:leader="dot" w:pos="9350"/>
            </w:tabs>
            <w:rPr>
              <w:noProof/>
            </w:rPr>
          </w:pPr>
          <w:hyperlink w:anchor="_Toc217082139" w:history="1">
            <w:r w:rsidR="00565E39" w:rsidRPr="00082DFD">
              <w:rPr>
                <w:rStyle w:val="Hyperlink"/>
                <w:noProof/>
              </w:rPr>
              <w:t>1.6 Investment Performance Analysis</w:t>
            </w:r>
            <w:r w:rsidR="00565E39">
              <w:rPr>
                <w:noProof/>
                <w:webHidden/>
              </w:rPr>
              <w:tab/>
            </w:r>
            <w:r w:rsidR="00565E39">
              <w:rPr>
                <w:noProof/>
                <w:webHidden/>
              </w:rPr>
              <w:fldChar w:fldCharType="begin"/>
            </w:r>
            <w:r w:rsidR="00565E39">
              <w:rPr>
                <w:noProof/>
                <w:webHidden/>
              </w:rPr>
              <w:instrText xml:space="preserve"> PAGEREF _Toc217082139 \h </w:instrText>
            </w:r>
            <w:r w:rsidR="00565E39">
              <w:rPr>
                <w:noProof/>
                <w:webHidden/>
              </w:rPr>
            </w:r>
            <w:r w:rsidR="00565E39">
              <w:rPr>
                <w:noProof/>
                <w:webHidden/>
              </w:rPr>
              <w:fldChar w:fldCharType="separate"/>
            </w:r>
            <w:r w:rsidR="001017BA">
              <w:rPr>
                <w:noProof/>
                <w:webHidden/>
              </w:rPr>
              <w:t>7</w:t>
            </w:r>
            <w:r w:rsidR="00565E39">
              <w:rPr>
                <w:noProof/>
                <w:webHidden/>
              </w:rPr>
              <w:fldChar w:fldCharType="end"/>
            </w:r>
          </w:hyperlink>
        </w:p>
        <w:p w14:paraId="292B8328" w14:textId="25DC67F9" w:rsidR="00565E39" w:rsidRDefault="00C16CDE">
          <w:pPr>
            <w:pStyle w:val="TOC2"/>
            <w:tabs>
              <w:tab w:val="right" w:leader="dot" w:pos="9350"/>
            </w:tabs>
            <w:rPr>
              <w:noProof/>
            </w:rPr>
          </w:pPr>
          <w:hyperlink w:anchor="_Toc217082140" w:history="1">
            <w:r w:rsidR="00565E39" w:rsidRPr="00082DFD">
              <w:rPr>
                <w:rStyle w:val="Hyperlink"/>
                <w:noProof/>
              </w:rPr>
              <w:t>1.7 Cash Flow Ratio Analysis</w:t>
            </w:r>
            <w:r w:rsidR="00565E39">
              <w:rPr>
                <w:noProof/>
                <w:webHidden/>
              </w:rPr>
              <w:tab/>
            </w:r>
            <w:r w:rsidR="00565E39">
              <w:rPr>
                <w:noProof/>
                <w:webHidden/>
              </w:rPr>
              <w:fldChar w:fldCharType="begin"/>
            </w:r>
            <w:r w:rsidR="00565E39">
              <w:rPr>
                <w:noProof/>
                <w:webHidden/>
              </w:rPr>
              <w:instrText xml:space="preserve"> PAGEREF _Toc217082140 \h </w:instrText>
            </w:r>
            <w:r w:rsidR="00565E39">
              <w:rPr>
                <w:noProof/>
                <w:webHidden/>
              </w:rPr>
            </w:r>
            <w:r w:rsidR="00565E39">
              <w:rPr>
                <w:noProof/>
                <w:webHidden/>
              </w:rPr>
              <w:fldChar w:fldCharType="separate"/>
            </w:r>
            <w:r w:rsidR="001017BA">
              <w:rPr>
                <w:noProof/>
                <w:webHidden/>
              </w:rPr>
              <w:t>8</w:t>
            </w:r>
            <w:r w:rsidR="00565E39">
              <w:rPr>
                <w:noProof/>
                <w:webHidden/>
              </w:rPr>
              <w:fldChar w:fldCharType="end"/>
            </w:r>
          </w:hyperlink>
        </w:p>
        <w:p w14:paraId="05534F9B" w14:textId="36E23619" w:rsidR="00565E39" w:rsidRDefault="00C16CDE">
          <w:pPr>
            <w:pStyle w:val="TOC2"/>
            <w:tabs>
              <w:tab w:val="right" w:leader="dot" w:pos="9350"/>
            </w:tabs>
            <w:rPr>
              <w:noProof/>
            </w:rPr>
          </w:pPr>
          <w:hyperlink w:anchor="_Toc217082141" w:history="1">
            <w:r w:rsidR="00565E39" w:rsidRPr="00082DFD">
              <w:rPr>
                <w:rStyle w:val="Hyperlink"/>
                <w:noProof/>
              </w:rPr>
              <w:t>1.8 Identification of Trends, Strengths, and Threats</w:t>
            </w:r>
            <w:r w:rsidR="00565E39">
              <w:rPr>
                <w:noProof/>
                <w:webHidden/>
              </w:rPr>
              <w:tab/>
            </w:r>
            <w:r w:rsidR="00565E39">
              <w:rPr>
                <w:noProof/>
                <w:webHidden/>
              </w:rPr>
              <w:fldChar w:fldCharType="begin"/>
            </w:r>
            <w:r w:rsidR="00565E39">
              <w:rPr>
                <w:noProof/>
                <w:webHidden/>
              </w:rPr>
              <w:instrText xml:space="preserve"> PAGEREF _Toc217082141 \h </w:instrText>
            </w:r>
            <w:r w:rsidR="00565E39">
              <w:rPr>
                <w:noProof/>
                <w:webHidden/>
              </w:rPr>
            </w:r>
            <w:r w:rsidR="00565E39">
              <w:rPr>
                <w:noProof/>
                <w:webHidden/>
              </w:rPr>
              <w:fldChar w:fldCharType="separate"/>
            </w:r>
            <w:r w:rsidR="001017BA">
              <w:rPr>
                <w:noProof/>
                <w:webHidden/>
              </w:rPr>
              <w:t>9</w:t>
            </w:r>
            <w:r w:rsidR="00565E39">
              <w:rPr>
                <w:noProof/>
                <w:webHidden/>
              </w:rPr>
              <w:fldChar w:fldCharType="end"/>
            </w:r>
          </w:hyperlink>
        </w:p>
        <w:p w14:paraId="68219804" w14:textId="46E37434" w:rsidR="00565E39" w:rsidRDefault="00C16CDE">
          <w:pPr>
            <w:pStyle w:val="TOC2"/>
            <w:tabs>
              <w:tab w:val="right" w:leader="dot" w:pos="9350"/>
            </w:tabs>
            <w:rPr>
              <w:noProof/>
            </w:rPr>
          </w:pPr>
          <w:hyperlink w:anchor="_Toc217082142" w:history="1">
            <w:r w:rsidR="00565E39" w:rsidRPr="00082DFD">
              <w:rPr>
                <w:rStyle w:val="Hyperlink"/>
                <w:noProof/>
              </w:rPr>
              <w:t>1.9 Corporate Failure Risk Assessment: Altman Z-Score</w:t>
            </w:r>
            <w:r w:rsidR="00565E39">
              <w:rPr>
                <w:noProof/>
                <w:webHidden/>
              </w:rPr>
              <w:tab/>
            </w:r>
            <w:r w:rsidR="00565E39">
              <w:rPr>
                <w:noProof/>
                <w:webHidden/>
              </w:rPr>
              <w:fldChar w:fldCharType="begin"/>
            </w:r>
            <w:r w:rsidR="00565E39">
              <w:rPr>
                <w:noProof/>
                <w:webHidden/>
              </w:rPr>
              <w:instrText xml:space="preserve"> PAGEREF _Toc217082142 \h </w:instrText>
            </w:r>
            <w:r w:rsidR="00565E39">
              <w:rPr>
                <w:noProof/>
                <w:webHidden/>
              </w:rPr>
            </w:r>
            <w:r w:rsidR="00565E39">
              <w:rPr>
                <w:noProof/>
                <w:webHidden/>
              </w:rPr>
              <w:fldChar w:fldCharType="separate"/>
            </w:r>
            <w:r w:rsidR="001017BA">
              <w:rPr>
                <w:noProof/>
                <w:webHidden/>
              </w:rPr>
              <w:t>9</w:t>
            </w:r>
            <w:r w:rsidR="00565E39">
              <w:rPr>
                <w:noProof/>
                <w:webHidden/>
              </w:rPr>
              <w:fldChar w:fldCharType="end"/>
            </w:r>
          </w:hyperlink>
        </w:p>
        <w:p w14:paraId="6BD1BFD2" w14:textId="2476B162" w:rsidR="00565E39" w:rsidRDefault="00C16CDE">
          <w:pPr>
            <w:pStyle w:val="TOC2"/>
            <w:tabs>
              <w:tab w:val="right" w:leader="dot" w:pos="9350"/>
            </w:tabs>
            <w:rPr>
              <w:noProof/>
            </w:rPr>
          </w:pPr>
          <w:hyperlink w:anchor="_Toc217082143" w:history="1">
            <w:r w:rsidR="00565E39" w:rsidRPr="00082DFD">
              <w:rPr>
                <w:rStyle w:val="Hyperlink"/>
                <w:noProof/>
              </w:rPr>
              <w:t>1.10 Overall Summary</w:t>
            </w:r>
            <w:r w:rsidR="00565E39">
              <w:rPr>
                <w:noProof/>
                <w:webHidden/>
              </w:rPr>
              <w:tab/>
            </w:r>
            <w:r w:rsidR="00565E39">
              <w:rPr>
                <w:noProof/>
                <w:webHidden/>
              </w:rPr>
              <w:fldChar w:fldCharType="begin"/>
            </w:r>
            <w:r w:rsidR="00565E39">
              <w:rPr>
                <w:noProof/>
                <w:webHidden/>
              </w:rPr>
              <w:instrText xml:space="preserve"> PAGEREF _Toc217082143 \h </w:instrText>
            </w:r>
            <w:r w:rsidR="00565E39">
              <w:rPr>
                <w:noProof/>
                <w:webHidden/>
              </w:rPr>
            </w:r>
            <w:r w:rsidR="00565E39">
              <w:rPr>
                <w:noProof/>
                <w:webHidden/>
              </w:rPr>
              <w:fldChar w:fldCharType="separate"/>
            </w:r>
            <w:r w:rsidR="001017BA">
              <w:rPr>
                <w:noProof/>
                <w:webHidden/>
              </w:rPr>
              <w:t>10</w:t>
            </w:r>
            <w:r w:rsidR="00565E39">
              <w:rPr>
                <w:noProof/>
                <w:webHidden/>
              </w:rPr>
              <w:fldChar w:fldCharType="end"/>
            </w:r>
          </w:hyperlink>
        </w:p>
        <w:p w14:paraId="68B8CA7B" w14:textId="568FB58E" w:rsidR="00565E39" w:rsidRDefault="00C16CDE">
          <w:pPr>
            <w:pStyle w:val="TOC1"/>
            <w:tabs>
              <w:tab w:val="right" w:leader="dot" w:pos="9350"/>
            </w:tabs>
            <w:rPr>
              <w:noProof/>
            </w:rPr>
          </w:pPr>
          <w:hyperlink w:anchor="_Toc217082144" w:history="1">
            <w:r w:rsidR="00565E39" w:rsidRPr="00082DFD">
              <w:rPr>
                <w:rStyle w:val="Hyperlink"/>
                <w:noProof/>
              </w:rPr>
              <w:t>2. Working Capital Management Analysis</w:t>
            </w:r>
            <w:r w:rsidR="00565E39">
              <w:rPr>
                <w:noProof/>
                <w:webHidden/>
              </w:rPr>
              <w:tab/>
            </w:r>
            <w:r w:rsidR="00565E39">
              <w:rPr>
                <w:noProof/>
                <w:webHidden/>
              </w:rPr>
              <w:fldChar w:fldCharType="begin"/>
            </w:r>
            <w:r w:rsidR="00565E39">
              <w:rPr>
                <w:noProof/>
                <w:webHidden/>
              </w:rPr>
              <w:instrText xml:space="preserve"> PAGEREF _Toc217082144 \h </w:instrText>
            </w:r>
            <w:r w:rsidR="00565E39">
              <w:rPr>
                <w:noProof/>
                <w:webHidden/>
              </w:rPr>
            </w:r>
            <w:r w:rsidR="00565E39">
              <w:rPr>
                <w:noProof/>
                <w:webHidden/>
              </w:rPr>
              <w:fldChar w:fldCharType="separate"/>
            </w:r>
            <w:r w:rsidR="001017BA">
              <w:rPr>
                <w:noProof/>
                <w:webHidden/>
              </w:rPr>
              <w:t>10</w:t>
            </w:r>
            <w:r w:rsidR="00565E39">
              <w:rPr>
                <w:noProof/>
                <w:webHidden/>
              </w:rPr>
              <w:fldChar w:fldCharType="end"/>
            </w:r>
          </w:hyperlink>
        </w:p>
        <w:p w14:paraId="143CBFCE" w14:textId="24F89D94" w:rsidR="00565E39" w:rsidRDefault="00C16CDE">
          <w:pPr>
            <w:pStyle w:val="TOC2"/>
            <w:tabs>
              <w:tab w:val="right" w:leader="dot" w:pos="9350"/>
            </w:tabs>
            <w:rPr>
              <w:noProof/>
            </w:rPr>
          </w:pPr>
          <w:hyperlink w:anchor="_Toc217082145" w:history="1">
            <w:r w:rsidR="00565E39" w:rsidRPr="00082DFD">
              <w:rPr>
                <w:rStyle w:val="Hyperlink"/>
                <w:noProof/>
              </w:rPr>
              <w:t>2.1 Introduction</w:t>
            </w:r>
            <w:r w:rsidR="00565E39">
              <w:rPr>
                <w:noProof/>
                <w:webHidden/>
              </w:rPr>
              <w:tab/>
            </w:r>
            <w:r w:rsidR="00565E39">
              <w:rPr>
                <w:noProof/>
                <w:webHidden/>
              </w:rPr>
              <w:fldChar w:fldCharType="begin"/>
            </w:r>
            <w:r w:rsidR="00565E39">
              <w:rPr>
                <w:noProof/>
                <w:webHidden/>
              </w:rPr>
              <w:instrText xml:space="preserve"> PAGEREF _Toc217082145 \h </w:instrText>
            </w:r>
            <w:r w:rsidR="00565E39">
              <w:rPr>
                <w:noProof/>
                <w:webHidden/>
              </w:rPr>
            </w:r>
            <w:r w:rsidR="00565E39">
              <w:rPr>
                <w:noProof/>
                <w:webHidden/>
              </w:rPr>
              <w:fldChar w:fldCharType="separate"/>
            </w:r>
            <w:r w:rsidR="001017BA">
              <w:rPr>
                <w:noProof/>
                <w:webHidden/>
              </w:rPr>
              <w:t>11</w:t>
            </w:r>
            <w:r w:rsidR="00565E39">
              <w:rPr>
                <w:noProof/>
                <w:webHidden/>
              </w:rPr>
              <w:fldChar w:fldCharType="end"/>
            </w:r>
          </w:hyperlink>
        </w:p>
        <w:p w14:paraId="7997039F" w14:textId="5C3847B1" w:rsidR="00565E39" w:rsidRDefault="00C16CDE">
          <w:pPr>
            <w:pStyle w:val="TOC2"/>
            <w:tabs>
              <w:tab w:val="right" w:leader="dot" w:pos="9350"/>
            </w:tabs>
            <w:rPr>
              <w:noProof/>
            </w:rPr>
          </w:pPr>
          <w:hyperlink w:anchor="_Toc217082146" w:history="1">
            <w:r w:rsidR="00565E39" w:rsidRPr="00082DFD">
              <w:rPr>
                <w:rStyle w:val="Hyperlink"/>
                <w:noProof/>
              </w:rPr>
              <w:t>2.2 Assessment of the Cash Operating Cycle</w:t>
            </w:r>
            <w:r w:rsidR="00565E39">
              <w:rPr>
                <w:noProof/>
                <w:webHidden/>
              </w:rPr>
              <w:tab/>
            </w:r>
            <w:r w:rsidR="00565E39">
              <w:rPr>
                <w:noProof/>
                <w:webHidden/>
              </w:rPr>
              <w:fldChar w:fldCharType="begin"/>
            </w:r>
            <w:r w:rsidR="00565E39">
              <w:rPr>
                <w:noProof/>
                <w:webHidden/>
              </w:rPr>
              <w:instrText xml:space="preserve"> PAGEREF _Toc217082146 \h </w:instrText>
            </w:r>
            <w:r w:rsidR="00565E39">
              <w:rPr>
                <w:noProof/>
                <w:webHidden/>
              </w:rPr>
            </w:r>
            <w:r w:rsidR="00565E39">
              <w:rPr>
                <w:noProof/>
                <w:webHidden/>
              </w:rPr>
              <w:fldChar w:fldCharType="separate"/>
            </w:r>
            <w:r w:rsidR="001017BA">
              <w:rPr>
                <w:noProof/>
                <w:webHidden/>
              </w:rPr>
              <w:t>11</w:t>
            </w:r>
            <w:r w:rsidR="00565E39">
              <w:rPr>
                <w:noProof/>
                <w:webHidden/>
              </w:rPr>
              <w:fldChar w:fldCharType="end"/>
            </w:r>
          </w:hyperlink>
        </w:p>
        <w:p w14:paraId="3172D709" w14:textId="3FEFC218" w:rsidR="00565E39" w:rsidRDefault="00C16CDE">
          <w:pPr>
            <w:pStyle w:val="TOC2"/>
            <w:tabs>
              <w:tab w:val="right" w:leader="dot" w:pos="9350"/>
            </w:tabs>
            <w:rPr>
              <w:noProof/>
            </w:rPr>
          </w:pPr>
          <w:hyperlink w:anchor="_Toc217082147" w:history="1">
            <w:r w:rsidR="00565E39" w:rsidRPr="00082DFD">
              <w:rPr>
                <w:rStyle w:val="Hyperlink"/>
                <w:noProof/>
              </w:rPr>
              <w:t>2.3 Strategies to Improve Liquidity through Working Capital Reforms</w:t>
            </w:r>
            <w:r w:rsidR="00565E39">
              <w:rPr>
                <w:noProof/>
                <w:webHidden/>
              </w:rPr>
              <w:tab/>
            </w:r>
            <w:r w:rsidR="00565E39">
              <w:rPr>
                <w:noProof/>
                <w:webHidden/>
              </w:rPr>
              <w:fldChar w:fldCharType="begin"/>
            </w:r>
            <w:r w:rsidR="00565E39">
              <w:rPr>
                <w:noProof/>
                <w:webHidden/>
              </w:rPr>
              <w:instrText xml:space="preserve"> PAGEREF _Toc217082147 \h </w:instrText>
            </w:r>
            <w:r w:rsidR="00565E39">
              <w:rPr>
                <w:noProof/>
                <w:webHidden/>
              </w:rPr>
            </w:r>
            <w:r w:rsidR="00565E39">
              <w:rPr>
                <w:noProof/>
                <w:webHidden/>
              </w:rPr>
              <w:fldChar w:fldCharType="separate"/>
            </w:r>
            <w:r w:rsidR="001017BA">
              <w:rPr>
                <w:noProof/>
                <w:webHidden/>
              </w:rPr>
              <w:t>11</w:t>
            </w:r>
            <w:r w:rsidR="00565E39">
              <w:rPr>
                <w:noProof/>
                <w:webHidden/>
              </w:rPr>
              <w:fldChar w:fldCharType="end"/>
            </w:r>
          </w:hyperlink>
        </w:p>
        <w:p w14:paraId="1DB039E1" w14:textId="529291DD" w:rsidR="00565E39" w:rsidRDefault="00C16CDE">
          <w:pPr>
            <w:pStyle w:val="TOC2"/>
            <w:tabs>
              <w:tab w:val="right" w:leader="dot" w:pos="9350"/>
            </w:tabs>
            <w:rPr>
              <w:noProof/>
            </w:rPr>
          </w:pPr>
          <w:hyperlink w:anchor="_Toc217082148" w:history="1">
            <w:r w:rsidR="00565E39" w:rsidRPr="00082DFD">
              <w:rPr>
                <w:rStyle w:val="Hyperlink"/>
                <w:noProof/>
              </w:rPr>
              <w:t>2.4 Short-Term versus Long-Term Financing Options</w:t>
            </w:r>
            <w:r w:rsidR="00565E39">
              <w:rPr>
                <w:noProof/>
                <w:webHidden/>
              </w:rPr>
              <w:tab/>
            </w:r>
            <w:r w:rsidR="00565E39">
              <w:rPr>
                <w:noProof/>
                <w:webHidden/>
              </w:rPr>
              <w:fldChar w:fldCharType="begin"/>
            </w:r>
            <w:r w:rsidR="00565E39">
              <w:rPr>
                <w:noProof/>
                <w:webHidden/>
              </w:rPr>
              <w:instrText xml:space="preserve"> PAGEREF _Toc217082148 \h </w:instrText>
            </w:r>
            <w:r w:rsidR="00565E39">
              <w:rPr>
                <w:noProof/>
                <w:webHidden/>
              </w:rPr>
            </w:r>
            <w:r w:rsidR="00565E39">
              <w:rPr>
                <w:noProof/>
                <w:webHidden/>
              </w:rPr>
              <w:fldChar w:fldCharType="separate"/>
            </w:r>
            <w:r w:rsidR="001017BA">
              <w:rPr>
                <w:noProof/>
                <w:webHidden/>
              </w:rPr>
              <w:t>12</w:t>
            </w:r>
            <w:r w:rsidR="00565E39">
              <w:rPr>
                <w:noProof/>
                <w:webHidden/>
              </w:rPr>
              <w:fldChar w:fldCharType="end"/>
            </w:r>
          </w:hyperlink>
        </w:p>
        <w:p w14:paraId="0CA93CC4" w14:textId="09676F43" w:rsidR="00565E39" w:rsidRDefault="00C16CDE">
          <w:pPr>
            <w:pStyle w:val="TOC2"/>
            <w:tabs>
              <w:tab w:val="right" w:leader="dot" w:pos="9350"/>
            </w:tabs>
            <w:rPr>
              <w:noProof/>
            </w:rPr>
          </w:pPr>
          <w:hyperlink w:anchor="_Toc217082149" w:history="1">
            <w:r w:rsidR="00565E39" w:rsidRPr="00082DFD">
              <w:rPr>
                <w:rStyle w:val="Hyperlink"/>
                <w:noProof/>
              </w:rPr>
              <w:t>2.5 Overall Summary</w:t>
            </w:r>
            <w:r w:rsidR="00565E39">
              <w:rPr>
                <w:noProof/>
                <w:webHidden/>
              </w:rPr>
              <w:tab/>
            </w:r>
            <w:r w:rsidR="00565E39">
              <w:rPr>
                <w:noProof/>
                <w:webHidden/>
              </w:rPr>
              <w:fldChar w:fldCharType="begin"/>
            </w:r>
            <w:r w:rsidR="00565E39">
              <w:rPr>
                <w:noProof/>
                <w:webHidden/>
              </w:rPr>
              <w:instrText xml:space="preserve"> PAGEREF _Toc217082149 \h </w:instrText>
            </w:r>
            <w:r w:rsidR="00565E39">
              <w:rPr>
                <w:noProof/>
                <w:webHidden/>
              </w:rPr>
            </w:r>
            <w:r w:rsidR="00565E39">
              <w:rPr>
                <w:noProof/>
                <w:webHidden/>
              </w:rPr>
              <w:fldChar w:fldCharType="separate"/>
            </w:r>
            <w:r w:rsidR="001017BA">
              <w:rPr>
                <w:noProof/>
                <w:webHidden/>
              </w:rPr>
              <w:t>13</w:t>
            </w:r>
            <w:r w:rsidR="00565E39">
              <w:rPr>
                <w:noProof/>
                <w:webHidden/>
              </w:rPr>
              <w:fldChar w:fldCharType="end"/>
            </w:r>
          </w:hyperlink>
        </w:p>
        <w:p w14:paraId="538CDE61" w14:textId="63D6A5E3" w:rsidR="00565E39" w:rsidRDefault="00C16CDE">
          <w:pPr>
            <w:pStyle w:val="TOC1"/>
            <w:tabs>
              <w:tab w:val="right" w:leader="dot" w:pos="9350"/>
            </w:tabs>
            <w:rPr>
              <w:noProof/>
            </w:rPr>
          </w:pPr>
          <w:hyperlink w:anchor="_Toc217082150" w:history="1">
            <w:r w:rsidR="00565E39" w:rsidRPr="00082DFD">
              <w:rPr>
                <w:rStyle w:val="Hyperlink"/>
                <w:noProof/>
              </w:rPr>
              <w:t>3. Strategic Financial Restructuring Plan</w:t>
            </w:r>
            <w:r w:rsidR="00565E39">
              <w:rPr>
                <w:noProof/>
                <w:webHidden/>
              </w:rPr>
              <w:tab/>
            </w:r>
            <w:r w:rsidR="00565E39">
              <w:rPr>
                <w:noProof/>
                <w:webHidden/>
              </w:rPr>
              <w:fldChar w:fldCharType="begin"/>
            </w:r>
            <w:r w:rsidR="00565E39">
              <w:rPr>
                <w:noProof/>
                <w:webHidden/>
              </w:rPr>
              <w:instrText xml:space="preserve"> PAGEREF _Toc217082150 \h </w:instrText>
            </w:r>
            <w:r w:rsidR="00565E39">
              <w:rPr>
                <w:noProof/>
                <w:webHidden/>
              </w:rPr>
            </w:r>
            <w:r w:rsidR="00565E39">
              <w:rPr>
                <w:noProof/>
                <w:webHidden/>
              </w:rPr>
              <w:fldChar w:fldCharType="separate"/>
            </w:r>
            <w:r w:rsidR="001017BA">
              <w:rPr>
                <w:noProof/>
                <w:webHidden/>
              </w:rPr>
              <w:t>15</w:t>
            </w:r>
            <w:r w:rsidR="00565E39">
              <w:rPr>
                <w:noProof/>
                <w:webHidden/>
              </w:rPr>
              <w:fldChar w:fldCharType="end"/>
            </w:r>
          </w:hyperlink>
        </w:p>
        <w:p w14:paraId="5E3C0B66" w14:textId="69E10D2C" w:rsidR="00565E39" w:rsidRDefault="00C16CDE">
          <w:pPr>
            <w:pStyle w:val="TOC2"/>
            <w:tabs>
              <w:tab w:val="right" w:leader="dot" w:pos="9350"/>
            </w:tabs>
            <w:rPr>
              <w:noProof/>
            </w:rPr>
          </w:pPr>
          <w:hyperlink w:anchor="_Toc217082151" w:history="1">
            <w:r w:rsidR="00565E39" w:rsidRPr="00082DFD">
              <w:rPr>
                <w:rStyle w:val="Hyperlink"/>
                <w:noProof/>
              </w:rPr>
              <w:t>3.1 Introduction</w:t>
            </w:r>
            <w:r w:rsidR="00565E39">
              <w:rPr>
                <w:noProof/>
                <w:webHidden/>
              </w:rPr>
              <w:tab/>
            </w:r>
            <w:r w:rsidR="00565E39">
              <w:rPr>
                <w:noProof/>
                <w:webHidden/>
              </w:rPr>
              <w:fldChar w:fldCharType="begin"/>
            </w:r>
            <w:r w:rsidR="00565E39">
              <w:rPr>
                <w:noProof/>
                <w:webHidden/>
              </w:rPr>
              <w:instrText xml:space="preserve"> PAGEREF _Toc217082151 \h </w:instrText>
            </w:r>
            <w:r w:rsidR="00565E39">
              <w:rPr>
                <w:noProof/>
                <w:webHidden/>
              </w:rPr>
            </w:r>
            <w:r w:rsidR="00565E39">
              <w:rPr>
                <w:noProof/>
                <w:webHidden/>
              </w:rPr>
              <w:fldChar w:fldCharType="separate"/>
            </w:r>
            <w:r w:rsidR="001017BA">
              <w:rPr>
                <w:noProof/>
                <w:webHidden/>
              </w:rPr>
              <w:t>15</w:t>
            </w:r>
            <w:r w:rsidR="00565E39">
              <w:rPr>
                <w:noProof/>
                <w:webHidden/>
              </w:rPr>
              <w:fldChar w:fldCharType="end"/>
            </w:r>
          </w:hyperlink>
        </w:p>
        <w:p w14:paraId="408E31EE" w14:textId="547EB693" w:rsidR="00565E39" w:rsidRDefault="00C16CDE">
          <w:pPr>
            <w:pStyle w:val="TOC2"/>
            <w:tabs>
              <w:tab w:val="right" w:leader="dot" w:pos="9350"/>
            </w:tabs>
            <w:rPr>
              <w:noProof/>
            </w:rPr>
          </w:pPr>
          <w:hyperlink w:anchor="_Toc217082152" w:history="1">
            <w:r w:rsidR="00565E39" w:rsidRPr="00082DFD">
              <w:rPr>
                <w:rStyle w:val="Hyperlink"/>
                <w:noProof/>
              </w:rPr>
              <w:t>3.2 Rationale for Financial Restructuring</w:t>
            </w:r>
            <w:r w:rsidR="00565E39">
              <w:rPr>
                <w:noProof/>
                <w:webHidden/>
              </w:rPr>
              <w:tab/>
            </w:r>
            <w:r w:rsidR="00565E39">
              <w:rPr>
                <w:noProof/>
                <w:webHidden/>
              </w:rPr>
              <w:fldChar w:fldCharType="begin"/>
            </w:r>
            <w:r w:rsidR="00565E39">
              <w:rPr>
                <w:noProof/>
                <w:webHidden/>
              </w:rPr>
              <w:instrText xml:space="preserve"> PAGEREF _Toc217082152 \h </w:instrText>
            </w:r>
            <w:r w:rsidR="00565E39">
              <w:rPr>
                <w:noProof/>
                <w:webHidden/>
              </w:rPr>
            </w:r>
            <w:r w:rsidR="00565E39">
              <w:rPr>
                <w:noProof/>
                <w:webHidden/>
              </w:rPr>
              <w:fldChar w:fldCharType="separate"/>
            </w:r>
            <w:r w:rsidR="001017BA">
              <w:rPr>
                <w:noProof/>
                <w:webHidden/>
              </w:rPr>
              <w:t>15</w:t>
            </w:r>
            <w:r w:rsidR="00565E39">
              <w:rPr>
                <w:noProof/>
                <w:webHidden/>
              </w:rPr>
              <w:fldChar w:fldCharType="end"/>
            </w:r>
          </w:hyperlink>
        </w:p>
        <w:p w14:paraId="2A1E4430" w14:textId="5413A766" w:rsidR="00565E39" w:rsidRDefault="00C16CDE">
          <w:pPr>
            <w:pStyle w:val="TOC2"/>
            <w:tabs>
              <w:tab w:val="right" w:leader="dot" w:pos="9350"/>
            </w:tabs>
            <w:rPr>
              <w:noProof/>
            </w:rPr>
          </w:pPr>
          <w:hyperlink w:anchor="_Toc217082153" w:history="1">
            <w:r w:rsidR="00565E39" w:rsidRPr="00082DFD">
              <w:rPr>
                <w:rStyle w:val="Hyperlink"/>
                <w:noProof/>
              </w:rPr>
              <w:t>3.3 Recommended Financial Restructuring Options</w:t>
            </w:r>
            <w:r w:rsidR="00565E39">
              <w:rPr>
                <w:noProof/>
                <w:webHidden/>
              </w:rPr>
              <w:tab/>
            </w:r>
            <w:r w:rsidR="00565E39">
              <w:rPr>
                <w:noProof/>
                <w:webHidden/>
              </w:rPr>
              <w:fldChar w:fldCharType="begin"/>
            </w:r>
            <w:r w:rsidR="00565E39">
              <w:rPr>
                <w:noProof/>
                <w:webHidden/>
              </w:rPr>
              <w:instrText xml:space="preserve"> PAGEREF _Toc217082153 \h </w:instrText>
            </w:r>
            <w:r w:rsidR="00565E39">
              <w:rPr>
                <w:noProof/>
                <w:webHidden/>
              </w:rPr>
            </w:r>
            <w:r w:rsidR="00565E39">
              <w:rPr>
                <w:noProof/>
                <w:webHidden/>
              </w:rPr>
              <w:fldChar w:fldCharType="separate"/>
            </w:r>
            <w:r w:rsidR="001017BA">
              <w:rPr>
                <w:noProof/>
                <w:webHidden/>
              </w:rPr>
              <w:t>16</w:t>
            </w:r>
            <w:r w:rsidR="00565E39">
              <w:rPr>
                <w:noProof/>
                <w:webHidden/>
              </w:rPr>
              <w:fldChar w:fldCharType="end"/>
            </w:r>
          </w:hyperlink>
        </w:p>
        <w:p w14:paraId="662ABF46" w14:textId="41744D1F" w:rsidR="00565E39" w:rsidRDefault="00C16CDE">
          <w:pPr>
            <w:pStyle w:val="TOC2"/>
            <w:tabs>
              <w:tab w:val="right" w:leader="dot" w:pos="9350"/>
            </w:tabs>
            <w:rPr>
              <w:noProof/>
            </w:rPr>
          </w:pPr>
          <w:hyperlink w:anchor="_Toc217082154" w:history="1">
            <w:r w:rsidR="00565E39" w:rsidRPr="00082DFD">
              <w:rPr>
                <w:rStyle w:val="Hyperlink"/>
                <w:noProof/>
              </w:rPr>
              <w:t>3.4 Evaluation of Impact on Financial Structure</w:t>
            </w:r>
            <w:r w:rsidR="00565E39">
              <w:rPr>
                <w:noProof/>
                <w:webHidden/>
              </w:rPr>
              <w:tab/>
            </w:r>
            <w:r w:rsidR="00565E39">
              <w:rPr>
                <w:noProof/>
                <w:webHidden/>
              </w:rPr>
              <w:fldChar w:fldCharType="begin"/>
            </w:r>
            <w:r w:rsidR="00565E39">
              <w:rPr>
                <w:noProof/>
                <w:webHidden/>
              </w:rPr>
              <w:instrText xml:space="preserve"> PAGEREF _Toc217082154 \h </w:instrText>
            </w:r>
            <w:r w:rsidR="00565E39">
              <w:rPr>
                <w:noProof/>
                <w:webHidden/>
              </w:rPr>
            </w:r>
            <w:r w:rsidR="00565E39">
              <w:rPr>
                <w:noProof/>
                <w:webHidden/>
              </w:rPr>
              <w:fldChar w:fldCharType="separate"/>
            </w:r>
            <w:r w:rsidR="001017BA">
              <w:rPr>
                <w:noProof/>
                <w:webHidden/>
              </w:rPr>
              <w:t>16</w:t>
            </w:r>
            <w:r w:rsidR="00565E39">
              <w:rPr>
                <w:noProof/>
                <w:webHidden/>
              </w:rPr>
              <w:fldChar w:fldCharType="end"/>
            </w:r>
          </w:hyperlink>
        </w:p>
        <w:p w14:paraId="10F8D878" w14:textId="3BF3E030" w:rsidR="00565E39" w:rsidRDefault="00C16CDE">
          <w:pPr>
            <w:pStyle w:val="TOC2"/>
            <w:tabs>
              <w:tab w:val="right" w:leader="dot" w:pos="9350"/>
            </w:tabs>
            <w:rPr>
              <w:noProof/>
            </w:rPr>
          </w:pPr>
          <w:hyperlink w:anchor="_Toc217082155" w:history="1">
            <w:r w:rsidR="00565E39" w:rsidRPr="00082DFD">
              <w:rPr>
                <w:rStyle w:val="Hyperlink"/>
                <w:noProof/>
              </w:rPr>
              <w:t>3.5 International and Ethical Considerations</w:t>
            </w:r>
            <w:r w:rsidR="00565E39">
              <w:rPr>
                <w:noProof/>
                <w:webHidden/>
              </w:rPr>
              <w:tab/>
            </w:r>
            <w:r w:rsidR="00565E39">
              <w:rPr>
                <w:noProof/>
                <w:webHidden/>
              </w:rPr>
              <w:fldChar w:fldCharType="begin"/>
            </w:r>
            <w:r w:rsidR="00565E39">
              <w:rPr>
                <w:noProof/>
                <w:webHidden/>
              </w:rPr>
              <w:instrText xml:space="preserve"> PAGEREF _Toc217082155 \h </w:instrText>
            </w:r>
            <w:r w:rsidR="00565E39">
              <w:rPr>
                <w:noProof/>
                <w:webHidden/>
              </w:rPr>
            </w:r>
            <w:r w:rsidR="00565E39">
              <w:rPr>
                <w:noProof/>
                <w:webHidden/>
              </w:rPr>
              <w:fldChar w:fldCharType="separate"/>
            </w:r>
            <w:r w:rsidR="001017BA">
              <w:rPr>
                <w:noProof/>
                <w:webHidden/>
              </w:rPr>
              <w:t>18</w:t>
            </w:r>
            <w:r w:rsidR="00565E39">
              <w:rPr>
                <w:noProof/>
                <w:webHidden/>
              </w:rPr>
              <w:fldChar w:fldCharType="end"/>
            </w:r>
          </w:hyperlink>
        </w:p>
        <w:p w14:paraId="3595269F" w14:textId="2AD38958" w:rsidR="00565E39" w:rsidRDefault="00C16CDE">
          <w:pPr>
            <w:pStyle w:val="TOC2"/>
            <w:tabs>
              <w:tab w:val="right" w:leader="dot" w:pos="9350"/>
            </w:tabs>
            <w:rPr>
              <w:noProof/>
            </w:rPr>
          </w:pPr>
          <w:hyperlink w:anchor="_Toc217082156" w:history="1">
            <w:r w:rsidR="00565E39" w:rsidRPr="00082DFD">
              <w:rPr>
                <w:rStyle w:val="Hyperlink"/>
                <w:noProof/>
              </w:rPr>
              <w:t>3.6 Overall Summary</w:t>
            </w:r>
            <w:r w:rsidR="00565E39">
              <w:rPr>
                <w:noProof/>
                <w:webHidden/>
              </w:rPr>
              <w:tab/>
            </w:r>
            <w:r w:rsidR="00565E39">
              <w:rPr>
                <w:noProof/>
                <w:webHidden/>
              </w:rPr>
              <w:fldChar w:fldCharType="begin"/>
            </w:r>
            <w:r w:rsidR="00565E39">
              <w:rPr>
                <w:noProof/>
                <w:webHidden/>
              </w:rPr>
              <w:instrText xml:space="preserve"> PAGEREF _Toc217082156 \h </w:instrText>
            </w:r>
            <w:r w:rsidR="00565E39">
              <w:rPr>
                <w:noProof/>
                <w:webHidden/>
              </w:rPr>
            </w:r>
            <w:r w:rsidR="00565E39">
              <w:rPr>
                <w:noProof/>
                <w:webHidden/>
              </w:rPr>
              <w:fldChar w:fldCharType="separate"/>
            </w:r>
            <w:r w:rsidR="001017BA">
              <w:rPr>
                <w:noProof/>
                <w:webHidden/>
              </w:rPr>
              <w:t>19</w:t>
            </w:r>
            <w:r w:rsidR="00565E39">
              <w:rPr>
                <w:noProof/>
                <w:webHidden/>
              </w:rPr>
              <w:fldChar w:fldCharType="end"/>
            </w:r>
          </w:hyperlink>
        </w:p>
        <w:p w14:paraId="35F76FFD" w14:textId="52C2BD6D" w:rsidR="00565E39" w:rsidRDefault="00C16CDE">
          <w:pPr>
            <w:pStyle w:val="TOC2"/>
            <w:tabs>
              <w:tab w:val="right" w:leader="dot" w:pos="9350"/>
            </w:tabs>
            <w:rPr>
              <w:noProof/>
            </w:rPr>
          </w:pPr>
          <w:hyperlink w:anchor="_Toc217082157" w:history="1">
            <w:r w:rsidR="00565E39" w:rsidRPr="00082DFD">
              <w:rPr>
                <w:rStyle w:val="Hyperlink"/>
                <w:rFonts w:cs="Arial"/>
                <w:noProof/>
              </w:rPr>
              <w:t xml:space="preserve">4. </w:t>
            </w:r>
            <w:r w:rsidR="00565E39" w:rsidRPr="00082DFD">
              <w:rPr>
                <w:rStyle w:val="Hyperlink"/>
                <w:noProof/>
              </w:rPr>
              <w:t>Investment</w:t>
            </w:r>
            <w:r w:rsidR="00565E39" w:rsidRPr="00082DFD">
              <w:rPr>
                <w:rStyle w:val="Hyperlink"/>
                <w:rFonts w:cs="Arial"/>
                <w:noProof/>
              </w:rPr>
              <w:t xml:space="preserve"> </w:t>
            </w:r>
            <w:r w:rsidR="00565E39" w:rsidRPr="00082DFD">
              <w:rPr>
                <w:rStyle w:val="Hyperlink"/>
                <w:noProof/>
              </w:rPr>
              <w:t>Appraisal</w:t>
            </w:r>
            <w:r w:rsidR="00565E39" w:rsidRPr="00082DFD">
              <w:rPr>
                <w:rStyle w:val="Hyperlink"/>
                <w:rFonts w:cs="Arial"/>
                <w:noProof/>
              </w:rPr>
              <w:t xml:space="preserve"> and Capital Budgeting</w:t>
            </w:r>
            <w:r w:rsidR="00565E39">
              <w:rPr>
                <w:noProof/>
                <w:webHidden/>
              </w:rPr>
              <w:tab/>
            </w:r>
            <w:r w:rsidR="00565E39">
              <w:rPr>
                <w:noProof/>
                <w:webHidden/>
              </w:rPr>
              <w:fldChar w:fldCharType="begin"/>
            </w:r>
            <w:r w:rsidR="00565E39">
              <w:rPr>
                <w:noProof/>
                <w:webHidden/>
              </w:rPr>
              <w:instrText xml:space="preserve"> PAGEREF _Toc217082157 \h </w:instrText>
            </w:r>
            <w:r w:rsidR="00565E39">
              <w:rPr>
                <w:noProof/>
                <w:webHidden/>
              </w:rPr>
            </w:r>
            <w:r w:rsidR="00565E39">
              <w:rPr>
                <w:noProof/>
                <w:webHidden/>
              </w:rPr>
              <w:fldChar w:fldCharType="separate"/>
            </w:r>
            <w:r w:rsidR="001017BA">
              <w:rPr>
                <w:noProof/>
                <w:webHidden/>
              </w:rPr>
              <w:t>20</w:t>
            </w:r>
            <w:r w:rsidR="00565E39">
              <w:rPr>
                <w:noProof/>
                <w:webHidden/>
              </w:rPr>
              <w:fldChar w:fldCharType="end"/>
            </w:r>
          </w:hyperlink>
        </w:p>
        <w:p w14:paraId="709008A9" w14:textId="0B9FE3B1" w:rsidR="00565E39" w:rsidRDefault="00C16CDE">
          <w:pPr>
            <w:pStyle w:val="TOC2"/>
            <w:tabs>
              <w:tab w:val="right" w:leader="dot" w:pos="9350"/>
            </w:tabs>
            <w:rPr>
              <w:noProof/>
            </w:rPr>
          </w:pPr>
          <w:hyperlink w:anchor="_Toc217082158" w:history="1">
            <w:r w:rsidR="00565E39" w:rsidRPr="00082DFD">
              <w:rPr>
                <w:rStyle w:val="Hyperlink"/>
                <w:rFonts w:cs="Arial"/>
                <w:noProof/>
              </w:rPr>
              <w:t xml:space="preserve">4.1 </w:t>
            </w:r>
            <w:r w:rsidR="00565E39" w:rsidRPr="00082DFD">
              <w:rPr>
                <w:rStyle w:val="Hyperlink"/>
                <w:noProof/>
              </w:rPr>
              <w:t>Introduction</w:t>
            </w:r>
            <w:r w:rsidR="00565E39">
              <w:rPr>
                <w:noProof/>
                <w:webHidden/>
              </w:rPr>
              <w:tab/>
            </w:r>
            <w:r w:rsidR="00565E39">
              <w:rPr>
                <w:noProof/>
                <w:webHidden/>
              </w:rPr>
              <w:fldChar w:fldCharType="begin"/>
            </w:r>
            <w:r w:rsidR="00565E39">
              <w:rPr>
                <w:noProof/>
                <w:webHidden/>
              </w:rPr>
              <w:instrText xml:space="preserve"> PAGEREF _Toc217082158 \h </w:instrText>
            </w:r>
            <w:r w:rsidR="00565E39">
              <w:rPr>
                <w:noProof/>
                <w:webHidden/>
              </w:rPr>
            </w:r>
            <w:r w:rsidR="00565E39">
              <w:rPr>
                <w:noProof/>
                <w:webHidden/>
              </w:rPr>
              <w:fldChar w:fldCharType="separate"/>
            </w:r>
            <w:r w:rsidR="001017BA">
              <w:rPr>
                <w:noProof/>
                <w:webHidden/>
              </w:rPr>
              <w:t>20</w:t>
            </w:r>
            <w:r w:rsidR="00565E39">
              <w:rPr>
                <w:noProof/>
                <w:webHidden/>
              </w:rPr>
              <w:fldChar w:fldCharType="end"/>
            </w:r>
          </w:hyperlink>
        </w:p>
        <w:p w14:paraId="60A92DBC" w14:textId="5533FA9E" w:rsidR="00565E39" w:rsidRDefault="00C16CDE">
          <w:pPr>
            <w:pStyle w:val="TOC2"/>
            <w:tabs>
              <w:tab w:val="right" w:leader="dot" w:pos="9350"/>
            </w:tabs>
            <w:rPr>
              <w:noProof/>
            </w:rPr>
          </w:pPr>
          <w:hyperlink w:anchor="_Toc217082159" w:history="1">
            <w:r w:rsidR="00565E39" w:rsidRPr="00082DFD">
              <w:rPr>
                <w:rStyle w:val="Hyperlink"/>
                <w:rFonts w:cs="Arial"/>
                <w:noProof/>
              </w:rPr>
              <w:t xml:space="preserve">4.2 </w:t>
            </w:r>
            <w:r w:rsidR="00565E39" w:rsidRPr="00082DFD">
              <w:rPr>
                <w:rStyle w:val="Hyperlink"/>
                <w:noProof/>
              </w:rPr>
              <w:t>Overview</w:t>
            </w:r>
            <w:r w:rsidR="00565E39" w:rsidRPr="00082DFD">
              <w:rPr>
                <w:rStyle w:val="Hyperlink"/>
                <w:rFonts w:cs="Arial"/>
                <w:noProof/>
              </w:rPr>
              <w:t xml:space="preserve"> of Proposed Investment Projects</w:t>
            </w:r>
            <w:r w:rsidR="00565E39">
              <w:rPr>
                <w:noProof/>
                <w:webHidden/>
              </w:rPr>
              <w:tab/>
            </w:r>
            <w:r w:rsidR="00565E39">
              <w:rPr>
                <w:noProof/>
                <w:webHidden/>
              </w:rPr>
              <w:fldChar w:fldCharType="begin"/>
            </w:r>
            <w:r w:rsidR="00565E39">
              <w:rPr>
                <w:noProof/>
                <w:webHidden/>
              </w:rPr>
              <w:instrText xml:space="preserve"> PAGEREF _Toc217082159 \h </w:instrText>
            </w:r>
            <w:r w:rsidR="00565E39">
              <w:rPr>
                <w:noProof/>
                <w:webHidden/>
              </w:rPr>
            </w:r>
            <w:r w:rsidR="00565E39">
              <w:rPr>
                <w:noProof/>
                <w:webHidden/>
              </w:rPr>
              <w:fldChar w:fldCharType="separate"/>
            </w:r>
            <w:r w:rsidR="001017BA">
              <w:rPr>
                <w:noProof/>
                <w:webHidden/>
              </w:rPr>
              <w:t>20</w:t>
            </w:r>
            <w:r w:rsidR="00565E39">
              <w:rPr>
                <w:noProof/>
                <w:webHidden/>
              </w:rPr>
              <w:fldChar w:fldCharType="end"/>
            </w:r>
          </w:hyperlink>
        </w:p>
        <w:p w14:paraId="554C6654" w14:textId="2E648F3B" w:rsidR="00565E39" w:rsidRDefault="00C16CDE">
          <w:pPr>
            <w:pStyle w:val="TOC2"/>
            <w:tabs>
              <w:tab w:val="right" w:leader="dot" w:pos="9350"/>
            </w:tabs>
            <w:rPr>
              <w:noProof/>
            </w:rPr>
          </w:pPr>
          <w:hyperlink w:anchor="_Toc217082160" w:history="1">
            <w:r w:rsidR="00565E39" w:rsidRPr="00082DFD">
              <w:rPr>
                <w:rStyle w:val="Hyperlink"/>
                <w:rFonts w:cs="Arial"/>
                <w:noProof/>
              </w:rPr>
              <w:t xml:space="preserve">4.3 Payback </w:t>
            </w:r>
            <w:r w:rsidR="00565E39" w:rsidRPr="00082DFD">
              <w:rPr>
                <w:rStyle w:val="Hyperlink"/>
                <w:noProof/>
              </w:rPr>
              <w:t>Period</w:t>
            </w:r>
            <w:r w:rsidR="00565E39" w:rsidRPr="00082DFD">
              <w:rPr>
                <w:rStyle w:val="Hyperlink"/>
                <w:rFonts w:cs="Arial"/>
                <w:noProof/>
              </w:rPr>
              <w:t xml:space="preserve"> Analysis</w:t>
            </w:r>
            <w:r w:rsidR="00565E39">
              <w:rPr>
                <w:noProof/>
                <w:webHidden/>
              </w:rPr>
              <w:tab/>
            </w:r>
            <w:r w:rsidR="00565E39">
              <w:rPr>
                <w:noProof/>
                <w:webHidden/>
              </w:rPr>
              <w:fldChar w:fldCharType="begin"/>
            </w:r>
            <w:r w:rsidR="00565E39">
              <w:rPr>
                <w:noProof/>
                <w:webHidden/>
              </w:rPr>
              <w:instrText xml:space="preserve"> PAGEREF _Toc217082160 \h </w:instrText>
            </w:r>
            <w:r w:rsidR="00565E39">
              <w:rPr>
                <w:noProof/>
                <w:webHidden/>
              </w:rPr>
            </w:r>
            <w:r w:rsidR="00565E39">
              <w:rPr>
                <w:noProof/>
                <w:webHidden/>
              </w:rPr>
              <w:fldChar w:fldCharType="separate"/>
            </w:r>
            <w:r w:rsidR="001017BA">
              <w:rPr>
                <w:noProof/>
                <w:webHidden/>
              </w:rPr>
              <w:t>21</w:t>
            </w:r>
            <w:r w:rsidR="00565E39">
              <w:rPr>
                <w:noProof/>
                <w:webHidden/>
              </w:rPr>
              <w:fldChar w:fldCharType="end"/>
            </w:r>
          </w:hyperlink>
        </w:p>
        <w:p w14:paraId="6EFE86F8" w14:textId="03B4FAE7" w:rsidR="00565E39" w:rsidRDefault="00C16CDE">
          <w:pPr>
            <w:pStyle w:val="TOC2"/>
            <w:tabs>
              <w:tab w:val="right" w:leader="dot" w:pos="9350"/>
            </w:tabs>
            <w:rPr>
              <w:noProof/>
            </w:rPr>
          </w:pPr>
          <w:hyperlink w:anchor="_Toc217082161" w:history="1">
            <w:r w:rsidR="00565E39" w:rsidRPr="00082DFD">
              <w:rPr>
                <w:rStyle w:val="Hyperlink"/>
                <w:rFonts w:cs="Arial"/>
                <w:noProof/>
              </w:rPr>
              <w:t xml:space="preserve">4.4 Accounting </w:t>
            </w:r>
            <w:r w:rsidR="00565E39" w:rsidRPr="00082DFD">
              <w:rPr>
                <w:rStyle w:val="Hyperlink"/>
                <w:noProof/>
              </w:rPr>
              <w:t>Rate</w:t>
            </w:r>
            <w:r w:rsidR="00565E39" w:rsidRPr="00082DFD">
              <w:rPr>
                <w:rStyle w:val="Hyperlink"/>
                <w:rFonts w:cs="Arial"/>
                <w:noProof/>
              </w:rPr>
              <w:t xml:space="preserve"> of Return (ARR)</w:t>
            </w:r>
            <w:r w:rsidR="00565E39">
              <w:rPr>
                <w:noProof/>
                <w:webHidden/>
              </w:rPr>
              <w:tab/>
            </w:r>
            <w:r w:rsidR="00565E39">
              <w:rPr>
                <w:noProof/>
                <w:webHidden/>
              </w:rPr>
              <w:fldChar w:fldCharType="begin"/>
            </w:r>
            <w:r w:rsidR="00565E39">
              <w:rPr>
                <w:noProof/>
                <w:webHidden/>
              </w:rPr>
              <w:instrText xml:space="preserve"> PAGEREF _Toc217082161 \h </w:instrText>
            </w:r>
            <w:r w:rsidR="00565E39">
              <w:rPr>
                <w:noProof/>
                <w:webHidden/>
              </w:rPr>
            </w:r>
            <w:r w:rsidR="00565E39">
              <w:rPr>
                <w:noProof/>
                <w:webHidden/>
              </w:rPr>
              <w:fldChar w:fldCharType="separate"/>
            </w:r>
            <w:r w:rsidR="001017BA">
              <w:rPr>
                <w:noProof/>
                <w:webHidden/>
              </w:rPr>
              <w:t>22</w:t>
            </w:r>
            <w:r w:rsidR="00565E39">
              <w:rPr>
                <w:noProof/>
                <w:webHidden/>
              </w:rPr>
              <w:fldChar w:fldCharType="end"/>
            </w:r>
          </w:hyperlink>
        </w:p>
        <w:p w14:paraId="358CCBDC" w14:textId="0B927BA9" w:rsidR="00565E39" w:rsidRDefault="00C16CDE">
          <w:pPr>
            <w:pStyle w:val="TOC2"/>
            <w:tabs>
              <w:tab w:val="right" w:leader="dot" w:pos="9350"/>
            </w:tabs>
            <w:rPr>
              <w:noProof/>
            </w:rPr>
          </w:pPr>
          <w:hyperlink w:anchor="_Toc217082162" w:history="1">
            <w:r w:rsidR="00565E39" w:rsidRPr="00082DFD">
              <w:rPr>
                <w:rStyle w:val="Hyperlink"/>
                <w:rFonts w:cs="Arial"/>
                <w:noProof/>
              </w:rPr>
              <w:t>4.5 Net Present Value (NPV)</w:t>
            </w:r>
            <w:r w:rsidR="00565E39">
              <w:rPr>
                <w:noProof/>
                <w:webHidden/>
              </w:rPr>
              <w:tab/>
            </w:r>
            <w:r w:rsidR="00565E39">
              <w:rPr>
                <w:noProof/>
                <w:webHidden/>
              </w:rPr>
              <w:fldChar w:fldCharType="begin"/>
            </w:r>
            <w:r w:rsidR="00565E39">
              <w:rPr>
                <w:noProof/>
                <w:webHidden/>
              </w:rPr>
              <w:instrText xml:space="preserve"> PAGEREF _Toc217082162 \h </w:instrText>
            </w:r>
            <w:r w:rsidR="00565E39">
              <w:rPr>
                <w:noProof/>
                <w:webHidden/>
              </w:rPr>
            </w:r>
            <w:r w:rsidR="00565E39">
              <w:rPr>
                <w:noProof/>
                <w:webHidden/>
              </w:rPr>
              <w:fldChar w:fldCharType="separate"/>
            </w:r>
            <w:r w:rsidR="001017BA">
              <w:rPr>
                <w:noProof/>
                <w:webHidden/>
              </w:rPr>
              <w:t>23</w:t>
            </w:r>
            <w:r w:rsidR="00565E39">
              <w:rPr>
                <w:noProof/>
                <w:webHidden/>
              </w:rPr>
              <w:fldChar w:fldCharType="end"/>
            </w:r>
          </w:hyperlink>
        </w:p>
        <w:p w14:paraId="757582D2" w14:textId="1FB65B07" w:rsidR="00565E39" w:rsidRDefault="00C16CDE">
          <w:pPr>
            <w:pStyle w:val="TOC2"/>
            <w:tabs>
              <w:tab w:val="right" w:leader="dot" w:pos="9350"/>
            </w:tabs>
            <w:rPr>
              <w:noProof/>
            </w:rPr>
          </w:pPr>
          <w:hyperlink w:anchor="_Toc217082163" w:history="1">
            <w:r w:rsidR="00565E39" w:rsidRPr="00082DFD">
              <w:rPr>
                <w:rStyle w:val="Hyperlink"/>
                <w:rFonts w:cs="Arial"/>
                <w:noProof/>
              </w:rPr>
              <w:t xml:space="preserve">4.6 Profitability </w:t>
            </w:r>
            <w:r w:rsidR="00565E39" w:rsidRPr="00082DFD">
              <w:rPr>
                <w:rStyle w:val="Hyperlink"/>
                <w:noProof/>
              </w:rPr>
              <w:t>Index</w:t>
            </w:r>
            <w:r w:rsidR="00565E39" w:rsidRPr="00082DFD">
              <w:rPr>
                <w:rStyle w:val="Hyperlink"/>
                <w:rFonts w:cs="Arial"/>
                <w:noProof/>
              </w:rPr>
              <w:t xml:space="preserve"> (PI)</w:t>
            </w:r>
            <w:r w:rsidR="00565E39">
              <w:rPr>
                <w:noProof/>
                <w:webHidden/>
              </w:rPr>
              <w:tab/>
            </w:r>
            <w:r w:rsidR="00565E39">
              <w:rPr>
                <w:noProof/>
                <w:webHidden/>
              </w:rPr>
              <w:fldChar w:fldCharType="begin"/>
            </w:r>
            <w:r w:rsidR="00565E39">
              <w:rPr>
                <w:noProof/>
                <w:webHidden/>
              </w:rPr>
              <w:instrText xml:space="preserve"> PAGEREF _Toc217082163 \h </w:instrText>
            </w:r>
            <w:r w:rsidR="00565E39">
              <w:rPr>
                <w:noProof/>
                <w:webHidden/>
              </w:rPr>
            </w:r>
            <w:r w:rsidR="00565E39">
              <w:rPr>
                <w:noProof/>
                <w:webHidden/>
              </w:rPr>
              <w:fldChar w:fldCharType="separate"/>
            </w:r>
            <w:r w:rsidR="001017BA">
              <w:rPr>
                <w:noProof/>
                <w:webHidden/>
              </w:rPr>
              <w:t>24</w:t>
            </w:r>
            <w:r w:rsidR="00565E39">
              <w:rPr>
                <w:noProof/>
                <w:webHidden/>
              </w:rPr>
              <w:fldChar w:fldCharType="end"/>
            </w:r>
          </w:hyperlink>
        </w:p>
        <w:p w14:paraId="3828B291" w14:textId="670DF74C" w:rsidR="00565E39" w:rsidRDefault="00C16CDE">
          <w:pPr>
            <w:pStyle w:val="TOC2"/>
            <w:tabs>
              <w:tab w:val="right" w:leader="dot" w:pos="9350"/>
            </w:tabs>
            <w:rPr>
              <w:noProof/>
            </w:rPr>
          </w:pPr>
          <w:hyperlink w:anchor="_Toc217082164" w:history="1">
            <w:r w:rsidR="00565E39" w:rsidRPr="00082DFD">
              <w:rPr>
                <w:rStyle w:val="Hyperlink"/>
                <w:rFonts w:cs="Arial"/>
                <w:noProof/>
              </w:rPr>
              <w:t xml:space="preserve">4.7 Internal </w:t>
            </w:r>
            <w:r w:rsidR="00565E39" w:rsidRPr="00082DFD">
              <w:rPr>
                <w:rStyle w:val="Hyperlink"/>
                <w:noProof/>
              </w:rPr>
              <w:t>Rate</w:t>
            </w:r>
            <w:r w:rsidR="00565E39" w:rsidRPr="00082DFD">
              <w:rPr>
                <w:rStyle w:val="Hyperlink"/>
                <w:rFonts w:cs="Arial"/>
                <w:noProof/>
              </w:rPr>
              <w:t xml:space="preserve"> of Return (IRR)</w:t>
            </w:r>
            <w:r w:rsidR="00565E39">
              <w:rPr>
                <w:noProof/>
                <w:webHidden/>
              </w:rPr>
              <w:tab/>
            </w:r>
            <w:r w:rsidR="00565E39">
              <w:rPr>
                <w:noProof/>
                <w:webHidden/>
              </w:rPr>
              <w:fldChar w:fldCharType="begin"/>
            </w:r>
            <w:r w:rsidR="00565E39">
              <w:rPr>
                <w:noProof/>
                <w:webHidden/>
              </w:rPr>
              <w:instrText xml:space="preserve"> PAGEREF _Toc217082164 \h </w:instrText>
            </w:r>
            <w:r w:rsidR="00565E39">
              <w:rPr>
                <w:noProof/>
                <w:webHidden/>
              </w:rPr>
            </w:r>
            <w:r w:rsidR="00565E39">
              <w:rPr>
                <w:noProof/>
                <w:webHidden/>
              </w:rPr>
              <w:fldChar w:fldCharType="separate"/>
            </w:r>
            <w:r w:rsidR="001017BA">
              <w:rPr>
                <w:noProof/>
                <w:webHidden/>
              </w:rPr>
              <w:t>24</w:t>
            </w:r>
            <w:r w:rsidR="00565E39">
              <w:rPr>
                <w:noProof/>
                <w:webHidden/>
              </w:rPr>
              <w:fldChar w:fldCharType="end"/>
            </w:r>
          </w:hyperlink>
        </w:p>
        <w:p w14:paraId="0C573D52" w14:textId="0E7A2362" w:rsidR="00565E39" w:rsidRDefault="00C16CDE">
          <w:pPr>
            <w:pStyle w:val="TOC2"/>
            <w:tabs>
              <w:tab w:val="right" w:leader="dot" w:pos="9350"/>
            </w:tabs>
            <w:rPr>
              <w:noProof/>
            </w:rPr>
          </w:pPr>
          <w:hyperlink w:anchor="_Toc217082165" w:history="1">
            <w:r w:rsidR="00565E39" w:rsidRPr="00082DFD">
              <w:rPr>
                <w:rStyle w:val="Hyperlink"/>
                <w:rFonts w:cs="Arial"/>
                <w:noProof/>
              </w:rPr>
              <w:t xml:space="preserve">4.8 Capital </w:t>
            </w:r>
            <w:r w:rsidR="00565E39" w:rsidRPr="00082DFD">
              <w:rPr>
                <w:rStyle w:val="Hyperlink"/>
                <w:noProof/>
              </w:rPr>
              <w:t>Rationing</w:t>
            </w:r>
            <w:r w:rsidR="00565E39" w:rsidRPr="00082DFD">
              <w:rPr>
                <w:rStyle w:val="Hyperlink"/>
                <w:rFonts w:cs="Arial"/>
                <w:noProof/>
              </w:rPr>
              <w:t xml:space="preserve"> and Project Selection</w:t>
            </w:r>
            <w:r w:rsidR="00565E39">
              <w:rPr>
                <w:noProof/>
                <w:webHidden/>
              </w:rPr>
              <w:tab/>
            </w:r>
            <w:r w:rsidR="00565E39">
              <w:rPr>
                <w:noProof/>
                <w:webHidden/>
              </w:rPr>
              <w:fldChar w:fldCharType="begin"/>
            </w:r>
            <w:r w:rsidR="00565E39">
              <w:rPr>
                <w:noProof/>
                <w:webHidden/>
              </w:rPr>
              <w:instrText xml:space="preserve"> PAGEREF _Toc217082165 \h </w:instrText>
            </w:r>
            <w:r w:rsidR="00565E39">
              <w:rPr>
                <w:noProof/>
                <w:webHidden/>
              </w:rPr>
            </w:r>
            <w:r w:rsidR="00565E39">
              <w:rPr>
                <w:noProof/>
                <w:webHidden/>
              </w:rPr>
              <w:fldChar w:fldCharType="separate"/>
            </w:r>
            <w:r w:rsidR="001017BA">
              <w:rPr>
                <w:noProof/>
                <w:webHidden/>
              </w:rPr>
              <w:t>24</w:t>
            </w:r>
            <w:r w:rsidR="00565E39">
              <w:rPr>
                <w:noProof/>
                <w:webHidden/>
              </w:rPr>
              <w:fldChar w:fldCharType="end"/>
            </w:r>
          </w:hyperlink>
        </w:p>
        <w:p w14:paraId="09D821B3" w14:textId="2CFDF118" w:rsidR="00565E39" w:rsidRDefault="00C16CDE">
          <w:pPr>
            <w:pStyle w:val="TOC2"/>
            <w:tabs>
              <w:tab w:val="right" w:leader="dot" w:pos="9350"/>
            </w:tabs>
            <w:rPr>
              <w:noProof/>
            </w:rPr>
          </w:pPr>
          <w:hyperlink w:anchor="_Toc217082166" w:history="1">
            <w:r w:rsidR="00565E39" w:rsidRPr="00082DFD">
              <w:rPr>
                <w:rStyle w:val="Hyperlink"/>
                <w:rFonts w:cs="Arial"/>
                <w:noProof/>
              </w:rPr>
              <w:t xml:space="preserve">4.9 </w:t>
            </w:r>
            <w:r w:rsidR="00565E39" w:rsidRPr="00082DFD">
              <w:rPr>
                <w:rStyle w:val="Hyperlink"/>
                <w:noProof/>
              </w:rPr>
              <w:t>Financial</w:t>
            </w:r>
            <w:r w:rsidR="00565E39" w:rsidRPr="00082DFD">
              <w:rPr>
                <w:rStyle w:val="Hyperlink"/>
                <w:rFonts w:cs="Arial"/>
                <w:noProof/>
              </w:rPr>
              <w:t xml:space="preserve"> Performance and Risk-Based Justification</w:t>
            </w:r>
            <w:r w:rsidR="00565E39">
              <w:rPr>
                <w:noProof/>
                <w:webHidden/>
              </w:rPr>
              <w:tab/>
            </w:r>
            <w:r w:rsidR="00565E39">
              <w:rPr>
                <w:noProof/>
                <w:webHidden/>
              </w:rPr>
              <w:fldChar w:fldCharType="begin"/>
            </w:r>
            <w:r w:rsidR="00565E39">
              <w:rPr>
                <w:noProof/>
                <w:webHidden/>
              </w:rPr>
              <w:instrText xml:space="preserve"> PAGEREF _Toc217082166 \h </w:instrText>
            </w:r>
            <w:r w:rsidR="00565E39">
              <w:rPr>
                <w:noProof/>
                <w:webHidden/>
              </w:rPr>
            </w:r>
            <w:r w:rsidR="00565E39">
              <w:rPr>
                <w:noProof/>
                <w:webHidden/>
              </w:rPr>
              <w:fldChar w:fldCharType="separate"/>
            </w:r>
            <w:r w:rsidR="001017BA">
              <w:rPr>
                <w:noProof/>
                <w:webHidden/>
              </w:rPr>
              <w:t>25</w:t>
            </w:r>
            <w:r w:rsidR="00565E39">
              <w:rPr>
                <w:noProof/>
                <w:webHidden/>
              </w:rPr>
              <w:fldChar w:fldCharType="end"/>
            </w:r>
          </w:hyperlink>
        </w:p>
        <w:p w14:paraId="43917844" w14:textId="798899F8" w:rsidR="00565E39" w:rsidRDefault="00C16CDE">
          <w:pPr>
            <w:pStyle w:val="TOC2"/>
            <w:tabs>
              <w:tab w:val="right" w:leader="dot" w:pos="9350"/>
            </w:tabs>
            <w:rPr>
              <w:noProof/>
            </w:rPr>
          </w:pPr>
          <w:hyperlink w:anchor="_Toc217082167" w:history="1">
            <w:r w:rsidR="00565E39" w:rsidRPr="00082DFD">
              <w:rPr>
                <w:rStyle w:val="Hyperlink"/>
                <w:rFonts w:cs="Arial"/>
                <w:noProof/>
              </w:rPr>
              <w:t xml:space="preserve">4.10 Overall </w:t>
            </w:r>
            <w:r w:rsidR="00565E39" w:rsidRPr="00082DFD">
              <w:rPr>
                <w:rStyle w:val="Hyperlink"/>
                <w:noProof/>
              </w:rPr>
              <w:t>Summary</w:t>
            </w:r>
            <w:r w:rsidR="00565E39">
              <w:rPr>
                <w:noProof/>
                <w:webHidden/>
              </w:rPr>
              <w:tab/>
            </w:r>
            <w:r w:rsidR="00565E39">
              <w:rPr>
                <w:noProof/>
                <w:webHidden/>
              </w:rPr>
              <w:fldChar w:fldCharType="begin"/>
            </w:r>
            <w:r w:rsidR="00565E39">
              <w:rPr>
                <w:noProof/>
                <w:webHidden/>
              </w:rPr>
              <w:instrText xml:space="preserve"> PAGEREF _Toc217082167 \h </w:instrText>
            </w:r>
            <w:r w:rsidR="00565E39">
              <w:rPr>
                <w:noProof/>
                <w:webHidden/>
              </w:rPr>
            </w:r>
            <w:r w:rsidR="00565E39">
              <w:rPr>
                <w:noProof/>
                <w:webHidden/>
              </w:rPr>
              <w:fldChar w:fldCharType="separate"/>
            </w:r>
            <w:r w:rsidR="001017BA">
              <w:rPr>
                <w:noProof/>
                <w:webHidden/>
              </w:rPr>
              <w:t>25</w:t>
            </w:r>
            <w:r w:rsidR="00565E39">
              <w:rPr>
                <w:noProof/>
                <w:webHidden/>
              </w:rPr>
              <w:fldChar w:fldCharType="end"/>
            </w:r>
          </w:hyperlink>
        </w:p>
        <w:p w14:paraId="3EBF90EF" w14:textId="5A8EDAAF" w:rsidR="00565E39" w:rsidRDefault="00C16CDE">
          <w:pPr>
            <w:pStyle w:val="TOC1"/>
            <w:tabs>
              <w:tab w:val="right" w:leader="dot" w:pos="9350"/>
            </w:tabs>
            <w:rPr>
              <w:noProof/>
            </w:rPr>
          </w:pPr>
          <w:hyperlink w:anchor="_Toc217082168" w:history="1">
            <w:r w:rsidR="00565E39" w:rsidRPr="00082DFD">
              <w:rPr>
                <w:rStyle w:val="Hyperlink"/>
                <w:noProof/>
              </w:rPr>
              <w:t>Conclusion</w:t>
            </w:r>
            <w:r w:rsidR="00565E39">
              <w:rPr>
                <w:noProof/>
                <w:webHidden/>
              </w:rPr>
              <w:tab/>
            </w:r>
            <w:r w:rsidR="00565E39">
              <w:rPr>
                <w:noProof/>
                <w:webHidden/>
              </w:rPr>
              <w:fldChar w:fldCharType="begin"/>
            </w:r>
            <w:r w:rsidR="00565E39">
              <w:rPr>
                <w:noProof/>
                <w:webHidden/>
              </w:rPr>
              <w:instrText xml:space="preserve"> PAGEREF _Toc217082168 \h </w:instrText>
            </w:r>
            <w:r w:rsidR="00565E39">
              <w:rPr>
                <w:noProof/>
                <w:webHidden/>
              </w:rPr>
            </w:r>
            <w:r w:rsidR="00565E39">
              <w:rPr>
                <w:noProof/>
                <w:webHidden/>
              </w:rPr>
              <w:fldChar w:fldCharType="separate"/>
            </w:r>
            <w:r w:rsidR="001017BA">
              <w:rPr>
                <w:noProof/>
                <w:webHidden/>
              </w:rPr>
              <w:t>27</w:t>
            </w:r>
            <w:r w:rsidR="00565E39">
              <w:rPr>
                <w:noProof/>
                <w:webHidden/>
              </w:rPr>
              <w:fldChar w:fldCharType="end"/>
            </w:r>
          </w:hyperlink>
        </w:p>
        <w:p w14:paraId="5627FE8F" w14:textId="7CD41E52" w:rsidR="00565E39" w:rsidRDefault="00C16CDE">
          <w:pPr>
            <w:pStyle w:val="TOC2"/>
            <w:tabs>
              <w:tab w:val="right" w:leader="dot" w:pos="9350"/>
            </w:tabs>
            <w:rPr>
              <w:noProof/>
            </w:rPr>
          </w:pPr>
          <w:hyperlink w:anchor="_Toc217082169" w:history="1">
            <w:r w:rsidR="00565E39" w:rsidRPr="00082DFD">
              <w:rPr>
                <w:rStyle w:val="Hyperlink"/>
                <w:rFonts w:cs="Arial"/>
                <w:noProof/>
              </w:rPr>
              <w:t>References</w:t>
            </w:r>
            <w:r w:rsidR="00565E39">
              <w:rPr>
                <w:noProof/>
                <w:webHidden/>
              </w:rPr>
              <w:tab/>
            </w:r>
            <w:r w:rsidR="00565E39">
              <w:rPr>
                <w:noProof/>
                <w:webHidden/>
              </w:rPr>
              <w:fldChar w:fldCharType="begin"/>
            </w:r>
            <w:r w:rsidR="00565E39">
              <w:rPr>
                <w:noProof/>
                <w:webHidden/>
              </w:rPr>
              <w:instrText xml:space="preserve"> PAGEREF _Toc217082169 \h </w:instrText>
            </w:r>
            <w:r w:rsidR="00565E39">
              <w:rPr>
                <w:noProof/>
                <w:webHidden/>
              </w:rPr>
            </w:r>
            <w:r w:rsidR="00565E39">
              <w:rPr>
                <w:noProof/>
                <w:webHidden/>
              </w:rPr>
              <w:fldChar w:fldCharType="separate"/>
            </w:r>
            <w:r w:rsidR="001017BA">
              <w:rPr>
                <w:noProof/>
                <w:webHidden/>
              </w:rPr>
              <w:t>28</w:t>
            </w:r>
            <w:r w:rsidR="00565E39">
              <w:rPr>
                <w:noProof/>
                <w:webHidden/>
              </w:rPr>
              <w:fldChar w:fldCharType="end"/>
            </w:r>
          </w:hyperlink>
        </w:p>
        <w:p w14:paraId="575D96B4" w14:textId="349C0191" w:rsidR="00565E39" w:rsidRDefault="00C16CDE">
          <w:pPr>
            <w:pStyle w:val="TOC1"/>
            <w:tabs>
              <w:tab w:val="right" w:leader="dot" w:pos="9350"/>
            </w:tabs>
            <w:rPr>
              <w:noProof/>
            </w:rPr>
          </w:pPr>
          <w:hyperlink w:anchor="_Toc217082170" w:history="1">
            <w:r w:rsidR="00565E39" w:rsidRPr="00082DFD">
              <w:rPr>
                <w:rStyle w:val="Hyperlink"/>
                <w:rFonts w:ascii="Times New Roman" w:eastAsia="Times New Roman" w:hAnsi="Times New Roman" w:cs="Times New Roman"/>
                <w:b/>
                <w:bCs/>
                <w:noProof/>
                <w:kern w:val="36"/>
              </w:rPr>
              <w:t>Appendix A: Detailed Ratio Calculations</w:t>
            </w:r>
            <w:r w:rsidR="00565E39">
              <w:rPr>
                <w:noProof/>
                <w:webHidden/>
              </w:rPr>
              <w:tab/>
            </w:r>
            <w:r w:rsidR="00565E39">
              <w:rPr>
                <w:noProof/>
                <w:webHidden/>
              </w:rPr>
              <w:fldChar w:fldCharType="begin"/>
            </w:r>
            <w:r w:rsidR="00565E39">
              <w:rPr>
                <w:noProof/>
                <w:webHidden/>
              </w:rPr>
              <w:instrText xml:space="preserve"> PAGEREF _Toc217082170 \h </w:instrText>
            </w:r>
            <w:r w:rsidR="00565E39">
              <w:rPr>
                <w:noProof/>
                <w:webHidden/>
              </w:rPr>
            </w:r>
            <w:r w:rsidR="00565E39">
              <w:rPr>
                <w:noProof/>
                <w:webHidden/>
              </w:rPr>
              <w:fldChar w:fldCharType="separate"/>
            </w:r>
            <w:r w:rsidR="001017BA">
              <w:rPr>
                <w:noProof/>
                <w:webHidden/>
              </w:rPr>
              <w:t>30</w:t>
            </w:r>
            <w:r w:rsidR="00565E39">
              <w:rPr>
                <w:noProof/>
                <w:webHidden/>
              </w:rPr>
              <w:fldChar w:fldCharType="end"/>
            </w:r>
          </w:hyperlink>
        </w:p>
        <w:p w14:paraId="3C6B60AA" w14:textId="53A59DD4" w:rsidR="00565E39" w:rsidRDefault="00C16CDE">
          <w:pPr>
            <w:pStyle w:val="TOC2"/>
            <w:tabs>
              <w:tab w:val="right" w:leader="dot" w:pos="9350"/>
            </w:tabs>
            <w:rPr>
              <w:noProof/>
            </w:rPr>
          </w:pPr>
          <w:hyperlink w:anchor="_Toc217082171" w:history="1">
            <w:r w:rsidR="00565E39" w:rsidRPr="00082DFD">
              <w:rPr>
                <w:rStyle w:val="Hyperlink"/>
                <w:rFonts w:ascii="Times New Roman" w:eastAsia="Times New Roman" w:hAnsi="Times New Roman" w:cs="Times New Roman"/>
                <w:b/>
                <w:bCs/>
                <w:noProof/>
              </w:rPr>
              <w:t>Table A1: Profitability Ratios (2020–2024)</w:t>
            </w:r>
            <w:r w:rsidR="00565E39">
              <w:rPr>
                <w:noProof/>
                <w:webHidden/>
              </w:rPr>
              <w:tab/>
            </w:r>
            <w:r w:rsidR="00565E39">
              <w:rPr>
                <w:noProof/>
                <w:webHidden/>
              </w:rPr>
              <w:fldChar w:fldCharType="begin"/>
            </w:r>
            <w:r w:rsidR="00565E39">
              <w:rPr>
                <w:noProof/>
                <w:webHidden/>
              </w:rPr>
              <w:instrText xml:space="preserve"> PAGEREF _Toc217082171 \h </w:instrText>
            </w:r>
            <w:r w:rsidR="00565E39">
              <w:rPr>
                <w:noProof/>
                <w:webHidden/>
              </w:rPr>
            </w:r>
            <w:r w:rsidR="00565E39">
              <w:rPr>
                <w:noProof/>
                <w:webHidden/>
              </w:rPr>
              <w:fldChar w:fldCharType="separate"/>
            </w:r>
            <w:r w:rsidR="001017BA">
              <w:rPr>
                <w:noProof/>
                <w:webHidden/>
              </w:rPr>
              <w:t>32</w:t>
            </w:r>
            <w:r w:rsidR="00565E39">
              <w:rPr>
                <w:noProof/>
                <w:webHidden/>
              </w:rPr>
              <w:fldChar w:fldCharType="end"/>
            </w:r>
          </w:hyperlink>
        </w:p>
        <w:p w14:paraId="7E683B76" w14:textId="32B660F8" w:rsidR="00565E39" w:rsidRDefault="00C16CDE">
          <w:pPr>
            <w:pStyle w:val="TOC2"/>
            <w:tabs>
              <w:tab w:val="right" w:leader="dot" w:pos="9350"/>
            </w:tabs>
            <w:rPr>
              <w:noProof/>
            </w:rPr>
          </w:pPr>
          <w:hyperlink w:anchor="_Toc217082172" w:history="1">
            <w:r w:rsidR="00565E39" w:rsidRPr="00082DFD">
              <w:rPr>
                <w:rStyle w:val="Hyperlink"/>
                <w:rFonts w:ascii="Times New Roman" w:eastAsia="Times New Roman" w:hAnsi="Times New Roman" w:cs="Times New Roman"/>
                <w:b/>
                <w:bCs/>
                <w:noProof/>
              </w:rPr>
              <w:t>Table A2: Liquidity Ratios (2020–2024)</w:t>
            </w:r>
            <w:r w:rsidR="00565E39">
              <w:rPr>
                <w:noProof/>
                <w:webHidden/>
              </w:rPr>
              <w:tab/>
            </w:r>
            <w:r w:rsidR="00565E39">
              <w:rPr>
                <w:noProof/>
                <w:webHidden/>
              </w:rPr>
              <w:fldChar w:fldCharType="begin"/>
            </w:r>
            <w:r w:rsidR="00565E39">
              <w:rPr>
                <w:noProof/>
                <w:webHidden/>
              </w:rPr>
              <w:instrText xml:space="preserve"> PAGEREF _Toc217082172 \h </w:instrText>
            </w:r>
            <w:r w:rsidR="00565E39">
              <w:rPr>
                <w:noProof/>
                <w:webHidden/>
              </w:rPr>
            </w:r>
            <w:r w:rsidR="00565E39">
              <w:rPr>
                <w:noProof/>
                <w:webHidden/>
              </w:rPr>
              <w:fldChar w:fldCharType="separate"/>
            </w:r>
            <w:r w:rsidR="001017BA">
              <w:rPr>
                <w:noProof/>
                <w:webHidden/>
              </w:rPr>
              <w:t>33</w:t>
            </w:r>
            <w:r w:rsidR="00565E39">
              <w:rPr>
                <w:noProof/>
                <w:webHidden/>
              </w:rPr>
              <w:fldChar w:fldCharType="end"/>
            </w:r>
          </w:hyperlink>
        </w:p>
        <w:p w14:paraId="7FBE18AC" w14:textId="7B5E41D8" w:rsidR="00565E39" w:rsidRDefault="00C16CDE">
          <w:pPr>
            <w:pStyle w:val="TOC2"/>
            <w:tabs>
              <w:tab w:val="right" w:leader="dot" w:pos="9350"/>
            </w:tabs>
            <w:rPr>
              <w:noProof/>
            </w:rPr>
          </w:pPr>
          <w:hyperlink w:anchor="_Toc217082173" w:history="1">
            <w:r w:rsidR="00565E39" w:rsidRPr="00082DFD">
              <w:rPr>
                <w:rStyle w:val="Hyperlink"/>
                <w:rFonts w:ascii="Times New Roman" w:eastAsia="Times New Roman" w:hAnsi="Times New Roman" w:cs="Times New Roman"/>
                <w:b/>
                <w:bCs/>
                <w:noProof/>
              </w:rPr>
              <w:t>Table A3: Efficiency Ratios (2020–2024)</w:t>
            </w:r>
            <w:r w:rsidR="00565E39">
              <w:rPr>
                <w:noProof/>
                <w:webHidden/>
              </w:rPr>
              <w:tab/>
            </w:r>
            <w:r w:rsidR="00565E39">
              <w:rPr>
                <w:noProof/>
                <w:webHidden/>
              </w:rPr>
              <w:fldChar w:fldCharType="begin"/>
            </w:r>
            <w:r w:rsidR="00565E39">
              <w:rPr>
                <w:noProof/>
                <w:webHidden/>
              </w:rPr>
              <w:instrText xml:space="preserve"> PAGEREF _Toc217082173 \h </w:instrText>
            </w:r>
            <w:r w:rsidR="00565E39">
              <w:rPr>
                <w:noProof/>
                <w:webHidden/>
              </w:rPr>
            </w:r>
            <w:r w:rsidR="00565E39">
              <w:rPr>
                <w:noProof/>
                <w:webHidden/>
              </w:rPr>
              <w:fldChar w:fldCharType="separate"/>
            </w:r>
            <w:r w:rsidR="001017BA">
              <w:rPr>
                <w:noProof/>
                <w:webHidden/>
              </w:rPr>
              <w:t>34</w:t>
            </w:r>
            <w:r w:rsidR="00565E39">
              <w:rPr>
                <w:noProof/>
                <w:webHidden/>
              </w:rPr>
              <w:fldChar w:fldCharType="end"/>
            </w:r>
          </w:hyperlink>
        </w:p>
        <w:p w14:paraId="3AC57399" w14:textId="25B9A815" w:rsidR="00565E39" w:rsidRDefault="00C16CDE">
          <w:pPr>
            <w:pStyle w:val="TOC2"/>
            <w:tabs>
              <w:tab w:val="right" w:leader="dot" w:pos="9350"/>
            </w:tabs>
            <w:rPr>
              <w:noProof/>
            </w:rPr>
          </w:pPr>
          <w:hyperlink w:anchor="_Toc217082174" w:history="1">
            <w:r w:rsidR="00565E39" w:rsidRPr="00082DFD">
              <w:rPr>
                <w:rStyle w:val="Hyperlink"/>
                <w:rFonts w:ascii="Times New Roman" w:eastAsia="Times New Roman" w:hAnsi="Times New Roman" w:cs="Times New Roman"/>
                <w:b/>
                <w:bCs/>
                <w:noProof/>
              </w:rPr>
              <w:t>Table A4: Gearing Ratios (2020–2024)</w:t>
            </w:r>
            <w:r w:rsidR="00565E39">
              <w:rPr>
                <w:noProof/>
                <w:webHidden/>
              </w:rPr>
              <w:tab/>
            </w:r>
            <w:r w:rsidR="00565E39">
              <w:rPr>
                <w:noProof/>
                <w:webHidden/>
              </w:rPr>
              <w:fldChar w:fldCharType="begin"/>
            </w:r>
            <w:r w:rsidR="00565E39">
              <w:rPr>
                <w:noProof/>
                <w:webHidden/>
              </w:rPr>
              <w:instrText xml:space="preserve"> PAGEREF _Toc217082174 \h </w:instrText>
            </w:r>
            <w:r w:rsidR="00565E39">
              <w:rPr>
                <w:noProof/>
                <w:webHidden/>
              </w:rPr>
            </w:r>
            <w:r w:rsidR="00565E39">
              <w:rPr>
                <w:noProof/>
                <w:webHidden/>
              </w:rPr>
              <w:fldChar w:fldCharType="separate"/>
            </w:r>
            <w:r w:rsidR="001017BA">
              <w:rPr>
                <w:noProof/>
                <w:webHidden/>
              </w:rPr>
              <w:t>35</w:t>
            </w:r>
            <w:r w:rsidR="00565E39">
              <w:rPr>
                <w:noProof/>
                <w:webHidden/>
              </w:rPr>
              <w:fldChar w:fldCharType="end"/>
            </w:r>
          </w:hyperlink>
        </w:p>
        <w:p w14:paraId="43F08AD3" w14:textId="54735C59" w:rsidR="00565E39" w:rsidRDefault="00C16CDE">
          <w:pPr>
            <w:pStyle w:val="TOC2"/>
            <w:tabs>
              <w:tab w:val="right" w:leader="dot" w:pos="9350"/>
            </w:tabs>
            <w:rPr>
              <w:noProof/>
            </w:rPr>
          </w:pPr>
          <w:hyperlink w:anchor="_Toc217082175" w:history="1">
            <w:r w:rsidR="00565E39" w:rsidRPr="00082DFD">
              <w:rPr>
                <w:rStyle w:val="Hyperlink"/>
                <w:rFonts w:ascii="Times New Roman" w:eastAsia="Times New Roman" w:hAnsi="Times New Roman" w:cs="Times New Roman"/>
                <w:b/>
                <w:bCs/>
                <w:noProof/>
              </w:rPr>
              <w:t>Table A5: Investment Ratios (2020–2024)</w:t>
            </w:r>
            <w:r w:rsidR="00565E39">
              <w:rPr>
                <w:noProof/>
                <w:webHidden/>
              </w:rPr>
              <w:tab/>
            </w:r>
            <w:r w:rsidR="00565E39">
              <w:rPr>
                <w:noProof/>
                <w:webHidden/>
              </w:rPr>
              <w:fldChar w:fldCharType="begin"/>
            </w:r>
            <w:r w:rsidR="00565E39">
              <w:rPr>
                <w:noProof/>
                <w:webHidden/>
              </w:rPr>
              <w:instrText xml:space="preserve"> PAGEREF _Toc217082175 \h </w:instrText>
            </w:r>
            <w:r w:rsidR="00565E39">
              <w:rPr>
                <w:noProof/>
                <w:webHidden/>
              </w:rPr>
            </w:r>
            <w:r w:rsidR="00565E39">
              <w:rPr>
                <w:noProof/>
                <w:webHidden/>
              </w:rPr>
              <w:fldChar w:fldCharType="separate"/>
            </w:r>
            <w:r w:rsidR="001017BA">
              <w:rPr>
                <w:noProof/>
                <w:webHidden/>
              </w:rPr>
              <w:t>36</w:t>
            </w:r>
            <w:r w:rsidR="00565E39">
              <w:rPr>
                <w:noProof/>
                <w:webHidden/>
              </w:rPr>
              <w:fldChar w:fldCharType="end"/>
            </w:r>
          </w:hyperlink>
        </w:p>
        <w:p w14:paraId="7E0A9D1C" w14:textId="73F9B85F" w:rsidR="00565E39" w:rsidRDefault="00C16CDE">
          <w:pPr>
            <w:pStyle w:val="TOC2"/>
            <w:tabs>
              <w:tab w:val="right" w:leader="dot" w:pos="9350"/>
            </w:tabs>
            <w:rPr>
              <w:noProof/>
            </w:rPr>
          </w:pPr>
          <w:hyperlink w:anchor="_Toc217082176" w:history="1">
            <w:r w:rsidR="00565E39" w:rsidRPr="00082DFD">
              <w:rPr>
                <w:rStyle w:val="Hyperlink"/>
                <w:rFonts w:ascii="Times New Roman" w:eastAsia="Times New Roman" w:hAnsi="Times New Roman" w:cs="Times New Roman"/>
                <w:b/>
                <w:bCs/>
                <w:noProof/>
              </w:rPr>
              <w:t>Table A6: Cash Flow Ratios (2020–2024)</w:t>
            </w:r>
            <w:r w:rsidR="00565E39">
              <w:rPr>
                <w:noProof/>
                <w:webHidden/>
              </w:rPr>
              <w:tab/>
            </w:r>
            <w:r w:rsidR="00565E39">
              <w:rPr>
                <w:noProof/>
                <w:webHidden/>
              </w:rPr>
              <w:fldChar w:fldCharType="begin"/>
            </w:r>
            <w:r w:rsidR="00565E39">
              <w:rPr>
                <w:noProof/>
                <w:webHidden/>
              </w:rPr>
              <w:instrText xml:space="preserve"> PAGEREF _Toc217082176 \h </w:instrText>
            </w:r>
            <w:r w:rsidR="00565E39">
              <w:rPr>
                <w:noProof/>
                <w:webHidden/>
              </w:rPr>
            </w:r>
            <w:r w:rsidR="00565E39">
              <w:rPr>
                <w:noProof/>
                <w:webHidden/>
              </w:rPr>
              <w:fldChar w:fldCharType="separate"/>
            </w:r>
            <w:r w:rsidR="001017BA">
              <w:rPr>
                <w:noProof/>
                <w:webHidden/>
              </w:rPr>
              <w:t>37</w:t>
            </w:r>
            <w:r w:rsidR="00565E39">
              <w:rPr>
                <w:noProof/>
                <w:webHidden/>
              </w:rPr>
              <w:fldChar w:fldCharType="end"/>
            </w:r>
          </w:hyperlink>
        </w:p>
        <w:p w14:paraId="783A40EA" w14:textId="2E861434" w:rsidR="00565E39" w:rsidRDefault="00C16CDE">
          <w:pPr>
            <w:pStyle w:val="TOC2"/>
            <w:tabs>
              <w:tab w:val="right" w:leader="dot" w:pos="9350"/>
            </w:tabs>
            <w:rPr>
              <w:noProof/>
            </w:rPr>
          </w:pPr>
          <w:hyperlink w:anchor="_Toc217082177" w:history="1">
            <w:r w:rsidR="00565E39" w:rsidRPr="00082DFD">
              <w:rPr>
                <w:rStyle w:val="Hyperlink"/>
                <w:rFonts w:ascii="Times New Roman" w:eastAsia="Times New Roman" w:hAnsi="Times New Roman" w:cs="Times New Roman"/>
                <w:b/>
                <w:bCs/>
                <w:noProof/>
              </w:rPr>
              <w:t>Table A7: Altman Z-Score Calculation (2020–2024)</w:t>
            </w:r>
            <w:r w:rsidR="00565E39">
              <w:rPr>
                <w:noProof/>
                <w:webHidden/>
              </w:rPr>
              <w:tab/>
            </w:r>
            <w:r w:rsidR="00565E39">
              <w:rPr>
                <w:noProof/>
                <w:webHidden/>
              </w:rPr>
              <w:fldChar w:fldCharType="begin"/>
            </w:r>
            <w:r w:rsidR="00565E39">
              <w:rPr>
                <w:noProof/>
                <w:webHidden/>
              </w:rPr>
              <w:instrText xml:space="preserve"> PAGEREF _Toc217082177 \h </w:instrText>
            </w:r>
            <w:r w:rsidR="00565E39">
              <w:rPr>
                <w:noProof/>
                <w:webHidden/>
              </w:rPr>
            </w:r>
            <w:r w:rsidR="00565E39">
              <w:rPr>
                <w:noProof/>
                <w:webHidden/>
              </w:rPr>
              <w:fldChar w:fldCharType="separate"/>
            </w:r>
            <w:r w:rsidR="001017BA">
              <w:rPr>
                <w:noProof/>
                <w:webHidden/>
              </w:rPr>
              <w:t>38</w:t>
            </w:r>
            <w:r w:rsidR="00565E39">
              <w:rPr>
                <w:noProof/>
                <w:webHidden/>
              </w:rPr>
              <w:fldChar w:fldCharType="end"/>
            </w:r>
          </w:hyperlink>
        </w:p>
        <w:p w14:paraId="6DD95A0D" w14:textId="6F835CB4" w:rsidR="00565E39" w:rsidRDefault="00C16CDE">
          <w:pPr>
            <w:pStyle w:val="TOC1"/>
            <w:tabs>
              <w:tab w:val="right" w:leader="dot" w:pos="9350"/>
            </w:tabs>
            <w:rPr>
              <w:noProof/>
            </w:rPr>
          </w:pPr>
          <w:hyperlink w:anchor="_Toc217082178" w:history="1">
            <w:r w:rsidR="00565E39" w:rsidRPr="00082DFD">
              <w:rPr>
                <w:rStyle w:val="Hyperlink"/>
                <w:rFonts w:ascii="Times New Roman" w:eastAsia="Times New Roman" w:hAnsi="Times New Roman" w:cs="Times New Roman"/>
                <w:b/>
                <w:bCs/>
                <w:noProof/>
                <w:kern w:val="36"/>
              </w:rPr>
              <w:t>Appendix C: Investment Appraisal and Capital Budgeting Calculations</w:t>
            </w:r>
            <w:r w:rsidR="00565E39">
              <w:rPr>
                <w:noProof/>
                <w:webHidden/>
              </w:rPr>
              <w:tab/>
            </w:r>
            <w:r w:rsidR="00565E39">
              <w:rPr>
                <w:noProof/>
                <w:webHidden/>
              </w:rPr>
              <w:fldChar w:fldCharType="begin"/>
            </w:r>
            <w:r w:rsidR="00565E39">
              <w:rPr>
                <w:noProof/>
                <w:webHidden/>
              </w:rPr>
              <w:instrText xml:space="preserve"> PAGEREF _Toc217082178 \h </w:instrText>
            </w:r>
            <w:r w:rsidR="00565E39">
              <w:rPr>
                <w:noProof/>
                <w:webHidden/>
              </w:rPr>
            </w:r>
            <w:r w:rsidR="00565E39">
              <w:rPr>
                <w:noProof/>
                <w:webHidden/>
              </w:rPr>
              <w:fldChar w:fldCharType="separate"/>
            </w:r>
            <w:r w:rsidR="001017BA">
              <w:rPr>
                <w:noProof/>
                <w:webHidden/>
              </w:rPr>
              <w:t>42</w:t>
            </w:r>
            <w:r w:rsidR="00565E39">
              <w:rPr>
                <w:noProof/>
                <w:webHidden/>
              </w:rPr>
              <w:fldChar w:fldCharType="end"/>
            </w:r>
          </w:hyperlink>
        </w:p>
        <w:p w14:paraId="4660871A" w14:textId="0FD761A2" w:rsidR="00565E39" w:rsidRDefault="00C16CDE">
          <w:pPr>
            <w:pStyle w:val="TOC2"/>
            <w:tabs>
              <w:tab w:val="right" w:leader="dot" w:pos="9350"/>
            </w:tabs>
            <w:rPr>
              <w:noProof/>
            </w:rPr>
          </w:pPr>
          <w:hyperlink w:anchor="_Toc217082179" w:history="1">
            <w:r w:rsidR="00565E39" w:rsidRPr="00082DFD">
              <w:rPr>
                <w:rStyle w:val="Hyperlink"/>
                <w:rFonts w:ascii="Times New Roman" w:eastAsia="Times New Roman" w:hAnsi="Times New Roman" w:cs="Times New Roman"/>
                <w:b/>
                <w:bCs/>
                <w:noProof/>
              </w:rPr>
              <w:t>Appendix C1: Discount Factors at 10%</w:t>
            </w:r>
            <w:r w:rsidR="00565E39">
              <w:rPr>
                <w:noProof/>
                <w:webHidden/>
              </w:rPr>
              <w:tab/>
            </w:r>
            <w:r w:rsidR="00565E39">
              <w:rPr>
                <w:noProof/>
                <w:webHidden/>
              </w:rPr>
              <w:fldChar w:fldCharType="begin"/>
            </w:r>
            <w:r w:rsidR="00565E39">
              <w:rPr>
                <w:noProof/>
                <w:webHidden/>
              </w:rPr>
              <w:instrText xml:space="preserve"> PAGEREF _Toc217082179 \h </w:instrText>
            </w:r>
            <w:r w:rsidR="00565E39">
              <w:rPr>
                <w:noProof/>
                <w:webHidden/>
              </w:rPr>
            </w:r>
            <w:r w:rsidR="00565E39">
              <w:rPr>
                <w:noProof/>
                <w:webHidden/>
              </w:rPr>
              <w:fldChar w:fldCharType="separate"/>
            </w:r>
            <w:r w:rsidR="001017BA">
              <w:rPr>
                <w:noProof/>
                <w:webHidden/>
              </w:rPr>
              <w:t>42</w:t>
            </w:r>
            <w:r w:rsidR="00565E39">
              <w:rPr>
                <w:noProof/>
                <w:webHidden/>
              </w:rPr>
              <w:fldChar w:fldCharType="end"/>
            </w:r>
          </w:hyperlink>
        </w:p>
        <w:p w14:paraId="002BDD52" w14:textId="4802F02D" w:rsidR="00565E39" w:rsidRDefault="00C16CDE">
          <w:pPr>
            <w:pStyle w:val="TOC2"/>
            <w:tabs>
              <w:tab w:val="right" w:leader="dot" w:pos="9350"/>
            </w:tabs>
            <w:rPr>
              <w:noProof/>
            </w:rPr>
          </w:pPr>
          <w:hyperlink w:anchor="_Toc217082180" w:history="1">
            <w:r w:rsidR="00565E39" w:rsidRPr="00082DFD">
              <w:rPr>
                <w:rStyle w:val="Hyperlink"/>
                <w:rFonts w:ascii="Times New Roman" w:eastAsia="Times New Roman" w:hAnsi="Times New Roman" w:cs="Times New Roman"/>
                <w:b/>
                <w:bCs/>
                <w:noProof/>
              </w:rPr>
              <w:t>Appendix C2: Project A – Net Present Value Calculation</w:t>
            </w:r>
            <w:r w:rsidR="00565E39">
              <w:rPr>
                <w:noProof/>
                <w:webHidden/>
              </w:rPr>
              <w:tab/>
            </w:r>
            <w:r w:rsidR="00565E39">
              <w:rPr>
                <w:noProof/>
                <w:webHidden/>
              </w:rPr>
              <w:fldChar w:fldCharType="begin"/>
            </w:r>
            <w:r w:rsidR="00565E39">
              <w:rPr>
                <w:noProof/>
                <w:webHidden/>
              </w:rPr>
              <w:instrText xml:space="preserve"> PAGEREF _Toc217082180 \h </w:instrText>
            </w:r>
            <w:r w:rsidR="00565E39">
              <w:rPr>
                <w:noProof/>
                <w:webHidden/>
              </w:rPr>
            </w:r>
            <w:r w:rsidR="00565E39">
              <w:rPr>
                <w:noProof/>
                <w:webHidden/>
              </w:rPr>
              <w:fldChar w:fldCharType="separate"/>
            </w:r>
            <w:r w:rsidR="001017BA">
              <w:rPr>
                <w:noProof/>
                <w:webHidden/>
              </w:rPr>
              <w:t>43</w:t>
            </w:r>
            <w:r w:rsidR="00565E39">
              <w:rPr>
                <w:noProof/>
                <w:webHidden/>
              </w:rPr>
              <w:fldChar w:fldCharType="end"/>
            </w:r>
          </w:hyperlink>
        </w:p>
        <w:p w14:paraId="2DD64358" w14:textId="2062FE0D" w:rsidR="00565E39" w:rsidRDefault="00C16CDE">
          <w:pPr>
            <w:pStyle w:val="TOC2"/>
            <w:tabs>
              <w:tab w:val="right" w:leader="dot" w:pos="9350"/>
            </w:tabs>
            <w:rPr>
              <w:noProof/>
            </w:rPr>
          </w:pPr>
          <w:hyperlink w:anchor="_Toc217082181" w:history="1">
            <w:r w:rsidR="00565E39" w:rsidRPr="00082DFD">
              <w:rPr>
                <w:rStyle w:val="Hyperlink"/>
                <w:rFonts w:ascii="Times New Roman" w:eastAsia="Times New Roman" w:hAnsi="Times New Roman" w:cs="Times New Roman"/>
                <w:b/>
                <w:bCs/>
                <w:noProof/>
              </w:rPr>
              <w:t>Appendix C3: Project B – Net Present Value Calculation</w:t>
            </w:r>
            <w:r w:rsidR="00565E39">
              <w:rPr>
                <w:noProof/>
                <w:webHidden/>
              </w:rPr>
              <w:tab/>
            </w:r>
            <w:r w:rsidR="00565E39">
              <w:rPr>
                <w:noProof/>
                <w:webHidden/>
              </w:rPr>
              <w:fldChar w:fldCharType="begin"/>
            </w:r>
            <w:r w:rsidR="00565E39">
              <w:rPr>
                <w:noProof/>
                <w:webHidden/>
              </w:rPr>
              <w:instrText xml:space="preserve"> PAGEREF _Toc217082181 \h </w:instrText>
            </w:r>
            <w:r w:rsidR="00565E39">
              <w:rPr>
                <w:noProof/>
                <w:webHidden/>
              </w:rPr>
            </w:r>
            <w:r w:rsidR="00565E39">
              <w:rPr>
                <w:noProof/>
                <w:webHidden/>
              </w:rPr>
              <w:fldChar w:fldCharType="separate"/>
            </w:r>
            <w:r w:rsidR="001017BA">
              <w:rPr>
                <w:noProof/>
                <w:webHidden/>
              </w:rPr>
              <w:t>44</w:t>
            </w:r>
            <w:r w:rsidR="00565E39">
              <w:rPr>
                <w:noProof/>
                <w:webHidden/>
              </w:rPr>
              <w:fldChar w:fldCharType="end"/>
            </w:r>
          </w:hyperlink>
        </w:p>
        <w:p w14:paraId="0FE2556C" w14:textId="22164905" w:rsidR="00565E39" w:rsidRDefault="00C16CDE">
          <w:pPr>
            <w:pStyle w:val="TOC2"/>
            <w:tabs>
              <w:tab w:val="right" w:leader="dot" w:pos="9350"/>
            </w:tabs>
            <w:rPr>
              <w:noProof/>
            </w:rPr>
          </w:pPr>
          <w:hyperlink w:anchor="_Toc217082182" w:history="1">
            <w:r w:rsidR="00565E39" w:rsidRPr="00082DFD">
              <w:rPr>
                <w:rStyle w:val="Hyperlink"/>
                <w:rFonts w:ascii="Times New Roman" w:eastAsia="Times New Roman" w:hAnsi="Times New Roman" w:cs="Times New Roman"/>
                <w:b/>
                <w:bCs/>
                <w:noProof/>
              </w:rPr>
              <w:t>Appendix C4: Project C – Net Present Value Calculation</w:t>
            </w:r>
            <w:r w:rsidR="00565E39">
              <w:rPr>
                <w:noProof/>
                <w:webHidden/>
              </w:rPr>
              <w:tab/>
            </w:r>
            <w:r w:rsidR="00565E39">
              <w:rPr>
                <w:noProof/>
                <w:webHidden/>
              </w:rPr>
              <w:fldChar w:fldCharType="begin"/>
            </w:r>
            <w:r w:rsidR="00565E39">
              <w:rPr>
                <w:noProof/>
                <w:webHidden/>
              </w:rPr>
              <w:instrText xml:space="preserve"> PAGEREF _Toc217082182 \h </w:instrText>
            </w:r>
            <w:r w:rsidR="00565E39">
              <w:rPr>
                <w:noProof/>
                <w:webHidden/>
              </w:rPr>
            </w:r>
            <w:r w:rsidR="00565E39">
              <w:rPr>
                <w:noProof/>
                <w:webHidden/>
              </w:rPr>
              <w:fldChar w:fldCharType="separate"/>
            </w:r>
            <w:r w:rsidR="001017BA">
              <w:rPr>
                <w:noProof/>
                <w:webHidden/>
              </w:rPr>
              <w:t>45</w:t>
            </w:r>
            <w:r w:rsidR="00565E39">
              <w:rPr>
                <w:noProof/>
                <w:webHidden/>
              </w:rPr>
              <w:fldChar w:fldCharType="end"/>
            </w:r>
          </w:hyperlink>
        </w:p>
        <w:p w14:paraId="78F3D8E9" w14:textId="1E84EEFF" w:rsidR="00565E39" w:rsidRDefault="00C16CDE">
          <w:pPr>
            <w:pStyle w:val="TOC2"/>
            <w:tabs>
              <w:tab w:val="right" w:leader="dot" w:pos="9350"/>
            </w:tabs>
            <w:rPr>
              <w:noProof/>
            </w:rPr>
          </w:pPr>
          <w:hyperlink w:anchor="_Toc217082183" w:history="1">
            <w:r w:rsidR="00565E39" w:rsidRPr="00082DFD">
              <w:rPr>
                <w:rStyle w:val="Hyperlink"/>
                <w:rFonts w:ascii="Times New Roman" w:eastAsia="Times New Roman" w:hAnsi="Times New Roman" w:cs="Times New Roman"/>
                <w:b/>
                <w:bCs/>
                <w:noProof/>
              </w:rPr>
              <w:t>Appendix C5: Payback Period (PBP)</w:t>
            </w:r>
            <w:r w:rsidR="00565E39">
              <w:rPr>
                <w:noProof/>
                <w:webHidden/>
              </w:rPr>
              <w:tab/>
            </w:r>
            <w:r w:rsidR="00565E39">
              <w:rPr>
                <w:noProof/>
                <w:webHidden/>
              </w:rPr>
              <w:fldChar w:fldCharType="begin"/>
            </w:r>
            <w:r w:rsidR="00565E39">
              <w:rPr>
                <w:noProof/>
                <w:webHidden/>
              </w:rPr>
              <w:instrText xml:space="preserve"> PAGEREF _Toc217082183 \h </w:instrText>
            </w:r>
            <w:r w:rsidR="00565E39">
              <w:rPr>
                <w:noProof/>
                <w:webHidden/>
              </w:rPr>
            </w:r>
            <w:r w:rsidR="00565E39">
              <w:rPr>
                <w:noProof/>
                <w:webHidden/>
              </w:rPr>
              <w:fldChar w:fldCharType="separate"/>
            </w:r>
            <w:r w:rsidR="001017BA">
              <w:rPr>
                <w:noProof/>
                <w:webHidden/>
              </w:rPr>
              <w:t>45</w:t>
            </w:r>
            <w:r w:rsidR="00565E39">
              <w:rPr>
                <w:noProof/>
                <w:webHidden/>
              </w:rPr>
              <w:fldChar w:fldCharType="end"/>
            </w:r>
          </w:hyperlink>
        </w:p>
        <w:p w14:paraId="3DD56A31" w14:textId="380AA294" w:rsidR="00565E39" w:rsidRDefault="00C16CDE">
          <w:pPr>
            <w:pStyle w:val="TOC3"/>
            <w:tabs>
              <w:tab w:val="right" w:leader="dot" w:pos="9350"/>
            </w:tabs>
            <w:rPr>
              <w:noProof/>
            </w:rPr>
          </w:pPr>
          <w:hyperlink w:anchor="_Toc217082184" w:history="1">
            <w:r w:rsidR="00565E39" w:rsidRPr="00082DFD">
              <w:rPr>
                <w:rStyle w:val="Hyperlink"/>
                <w:rFonts w:ascii="Times New Roman" w:eastAsia="Times New Roman" w:hAnsi="Times New Roman" w:cs="Times New Roman"/>
                <w:b/>
                <w:bCs/>
                <w:noProof/>
              </w:rPr>
              <w:t>Project A</w:t>
            </w:r>
            <w:r w:rsidR="00565E39">
              <w:rPr>
                <w:noProof/>
                <w:webHidden/>
              </w:rPr>
              <w:tab/>
            </w:r>
            <w:r w:rsidR="00565E39">
              <w:rPr>
                <w:noProof/>
                <w:webHidden/>
              </w:rPr>
              <w:fldChar w:fldCharType="begin"/>
            </w:r>
            <w:r w:rsidR="00565E39">
              <w:rPr>
                <w:noProof/>
                <w:webHidden/>
              </w:rPr>
              <w:instrText xml:space="preserve"> PAGEREF _Toc217082184 \h </w:instrText>
            </w:r>
            <w:r w:rsidR="00565E39">
              <w:rPr>
                <w:noProof/>
                <w:webHidden/>
              </w:rPr>
            </w:r>
            <w:r w:rsidR="00565E39">
              <w:rPr>
                <w:noProof/>
                <w:webHidden/>
              </w:rPr>
              <w:fldChar w:fldCharType="separate"/>
            </w:r>
            <w:r w:rsidR="001017BA">
              <w:rPr>
                <w:noProof/>
                <w:webHidden/>
              </w:rPr>
              <w:t>45</w:t>
            </w:r>
            <w:r w:rsidR="00565E39">
              <w:rPr>
                <w:noProof/>
                <w:webHidden/>
              </w:rPr>
              <w:fldChar w:fldCharType="end"/>
            </w:r>
          </w:hyperlink>
        </w:p>
        <w:p w14:paraId="3F57A3E8" w14:textId="5FDB2000" w:rsidR="00565E39" w:rsidRDefault="00C16CDE">
          <w:pPr>
            <w:pStyle w:val="TOC3"/>
            <w:tabs>
              <w:tab w:val="right" w:leader="dot" w:pos="9350"/>
            </w:tabs>
            <w:rPr>
              <w:noProof/>
            </w:rPr>
          </w:pPr>
          <w:hyperlink w:anchor="_Toc217082185" w:history="1">
            <w:r w:rsidR="00565E39" w:rsidRPr="00082DFD">
              <w:rPr>
                <w:rStyle w:val="Hyperlink"/>
                <w:rFonts w:ascii="Times New Roman" w:eastAsia="Times New Roman" w:hAnsi="Times New Roman" w:cs="Times New Roman"/>
                <w:b/>
                <w:bCs/>
                <w:noProof/>
              </w:rPr>
              <w:t>Project B</w:t>
            </w:r>
            <w:r w:rsidR="00565E39">
              <w:rPr>
                <w:noProof/>
                <w:webHidden/>
              </w:rPr>
              <w:tab/>
            </w:r>
            <w:r w:rsidR="00565E39">
              <w:rPr>
                <w:noProof/>
                <w:webHidden/>
              </w:rPr>
              <w:fldChar w:fldCharType="begin"/>
            </w:r>
            <w:r w:rsidR="00565E39">
              <w:rPr>
                <w:noProof/>
                <w:webHidden/>
              </w:rPr>
              <w:instrText xml:space="preserve"> PAGEREF _Toc217082185 \h </w:instrText>
            </w:r>
            <w:r w:rsidR="00565E39">
              <w:rPr>
                <w:noProof/>
                <w:webHidden/>
              </w:rPr>
            </w:r>
            <w:r w:rsidR="00565E39">
              <w:rPr>
                <w:noProof/>
                <w:webHidden/>
              </w:rPr>
              <w:fldChar w:fldCharType="separate"/>
            </w:r>
            <w:r w:rsidR="001017BA">
              <w:rPr>
                <w:noProof/>
                <w:webHidden/>
              </w:rPr>
              <w:t>46</w:t>
            </w:r>
            <w:r w:rsidR="00565E39">
              <w:rPr>
                <w:noProof/>
                <w:webHidden/>
              </w:rPr>
              <w:fldChar w:fldCharType="end"/>
            </w:r>
          </w:hyperlink>
        </w:p>
        <w:p w14:paraId="2037C769" w14:textId="415AF789" w:rsidR="00565E39" w:rsidRDefault="00C16CDE">
          <w:pPr>
            <w:pStyle w:val="TOC3"/>
            <w:tabs>
              <w:tab w:val="right" w:leader="dot" w:pos="9350"/>
            </w:tabs>
            <w:rPr>
              <w:noProof/>
            </w:rPr>
          </w:pPr>
          <w:hyperlink w:anchor="_Toc217082186" w:history="1">
            <w:r w:rsidR="00565E39" w:rsidRPr="00082DFD">
              <w:rPr>
                <w:rStyle w:val="Hyperlink"/>
                <w:rFonts w:ascii="Times New Roman" w:eastAsia="Times New Roman" w:hAnsi="Times New Roman" w:cs="Times New Roman"/>
                <w:b/>
                <w:bCs/>
                <w:noProof/>
              </w:rPr>
              <w:t>Project C</w:t>
            </w:r>
            <w:r w:rsidR="00565E39">
              <w:rPr>
                <w:noProof/>
                <w:webHidden/>
              </w:rPr>
              <w:tab/>
            </w:r>
            <w:r w:rsidR="00565E39">
              <w:rPr>
                <w:noProof/>
                <w:webHidden/>
              </w:rPr>
              <w:fldChar w:fldCharType="begin"/>
            </w:r>
            <w:r w:rsidR="00565E39">
              <w:rPr>
                <w:noProof/>
                <w:webHidden/>
              </w:rPr>
              <w:instrText xml:space="preserve"> PAGEREF _Toc217082186 \h </w:instrText>
            </w:r>
            <w:r w:rsidR="00565E39">
              <w:rPr>
                <w:noProof/>
                <w:webHidden/>
              </w:rPr>
            </w:r>
            <w:r w:rsidR="00565E39">
              <w:rPr>
                <w:noProof/>
                <w:webHidden/>
              </w:rPr>
              <w:fldChar w:fldCharType="separate"/>
            </w:r>
            <w:r w:rsidR="001017BA">
              <w:rPr>
                <w:noProof/>
                <w:webHidden/>
              </w:rPr>
              <w:t>46</w:t>
            </w:r>
            <w:r w:rsidR="00565E39">
              <w:rPr>
                <w:noProof/>
                <w:webHidden/>
              </w:rPr>
              <w:fldChar w:fldCharType="end"/>
            </w:r>
          </w:hyperlink>
        </w:p>
        <w:p w14:paraId="16E9CF9A" w14:textId="2C4EDFE6" w:rsidR="00565E39" w:rsidRDefault="00C16CDE">
          <w:pPr>
            <w:pStyle w:val="TOC2"/>
            <w:tabs>
              <w:tab w:val="right" w:leader="dot" w:pos="9350"/>
            </w:tabs>
            <w:rPr>
              <w:noProof/>
            </w:rPr>
          </w:pPr>
          <w:hyperlink w:anchor="_Toc217082187" w:history="1">
            <w:r w:rsidR="00565E39" w:rsidRPr="00082DFD">
              <w:rPr>
                <w:rStyle w:val="Hyperlink"/>
                <w:rFonts w:ascii="Times New Roman" w:eastAsia="Times New Roman" w:hAnsi="Times New Roman" w:cs="Times New Roman"/>
                <w:b/>
                <w:bCs/>
                <w:noProof/>
              </w:rPr>
              <w:t>Appendix C6: Accounting Rate of Return (ARR)</w:t>
            </w:r>
            <w:r w:rsidR="00565E39">
              <w:rPr>
                <w:noProof/>
                <w:webHidden/>
              </w:rPr>
              <w:tab/>
            </w:r>
            <w:r w:rsidR="00565E39">
              <w:rPr>
                <w:noProof/>
                <w:webHidden/>
              </w:rPr>
              <w:fldChar w:fldCharType="begin"/>
            </w:r>
            <w:r w:rsidR="00565E39">
              <w:rPr>
                <w:noProof/>
                <w:webHidden/>
              </w:rPr>
              <w:instrText xml:space="preserve"> PAGEREF _Toc217082187 \h </w:instrText>
            </w:r>
            <w:r w:rsidR="00565E39">
              <w:rPr>
                <w:noProof/>
                <w:webHidden/>
              </w:rPr>
            </w:r>
            <w:r w:rsidR="00565E39">
              <w:rPr>
                <w:noProof/>
                <w:webHidden/>
              </w:rPr>
              <w:fldChar w:fldCharType="separate"/>
            </w:r>
            <w:r w:rsidR="001017BA">
              <w:rPr>
                <w:noProof/>
                <w:webHidden/>
              </w:rPr>
              <w:t>47</w:t>
            </w:r>
            <w:r w:rsidR="00565E39">
              <w:rPr>
                <w:noProof/>
                <w:webHidden/>
              </w:rPr>
              <w:fldChar w:fldCharType="end"/>
            </w:r>
          </w:hyperlink>
        </w:p>
        <w:p w14:paraId="22CE1339" w14:textId="62BAE836" w:rsidR="00565E39" w:rsidRDefault="00C16CDE">
          <w:pPr>
            <w:pStyle w:val="TOC2"/>
            <w:tabs>
              <w:tab w:val="right" w:leader="dot" w:pos="9350"/>
            </w:tabs>
            <w:rPr>
              <w:noProof/>
            </w:rPr>
          </w:pPr>
          <w:hyperlink w:anchor="_Toc217082188" w:history="1">
            <w:r w:rsidR="00565E39" w:rsidRPr="00082DFD">
              <w:rPr>
                <w:rStyle w:val="Hyperlink"/>
                <w:rFonts w:ascii="Times New Roman" w:eastAsia="Times New Roman" w:hAnsi="Times New Roman" w:cs="Times New Roman"/>
                <w:b/>
                <w:bCs/>
                <w:noProof/>
              </w:rPr>
              <w:t>Appendix C7: Internal Rate of Return (IRR)</w:t>
            </w:r>
            <w:r w:rsidR="00565E39">
              <w:rPr>
                <w:noProof/>
                <w:webHidden/>
              </w:rPr>
              <w:tab/>
            </w:r>
            <w:r w:rsidR="00565E39">
              <w:rPr>
                <w:noProof/>
                <w:webHidden/>
              </w:rPr>
              <w:fldChar w:fldCharType="begin"/>
            </w:r>
            <w:r w:rsidR="00565E39">
              <w:rPr>
                <w:noProof/>
                <w:webHidden/>
              </w:rPr>
              <w:instrText xml:space="preserve"> PAGEREF _Toc217082188 \h </w:instrText>
            </w:r>
            <w:r w:rsidR="00565E39">
              <w:rPr>
                <w:noProof/>
                <w:webHidden/>
              </w:rPr>
            </w:r>
            <w:r w:rsidR="00565E39">
              <w:rPr>
                <w:noProof/>
                <w:webHidden/>
              </w:rPr>
              <w:fldChar w:fldCharType="separate"/>
            </w:r>
            <w:r w:rsidR="001017BA">
              <w:rPr>
                <w:noProof/>
                <w:webHidden/>
              </w:rPr>
              <w:t>47</w:t>
            </w:r>
            <w:r w:rsidR="00565E39">
              <w:rPr>
                <w:noProof/>
                <w:webHidden/>
              </w:rPr>
              <w:fldChar w:fldCharType="end"/>
            </w:r>
          </w:hyperlink>
        </w:p>
        <w:p w14:paraId="1B7F371D" w14:textId="1153C1D7" w:rsidR="00565E39" w:rsidRDefault="00565E39">
          <w:r>
            <w:rPr>
              <w:b/>
              <w:bCs/>
              <w:noProof/>
            </w:rPr>
            <w:fldChar w:fldCharType="end"/>
          </w:r>
        </w:p>
      </w:sdtContent>
    </w:sdt>
    <w:p w14:paraId="2E7D72A2" w14:textId="77777777" w:rsidR="00565E39" w:rsidRDefault="00565E39">
      <w:pPr>
        <w:rPr>
          <w:rFonts w:ascii="Arial" w:hAnsi="Arial" w:cs="Arial"/>
          <w:sz w:val="28"/>
          <w:szCs w:val="28"/>
        </w:rPr>
      </w:pPr>
      <w:r>
        <w:rPr>
          <w:rFonts w:ascii="Arial" w:hAnsi="Arial" w:cs="Arial"/>
          <w:sz w:val="28"/>
          <w:szCs w:val="28"/>
        </w:rPr>
        <w:br w:type="page"/>
      </w:r>
    </w:p>
    <w:p w14:paraId="473A5313" w14:textId="77777777" w:rsidR="006D582B" w:rsidRDefault="006D582B" w:rsidP="00255E4E">
      <w:pPr>
        <w:spacing w:line="360" w:lineRule="auto"/>
        <w:jc w:val="center"/>
        <w:rPr>
          <w:rFonts w:ascii="Arial" w:hAnsi="Arial" w:cs="Arial"/>
          <w:sz w:val="28"/>
          <w:szCs w:val="28"/>
        </w:rPr>
      </w:pPr>
    </w:p>
    <w:p w14:paraId="3961048F" w14:textId="3D380DB8" w:rsidR="006D582B" w:rsidRPr="00F74FE6" w:rsidRDefault="006D582B" w:rsidP="00565E39">
      <w:pPr>
        <w:pStyle w:val="Heading1"/>
      </w:pPr>
      <w:bookmarkStart w:id="1" w:name="_Toc217082132"/>
      <w:r w:rsidRPr="00F74FE6">
        <w:rPr>
          <w:rStyle w:val="Strong"/>
          <w:rFonts w:cs="Arial"/>
          <w:b/>
          <w:bCs/>
        </w:rPr>
        <w:t>Introduction</w:t>
      </w:r>
      <w:bookmarkEnd w:id="1"/>
      <w:r w:rsidRPr="00F74FE6">
        <w:rPr>
          <w:rStyle w:val="Strong"/>
          <w:rFonts w:cs="Arial"/>
          <w:b/>
          <w:bCs/>
        </w:rPr>
        <w:t xml:space="preserve"> </w:t>
      </w:r>
    </w:p>
    <w:p w14:paraId="51E34EB6" w14:textId="3F5EDFCC" w:rsidR="006D582B" w:rsidRPr="00922363" w:rsidRDefault="00803E0E" w:rsidP="00803E0E">
      <w:pPr>
        <w:spacing w:line="360" w:lineRule="auto"/>
        <w:jc w:val="both"/>
        <w:rPr>
          <w:rFonts w:ascii="Arial" w:hAnsi="Arial" w:cs="Arial"/>
          <w:sz w:val="28"/>
          <w:szCs w:val="28"/>
        </w:rPr>
      </w:pPr>
      <w:r w:rsidRPr="00803E0E">
        <w:rPr>
          <w:rFonts w:ascii="Arial" w:eastAsia="Times New Roman" w:hAnsi="Arial" w:cs="Arial"/>
          <w:sz w:val="24"/>
          <w:szCs w:val="24"/>
        </w:rPr>
        <w:t>The current report is a detailed financial report of General Electronics between 2020 and 2024 with a view of determining financial health, identifying the fundamental weaknesses, and determining the strategic alternatives to accommodate long-term sustainability. The analysis combines the financial ratio analysis, working capital management analysis, strategic financial restructuring and capital budgeting appraisal to come up with a coherent, data-driven analysis. The report is a combination of the short-term liquidity bearing interest, and the long-term value creation bearing perspectives to utilize the existing principles of corporate finance to explain trends in performance, risk exposure, and investment decision-making during a time of prolonged financial stress.</w:t>
      </w:r>
    </w:p>
    <w:p w14:paraId="5C24D4F5" w14:textId="77777777" w:rsidR="00D812D8" w:rsidRPr="006D582B" w:rsidRDefault="00255E4E" w:rsidP="00565E39">
      <w:pPr>
        <w:pStyle w:val="Heading1"/>
      </w:pPr>
      <w:r>
        <w:br w:type="page"/>
      </w:r>
      <w:bookmarkStart w:id="2" w:name="_Toc217082133"/>
      <w:r w:rsidR="00D812D8" w:rsidRPr="006D582B">
        <w:lastRenderedPageBreak/>
        <w:t xml:space="preserve">1. Financial </w:t>
      </w:r>
      <w:r w:rsidR="00D812D8" w:rsidRPr="00565E39">
        <w:t>Health</w:t>
      </w:r>
      <w:r w:rsidR="00D812D8" w:rsidRPr="006D582B">
        <w:t xml:space="preserve"> Check of General Electronics (2020–2024)</w:t>
      </w:r>
      <w:bookmarkEnd w:id="2"/>
    </w:p>
    <w:p w14:paraId="0C0AB2F8" w14:textId="77777777" w:rsidR="00D812D8" w:rsidRPr="006D582B" w:rsidRDefault="00D812D8" w:rsidP="00565E39">
      <w:pPr>
        <w:pStyle w:val="Heading2"/>
      </w:pPr>
      <w:bookmarkStart w:id="3" w:name="_Toc217082134"/>
      <w:r w:rsidRPr="006D582B">
        <w:t xml:space="preserve">1.1 </w:t>
      </w:r>
      <w:r w:rsidRPr="00565E39">
        <w:t>Introduction</w:t>
      </w:r>
      <w:bookmarkEnd w:id="3"/>
    </w:p>
    <w:p w14:paraId="11808028" w14:textId="43193DEC" w:rsidR="00D812D8" w:rsidRPr="006D582B" w:rsidRDefault="00DC6CB6" w:rsidP="006D582B">
      <w:pPr>
        <w:pStyle w:val="NormalWeb"/>
        <w:spacing w:line="360" w:lineRule="auto"/>
        <w:jc w:val="both"/>
        <w:rPr>
          <w:rFonts w:ascii="Arial" w:hAnsi="Arial" w:cs="Arial"/>
        </w:rPr>
      </w:pPr>
      <w:r w:rsidRPr="00DC6CB6">
        <w:rPr>
          <w:rFonts w:ascii="Arial" w:hAnsi="Arial" w:cs="Arial"/>
        </w:rPr>
        <w:t>In this part, we will examine the performance of money of General Electronics since 2020 through 2024 by computing some ratios that originate directly out of the published statements of the company that we obtained as part of the assignment brief. We are looking into profitability, liquidity, efficiency, gearing, the performance of that investment, cash flow, and the risk of defaulting on it to identify any large trends, strengths, and new threats that might affect the financial performance and risk profile of the company in the long run (</w:t>
      </w:r>
      <w:proofErr w:type="spellStart"/>
      <w:r w:rsidRPr="00DC6CB6">
        <w:rPr>
          <w:rFonts w:ascii="Arial" w:hAnsi="Arial" w:cs="Arial"/>
        </w:rPr>
        <w:t>Atrill</w:t>
      </w:r>
      <w:proofErr w:type="spellEnd"/>
      <w:r w:rsidRPr="00DC6CB6">
        <w:rPr>
          <w:rFonts w:ascii="Arial" w:hAnsi="Arial" w:cs="Arial"/>
        </w:rPr>
        <w:t xml:space="preserve"> and McLaney, 2017; Penman, 2020).</w:t>
      </w:r>
    </w:p>
    <w:p w14:paraId="09C12A85" w14:textId="77777777" w:rsidR="00D812D8" w:rsidRPr="006D582B" w:rsidRDefault="00D812D8" w:rsidP="00565E39">
      <w:pPr>
        <w:pStyle w:val="Heading2"/>
      </w:pPr>
      <w:bookmarkStart w:id="4" w:name="_Toc217082135"/>
      <w:r w:rsidRPr="006D582B">
        <w:t xml:space="preserve">1.2 </w:t>
      </w:r>
      <w:r w:rsidRPr="00565E39">
        <w:t>Profitability</w:t>
      </w:r>
      <w:r w:rsidRPr="006D582B">
        <w:t xml:space="preserve"> Ratio Analysis</w:t>
      </w:r>
      <w:bookmarkEnd w:id="4"/>
    </w:p>
    <w:p w14:paraId="670BA436" w14:textId="2D291405" w:rsidR="008B16AE" w:rsidRPr="008B16AE" w:rsidRDefault="008B16AE" w:rsidP="008B16AE">
      <w:pPr>
        <w:pStyle w:val="NormalWeb"/>
        <w:spacing w:line="360" w:lineRule="auto"/>
        <w:rPr>
          <w:rFonts w:ascii="Arial" w:hAnsi="Arial" w:cs="Arial"/>
        </w:rPr>
      </w:pPr>
      <w:r w:rsidRPr="008B16AE">
        <w:rPr>
          <w:rFonts w:ascii="Arial" w:hAnsi="Arial" w:cs="Arial"/>
        </w:rPr>
        <w:t>The ratios of profitability simply indicate the ability of the company to make money out of its sales and out of the money invested. Table A1 decomposes the gross profit margin, operating profit margin, Net profit margin and ROCE of General Electronics.</w:t>
      </w:r>
    </w:p>
    <w:p w14:paraId="6BEB11D3" w14:textId="5CA2C8E1" w:rsidR="008B16AE" w:rsidRPr="008B16AE" w:rsidRDefault="008B16AE" w:rsidP="008B16AE">
      <w:pPr>
        <w:pStyle w:val="NormalWeb"/>
        <w:spacing w:line="360" w:lineRule="auto"/>
        <w:rPr>
          <w:rFonts w:ascii="Arial" w:hAnsi="Arial" w:cs="Arial"/>
        </w:rPr>
      </w:pPr>
      <w:r w:rsidRPr="008B16AE">
        <w:rPr>
          <w:rFonts w:ascii="Arial" w:hAnsi="Arial" w:cs="Arial"/>
        </w:rPr>
        <w:t>This gross profit margin remained fairly stable between 2020 and 2022 and was near 28. That implies that we were proficient in controlling the production and procurement costs at the time. However, 2023 goes down to 23.20 that suggests an increase in the cost pressure and a decrease in the pricing power. The recovery to 28.87 in 2024 indicates slight changes to the cost at the expense of the total profitability.</w:t>
      </w:r>
    </w:p>
    <w:p w14:paraId="0F92A6B5" w14:textId="162518BF" w:rsidR="008B16AE" w:rsidRPr="008B16AE" w:rsidRDefault="008B16AE" w:rsidP="008B16AE">
      <w:pPr>
        <w:pStyle w:val="NormalWeb"/>
        <w:spacing w:line="360" w:lineRule="auto"/>
        <w:rPr>
          <w:rFonts w:ascii="Arial" w:hAnsi="Arial" w:cs="Arial"/>
        </w:rPr>
      </w:pPr>
      <w:r w:rsidRPr="008B16AE">
        <w:rPr>
          <w:rFonts w:ascii="Arial" w:hAnsi="Arial" w:cs="Arial"/>
        </w:rPr>
        <w:t>The operating profit margin is decreasing in a definite direction. It dropped sharply and reached negative 20.29% in 2023, after a drop in 2020 of 6.06, which had been downward in 2005. The large operating expenses and large impairments charges of that time are the main causes of that dip. At -3.87, 2024 showed negative figures but the loss was less than 2022 which is at -5.24.</w:t>
      </w:r>
    </w:p>
    <w:p w14:paraId="398C11E0" w14:textId="24244C82" w:rsidR="008B16AE" w:rsidRPr="008B16AE" w:rsidRDefault="008B16AE" w:rsidP="008B16AE">
      <w:pPr>
        <w:pStyle w:val="NormalWeb"/>
        <w:spacing w:line="360" w:lineRule="auto"/>
        <w:rPr>
          <w:rFonts w:ascii="Arial" w:hAnsi="Arial" w:cs="Arial"/>
        </w:rPr>
      </w:pPr>
      <w:r w:rsidRPr="008B16AE">
        <w:rPr>
          <w:rFonts w:ascii="Arial" w:hAnsi="Arial" w:cs="Arial"/>
        </w:rPr>
        <w:t>The net profit margin followed suit and declined by six percent in 2020 to a negative result of 23.36 percent in 2023. This net loss of 2024 confirms that there is still a net profit problem of both operation and financing in the air.</w:t>
      </w:r>
    </w:p>
    <w:p w14:paraId="23FE774E" w14:textId="60F7C6B5" w:rsidR="008B16AE" w:rsidRPr="008B16AE" w:rsidRDefault="008B16AE" w:rsidP="008B16AE">
      <w:pPr>
        <w:pStyle w:val="NormalWeb"/>
        <w:spacing w:line="360" w:lineRule="auto"/>
        <w:rPr>
          <w:rFonts w:ascii="Arial" w:hAnsi="Arial" w:cs="Arial"/>
        </w:rPr>
      </w:pPr>
      <w:r w:rsidRPr="008B16AE">
        <w:rPr>
          <w:rFonts w:ascii="Arial" w:hAnsi="Arial" w:cs="Arial"/>
        </w:rPr>
        <w:lastRenderedPageBreak/>
        <w:t>ROCE suffered a major blow over the year decreasing by 11.23% in 2020 to negative figures in 2023 and 2024. Because ROCE is a ratio of the use of long-term capital, the negative values indicate that assets and capital are not being utilized efficiently. Continuing negative ROCE is viewed as a good indicator of the destruction of value (Brigham and Ehrhardt, 2023).</w:t>
      </w:r>
    </w:p>
    <w:p w14:paraId="62ABB568" w14:textId="74339E49" w:rsidR="00D812D8" w:rsidRPr="006D582B" w:rsidRDefault="008B16AE" w:rsidP="008B16AE">
      <w:pPr>
        <w:pStyle w:val="NormalWeb"/>
        <w:spacing w:line="360" w:lineRule="auto"/>
        <w:jc w:val="both"/>
        <w:rPr>
          <w:rFonts w:ascii="Arial" w:hAnsi="Arial" w:cs="Arial"/>
        </w:rPr>
      </w:pPr>
      <w:r w:rsidRPr="008B16AE">
        <w:rPr>
          <w:rFonts w:ascii="Arial" w:hAnsi="Arial" w:cs="Arial"/>
        </w:rPr>
        <w:t>The profitability ratios on the whole depict the picture of severe erosion in earnings power, 5 percent recovery at best by 2024.</w:t>
      </w:r>
    </w:p>
    <w:p w14:paraId="345EC34D" w14:textId="77777777" w:rsidR="00D812D8" w:rsidRPr="006D582B" w:rsidRDefault="00D812D8" w:rsidP="00565E39">
      <w:pPr>
        <w:pStyle w:val="Heading2"/>
      </w:pPr>
      <w:bookmarkStart w:id="5" w:name="_Toc217082136"/>
      <w:r w:rsidRPr="006D582B">
        <w:t xml:space="preserve">1.3 </w:t>
      </w:r>
      <w:r w:rsidRPr="00565E39">
        <w:t>Liquidity</w:t>
      </w:r>
      <w:r w:rsidRPr="006D582B">
        <w:t xml:space="preserve"> Ratio Analysis</w:t>
      </w:r>
      <w:bookmarkEnd w:id="5"/>
    </w:p>
    <w:p w14:paraId="2BF252A0" w14:textId="19F7E56B" w:rsidR="00951AF4" w:rsidRPr="00951AF4" w:rsidRDefault="00951AF4" w:rsidP="00951AF4">
      <w:pPr>
        <w:pStyle w:val="Heading2"/>
        <w:spacing w:line="360" w:lineRule="auto"/>
        <w:jc w:val="both"/>
        <w:rPr>
          <w:rFonts w:cs="Arial"/>
          <w:b w:val="0"/>
          <w:bCs w:val="0"/>
          <w:sz w:val="24"/>
          <w:szCs w:val="24"/>
        </w:rPr>
      </w:pPr>
      <w:bookmarkStart w:id="6" w:name="_Toc217082137"/>
      <w:r w:rsidRPr="00951AF4">
        <w:rPr>
          <w:rFonts w:cs="Arial"/>
          <w:b w:val="0"/>
          <w:bCs w:val="0"/>
          <w:sz w:val="24"/>
          <w:szCs w:val="24"/>
        </w:rPr>
        <w:t xml:space="preserve">The liquidity ratios effectively inform us about the ability of a company to meet its </w:t>
      </w:r>
      <w:proofErr w:type="gramStart"/>
      <w:r w:rsidRPr="00951AF4">
        <w:rPr>
          <w:rFonts w:cs="Arial"/>
          <w:b w:val="0"/>
          <w:bCs w:val="0"/>
          <w:sz w:val="24"/>
          <w:szCs w:val="24"/>
        </w:rPr>
        <w:t>short term</w:t>
      </w:r>
      <w:proofErr w:type="gramEnd"/>
      <w:r w:rsidRPr="00951AF4">
        <w:rPr>
          <w:rFonts w:cs="Arial"/>
          <w:b w:val="0"/>
          <w:bCs w:val="0"/>
          <w:sz w:val="24"/>
          <w:szCs w:val="24"/>
        </w:rPr>
        <w:t xml:space="preserve"> debts. Table A2 in this case represents the current ratio, quick ratio, and cash ratio of General Electronics. The current ratio was continuously maintained at a good level, that is, over 1.5, thus the company was always having more current assets than current liabilities- fairly healthy in the eyes of a student who likes a nice cushion. Nevertheless, the fact that it fell to 1.82 in 2020 and then down to 1.53 in 2024, signifies that the liquidity situation is tightening some bit more with each passing day, and this is what we constantly pay attention to when we are talking about finance.</w:t>
      </w:r>
    </w:p>
    <w:p w14:paraId="0318B0C5" w14:textId="2FCF94F8" w:rsidR="00951AF4" w:rsidRPr="00951AF4" w:rsidRDefault="00951AF4" w:rsidP="00951AF4">
      <w:pPr>
        <w:pStyle w:val="Heading2"/>
        <w:spacing w:line="360" w:lineRule="auto"/>
        <w:jc w:val="both"/>
        <w:rPr>
          <w:rFonts w:cs="Arial"/>
          <w:b w:val="0"/>
          <w:bCs w:val="0"/>
          <w:sz w:val="24"/>
          <w:szCs w:val="24"/>
        </w:rPr>
      </w:pPr>
      <w:r w:rsidRPr="00951AF4">
        <w:rPr>
          <w:rFonts w:cs="Arial"/>
          <w:b w:val="0"/>
          <w:bCs w:val="0"/>
          <w:sz w:val="24"/>
          <w:szCs w:val="24"/>
        </w:rPr>
        <w:t xml:space="preserve">The quick ratio or that which does not </w:t>
      </w:r>
      <w:proofErr w:type="gramStart"/>
      <w:r w:rsidRPr="00951AF4">
        <w:rPr>
          <w:rFonts w:cs="Arial"/>
          <w:b w:val="0"/>
          <w:bCs w:val="0"/>
          <w:sz w:val="24"/>
          <w:szCs w:val="24"/>
        </w:rPr>
        <w:t>take into account</w:t>
      </w:r>
      <w:proofErr w:type="gramEnd"/>
      <w:r w:rsidRPr="00951AF4">
        <w:rPr>
          <w:rFonts w:cs="Arial"/>
          <w:b w:val="0"/>
          <w:bCs w:val="0"/>
          <w:sz w:val="24"/>
          <w:szCs w:val="24"/>
        </w:rPr>
        <w:t xml:space="preserve"> inventories went below 1 in 2021 and 2022, which essentially implies that the company was having to use turning over inventory to cash in order to clear its short-term obligations. It did shift a notch higher in 2023 and 2024, to a little more than 1, but there still is not a massive safety net, and as such the liquidity buffer remains relatively slim.</w:t>
      </w:r>
    </w:p>
    <w:p w14:paraId="1EBC711F" w14:textId="77777777" w:rsidR="00951AF4" w:rsidRDefault="00951AF4" w:rsidP="00951AF4">
      <w:pPr>
        <w:pStyle w:val="Heading2"/>
        <w:spacing w:line="360" w:lineRule="auto"/>
        <w:jc w:val="both"/>
        <w:rPr>
          <w:rFonts w:cs="Arial"/>
          <w:b w:val="0"/>
          <w:bCs w:val="0"/>
          <w:sz w:val="24"/>
          <w:szCs w:val="24"/>
        </w:rPr>
      </w:pPr>
      <w:r w:rsidRPr="00951AF4">
        <w:rPr>
          <w:rFonts w:cs="Arial"/>
          <w:b w:val="0"/>
          <w:bCs w:val="0"/>
          <w:sz w:val="24"/>
          <w:szCs w:val="24"/>
        </w:rPr>
        <w:t xml:space="preserve">The cash ratio is the most alarming: it decreased gradually as compared to 0.32 in 2020, amounting to 0.17 in 2024. It implies that the cash that the company has on its hands satisfied less than 20 percent of the current liabilities at the period. The textbook by Ross, </w:t>
      </w:r>
      <w:proofErr w:type="spellStart"/>
      <w:r w:rsidRPr="00951AF4">
        <w:rPr>
          <w:rFonts w:cs="Arial"/>
          <w:b w:val="0"/>
          <w:bCs w:val="0"/>
          <w:sz w:val="24"/>
          <w:szCs w:val="24"/>
        </w:rPr>
        <w:t>Westerfield</w:t>
      </w:r>
      <w:proofErr w:type="spellEnd"/>
      <w:r w:rsidRPr="00951AF4">
        <w:rPr>
          <w:rFonts w:cs="Arial"/>
          <w:b w:val="0"/>
          <w:bCs w:val="0"/>
          <w:sz w:val="24"/>
          <w:szCs w:val="24"/>
        </w:rPr>
        <w:t>, and Jordan (2022) states that a declining cash ratio predisposes a firm to weak performance in case of business hiccups or diminishing revenues. Overall, the liquidity is still acceptable, but it is indeed becoming shakier - principally due to the fact that the cash reserves are becoming weaker.</w:t>
      </w:r>
    </w:p>
    <w:p w14:paraId="2127D96C" w14:textId="4992C5D6" w:rsidR="00D812D8" w:rsidRPr="006D582B" w:rsidRDefault="00D812D8" w:rsidP="00951AF4">
      <w:pPr>
        <w:pStyle w:val="Heading2"/>
      </w:pPr>
      <w:r w:rsidRPr="006D582B">
        <w:lastRenderedPageBreak/>
        <w:t xml:space="preserve">1.4 </w:t>
      </w:r>
      <w:r w:rsidRPr="00565E39">
        <w:t>Efficiency</w:t>
      </w:r>
      <w:r w:rsidRPr="006D582B">
        <w:t xml:space="preserve"> Ratio Analysis</w:t>
      </w:r>
      <w:bookmarkEnd w:id="6"/>
    </w:p>
    <w:p w14:paraId="5C52428A" w14:textId="332E9001" w:rsidR="005F1B75" w:rsidRPr="005F1B75" w:rsidRDefault="005F1B75" w:rsidP="005F1B75">
      <w:pPr>
        <w:pStyle w:val="Heading2"/>
        <w:spacing w:line="360" w:lineRule="auto"/>
        <w:jc w:val="both"/>
        <w:rPr>
          <w:rFonts w:cs="Arial"/>
          <w:b w:val="0"/>
          <w:bCs w:val="0"/>
          <w:sz w:val="24"/>
          <w:szCs w:val="24"/>
        </w:rPr>
      </w:pPr>
      <w:bookmarkStart w:id="7" w:name="_Toc217082138"/>
      <w:r w:rsidRPr="005F1B75">
        <w:rPr>
          <w:rFonts w:cs="Arial"/>
          <w:b w:val="0"/>
          <w:bCs w:val="0"/>
          <w:sz w:val="24"/>
          <w:szCs w:val="24"/>
        </w:rPr>
        <w:t xml:space="preserve">It is essentially these efficiency ratios that we use to examine whether a firm is managing its assets well and to determine whether the firm is managing its working capital wisely.  </w:t>
      </w:r>
    </w:p>
    <w:p w14:paraId="6A96A721" w14:textId="5DC35846" w:rsidR="005F1B75" w:rsidRPr="005F1B75" w:rsidRDefault="005F1B75" w:rsidP="005F1B75">
      <w:pPr>
        <w:pStyle w:val="Heading2"/>
        <w:spacing w:line="360" w:lineRule="auto"/>
        <w:jc w:val="both"/>
        <w:rPr>
          <w:rFonts w:cs="Arial"/>
          <w:b w:val="0"/>
          <w:bCs w:val="0"/>
          <w:sz w:val="24"/>
          <w:szCs w:val="24"/>
        </w:rPr>
      </w:pPr>
      <w:r w:rsidRPr="005F1B75">
        <w:rPr>
          <w:rFonts w:cs="Arial"/>
          <w:b w:val="0"/>
          <w:bCs w:val="0"/>
          <w:sz w:val="24"/>
          <w:szCs w:val="24"/>
        </w:rPr>
        <w:t xml:space="preserve">Table A3 disaggregates it into asset turnover, fixed asset turnover, receivables days and inventory days.  </w:t>
      </w:r>
    </w:p>
    <w:p w14:paraId="1A13F544" w14:textId="6A7F56E7" w:rsidR="005F1B75" w:rsidRPr="005F1B75" w:rsidRDefault="005F1B75" w:rsidP="005F1B75">
      <w:pPr>
        <w:pStyle w:val="Heading2"/>
        <w:spacing w:line="360" w:lineRule="auto"/>
        <w:jc w:val="both"/>
        <w:rPr>
          <w:rFonts w:cs="Arial"/>
          <w:b w:val="0"/>
          <w:bCs w:val="0"/>
          <w:sz w:val="24"/>
          <w:szCs w:val="24"/>
        </w:rPr>
      </w:pPr>
      <w:r w:rsidRPr="005F1B75">
        <w:rPr>
          <w:rFonts w:cs="Arial"/>
          <w:b w:val="0"/>
          <w:bCs w:val="0"/>
          <w:sz w:val="24"/>
          <w:szCs w:val="24"/>
        </w:rPr>
        <w:t xml:space="preserve">Asset turnover decreased in 2022 to 1.08 as compared to the previous year of 1.20 implying that the company was generating a lower amount of revenue on its dollar of assets. It recovered to 1.22 by 2024, however that only appears to be the company shedding assets as opposed to an actual increase in sales.  </w:t>
      </w:r>
    </w:p>
    <w:p w14:paraId="581F4F03" w14:textId="173F4445" w:rsidR="005F1B75" w:rsidRPr="005F1B75" w:rsidRDefault="005F1B75" w:rsidP="005F1B75">
      <w:pPr>
        <w:pStyle w:val="Heading2"/>
        <w:spacing w:line="360" w:lineRule="auto"/>
        <w:jc w:val="both"/>
        <w:rPr>
          <w:rFonts w:cs="Arial"/>
          <w:b w:val="0"/>
          <w:bCs w:val="0"/>
          <w:sz w:val="24"/>
          <w:szCs w:val="24"/>
        </w:rPr>
      </w:pPr>
      <w:r w:rsidRPr="005F1B75">
        <w:rPr>
          <w:rFonts w:cs="Arial"/>
          <w:b w:val="0"/>
          <w:bCs w:val="0"/>
          <w:sz w:val="24"/>
          <w:szCs w:val="24"/>
        </w:rPr>
        <w:t xml:space="preserve">Conversely, fixed asset turnover has been gradually increasing, as it was 7.04 in 2020 and 11.54 in 2024. What the company is enjoying is more bang on its property, plant, and equipment, which is likely due to the sale of nonperforming gear or reduction of expenses on assets that are not turning out enough.  </w:t>
      </w:r>
    </w:p>
    <w:p w14:paraId="29152989" w14:textId="2B10025D" w:rsidR="005F1B75" w:rsidRPr="005F1B75" w:rsidRDefault="005F1B75" w:rsidP="005F1B75">
      <w:pPr>
        <w:pStyle w:val="Heading2"/>
        <w:spacing w:line="360" w:lineRule="auto"/>
        <w:jc w:val="both"/>
        <w:rPr>
          <w:rFonts w:cs="Arial"/>
          <w:b w:val="0"/>
          <w:bCs w:val="0"/>
          <w:sz w:val="24"/>
          <w:szCs w:val="24"/>
        </w:rPr>
      </w:pPr>
      <w:r w:rsidRPr="005F1B75">
        <w:rPr>
          <w:rFonts w:cs="Arial"/>
          <w:b w:val="0"/>
          <w:bCs w:val="0"/>
          <w:sz w:val="24"/>
          <w:szCs w:val="24"/>
        </w:rPr>
        <w:t xml:space="preserve">Receivables days, in its turn, increased significantly, as compared to 76.86 days in 2020, reaching 105.54 days in 2024. That informs us that credit control is deteriorating and there is slower payment of customers that puts strain on operating cash flow.  </w:t>
      </w:r>
    </w:p>
    <w:p w14:paraId="62D47D1C" w14:textId="4EE2309A" w:rsidR="005F1B75" w:rsidRPr="005F1B75" w:rsidRDefault="005F1B75" w:rsidP="005F1B75">
      <w:pPr>
        <w:pStyle w:val="Heading2"/>
        <w:spacing w:line="360" w:lineRule="auto"/>
        <w:jc w:val="both"/>
        <w:rPr>
          <w:rFonts w:cs="Arial"/>
          <w:b w:val="0"/>
          <w:bCs w:val="0"/>
          <w:sz w:val="24"/>
          <w:szCs w:val="24"/>
        </w:rPr>
      </w:pPr>
      <w:r w:rsidRPr="005F1B75">
        <w:rPr>
          <w:rFonts w:cs="Arial"/>
          <w:b w:val="0"/>
          <w:bCs w:val="0"/>
          <w:sz w:val="24"/>
          <w:szCs w:val="24"/>
        </w:rPr>
        <w:t xml:space="preserve">Inventory days too shot up in the period 2020 to 2022 indicating an accumulation of stock and perhaps an underestimation of demand predictions. Although there is a slight improvement after 2023, the holding periods remain to be high.  </w:t>
      </w:r>
    </w:p>
    <w:p w14:paraId="0859C61C" w14:textId="77777777" w:rsidR="005F1B75" w:rsidRDefault="005F1B75" w:rsidP="005F1B75">
      <w:pPr>
        <w:pStyle w:val="Heading2"/>
        <w:spacing w:line="360" w:lineRule="auto"/>
        <w:jc w:val="both"/>
        <w:rPr>
          <w:rFonts w:cs="Arial"/>
          <w:b w:val="0"/>
          <w:bCs w:val="0"/>
          <w:sz w:val="24"/>
          <w:szCs w:val="24"/>
        </w:rPr>
      </w:pPr>
      <w:r w:rsidRPr="005F1B75">
        <w:rPr>
          <w:rFonts w:cs="Arial"/>
          <w:b w:val="0"/>
          <w:bCs w:val="0"/>
          <w:sz w:val="24"/>
          <w:szCs w:val="24"/>
        </w:rPr>
        <w:t>All in all, the efficiency analysis identifies some acute weaknesses in the management of the working capital of the firm particularly in regards to receivables and inventories.</w:t>
      </w:r>
    </w:p>
    <w:p w14:paraId="0FE1197C" w14:textId="566F5697" w:rsidR="00D812D8" w:rsidRPr="006D582B" w:rsidRDefault="00D812D8" w:rsidP="005F1B75">
      <w:pPr>
        <w:pStyle w:val="Heading2"/>
      </w:pPr>
      <w:r w:rsidRPr="006D582B">
        <w:t xml:space="preserve">1.5 </w:t>
      </w:r>
      <w:r w:rsidRPr="00565E39">
        <w:t>Gearing</w:t>
      </w:r>
      <w:r w:rsidRPr="006D582B">
        <w:t xml:space="preserve"> and Capital Structure Analysis</w:t>
      </w:r>
      <w:bookmarkEnd w:id="7"/>
    </w:p>
    <w:p w14:paraId="19B54E11" w14:textId="77777777" w:rsidR="006C1A50" w:rsidRPr="006C1A50" w:rsidRDefault="006C1A50" w:rsidP="00CF446E">
      <w:pPr>
        <w:pStyle w:val="Heading2"/>
        <w:spacing w:line="360" w:lineRule="auto"/>
        <w:jc w:val="both"/>
        <w:rPr>
          <w:rFonts w:cs="Arial"/>
          <w:b w:val="0"/>
          <w:bCs w:val="0"/>
          <w:sz w:val="24"/>
          <w:szCs w:val="24"/>
        </w:rPr>
      </w:pPr>
      <w:bookmarkStart w:id="8" w:name="_Toc217082139"/>
      <w:r w:rsidRPr="006C1A50">
        <w:rPr>
          <w:rFonts w:cs="Arial"/>
          <w:b w:val="0"/>
          <w:bCs w:val="0"/>
          <w:sz w:val="24"/>
          <w:szCs w:val="24"/>
        </w:rPr>
        <w:t>The gearing ratios are essentially used to understand the financial structure of a company as risky or not. Table A4 presents us with a group of measures such as interest coverage, debt-to-equity, debt-to-capital and equity multiplier.</w:t>
      </w:r>
    </w:p>
    <w:p w14:paraId="5B8096A0" w14:textId="77777777" w:rsidR="006C1A50" w:rsidRPr="006C1A50" w:rsidRDefault="006C1A50" w:rsidP="00CF446E">
      <w:pPr>
        <w:pStyle w:val="Heading2"/>
        <w:spacing w:line="360" w:lineRule="auto"/>
        <w:jc w:val="both"/>
        <w:rPr>
          <w:rFonts w:cs="Arial"/>
          <w:b w:val="0"/>
          <w:bCs w:val="0"/>
          <w:sz w:val="24"/>
          <w:szCs w:val="24"/>
        </w:rPr>
      </w:pPr>
    </w:p>
    <w:p w14:paraId="2072B893" w14:textId="5F94FCEA" w:rsidR="006C1A50" w:rsidRPr="006C1A50" w:rsidRDefault="006C1A50" w:rsidP="00CF446E">
      <w:pPr>
        <w:pStyle w:val="Heading2"/>
        <w:spacing w:line="360" w:lineRule="auto"/>
        <w:jc w:val="both"/>
        <w:rPr>
          <w:rFonts w:cs="Arial"/>
          <w:b w:val="0"/>
          <w:bCs w:val="0"/>
          <w:sz w:val="24"/>
          <w:szCs w:val="24"/>
        </w:rPr>
      </w:pPr>
      <w:r w:rsidRPr="006C1A50">
        <w:rPr>
          <w:rFonts w:cs="Arial"/>
          <w:b w:val="0"/>
          <w:bCs w:val="0"/>
          <w:sz w:val="24"/>
          <w:szCs w:val="24"/>
        </w:rPr>
        <w:t>The interest coverage has been hit and even fell into the negative in 2023 and 2024. It is to say that the company was not earning sufficient operating profit to pay the interest charges to traders - a clear signal of insolvency (Berk and DeMarzo, 2020).</w:t>
      </w:r>
    </w:p>
    <w:p w14:paraId="17155C94" w14:textId="23125935" w:rsidR="006C1A50" w:rsidRPr="006C1A50" w:rsidRDefault="006C1A50" w:rsidP="00CF446E">
      <w:pPr>
        <w:pStyle w:val="Heading2"/>
        <w:spacing w:line="360" w:lineRule="auto"/>
        <w:jc w:val="both"/>
        <w:rPr>
          <w:rFonts w:cs="Arial"/>
          <w:b w:val="0"/>
          <w:bCs w:val="0"/>
          <w:sz w:val="24"/>
          <w:szCs w:val="24"/>
        </w:rPr>
      </w:pPr>
      <w:r w:rsidRPr="006C1A50">
        <w:rPr>
          <w:rFonts w:cs="Arial"/>
          <w:b w:val="0"/>
          <w:bCs w:val="0"/>
          <w:sz w:val="24"/>
          <w:szCs w:val="24"/>
        </w:rPr>
        <w:t>A debt-to-equity ratio had risen above 0.63 in 2020 to 1.11 in 2024, hence, liabilities are currently surpassing the equity of the shareholders. The debt to capital ratio is no exception as it indicates that the firm is more inclined to use debt as a source of financing.</w:t>
      </w:r>
    </w:p>
    <w:p w14:paraId="2F6877B6" w14:textId="20FA08B7" w:rsidR="006C1A50" w:rsidRPr="006C1A50" w:rsidRDefault="006C1A50" w:rsidP="00CF446E">
      <w:pPr>
        <w:pStyle w:val="Heading2"/>
        <w:spacing w:line="360" w:lineRule="auto"/>
        <w:jc w:val="both"/>
        <w:rPr>
          <w:rFonts w:cs="Arial"/>
          <w:b w:val="0"/>
          <w:bCs w:val="0"/>
          <w:sz w:val="24"/>
          <w:szCs w:val="24"/>
        </w:rPr>
      </w:pPr>
      <w:r w:rsidRPr="006C1A50">
        <w:rPr>
          <w:rFonts w:cs="Arial"/>
          <w:b w:val="0"/>
          <w:bCs w:val="0"/>
          <w:sz w:val="24"/>
          <w:szCs w:val="24"/>
        </w:rPr>
        <w:t>The equity multiplier increase was 1.63 to 2.11 which indicates that the leverage of the firm is increasing. On the one hand, additional leverage can increase returns in the good times, but on the other hand, during earnings downturns, it can hurt much more (Keown et al., 2024).</w:t>
      </w:r>
    </w:p>
    <w:p w14:paraId="7E9EA6C8" w14:textId="77777777" w:rsidR="006C1A50" w:rsidRDefault="006C1A50" w:rsidP="00CF446E">
      <w:pPr>
        <w:pStyle w:val="Heading2"/>
        <w:spacing w:line="360" w:lineRule="auto"/>
        <w:jc w:val="both"/>
        <w:rPr>
          <w:rFonts w:cs="Arial"/>
          <w:b w:val="0"/>
          <w:bCs w:val="0"/>
          <w:sz w:val="24"/>
          <w:szCs w:val="24"/>
        </w:rPr>
      </w:pPr>
      <w:r w:rsidRPr="006C1A50">
        <w:rPr>
          <w:rFonts w:cs="Arial"/>
          <w:b w:val="0"/>
          <w:bCs w:val="0"/>
          <w:sz w:val="24"/>
          <w:szCs w:val="24"/>
        </w:rPr>
        <w:t>The capital structure in general has been made riskier as the profitability is already being low.</w:t>
      </w:r>
    </w:p>
    <w:p w14:paraId="434B2CBF" w14:textId="11F4FD1B" w:rsidR="00D812D8" w:rsidRPr="006D582B" w:rsidRDefault="00D812D8" w:rsidP="006C1A50">
      <w:pPr>
        <w:pStyle w:val="Heading2"/>
      </w:pPr>
      <w:r w:rsidRPr="006D582B">
        <w:t xml:space="preserve">1.6 Investment </w:t>
      </w:r>
      <w:r w:rsidRPr="00565E39">
        <w:t>Performance</w:t>
      </w:r>
      <w:r w:rsidRPr="006D582B">
        <w:t xml:space="preserve"> Analysis</w:t>
      </w:r>
      <w:bookmarkEnd w:id="8"/>
    </w:p>
    <w:p w14:paraId="7342324C" w14:textId="4AC26CC3" w:rsidR="001F7875" w:rsidRPr="001F7875" w:rsidRDefault="001F7875" w:rsidP="001F7875">
      <w:pPr>
        <w:pStyle w:val="Heading2"/>
        <w:spacing w:line="360" w:lineRule="auto"/>
        <w:jc w:val="both"/>
        <w:rPr>
          <w:rFonts w:cs="Arial"/>
          <w:b w:val="0"/>
          <w:bCs w:val="0"/>
          <w:sz w:val="24"/>
          <w:szCs w:val="24"/>
        </w:rPr>
      </w:pPr>
      <w:bookmarkStart w:id="9" w:name="_Toc217082140"/>
      <w:r w:rsidRPr="001F7875">
        <w:rPr>
          <w:rFonts w:cs="Arial"/>
          <w:b w:val="0"/>
          <w:bCs w:val="0"/>
          <w:sz w:val="24"/>
          <w:szCs w:val="24"/>
        </w:rPr>
        <w:t>Investment ratios are used to view the amount of profit shareholders receive. Table A5 presents the earnings per share and the price earnings ratio and return on equity.</w:t>
      </w:r>
    </w:p>
    <w:p w14:paraId="3C80A30A" w14:textId="5DB3FA56" w:rsidR="001F7875" w:rsidRPr="001F7875" w:rsidRDefault="001F7875" w:rsidP="001F7875">
      <w:pPr>
        <w:pStyle w:val="Heading2"/>
        <w:spacing w:line="360" w:lineRule="auto"/>
        <w:jc w:val="both"/>
        <w:rPr>
          <w:rFonts w:cs="Arial"/>
          <w:b w:val="0"/>
          <w:bCs w:val="0"/>
          <w:sz w:val="24"/>
          <w:szCs w:val="24"/>
        </w:rPr>
      </w:pPr>
      <w:r w:rsidRPr="001F7875">
        <w:rPr>
          <w:rFonts w:cs="Arial"/>
          <w:b w:val="0"/>
          <w:bCs w:val="0"/>
          <w:sz w:val="24"/>
          <w:szCs w:val="24"/>
        </w:rPr>
        <w:t>EPS declined severely to negative values in 2023 and 2024, a year after 2020, and this implies that shareholders actually wasted money. Due to that, the ratios are not very logical in the years of loss and are not the best price-to-earnings valuation indicator.</w:t>
      </w:r>
    </w:p>
    <w:p w14:paraId="41555C64" w14:textId="77777777" w:rsidR="001F7875" w:rsidRDefault="001F7875" w:rsidP="001F7875">
      <w:pPr>
        <w:pStyle w:val="Heading2"/>
        <w:spacing w:line="360" w:lineRule="auto"/>
        <w:jc w:val="both"/>
        <w:rPr>
          <w:rFonts w:cs="Arial"/>
          <w:b w:val="0"/>
          <w:bCs w:val="0"/>
          <w:sz w:val="24"/>
          <w:szCs w:val="24"/>
        </w:rPr>
      </w:pPr>
      <w:r w:rsidRPr="001F7875">
        <w:rPr>
          <w:rFonts w:cs="Arial"/>
          <w:b w:val="0"/>
          <w:bCs w:val="0"/>
          <w:sz w:val="24"/>
          <w:szCs w:val="24"/>
        </w:rPr>
        <w:t>The corresponding return on equity decreased drastically to a low of 12.31 0.2020 to a negative value of -54.91 0.2023. Although it has made some positive progress in 2024, ROE remains in the negative, which confirms that shareholder value continues to be struck. Such a tradeoff represents a definite indication of loss of confidence among investors over a number of consecutive years (Penman, 2020).</w:t>
      </w:r>
    </w:p>
    <w:p w14:paraId="15C7652A" w14:textId="5C97A9AE" w:rsidR="00D812D8" w:rsidRPr="006D582B" w:rsidRDefault="00D812D8" w:rsidP="001F7875">
      <w:pPr>
        <w:pStyle w:val="Heading2"/>
      </w:pPr>
      <w:r w:rsidRPr="006D582B">
        <w:t xml:space="preserve">1.7 Cash </w:t>
      </w:r>
      <w:r w:rsidRPr="00565E39">
        <w:t>Flow</w:t>
      </w:r>
      <w:r w:rsidRPr="006D582B">
        <w:t xml:space="preserve"> Ratio Analysis</w:t>
      </w:r>
      <w:bookmarkEnd w:id="9"/>
    </w:p>
    <w:p w14:paraId="0F549343" w14:textId="77777777" w:rsidR="006A002E" w:rsidRPr="006A002E" w:rsidRDefault="006A002E" w:rsidP="00C67C4E">
      <w:pPr>
        <w:pStyle w:val="Heading2"/>
        <w:spacing w:line="360" w:lineRule="auto"/>
        <w:jc w:val="both"/>
        <w:rPr>
          <w:rFonts w:cs="Arial"/>
          <w:b w:val="0"/>
          <w:bCs w:val="0"/>
          <w:sz w:val="24"/>
          <w:szCs w:val="24"/>
        </w:rPr>
      </w:pPr>
      <w:bookmarkStart w:id="10" w:name="_Toc217082141"/>
      <w:r w:rsidRPr="006A002E">
        <w:rPr>
          <w:rFonts w:cs="Arial"/>
          <w:b w:val="0"/>
          <w:bCs w:val="0"/>
          <w:sz w:val="24"/>
          <w:szCs w:val="24"/>
        </w:rPr>
        <w:lastRenderedPageBreak/>
        <w:t xml:space="preserve">Cash flow ratios are used to assess the cash generation capacity of the firm to keep operations and service commitments. Table A6 shows the operating cash flow ratio, cash flow to debt ratio and cash flow margin.  </w:t>
      </w:r>
    </w:p>
    <w:p w14:paraId="3AA23227" w14:textId="77777777" w:rsidR="006A002E" w:rsidRPr="006A002E" w:rsidRDefault="006A002E" w:rsidP="00C67C4E">
      <w:pPr>
        <w:pStyle w:val="Heading2"/>
        <w:spacing w:line="360" w:lineRule="auto"/>
        <w:jc w:val="both"/>
        <w:rPr>
          <w:rFonts w:cs="Arial"/>
          <w:b w:val="0"/>
          <w:bCs w:val="0"/>
          <w:sz w:val="24"/>
          <w:szCs w:val="24"/>
        </w:rPr>
      </w:pPr>
      <w:r w:rsidRPr="006A002E">
        <w:rPr>
          <w:rFonts w:cs="Arial"/>
          <w:b w:val="0"/>
          <w:bCs w:val="0"/>
          <w:sz w:val="24"/>
          <w:szCs w:val="24"/>
        </w:rPr>
        <w:t xml:space="preserve">The operating cash flow ratio decreased by 0.41 in 2020 to 0.09 in 2024, meaning that the ability of the firm to cover its current liabilities using its operating cash flows is declining.  </w:t>
      </w:r>
    </w:p>
    <w:p w14:paraId="7B6AE093" w14:textId="77777777" w:rsidR="006A002E" w:rsidRPr="006A002E" w:rsidRDefault="006A002E" w:rsidP="00C67C4E">
      <w:pPr>
        <w:pStyle w:val="Heading2"/>
        <w:spacing w:line="360" w:lineRule="auto"/>
        <w:jc w:val="both"/>
        <w:rPr>
          <w:rFonts w:cs="Arial"/>
          <w:b w:val="0"/>
          <w:bCs w:val="0"/>
          <w:sz w:val="24"/>
          <w:szCs w:val="24"/>
        </w:rPr>
      </w:pPr>
      <w:r w:rsidRPr="006A002E">
        <w:rPr>
          <w:rFonts w:cs="Arial"/>
          <w:b w:val="0"/>
          <w:bCs w:val="0"/>
          <w:sz w:val="24"/>
          <w:szCs w:val="24"/>
        </w:rPr>
        <w:t xml:space="preserve">The cash flow to debt ratio also has an identical downward trend which indicates the loss of </w:t>
      </w:r>
      <w:proofErr w:type="gramStart"/>
      <w:r w:rsidRPr="006A002E">
        <w:rPr>
          <w:rFonts w:cs="Arial"/>
          <w:b w:val="0"/>
          <w:bCs w:val="0"/>
          <w:sz w:val="24"/>
          <w:szCs w:val="24"/>
        </w:rPr>
        <w:t>long term</w:t>
      </w:r>
      <w:proofErr w:type="gramEnd"/>
      <w:r w:rsidRPr="006A002E">
        <w:rPr>
          <w:rFonts w:cs="Arial"/>
          <w:b w:val="0"/>
          <w:bCs w:val="0"/>
          <w:sz w:val="24"/>
          <w:szCs w:val="24"/>
        </w:rPr>
        <w:t xml:space="preserve"> solvency power.  </w:t>
      </w:r>
    </w:p>
    <w:p w14:paraId="473BF071" w14:textId="77777777" w:rsidR="006A002E" w:rsidRDefault="006A002E" w:rsidP="00C67C4E">
      <w:pPr>
        <w:pStyle w:val="Heading2"/>
        <w:spacing w:line="360" w:lineRule="auto"/>
        <w:jc w:val="both"/>
        <w:rPr>
          <w:rFonts w:cs="Arial"/>
          <w:b w:val="0"/>
          <w:bCs w:val="0"/>
          <w:sz w:val="24"/>
          <w:szCs w:val="24"/>
        </w:rPr>
      </w:pPr>
      <w:r w:rsidRPr="006A002E">
        <w:rPr>
          <w:rFonts w:cs="Arial"/>
          <w:b w:val="0"/>
          <w:bCs w:val="0"/>
          <w:sz w:val="24"/>
          <w:szCs w:val="24"/>
        </w:rPr>
        <w:t>The margin of cash flow decreased drastically post 2020. Although this increased slightly in 2023, it appears that this increase was more of an effect of the working capital moving rather than actual increase in the operational performance. Declining cash flow margins hence dilute the quality of earnings and financial stability (</w:t>
      </w:r>
      <w:proofErr w:type="spellStart"/>
      <w:r w:rsidRPr="006A002E">
        <w:rPr>
          <w:rFonts w:cs="Arial"/>
          <w:b w:val="0"/>
          <w:bCs w:val="0"/>
          <w:sz w:val="24"/>
          <w:szCs w:val="24"/>
        </w:rPr>
        <w:t>Atrill</w:t>
      </w:r>
      <w:proofErr w:type="spellEnd"/>
      <w:r w:rsidRPr="006A002E">
        <w:rPr>
          <w:rFonts w:cs="Arial"/>
          <w:b w:val="0"/>
          <w:bCs w:val="0"/>
          <w:sz w:val="24"/>
          <w:szCs w:val="24"/>
        </w:rPr>
        <w:t xml:space="preserve"> &amp; McLaney, 2017).</w:t>
      </w:r>
    </w:p>
    <w:p w14:paraId="554A47CE" w14:textId="4355A230" w:rsidR="00D812D8" w:rsidRPr="006D582B" w:rsidRDefault="00D812D8" w:rsidP="006A002E">
      <w:pPr>
        <w:pStyle w:val="Heading2"/>
      </w:pPr>
      <w:r w:rsidRPr="006D582B">
        <w:t xml:space="preserve">1.8 </w:t>
      </w:r>
      <w:r w:rsidRPr="00565E39">
        <w:t>Identification</w:t>
      </w:r>
      <w:r w:rsidRPr="006D582B">
        <w:t xml:space="preserve"> of Trends, Strengths, and Threats</w:t>
      </w:r>
      <w:bookmarkEnd w:id="10"/>
    </w:p>
    <w:p w14:paraId="570D5F40" w14:textId="77777777" w:rsidR="00C265E9" w:rsidRPr="00C265E9" w:rsidRDefault="00C265E9" w:rsidP="00C265E9">
      <w:pPr>
        <w:pStyle w:val="Heading2"/>
        <w:spacing w:line="360" w:lineRule="auto"/>
        <w:jc w:val="both"/>
        <w:rPr>
          <w:rFonts w:eastAsiaTheme="minorHAnsi" w:cs="Arial"/>
          <w:b w:val="0"/>
          <w:bCs w:val="0"/>
          <w:color w:val="000000" w:themeColor="text1"/>
          <w:sz w:val="24"/>
          <w:szCs w:val="24"/>
        </w:rPr>
      </w:pPr>
      <w:bookmarkStart w:id="11" w:name="_Toc217082142"/>
      <w:r w:rsidRPr="00C265E9">
        <w:rPr>
          <w:rFonts w:eastAsiaTheme="minorHAnsi" w:cs="Arial"/>
          <w:b w:val="0"/>
          <w:bCs w:val="0"/>
          <w:color w:val="000000" w:themeColor="text1"/>
          <w:sz w:val="24"/>
          <w:szCs w:val="24"/>
        </w:rPr>
        <w:t>Key Trends</w:t>
      </w:r>
    </w:p>
    <w:p w14:paraId="370BF4FD" w14:textId="77777777" w:rsidR="00C265E9" w:rsidRPr="00C265E9" w:rsidRDefault="00C265E9" w:rsidP="00C265E9">
      <w:pPr>
        <w:pStyle w:val="Heading2"/>
        <w:spacing w:line="360" w:lineRule="auto"/>
        <w:jc w:val="both"/>
        <w:rPr>
          <w:rFonts w:eastAsiaTheme="minorHAnsi" w:cs="Arial"/>
          <w:b w:val="0"/>
          <w:bCs w:val="0"/>
          <w:color w:val="000000" w:themeColor="text1"/>
          <w:sz w:val="24"/>
          <w:szCs w:val="24"/>
        </w:rPr>
      </w:pPr>
      <w:r w:rsidRPr="00C265E9">
        <w:rPr>
          <w:rFonts w:eastAsiaTheme="minorHAnsi" w:cs="Arial"/>
          <w:b w:val="0"/>
          <w:bCs w:val="0"/>
          <w:color w:val="000000" w:themeColor="text1"/>
          <w:sz w:val="24"/>
          <w:szCs w:val="24"/>
        </w:rPr>
        <w:t>General electronics is slowly losing profit, their debt is increasing, their cash is becoming slimmer and working capital is becoming poor. It appears that the asset efficiency has improved primarily due to the process of removing stuff rather than the increase in the size of the operations.</w:t>
      </w:r>
    </w:p>
    <w:p w14:paraId="60C26679" w14:textId="77777777" w:rsidR="00C265E9" w:rsidRPr="00C265E9" w:rsidRDefault="00C265E9" w:rsidP="00C265E9">
      <w:pPr>
        <w:pStyle w:val="Heading2"/>
        <w:spacing w:line="360" w:lineRule="auto"/>
        <w:jc w:val="both"/>
        <w:rPr>
          <w:rFonts w:eastAsiaTheme="minorHAnsi" w:cs="Arial"/>
          <w:b w:val="0"/>
          <w:bCs w:val="0"/>
          <w:color w:val="000000" w:themeColor="text1"/>
          <w:sz w:val="24"/>
          <w:szCs w:val="24"/>
        </w:rPr>
      </w:pPr>
    </w:p>
    <w:p w14:paraId="1CE2249F" w14:textId="77777777" w:rsidR="00C265E9" w:rsidRPr="00C265E9" w:rsidRDefault="00C265E9" w:rsidP="00C265E9">
      <w:pPr>
        <w:pStyle w:val="Heading2"/>
        <w:spacing w:line="360" w:lineRule="auto"/>
        <w:jc w:val="both"/>
        <w:rPr>
          <w:rFonts w:eastAsiaTheme="minorHAnsi" w:cs="Arial"/>
          <w:b w:val="0"/>
          <w:bCs w:val="0"/>
          <w:color w:val="000000" w:themeColor="text1"/>
          <w:sz w:val="24"/>
          <w:szCs w:val="24"/>
        </w:rPr>
      </w:pPr>
      <w:r w:rsidRPr="00C265E9">
        <w:rPr>
          <w:rFonts w:eastAsiaTheme="minorHAnsi" w:cs="Arial"/>
          <w:b w:val="0"/>
          <w:bCs w:val="0"/>
          <w:color w:val="000000" w:themeColor="text1"/>
          <w:sz w:val="24"/>
          <w:szCs w:val="24"/>
        </w:rPr>
        <w:t>Financial Strengths</w:t>
      </w:r>
    </w:p>
    <w:p w14:paraId="2AA3BA7C" w14:textId="77777777" w:rsidR="00C265E9" w:rsidRPr="00C265E9" w:rsidRDefault="00C265E9" w:rsidP="00C265E9">
      <w:pPr>
        <w:pStyle w:val="Heading2"/>
        <w:spacing w:line="360" w:lineRule="auto"/>
        <w:jc w:val="both"/>
        <w:rPr>
          <w:rFonts w:eastAsiaTheme="minorHAnsi" w:cs="Arial"/>
          <w:b w:val="0"/>
          <w:bCs w:val="0"/>
          <w:color w:val="000000" w:themeColor="text1"/>
          <w:sz w:val="24"/>
          <w:szCs w:val="24"/>
        </w:rPr>
      </w:pPr>
      <w:r w:rsidRPr="00C265E9">
        <w:rPr>
          <w:rFonts w:eastAsiaTheme="minorHAnsi" w:cs="Arial"/>
          <w:b w:val="0"/>
          <w:bCs w:val="0"/>
          <w:color w:val="000000" w:themeColor="text1"/>
          <w:sz w:val="24"/>
          <w:szCs w:val="24"/>
        </w:rPr>
        <w:t>The company has a still good current ratio, its fixed assets turnover is on the rise and its equity market value is high. The increase in gross margin in 2024 indicates that they can play around with costs and adjust prices.</w:t>
      </w:r>
    </w:p>
    <w:p w14:paraId="6635EEE7" w14:textId="77777777" w:rsidR="00C265E9" w:rsidRPr="00C265E9" w:rsidRDefault="00C265E9" w:rsidP="00C265E9">
      <w:pPr>
        <w:pStyle w:val="Heading2"/>
        <w:spacing w:line="360" w:lineRule="auto"/>
        <w:jc w:val="both"/>
        <w:rPr>
          <w:rFonts w:eastAsiaTheme="minorHAnsi" w:cs="Arial"/>
          <w:b w:val="0"/>
          <w:bCs w:val="0"/>
          <w:color w:val="000000" w:themeColor="text1"/>
          <w:sz w:val="24"/>
          <w:szCs w:val="24"/>
        </w:rPr>
      </w:pPr>
    </w:p>
    <w:p w14:paraId="3E1AF52D" w14:textId="77777777" w:rsidR="00C265E9" w:rsidRPr="00C265E9" w:rsidRDefault="00C265E9" w:rsidP="00C265E9">
      <w:pPr>
        <w:pStyle w:val="Heading2"/>
        <w:spacing w:line="360" w:lineRule="auto"/>
        <w:jc w:val="both"/>
        <w:rPr>
          <w:rFonts w:eastAsiaTheme="minorHAnsi" w:cs="Arial"/>
          <w:b w:val="0"/>
          <w:bCs w:val="0"/>
          <w:color w:val="000000" w:themeColor="text1"/>
          <w:sz w:val="24"/>
          <w:szCs w:val="24"/>
        </w:rPr>
      </w:pPr>
      <w:r w:rsidRPr="00C265E9">
        <w:rPr>
          <w:rFonts w:eastAsiaTheme="minorHAnsi" w:cs="Arial"/>
          <w:b w:val="0"/>
          <w:bCs w:val="0"/>
          <w:color w:val="000000" w:themeColor="text1"/>
          <w:sz w:val="24"/>
          <w:szCs w:val="24"/>
        </w:rPr>
        <w:lastRenderedPageBreak/>
        <w:t>Financial Threats</w:t>
      </w:r>
    </w:p>
    <w:p w14:paraId="0FF5FA75" w14:textId="77777777" w:rsidR="00C265E9" w:rsidRDefault="00C265E9" w:rsidP="00C265E9">
      <w:pPr>
        <w:pStyle w:val="Heading2"/>
        <w:spacing w:line="360" w:lineRule="auto"/>
        <w:jc w:val="both"/>
        <w:rPr>
          <w:rFonts w:eastAsiaTheme="minorHAnsi" w:cs="Arial"/>
          <w:b w:val="0"/>
          <w:bCs w:val="0"/>
          <w:color w:val="000000" w:themeColor="text1"/>
          <w:sz w:val="24"/>
          <w:szCs w:val="24"/>
        </w:rPr>
      </w:pPr>
      <w:r w:rsidRPr="00C265E9">
        <w:rPr>
          <w:rFonts w:eastAsiaTheme="minorHAnsi" w:cs="Arial"/>
          <w:b w:val="0"/>
          <w:bCs w:val="0"/>
          <w:color w:val="000000" w:themeColor="text1"/>
          <w:sz w:val="24"/>
          <w:szCs w:val="24"/>
        </w:rPr>
        <w:t xml:space="preserve">The key risks are persistent losses, </w:t>
      </w:r>
      <w:proofErr w:type="spellStart"/>
      <w:r w:rsidRPr="00C265E9">
        <w:rPr>
          <w:rFonts w:eastAsiaTheme="minorHAnsi" w:cs="Arial"/>
          <w:b w:val="0"/>
          <w:bCs w:val="0"/>
          <w:color w:val="000000" w:themeColor="text1"/>
          <w:sz w:val="24"/>
          <w:szCs w:val="24"/>
        </w:rPr>
        <w:t>unfavourable</w:t>
      </w:r>
      <w:proofErr w:type="spellEnd"/>
      <w:r w:rsidRPr="00C265E9">
        <w:rPr>
          <w:rFonts w:eastAsiaTheme="minorHAnsi" w:cs="Arial"/>
          <w:b w:val="0"/>
          <w:bCs w:val="0"/>
          <w:color w:val="000000" w:themeColor="text1"/>
          <w:sz w:val="24"/>
          <w:szCs w:val="24"/>
        </w:rPr>
        <w:t xml:space="preserve"> shareholder returns, increasing debt level, inadequate interest coverage, decreasing cash ratios and increasing wait times to collect receivables and inventories. These problems drain strain on the budget and increase the risk level.</w:t>
      </w:r>
    </w:p>
    <w:p w14:paraId="6A3E70C6" w14:textId="68F4BCA5" w:rsidR="00D812D8" w:rsidRPr="006D582B" w:rsidRDefault="00D812D8" w:rsidP="00C265E9">
      <w:pPr>
        <w:pStyle w:val="Heading2"/>
        <w:spacing w:line="360" w:lineRule="auto"/>
        <w:jc w:val="both"/>
      </w:pPr>
      <w:r w:rsidRPr="006D582B">
        <w:t xml:space="preserve">1.9 Corporate </w:t>
      </w:r>
      <w:r w:rsidRPr="00565E39">
        <w:t>Failure</w:t>
      </w:r>
      <w:r w:rsidRPr="006D582B">
        <w:t xml:space="preserve"> Risk Assessment: Altman Z-Score</w:t>
      </w:r>
      <w:bookmarkEnd w:id="11"/>
    </w:p>
    <w:p w14:paraId="68DAB50C" w14:textId="35282FC4" w:rsidR="00E26D2D" w:rsidRPr="00E26D2D" w:rsidRDefault="00E26D2D" w:rsidP="00E26D2D">
      <w:pPr>
        <w:pStyle w:val="Heading2"/>
        <w:jc w:val="both"/>
        <w:rPr>
          <w:rFonts w:cs="Arial"/>
          <w:b w:val="0"/>
          <w:bCs w:val="0"/>
          <w:sz w:val="24"/>
          <w:szCs w:val="24"/>
        </w:rPr>
      </w:pPr>
      <w:bookmarkStart w:id="12" w:name="_Toc217082143"/>
      <w:r w:rsidRPr="00E26D2D">
        <w:rPr>
          <w:rFonts w:cs="Arial"/>
          <w:b w:val="0"/>
          <w:bCs w:val="0"/>
          <w:sz w:val="24"/>
          <w:szCs w:val="24"/>
        </w:rPr>
        <w:t xml:space="preserve">We looked at the five-factor version of the Altman Z -Score to confirm that there was no risk of default.  </w:t>
      </w:r>
    </w:p>
    <w:p w14:paraId="749E777D" w14:textId="4C56D747" w:rsidR="00E26D2D" w:rsidRPr="00E26D2D" w:rsidRDefault="00E26D2D" w:rsidP="00E26D2D">
      <w:pPr>
        <w:pStyle w:val="Heading2"/>
        <w:jc w:val="both"/>
        <w:rPr>
          <w:rFonts w:cs="Arial"/>
          <w:b w:val="0"/>
          <w:bCs w:val="0"/>
          <w:sz w:val="24"/>
          <w:szCs w:val="24"/>
        </w:rPr>
      </w:pPr>
      <w:r w:rsidRPr="00E26D2D">
        <w:rPr>
          <w:rFonts w:cs="Arial"/>
          <w:b w:val="0"/>
          <w:bCs w:val="0"/>
          <w:sz w:val="24"/>
          <w:szCs w:val="24"/>
        </w:rPr>
        <w:t xml:space="preserve">Table A7 reveals that the Z-Score remained well above the 1.81 level of danger, ranging between 6.26 and 7.76 the entire thing through.  </w:t>
      </w:r>
    </w:p>
    <w:p w14:paraId="004112FB" w14:textId="68E652F0" w:rsidR="00E26D2D" w:rsidRPr="00E26D2D" w:rsidRDefault="00E26D2D" w:rsidP="00E26D2D">
      <w:pPr>
        <w:pStyle w:val="Heading2"/>
        <w:jc w:val="both"/>
        <w:rPr>
          <w:rFonts w:cs="Arial"/>
          <w:b w:val="0"/>
          <w:bCs w:val="0"/>
          <w:sz w:val="24"/>
          <w:szCs w:val="24"/>
        </w:rPr>
      </w:pPr>
      <w:r w:rsidRPr="00E26D2D">
        <w:rPr>
          <w:rFonts w:cs="Arial"/>
          <w:b w:val="0"/>
          <w:bCs w:val="0"/>
          <w:sz w:val="24"/>
          <w:szCs w:val="24"/>
        </w:rPr>
        <w:t xml:space="preserve">It means that General Electronics is not going to go bankrupt immediately despite the fact that its operations and income are in the downturn.  </w:t>
      </w:r>
    </w:p>
    <w:p w14:paraId="1D52B23B" w14:textId="1FAE6BA3" w:rsidR="00E26D2D" w:rsidRPr="00E26D2D" w:rsidRDefault="00E26D2D" w:rsidP="00E26D2D">
      <w:pPr>
        <w:pStyle w:val="Heading2"/>
        <w:jc w:val="both"/>
        <w:rPr>
          <w:rFonts w:cs="Arial"/>
          <w:b w:val="0"/>
          <w:bCs w:val="0"/>
          <w:sz w:val="24"/>
          <w:szCs w:val="24"/>
        </w:rPr>
      </w:pPr>
      <w:r w:rsidRPr="00E26D2D">
        <w:rPr>
          <w:rFonts w:cs="Arial"/>
          <w:b w:val="0"/>
          <w:bCs w:val="0"/>
          <w:sz w:val="24"/>
          <w:szCs w:val="24"/>
        </w:rPr>
        <w:t xml:space="preserve">The huge increase in the market value of equity as opposed to the total debt is the actual one that keeps the Z-score high.  </w:t>
      </w:r>
    </w:p>
    <w:p w14:paraId="55A2FAA9" w14:textId="77777777" w:rsidR="00E26D2D" w:rsidRDefault="00E26D2D" w:rsidP="00E26D2D">
      <w:pPr>
        <w:pStyle w:val="Heading2"/>
        <w:jc w:val="both"/>
        <w:rPr>
          <w:rFonts w:cs="Arial"/>
          <w:b w:val="0"/>
          <w:bCs w:val="0"/>
          <w:sz w:val="24"/>
          <w:szCs w:val="24"/>
        </w:rPr>
      </w:pPr>
      <w:proofErr w:type="gramStart"/>
      <w:r w:rsidRPr="00E26D2D">
        <w:rPr>
          <w:rFonts w:cs="Arial"/>
          <w:b w:val="0"/>
          <w:bCs w:val="0"/>
          <w:sz w:val="24"/>
          <w:szCs w:val="24"/>
        </w:rPr>
        <w:t>However</w:t>
      </w:r>
      <w:proofErr w:type="gramEnd"/>
      <w:r w:rsidRPr="00E26D2D">
        <w:rPr>
          <w:rFonts w:cs="Arial"/>
          <w:b w:val="0"/>
          <w:bCs w:val="0"/>
          <w:sz w:val="24"/>
          <w:szCs w:val="24"/>
        </w:rPr>
        <w:t xml:space="preserve"> the declining EBIT is reflecting an increasing operational vulnerability, thus we need to monitor it, as long as earnings continue to decline, it may undermine the solvency of the company in the future.</w:t>
      </w:r>
    </w:p>
    <w:p w14:paraId="65E56D76" w14:textId="5C3418A9" w:rsidR="00D812D8" w:rsidRPr="006D582B" w:rsidRDefault="00D812D8" w:rsidP="00E26D2D">
      <w:pPr>
        <w:pStyle w:val="Heading2"/>
      </w:pPr>
      <w:r w:rsidRPr="006D582B">
        <w:t xml:space="preserve">1.10 Overall </w:t>
      </w:r>
      <w:r w:rsidRPr="00565E39">
        <w:t>Summary</w:t>
      </w:r>
      <w:bookmarkEnd w:id="12"/>
      <w:r w:rsidRPr="006D582B">
        <w:t xml:space="preserve"> </w:t>
      </w:r>
    </w:p>
    <w:p w14:paraId="356F91F9" w14:textId="77777777" w:rsidR="007E3566" w:rsidRDefault="007E3566" w:rsidP="007E3566">
      <w:pPr>
        <w:pStyle w:val="Heading1"/>
        <w:spacing w:line="360" w:lineRule="auto"/>
        <w:jc w:val="both"/>
        <w:rPr>
          <w:rFonts w:cs="Arial"/>
          <w:b w:val="0"/>
          <w:bCs w:val="0"/>
          <w:kern w:val="0"/>
          <w:sz w:val="24"/>
          <w:szCs w:val="24"/>
        </w:rPr>
      </w:pPr>
      <w:bookmarkStart w:id="13" w:name="_Toc217082144"/>
      <w:r w:rsidRPr="007E3566">
        <w:rPr>
          <w:rFonts w:cs="Arial"/>
          <w:b w:val="0"/>
          <w:bCs w:val="0"/>
          <w:kern w:val="0"/>
          <w:sz w:val="24"/>
          <w:szCs w:val="24"/>
        </w:rPr>
        <w:t>In general, my communication regarding the financial health analysis is that General Electronics is tackling massive operational and profit challenges, although the short-term solvency is favorable and the risk of bankruptcy is low at the moment. I am observing declining profit, increasing debt, decreasing cash flow and declining working-capital performance - collectively these are probing the long-term sustainability of the company. Admittedly, they are tightening the belt and becoming more efficient in leveraging assets, but it is not that much to eliminate the current losses and increasing risk of finances. Unless they make a bold move to get profits back on track, bolster cash flows and reorganize the capital structure, the financial stability of the entire company is likely to continue to diminish in the medium and long run.</w:t>
      </w:r>
    </w:p>
    <w:p w14:paraId="0E588696" w14:textId="4BBD3A3A" w:rsidR="00964F1E" w:rsidRPr="006D582B" w:rsidRDefault="00964F1E" w:rsidP="00565E39">
      <w:pPr>
        <w:pStyle w:val="Heading1"/>
      </w:pPr>
      <w:r w:rsidRPr="006D582B">
        <w:lastRenderedPageBreak/>
        <w:t>2. Working Capital Management Analysis</w:t>
      </w:r>
      <w:bookmarkEnd w:id="13"/>
    </w:p>
    <w:p w14:paraId="752FE2EF" w14:textId="77777777" w:rsidR="00964F1E" w:rsidRPr="006D582B" w:rsidRDefault="00964F1E" w:rsidP="00565E39">
      <w:pPr>
        <w:pStyle w:val="Heading2"/>
      </w:pPr>
      <w:bookmarkStart w:id="14" w:name="_Toc217082145"/>
      <w:r w:rsidRPr="006D582B">
        <w:t>2.1 Introduction</w:t>
      </w:r>
      <w:bookmarkEnd w:id="14"/>
    </w:p>
    <w:p w14:paraId="4CFA7071" w14:textId="77777777" w:rsidR="008B385B" w:rsidRDefault="008B385B" w:rsidP="008B385B">
      <w:pPr>
        <w:pStyle w:val="Heading2"/>
        <w:spacing w:line="360" w:lineRule="auto"/>
        <w:jc w:val="both"/>
        <w:rPr>
          <w:rFonts w:cs="Arial"/>
          <w:b w:val="0"/>
          <w:bCs w:val="0"/>
          <w:sz w:val="24"/>
          <w:szCs w:val="24"/>
        </w:rPr>
      </w:pPr>
      <w:bookmarkStart w:id="15" w:name="_Toc217082146"/>
      <w:r w:rsidRPr="008B385B">
        <w:rPr>
          <w:rFonts w:cs="Arial"/>
          <w:b w:val="0"/>
          <w:bCs w:val="0"/>
          <w:sz w:val="24"/>
          <w:szCs w:val="24"/>
        </w:rPr>
        <w:t>Well-managed working capital management is extremely critical to General Electronics since the company has been experiencing liquidity, profit, and operations challenges indicated in the preceding section, 1. Although operational cash is normally gained, sales are decreasing, and it has net losses in 2023-24, and it is highly reliant on short-term credit. This report examines the cash conversion cycle in the company, offers recommendations on how to improve liquidity by making changes to working-capital, and compares the working-capital short-term versus long-term finance options to keep the business afloat. The math that underlies all the points are provided in Appendix B.</w:t>
      </w:r>
    </w:p>
    <w:p w14:paraId="336AD280" w14:textId="5782B8DA" w:rsidR="00964F1E" w:rsidRPr="006D582B" w:rsidRDefault="00964F1E" w:rsidP="00565E39">
      <w:pPr>
        <w:pStyle w:val="Heading2"/>
      </w:pPr>
      <w:r w:rsidRPr="006D582B">
        <w:t>2.2 Assessment of the Cash Operating Cycle</w:t>
      </w:r>
      <w:bookmarkEnd w:id="15"/>
    </w:p>
    <w:p w14:paraId="7067E4AF" w14:textId="77777777" w:rsidR="00AF1052" w:rsidRPr="00AF1052" w:rsidRDefault="00AF1052" w:rsidP="00AF1052">
      <w:pPr>
        <w:pStyle w:val="Heading2"/>
        <w:spacing w:line="360" w:lineRule="auto"/>
        <w:jc w:val="both"/>
        <w:rPr>
          <w:rFonts w:cs="Arial"/>
          <w:b w:val="0"/>
          <w:bCs w:val="0"/>
          <w:sz w:val="24"/>
          <w:szCs w:val="24"/>
        </w:rPr>
      </w:pPr>
      <w:bookmarkStart w:id="16" w:name="_Toc217082147"/>
      <w:r w:rsidRPr="00AF1052">
        <w:rPr>
          <w:rFonts w:cs="Arial"/>
          <w:b w:val="0"/>
          <w:bCs w:val="0"/>
          <w:sz w:val="24"/>
          <w:szCs w:val="24"/>
        </w:rPr>
        <w:t>The cash operating cycle is simply the time remitted between payment of cash to production and the cash received back by customers. It’s calculated like this:</w:t>
      </w:r>
    </w:p>
    <w:p w14:paraId="5CBD0588" w14:textId="77777777" w:rsidR="00AF1052" w:rsidRPr="00AF1052" w:rsidRDefault="00AF1052" w:rsidP="00AF1052">
      <w:pPr>
        <w:pStyle w:val="Heading2"/>
        <w:spacing w:line="360" w:lineRule="auto"/>
        <w:jc w:val="both"/>
        <w:rPr>
          <w:rFonts w:cs="Arial"/>
          <w:b w:val="0"/>
          <w:bCs w:val="0"/>
          <w:sz w:val="24"/>
          <w:szCs w:val="24"/>
        </w:rPr>
      </w:pPr>
    </w:p>
    <w:p w14:paraId="5A8A2B44" w14:textId="77777777" w:rsidR="00AF1052" w:rsidRPr="00AF1052" w:rsidRDefault="00AF1052" w:rsidP="00AF1052">
      <w:pPr>
        <w:pStyle w:val="Heading2"/>
        <w:spacing w:line="360" w:lineRule="auto"/>
        <w:jc w:val="both"/>
        <w:rPr>
          <w:rFonts w:cs="Arial"/>
          <w:b w:val="0"/>
          <w:bCs w:val="0"/>
          <w:sz w:val="24"/>
          <w:szCs w:val="24"/>
        </w:rPr>
      </w:pPr>
      <w:r w:rsidRPr="00AF1052">
        <w:rPr>
          <w:rFonts w:cs="Arial"/>
          <w:b w:val="0"/>
          <w:bCs w:val="0"/>
          <w:sz w:val="24"/>
          <w:szCs w:val="24"/>
        </w:rPr>
        <w:t xml:space="preserve">Cash Operating Cycle = Inventory Days + Receivables Days -Payables Days.  </w:t>
      </w:r>
    </w:p>
    <w:p w14:paraId="0B22EC14" w14:textId="5AD7A29B" w:rsidR="00AF1052" w:rsidRPr="00AF1052" w:rsidRDefault="00AF1052" w:rsidP="00AF1052">
      <w:pPr>
        <w:pStyle w:val="Heading2"/>
        <w:spacing w:line="360" w:lineRule="auto"/>
        <w:jc w:val="both"/>
        <w:rPr>
          <w:rFonts w:cs="Arial"/>
          <w:b w:val="0"/>
          <w:bCs w:val="0"/>
          <w:sz w:val="24"/>
          <w:szCs w:val="24"/>
        </w:rPr>
      </w:pPr>
      <w:r w:rsidRPr="00AF1052">
        <w:rPr>
          <w:rFonts w:cs="Arial"/>
          <w:b w:val="0"/>
          <w:bCs w:val="0"/>
          <w:sz w:val="24"/>
          <w:szCs w:val="24"/>
        </w:rPr>
        <w:t>It is possible that this explains why, according to Dilbert's analysis, the majority of the technologies implemented within the company are neither novel nor potentially useful.&lt;|human|&gt;It could be explained, possibly, by the fact, as Dilbert analyzes in his work, most of the technologies adopted in the company are not new and, most likely, not helpful.</w:t>
      </w:r>
    </w:p>
    <w:p w14:paraId="55C764C7" w14:textId="77777777" w:rsidR="00AF1052" w:rsidRPr="00AF1052" w:rsidRDefault="00AF1052" w:rsidP="00AF1052">
      <w:pPr>
        <w:pStyle w:val="Heading2"/>
        <w:spacing w:line="360" w:lineRule="auto"/>
        <w:jc w:val="both"/>
        <w:rPr>
          <w:rFonts w:cs="Arial"/>
          <w:b w:val="0"/>
          <w:bCs w:val="0"/>
          <w:sz w:val="24"/>
          <w:szCs w:val="24"/>
        </w:rPr>
      </w:pPr>
      <w:r w:rsidRPr="00AF1052">
        <w:rPr>
          <w:rFonts w:cs="Arial"/>
          <w:b w:val="0"/>
          <w:bCs w:val="0"/>
          <w:sz w:val="24"/>
          <w:szCs w:val="24"/>
        </w:rPr>
        <w:t xml:space="preserve">Inventory Days  </w:t>
      </w:r>
    </w:p>
    <w:p w14:paraId="7ACBDEE1" w14:textId="1C179C92" w:rsidR="00AF1052" w:rsidRPr="00AF1052" w:rsidRDefault="00AF1052" w:rsidP="00AF1052">
      <w:pPr>
        <w:pStyle w:val="Heading2"/>
        <w:spacing w:line="360" w:lineRule="auto"/>
        <w:jc w:val="both"/>
        <w:rPr>
          <w:rFonts w:cs="Arial"/>
          <w:b w:val="0"/>
          <w:bCs w:val="0"/>
          <w:sz w:val="24"/>
          <w:szCs w:val="24"/>
        </w:rPr>
      </w:pPr>
      <w:r w:rsidRPr="00AF1052">
        <w:rPr>
          <w:rFonts w:cs="Arial"/>
          <w:b w:val="0"/>
          <w:bCs w:val="0"/>
          <w:sz w:val="24"/>
          <w:szCs w:val="24"/>
        </w:rPr>
        <w:t xml:space="preserve">The inventory days decreased to certain historically highs of around 103 days in 2024 (Appendix B). It is an indicator of improved stock control compared to 2022 yet the inventory remains very high relative to declining sales. Even those high stocks are continuing to cash tie up and expose the company to obsolescence, which remains a </w:t>
      </w:r>
      <w:r w:rsidRPr="00AF1052">
        <w:rPr>
          <w:rFonts w:cs="Arial"/>
          <w:b w:val="0"/>
          <w:bCs w:val="0"/>
          <w:sz w:val="24"/>
          <w:szCs w:val="24"/>
        </w:rPr>
        <w:lastRenderedPageBreak/>
        <w:t>significant problem in the consumer electronics industry where life cycles of products are brief.</w:t>
      </w:r>
    </w:p>
    <w:p w14:paraId="7A324596" w14:textId="77777777" w:rsidR="00AF1052" w:rsidRPr="00AF1052" w:rsidRDefault="00AF1052" w:rsidP="00AF1052">
      <w:pPr>
        <w:pStyle w:val="Heading2"/>
        <w:spacing w:line="360" w:lineRule="auto"/>
        <w:jc w:val="both"/>
        <w:rPr>
          <w:rFonts w:cs="Arial"/>
          <w:b w:val="0"/>
          <w:bCs w:val="0"/>
          <w:sz w:val="24"/>
          <w:szCs w:val="24"/>
        </w:rPr>
      </w:pPr>
      <w:r w:rsidRPr="00AF1052">
        <w:rPr>
          <w:rFonts w:cs="Arial"/>
          <w:b w:val="0"/>
          <w:bCs w:val="0"/>
          <w:sz w:val="24"/>
          <w:szCs w:val="24"/>
        </w:rPr>
        <w:t xml:space="preserve">Receivables Days  </w:t>
      </w:r>
    </w:p>
    <w:p w14:paraId="432B8D73" w14:textId="54775B59" w:rsidR="00AF1052" w:rsidRPr="00AF1052" w:rsidRDefault="00AF1052" w:rsidP="00AF1052">
      <w:pPr>
        <w:pStyle w:val="Heading2"/>
        <w:spacing w:line="360" w:lineRule="auto"/>
        <w:jc w:val="both"/>
        <w:rPr>
          <w:rFonts w:cs="Arial"/>
          <w:b w:val="0"/>
          <w:bCs w:val="0"/>
          <w:sz w:val="24"/>
          <w:szCs w:val="24"/>
        </w:rPr>
      </w:pPr>
      <w:r w:rsidRPr="00AF1052">
        <w:rPr>
          <w:rFonts w:cs="Arial"/>
          <w:b w:val="0"/>
          <w:bCs w:val="0"/>
          <w:sz w:val="24"/>
          <w:szCs w:val="24"/>
        </w:rPr>
        <w:t>The receivables days have increased to approximately 106 days in 2024 (Appendix B), and customers are taking more time to pay. It is an indication of loose credit management and possibly looser credit conditions that were employed in an attempt to keep declining revenues afloat. The long collection period further imposes the company with further liquidity pressure and increases the likelihood of credit losses, and it accompanies the growing provision of credit losses as observed in the cash flow statement.</w:t>
      </w:r>
    </w:p>
    <w:p w14:paraId="78DE3B22" w14:textId="77777777" w:rsidR="00AF1052" w:rsidRPr="00AF1052" w:rsidRDefault="00AF1052" w:rsidP="00AF1052">
      <w:pPr>
        <w:pStyle w:val="Heading2"/>
        <w:spacing w:line="360" w:lineRule="auto"/>
        <w:jc w:val="both"/>
        <w:rPr>
          <w:rFonts w:cs="Arial"/>
          <w:b w:val="0"/>
          <w:bCs w:val="0"/>
          <w:sz w:val="24"/>
          <w:szCs w:val="24"/>
        </w:rPr>
      </w:pPr>
      <w:r w:rsidRPr="00AF1052">
        <w:rPr>
          <w:rFonts w:cs="Arial"/>
          <w:b w:val="0"/>
          <w:bCs w:val="0"/>
          <w:sz w:val="24"/>
          <w:szCs w:val="24"/>
        </w:rPr>
        <w:t xml:space="preserve">Payables Days  </w:t>
      </w:r>
    </w:p>
    <w:p w14:paraId="1AC96182" w14:textId="63E96E72" w:rsidR="00AF1052" w:rsidRPr="00AF1052" w:rsidRDefault="00AF1052" w:rsidP="00AF1052">
      <w:pPr>
        <w:pStyle w:val="Heading2"/>
        <w:spacing w:line="360" w:lineRule="auto"/>
        <w:jc w:val="both"/>
        <w:rPr>
          <w:rFonts w:cs="Arial"/>
          <w:b w:val="0"/>
          <w:bCs w:val="0"/>
          <w:sz w:val="24"/>
          <w:szCs w:val="24"/>
        </w:rPr>
      </w:pPr>
      <w:r w:rsidRPr="00AF1052">
        <w:rPr>
          <w:rFonts w:cs="Arial"/>
          <w:b w:val="0"/>
          <w:bCs w:val="0"/>
          <w:sz w:val="24"/>
          <w:szCs w:val="24"/>
        </w:rPr>
        <w:t>The number of payable days increased to approximately 94 days in 2024 (Appendix B) which means that the company is retaining its payables with the suppliers. Although it assists somewhat in terms of short-term funding, payment of suppliers later may ruin relationships, increase procurement expenses and disrupt supply chain stability.</w:t>
      </w:r>
    </w:p>
    <w:p w14:paraId="3AAE7FB6" w14:textId="77777777" w:rsidR="00AF1052" w:rsidRPr="00AF1052" w:rsidRDefault="00AF1052" w:rsidP="00AF1052">
      <w:pPr>
        <w:pStyle w:val="Heading2"/>
        <w:spacing w:line="360" w:lineRule="auto"/>
        <w:jc w:val="both"/>
        <w:rPr>
          <w:rFonts w:cs="Arial"/>
          <w:b w:val="0"/>
          <w:bCs w:val="0"/>
          <w:sz w:val="24"/>
          <w:szCs w:val="24"/>
        </w:rPr>
      </w:pPr>
      <w:r w:rsidRPr="00AF1052">
        <w:rPr>
          <w:rFonts w:cs="Arial"/>
          <w:b w:val="0"/>
          <w:bCs w:val="0"/>
          <w:sz w:val="24"/>
          <w:szCs w:val="24"/>
        </w:rPr>
        <w:t xml:space="preserve">Total Cash Operating Cycle.  </w:t>
      </w:r>
    </w:p>
    <w:p w14:paraId="3794E7E4" w14:textId="77777777" w:rsidR="00AF1052" w:rsidRDefault="00AF1052" w:rsidP="00AF1052">
      <w:pPr>
        <w:pStyle w:val="Heading2"/>
        <w:spacing w:line="360" w:lineRule="auto"/>
        <w:jc w:val="both"/>
        <w:rPr>
          <w:rFonts w:cs="Arial"/>
          <w:b w:val="0"/>
          <w:bCs w:val="0"/>
          <w:sz w:val="24"/>
          <w:szCs w:val="24"/>
        </w:rPr>
      </w:pPr>
      <w:r w:rsidRPr="00AF1052">
        <w:rPr>
          <w:rFonts w:cs="Arial"/>
          <w:b w:val="0"/>
          <w:bCs w:val="0"/>
          <w:sz w:val="24"/>
          <w:szCs w:val="24"/>
        </w:rPr>
        <w:t>The total cash operating cycle of 2024 remains positive and long, that is, General Electronics is forced to fund a significant portion of its operation either internally or externally and then it has to wait till it turns cash into its bank accounts before it gets the cash back. This proves the liquidity weak points as stated in Section 1 and points out that major operational issue is that the working capital is not used efficiently.</w:t>
      </w:r>
    </w:p>
    <w:p w14:paraId="12039739" w14:textId="1D85F857" w:rsidR="00964F1E" w:rsidRPr="006D582B" w:rsidRDefault="00964F1E" w:rsidP="00AF1052">
      <w:pPr>
        <w:pStyle w:val="Heading2"/>
        <w:spacing w:line="360" w:lineRule="auto"/>
        <w:jc w:val="both"/>
      </w:pPr>
      <w:r w:rsidRPr="006D582B">
        <w:t>2.3 Strategies to Improve Liquidity through Working Capital Reforms</w:t>
      </w:r>
      <w:bookmarkEnd w:id="16"/>
    </w:p>
    <w:p w14:paraId="5917A61A" w14:textId="77777777" w:rsidR="00C578CF" w:rsidRPr="00C578CF" w:rsidRDefault="00C578CF" w:rsidP="00C578CF">
      <w:pPr>
        <w:pStyle w:val="Heading2"/>
        <w:rPr>
          <w:rFonts w:cs="Arial"/>
          <w:b w:val="0"/>
          <w:bCs w:val="0"/>
          <w:sz w:val="24"/>
          <w:szCs w:val="24"/>
        </w:rPr>
      </w:pPr>
      <w:bookmarkStart w:id="17" w:name="_Toc217082148"/>
      <w:r w:rsidRPr="00C578CF">
        <w:rPr>
          <w:rFonts w:cs="Arial"/>
          <w:b w:val="0"/>
          <w:bCs w:val="0"/>
          <w:sz w:val="24"/>
          <w:szCs w:val="24"/>
        </w:rPr>
        <w:t>Considering the liquidity position of the firm is weak, there must be focused working capital reforms.</w:t>
      </w:r>
    </w:p>
    <w:p w14:paraId="7B4C06D6" w14:textId="77777777" w:rsidR="00C578CF" w:rsidRPr="00C578CF" w:rsidRDefault="00C578CF" w:rsidP="00C578CF">
      <w:pPr>
        <w:pStyle w:val="Heading2"/>
        <w:rPr>
          <w:rFonts w:cs="Arial"/>
          <w:b w:val="0"/>
          <w:bCs w:val="0"/>
          <w:sz w:val="24"/>
          <w:szCs w:val="24"/>
        </w:rPr>
      </w:pPr>
    </w:p>
    <w:p w14:paraId="2EAF4651" w14:textId="77777777" w:rsidR="00C578CF" w:rsidRPr="00C578CF" w:rsidRDefault="00C578CF" w:rsidP="00C578CF">
      <w:pPr>
        <w:pStyle w:val="Heading2"/>
        <w:rPr>
          <w:rFonts w:cs="Arial"/>
          <w:b w:val="0"/>
          <w:bCs w:val="0"/>
          <w:sz w:val="24"/>
          <w:szCs w:val="24"/>
        </w:rPr>
      </w:pPr>
      <w:r w:rsidRPr="00C578CF">
        <w:rPr>
          <w:rFonts w:cs="Arial"/>
          <w:b w:val="0"/>
          <w:bCs w:val="0"/>
          <w:sz w:val="24"/>
          <w:szCs w:val="24"/>
        </w:rPr>
        <w:lastRenderedPageBreak/>
        <w:t xml:space="preserve">Inventory </w:t>
      </w:r>
      <w:proofErr w:type="spellStart"/>
      <w:r w:rsidRPr="00C578CF">
        <w:rPr>
          <w:rFonts w:cs="Arial"/>
          <w:b w:val="0"/>
          <w:bCs w:val="0"/>
          <w:sz w:val="24"/>
          <w:szCs w:val="24"/>
        </w:rPr>
        <w:t>Optimisation</w:t>
      </w:r>
      <w:proofErr w:type="spellEnd"/>
      <w:r w:rsidRPr="00C578CF">
        <w:rPr>
          <w:rFonts w:cs="Arial"/>
          <w:b w:val="0"/>
          <w:bCs w:val="0"/>
          <w:sz w:val="24"/>
          <w:szCs w:val="24"/>
        </w:rPr>
        <w:t xml:space="preserve">  </w:t>
      </w:r>
    </w:p>
    <w:p w14:paraId="75DC32FE" w14:textId="1579288B" w:rsidR="00C578CF" w:rsidRPr="00C578CF" w:rsidRDefault="00C578CF" w:rsidP="00C578CF">
      <w:pPr>
        <w:pStyle w:val="Heading2"/>
        <w:rPr>
          <w:rFonts w:cs="Arial"/>
          <w:b w:val="0"/>
          <w:bCs w:val="0"/>
          <w:sz w:val="24"/>
          <w:szCs w:val="24"/>
        </w:rPr>
      </w:pPr>
      <w:r w:rsidRPr="00C578CF">
        <w:rPr>
          <w:rFonts w:cs="Arial"/>
          <w:b w:val="0"/>
          <w:bCs w:val="0"/>
          <w:sz w:val="24"/>
          <w:szCs w:val="24"/>
        </w:rPr>
        <w:t xml:space="preserve">I believe that the first move the company should take is demand based inventory planning, through improved sales forecasting and closer production scheduling. The sale of stagnant and old inventory would release cash tied up in the working capital and reduce storage and impairment expenses. SKU </w:t>
      </w:r>
      <w:proofErr w:type="spellStart"/>
      <w:r w:rsidRPr="00C578CF">
        <w:rPr>
          <w:rFonts w:cs="Arial"/>
          <w:b w:val="0"/>
          <w:bCs w:val="0"/>
          <w:sz w:val="24"/>
          <w:szCs w:val="24"/>
        </w:rPr>
        <w:t>rationalisation</w:t>
      </w:r>
      <w:proofErr w:type="spellEnd"/>
      <w:r w:rsidRPr="00C578CF">
        <w:rPr>
          <w:rFonts w:cs="Arial"/>
          <w:b w:val="0"/>
          <w:bCs w:val="0"/>
          <w:sz w:val="24"/>
          <w:szCs w:val="24"/>
        </w:rPr>
        <w:t xml:space="preserve"> and just-in-time sourcing of components appear to be of particular interest to manufacturers of electronics (</w:t>
      </w:r>
      <w:proofErr w:type="spellStart"/>
      <w:r w:rsidRPr="00C578CF">
        <w:rPr>
          <w:rFonts w:cs="Arial"/>
          <w:b w:val="0"/>
          <w:bCs w:val="0"/>
          <w:sz w:val="24"/>
          <w:szCs w:val="24"/>
        </w:rPr>
        <w:t>Atrill</w:t>
      </w:r>
      <w:proofErr w:type="spellEnd"/>
      <w:r w:rsidRPr="00C578CF">
        <w:rPr>
          <w:rFonts w:cs="Arial"/>
          <w:b w:val="0"/>
          <w:bCs w:val="0"/>
          <w:sz w:val="24"/>
          <w:szCs w:val="24"/>
        </w:rPr>
        <w:t xml:space="preserve"> and McLaney, 2023).</w:t>
      </w:r>
    </w:p>
    <w:p w14:paraId="4E5B2C90" w14:textId="77777777" w:rsidR="00C578CF" w:rsidRPr="00C578CF" w:rsidRDefault="00C578CF" w:rsidP="00C578CF">
      <w:pPr>
        <w:pStyle w:val="Heading2"/>
        <w:rPr>
          <w:rFonts w:cs="Arial"/>
          <w:b w:val="0"/>
          <w:bCs w:val="0"/>
          <w:sz w:val="24"/>
          <w:szCs w:val="24"/>
        </w:rPr>
      </w:pPr>
      <w:r w:rsidRPr="00C578CF">
        <w:rPr>
          <w:rFonts w:cs="Arial"/>
          <w:b w:val="0"/>
          <w:bCs w:val="0"/>
          <w:sz w:val="24"/>
          <w:szCs w:val="24"/>
        </w:rPr>
        <w:t xml:space="preserve">Forestalling Receivables Management.  </w:t>
      </w:r>
    </w:p>
    <w:p w14:paraId="3B02F6F6" w14:textId="4079791F" w:rsidR="00C578CF" w:rsidRPr="00C578CF" w:rsidRDefault="00C578CF" w:rsidP="00C578CF">
      <w:pPr>
        <w:pStyle w:val="Heading2"/>
        <w:rPr>
          <w:rFonts w:cs="Arial"/>
          <w:b w:val="0"/>
          <w:bCs w:val="0"/>
          <w:sz w:val="24"/>
          <w:szCs w:val="24"/>
        </w:rPr>
      </w:pPr>
      <w:r w:rsidRPr="00C578CF">
        <w:rPr>
          <w:rFonts w:cs="Arial"/>
          <w:b w:val="0"/>
          <w:bCs w:val="0"/>
          <w:sz w:val="24"/>
          <w:szCs w:val="24"/>
        </w:rPr>
        <w:t>Receivables may be improved through amendments in credit policies, introduction of more strict credit transactions and provision of small cash discount on early payments. Online billing and auto collection also reduce administration time. Reduction in the days sales outstanding would directly reduce the cash operating cycle and short-term borrowing requirement.</w:t>
      </w:r>
    </w:p>
    <w:p w14:paraId="7BC91DE5" w14:textId="77777777" w:rsidR="00C578CF" w:rsidRPr="00C578CF" w:rsidRDefault="00C578CF" w:rsidP="00C578CF">
      <w:pPr>
        <w:pStyle w:val="Heading2"/>
        <w:rPr>
          <w:rFonts w:cs="Arial"/>
          <w:b w:val="0"/>
          <w:bCs w:val="0"/>
          <w:sz w:val="24"/>
          <w:szCs w:val="24"/>
        </w:rPr>
      </w:pPr>
      <w:r w:rsidRPr="00C578CF">
        <w:rPr>
          <w:rFonts w:cs="Arial"/>
          <w:b w:val="0"/>
          <w:bCs w:val="0"/>
          <w:sz w:val="24"/>
          <w:szCs w:val="24"/>
        </w:rPr>
        <w:t xml:space="preserve">Supplier Payment Strategy  </w:t>
      </w:r>
    </w:p>
    <w:p w14:paraId="4ED14FF4" w14:textId="651AF9E9" w:rsidR="00C578CF" w:rsidRPr="00C578CF" w:rsidRDefault="00C578CF" w:rsidP="00C578CF">
      <w:pPr>
        <w:pStyle w:val="Heading2"/>
        <w:rPr>
          <w:rFonts w:cs="Arial"/>
          <w:b w:val="0"/>
          <w:bCs w:val="0"/>
          <w:sz w:val="24"/>
          <w:szCs w:val="24"/>
        </w:rPr>
      </w:pPr>
      <w:r w:rsidRPr="00C578CF">
        <w:rPr>
          <w:rFonts w:cs="Arial"/>
          <w:b w:val="0"/>
          <w:bCs w:val="0"/>
          <w:sz w:val="24"/>
          <w:szCs w:val="24"/>
        </w:rPr>
        <w:t>Although the lengthening of payables has contributed to the relief of liquidity in the short term, a more moderate strategy is necessary. Restructuring the supplier contracts to establish a structured form of payments rather than ad-hoc delay would maintain the supplier trust as well as provide cash flexibility. It can be useful to prioritise key suppliers in order to prevent the disruptive operational activities.</w:t>
      </w:r>
    </w:p>
    <w:p w14:paraId="4EF524F9" w14:textId="77777777" w:rsidR="00C578CF" w:rsidRPr="00C578CF" w:rsidRDefault="00C578CF" w:rsidP="00C578CF">
      <w:pPr>
        <w:pStyle w:val="Heading2"/>
        <w:rPr>
          <w:rFonts w:cs="Arial"/>
          <w:b w:val="0"/>
          <w:bCs w:val="0"/>
          <w:sz w:val="24"/>
          <w:szCs w:val="24"/>
        </w:rPr>
      </w:pPr>
      <w:r w:rsidRPr="00C578CF">
        <w:rPr>
          <w:rFonts w:cs="Arial"/>
          <w:b w:val="0"/>
          <w:bCs w:val="0"/>
          <w:sz w:val="24"/>
          <w:szCs w:val="24"/>
        </w:rPr>
        <w:t xml:space="preserve">Cash Forecasting and Controls.  </w:t>
      </w:r>
    </w:p>
    <w:p w14:paraId="3B3D696C" w14:textId="77777777" w:rsidR="00C578CF" w:rsidRDefault="00C578CF" w:rsidP="00C578CF">
      <w:pPr>
        <w:pStyle w:val="Heading2"/>
        <w:rPr>
          <w:rFonts w:cs="Arial"/>
          <w:b w:val="0"/>
          <w:bCs w:val="0"/>
          <w:sz w:val="24"/>
          <w:szCs w:val="24"/>
        </w:rPr>
      </w:pPr>
      <w:r w:rsidRPr="00C578CF">
        <w:rPr>
          <w:rFonts w:cs="Arial"/>
          <w:b w:val="0"/>
          <w:bCs w:val="0"/>
          <w:sz w:val="24"/>
          <w:szCs w:val="24"/>
        </w:rPr>
        <w:t>Implementation of superior rolling cash flow forecasts would enable us to monitor short term liquidity requirements more closely. The better visibility of cash inflows and outflows would allow making working-capital decisions in advance and reduce the use of emergency credit lines (Ross et al., 2022).</w:t>
      </w:r>
    </w:p>
    <w:p w14:paraId="6BA24546" w14:textId="2071725F" w:rsidR="00964F1E" w:rsidRPr="006D582B" w:rsidRDefault="00964F1E" w:rsidP="00C578CF">
      <w:pPr>
        <w:pStyle w:val="Heading2"/>
      </w:pPr>
      <w:r w:rsidRPr="006D582B">
        <w:t>2.4 Short-Term versus Long-Term Financing Options</w:t>
      </w:r>
      <w:bookmarkEnd w:id="17"/>
    </w:p>
    <w:p w14:paraId="30064C25" w14:textId="77777777" w:rsidR="001B42E0" w:rsidRPr="001B42E0" w:rsidRDefault="001B42E0" w:rsidP="001B42E0">
      <w:pPr>
        <w:pStyle w:val="Heading2"/>
        <w:spacing w:line="360" w:lineRule="auto"/>
        <w:jc w:val="both"/>
        <w:rPr>
          <w:rFonts w:cs="Arial"/>
          <w:b w:val="0"/>
          <w:bCs w:val="0"/>
          <w:sz w:val="24"/>
          <w:szCs w:val="24"/>
        </w:rPr>
      </w:pPr>
      <w:bookmarkStart w:id="18" w:name="_Toc217082149"/>
      <w:r w:rsidRPr="001B42E0">
        <w:rPr>
          <w:rFonts w:cs="Arial"/>
          <w:b w:val="0"/>
          <w:bCs w:val="0"/>
          <w:sz w:val="24"/>
          <w:szCs w:val="24"/>
        </w:rPr>
        <w:t>Efficient working capitals control must be supported by a strong financing model- just as any good project plan in our finance course. In 2024, General Electronics was primarily relying on lines of credit, amounting to approximately PS36.96 billion. Short terms financing lets you be flexible to meet your seasonal variations in the working capital, yet over reliance on this type of funding exposes you to the refinancing risk, cyclical changes in the interest rates, and the possibility of the lenders withdrawing funding when the market becomes rough. That risk can be even more palpable considering that the company has lost its money in the recent past.</w:t>
      </w:r>
    </w:p>
    <w:p w14:paraId="7CA3F9DC" w14:textId="77777777" w:rsidR="001B42E0" w:rsidRPr="001B42E0" w:rsidRDefault="001B42E0" w:rsidP="001B42E0">
      <w:pPr>
        <w:pStyle w:val="Heading2"/>
        <w:spacing w:line="360" w:lineRule="auto"/>
        <w:jc w:val="both"/>
        <w:rPr>
          <w:rFonts w:cs="Arial"/>
          <w:b w:val="0"/>
          <w:bCs w:val="0"/>
          <w:sz w:val="24"/>
          <w:szCs w:val="24"/>
        </w:rPr>
      </w:pPr>
    </w:p>
    <w:p w14:paraId="39B565A2" w14:textId="77777777" w:rsidR="001B42E0" w:rsidRPr="001B42E0" w:rsidRDefault="001B42E0" w:rsidP="001B42E0">
      <w:pPr>
        <w:pStyle w:val="Heading2"/>
        <w:spacing w:line="360" w:lineRule="auto"/>
        <w:jc w:val="both"/>
        <w:rPr>
          <w:rFonts w:cs="Arial"/>
          <w:b w:val="0"/>
          <w:bCs w:val="0"/>
          <w:sz w:val="24"/>
          <w:szCs w:val="24"/>
        </w:rPr>
      </w:pPr>
      <w:r w:rsidRPr="001B42E0">
        <w:rPr>
          <w:rFonts w:cs="Arial"/>
          <w:b w:val="0"/>
          <w:bCs w:val="0"/>
          <w:sz w:val="24"/>
          <w:szCs w:val="24"/>
        </w:rPr>
        <w:t>Short</w:t>
      </w:r>
      <w:r w:rsidRPr="001B42E0">
        <w:rPr>
          <w:rFonts w:ascii="Cambria Math" w:hAnsi="Cambria Math" w:cs="Cambria Math"/>
          <w:b w:val="0"/>
          <w:bCs w:val="0"/>
          <w:sz w:val="24"/>
          <w:szCs w:val="24"/>
        </w:rPr>
        <w:t>‑</w:t>
      </w:r>
      <w:r w:rsidRPr="001B42E0">
        <w:rPr>
          <w:rFonts w:cs="Arial"/>
          <w:b w:val="0"/>
          <w:bCs w:val="0"/>
          <w:sz w:val="24"/>
          <w:szCs w:val="24"/>
        </w:rPr>
        <w:t xml:space="preserve">Term Financing  </w:t>
      </w:r>
    </w:p>
    <w:p w14:paraId="7F08C34D" w14:textId="77777777" w:rsidR="001B42E0" w:rsidRPr="001B42E0" w:rsidRDefault="001B42E0" w:rsidP="001B42E0">
      <w:pPr>
        <w:pStyle w:val="Heading2"/>
        <w:spacing w:line="360" w:lineRule="auto"/>
        <w:jc w:val="both"/>
        <w:rPr>
          <w:rFonts w:cs="Arial"/>
          <w:b w:val="0"/>
          <w:bCs w:val="0"/>
          <w:sz w:val="24"/>
          <w:szCs w:val="24"/>
        </w:rPr>
      </w:pPr>
      <w:r w:rsidRPr="001B42E0">
        <w:rPr>
          <w:rFonts w:cs="Arial"/>
          <w:b w:val="0"/>
          <w:bCs w:val="0"/>
          <w:sz w:val="24"/>
          <w:szCs w:val="24"/>
        </w:rPr>
        <w:t>At the present moment, General Electronics is just surviving on revolving credit. It allows controlling day-to-day shortages in cash and can adapt in a short period to the seasonal demand, yet it is also a time bomb. In case of the sudden increase of interest rates or in case an investor would pull out, this firm would be left without liquidity. It is a big headache particularly at a time when the business is recording losses.</w:t>
      </w:r>
    </w:p>
    <w:p w14:paraId="0E395DCE" w14:textId="77777777" w:rsidR="001B42E0" w:rsidRPr="001B42E0" w:rsidRDefault="001B42E0" w:rsidP="001B42E0">
      <w:pPr>
        <w:pStyle w:val="Heading2"/>
        <w:spacing w:line="360" w:lineRule="auto"/>
        <w:jc w:val="both"/>
        <w:rPr>
          <w:rFonts w:cs="Arial"/>
          <w:b w:val="0"/>
          <w:bCs w:val="0"/>
          <w:sz w:val="24"/>
          <w:szCs w:val="24"/>
        </w:rPr>
      </w:pPr>
    </w:p>
    <w:p w14:paraId="49D072FD" w14:textId="77777777" w:rsidR="001B42E0" w:rsidRPr="001B42E0" w:rsidRDefault="001B42E0" w:rsidP="001B42E0">
      <w:pPr>
        <w:pStyle w:val="Heading2"/>
        <w:spacing w:line="360" w:lineRule="auto"/>
        <w:jc w:val="both"/>
        <w:rPr>
          <w:rFonts w:cs="Arial"/>
          <w:b w:val="0"/>
          <w:bCs w:val="0"/>
          <w:sz w:val="24"/>
          <w:szCs w:val="24"/>
        </w:rPr>
      </w:pPr>
      <w:r w:rsidRPr="001B42E0">
        <w:rPr>
          <w:rFonts w:cs="Arial"/>
          <w:b w:val="0"/>
          <w:bCs w:val="0"/>
          <w:sz w:val="24"/>
          <w:szCs w:val="24"/>
        </w:rPr>
        <w:t>Long</w:t>
      </w:r>
      <w:r w:rsidRPr="001B42E0">
        <w:rPr>
          <w:rFonts w:ascii="Cambria Math" w:hAnsi="Cambria Math" w:cs="Cambria Math"/>
          <w:b w:val="0"/>
          <w:bCs w:val="0"/>
          <w:sz w:val="24"/>
          <w:szCs w:val="24"/>
        </w:rPr>
        <w:t>‑</w:t>
      </w:r>
      <w:r w:rsidRPr="001B42E0">
        <w:rPr>
          <w:rFonts w:cs="Arial"/>
          <w:b w:val="0"/>
          <w:bCs w:val="0"/>
          <w:sz w:val="24"/>
          <w:szCs w:val="24"/>
        </w:rPr>
        <w:t xml:space="preserve">Term Financing  </w:t>
      </w:r>
    </w:p>
    <w:p w14:paraId="5CD834DE" w14:textId="77777777" w:rsidR="001B42E0" w:rsidRPr="001B42E0" w:rsidRDefault="001B42E0" w:rsidP="001B42E0">
      <w:pPr>
        <w:pStyle w:val="Heading2"/>
        <w:spacing w:line="360" w:lineRule="auto"/>
        <w:jc w:val="both"/>
        <w:rPr>
          <w:rFonts w:cs="Arial"/>
          <w:b w:val="0"/>
          <w:bCs w:val="0"/>
          <w:sz w:val="24"/>
          <w:szCs w:val="24"/>
        </w:rPr>
      </w:pPr>
      <w:r w:rsidRPr="001B42E0">
        <w:rPr>
          <w:rFonts w:cs="Arial"/>
          <w:b w:val="0"/>
          <w:bCs w:val="0"/>
          <w:sz w:val="24"/>
          <w:szCs w:val="24"/>
        </w:rPr>
        <w:t xml:space="preserve">Change it to term loans or new equity. These choices are putting a longer horizon in place, and your funding period is matched to the assets you are deploying. </w:t>
      </w:r>
      <w:proofErr w:type="gramStart"/>
      <w:r w:rsidRPr="001B42E0">
        <w:rPr>
          <w:rFonts w:cs="Arial"/>
          <w:b w:val="0"/>
          <w:bCs w:val="0"/>
          <w:sz w:val="24"/>
          <w:szCs w:val="24"/>
        </w:rPr>
        <w:t>Sure</w:t>
      </w:r>
      <w:proofErr w:type="gramEnd"/>
      <w:r w:rsidRPr="001B42E0">
        <w:rPr>
          <w:rFonts w:cs="Arial"/>
          <w:b w:val="0"/>
          <w:bCs w:val="0"/>
          <w:sz w:val="24"/>
          <w:szCs w:val="24"/>
        </w:rPr>
        <w:t xml:space="preserve"> long-term debt is more expensive to write off explicitly, but this reduces the liquidity risk and provides you with the time to execute strategic projects. In the case of General Electronics, a replacement of some of that temporary credit with some long-term loans would both ease the current cash crunch and give the company greater financial stability.</w:t>
      </w:r>
    </w:p>
    <w:p w14:paraId="6D710422" w14:textId="77777777" w:rsidR="001B42E0" w:rsidRPr="001B42E0" w:rsidRDefault="001B42E0" w:rsidP="001B42E0">
      <w:pPr>
        <w:pStyle w:val="Heading2"/>
        <w:spacing w:line="360" w:lineRule="auto"/>
        <w:jc w:val="both"/>
        <w:rPr>
          <w:rFonts w:cs="Arial"/>
          <w:b w:val="0"/>
          <w:bCs w:val="0"/>
          <w:sz w:val="24"/>
          <w:szCs w:val="24"/>
        </w:rPr>
      </w:pPr>
    </w:p>
    <w:p w14:paraId="23B8843D" w14:textId="77777777" w:rsidR="001B42E0" w:rsidRPr="001B42E0" w:rsidRDefault="001B42E0" w:rsidP="001B42E0">
      <w:pPr>
        <w:pStyle w:val="Heading2"/>
        <w:spacing w:line="360" w:lineRule="auto"/>
        <w:jc w:val="both"/>
        <w:rPr>
          <w:rFonts w:cs="Arial"/>
          <w:b w:val="0"/>
          <w:bCs w:val="0"/>
          <w:sz w:val="24"/>
          <w:szCs w:val="24"/>
        </w:rPr>
      </w:pPr>
      <w:r w:rsidRPr="001B42E0">
        <w:rPr>
          <w:rFonts w:cs="Arial"/>
          <w:b w:val="0"/>
          <w:bCs w:val="0"/>
          <w:sz w:val="24"/>
          <w:szCs w:val="24"/>
        </w:rPr>
        <w:t xml:space="preserve">Comparative Assessment  </w:t>
      </w:r>
    </w:p>
    <w:p w14:paraId="6C84B7F2" w14:textId="77777777" w:rsidR="001B42E0" w:rsidRDefault="001B42E0" w:rsidP="001B42E0">
      <w:pPr>
        <w:pStyle w:val="Heading2"/>
        <w:spacing w:line="360" w:lineRule="auto"/>
        <w:jc w:val="both"/>
        <w:rPr>
          <w:rFonts w:cs="Arial"/>
          <w:b w:val="0"/>
          <w:bCs w:val="0"/>
          <w:sz w:val="24"/>
          <w:szCs w:val="24"/>
        </w:rPr>
      </w:pPr>
      <w:r w:rsidRPr="001B42E0">
        <w:rPr>
          <w:rFonts w:cs="Arial"/>
          <w:b w:val="0"/>
          <w:bCs w:val="0"/>
          <w:sz w:val="24"/>
          <w:szCs w:val="24"/>
        </w:rPr>
        <w:t>In principle, the bite-size, quick-fix working capital requirements are financed by short-term finance, whereas the structural liquidity shortages are supported by long-term options. The long cash cycle and declining profitability of the company indicate that they are not cause-and-effect features but structural issues. Therefore, it makes sense, and even financially healthy, to jump, at least partly, in the direction of long-term funding (Berk and DeMarzo, 2023).</w:t>
      </w:r>
    </w:p>
    <w:p w14:paraId="25074230" w14:textId="4CCCEBF3" w:rsidR="00964F1E" w:rsidRPr="006D582B" w:rsidRDefault="00964F1E" w:rsidP="001B42E0">
      <w:pPr>
        <w:pStyle w:val="Heading2"/>
        <w:spacing w:line="360" w:lineRule="auto"/>
        <w:jc w:val="both"/>
      </w:pPr>
      <w:r w:rsidRPr="006D582B">
        <w:t>2.5 Overall Summary</w:t>
      </w:r>
      <w:bookmarkEnd w:id="18"/>
    </w:p>
    <w:p w14:paraId="4BBF2F2F" w14:textId="77777777" w:rsidR="00F2138F" w:rsidRDefault="00F2138F" w:rsidP="00F2138F">
      <w:pPr>
        <w:pStyle w:val="Heading1"/>
        <w:spacing w:line="360" w:lineRule="auto"/>
        <w:jc w:val="both"/>
        <w:rPr>
          <w:rFonts w:cs="Arial"/>
          <w:b w:val="0"/>
          <w:bCs w:val="0"/>
          <w:kern w:val="0"/>
          <w:sz w:val="24"/>
          <w:szCs w:val="24"/>
        </w:rPr>
      </w:pPr>
      <w:bookmarkStart w:id="19" w:name="_Toc217082150"/>
      <w:r w:rsidRPr="00F2138F">
        <w:rPr>
          <w:rFonts w:cs="Arial"/>
          <w:b w:val="0"/>
          <w:bCs w:val="0"/>
          <w:kern w:val="0"/>
          <w:sz w:val="24"/>
          <w:szCs w:val="24"/>
        </w:rPr>
        <w:lastRenderedPageBreak/>
        <w:t xml:space="preserve">Therefore, I reviewed the working-capital analysis and it turns out that General electronics is in the stuck cash cycle due to large inventory, slow collections, and supplier waiting. Although the inventory is making some improvement, the cash flow remains tight. We have to make some tweaking with inventory, tightening credit policy, and </w:t>
      </w:r>
      <w:proofErr w:type="spellStart"/>
      <w:r w:rsidRPr="00F2138F">
        <w:rPr>
          <w:rFonts w:cs="Arial"/>
          <w:b w:val="0"/>
          <w:bCs w:val="0"/>
          <w:kern w:val="0"/>
          <w:sz w:val="24"/>
          <w:szCs w:val="24"/>
        </w:rPr>
        <w:t>stricterness</w:t>
      </w:r>
      <w:proofErr w:type="spellEnd"/>
      <w:r w:rsidRPr="00F2138F">
        <w:rPr>
          <w:rFonts w:cs="Arial"/>
          <w:b w:val="0"/>
          <w:bCs w:val="0"/>
          <w:kern w:val="0"/>
          <w:sz w:val="24"/>
          <w:szCs w:val="24"/>
        </w:rPr>
        <w:t xml:space="preserve"> on payments to suppliers to release cash. They also are overly dependent on short-term credit and thus would be well served to include a little long-term financing. Collectively, these measures ought to increase liquidity levels, reduce risk, and aid in the turnaround plan that would ensue.</w:t>
      </w:r>
    </w:p>
    <w:p w14:paraId="63F2D0DE" w14:textId="1315F0AF" w:rsidR="001B7089" w:rsidRPr="006D582B" w:rsidRDefault="001B7089" w:rsidP="00565E39">
      <w:pPr>
        <w:pStyle w:val="Heading1"/>
      </w:pPr>
      <w:r w:rsidRPr="006D582B">
        <w:t>3. Strategic Financial Restructuring Plan</w:t>
      </w:r>
      <w:bookmarkEnd w:id="19"/>
    </w:p>
    <w:p w14:paraId="7543B5FA" w14:textId="77777777" w:rsidR="001B7089" w:rsidRPr="006D582B" w:rsidRDefault="001B7089" w:rsidP="00565E39">
      <w:pPr>
        <w:pStyle w:val="Heading2"/>
      </w:pPr>
      <w:bookmarkStart w:id="20" w:name="_Toc217082151"/>
      <w:r w:rsidRPr="006D582B">
        <w:t>3.1 Introduction</w:t>
      </w:r>
      <w:bookmarkEnd w:id="20"/>
    </w:p>
    <w:p w14:paraId="7CD8B45E" w14:textId="77777777" w:rsidR="001851F6" w:rsidRDefault="001851F6" w:rsidP="001851F6">
      <w:pPr>
        <w:pStyle w:val="Heading2"/>
        <w:spacing w:line="360" w:lineRule="auto"/>
        <w:jc w:val="both"/>
        <w:rPr>
          <w:rFonts w:cs="Arial"/>
          <w:b w:val="0"/>
          <w:bCs w:val="0"/>
          <w:sz w:val="24"/>
          <w:szCs w:val="24"/>
        </w:rPr>
      </w:pPr>
      <w:bookmarkStart w:id="21" w:name="_Toc217082152"/>
      <w:r w:rsidRPr="001851F6">
        <w:rPr>
          <w:rFonts w:cs="Arial"/>
          <w:b w:val="0"/>
          <w:bCs w:val="0"/>
          <w:sz w:val="24"/>
          <w:szCs w:val="24"/>
        </w:rPr>
        <w:t>Consequently, as we can see having completed the financial health check and the working-capital analysis in Sections 1 and 2, it is quite evident that General Electronics is not yet out of trouble. The profit margin is declining, stock price is dwindling, and the company is constrained by low operation flexibility. Although working-capital efficiency improved marginally in 2024, the company continues to report operating losses and negative earnings per share- thus the underlying structural issues are not being resolved yet. It implies that it requires a well-conceived financial restructuring strategy to straighten the capital structure, enhance financial strength, and make the business competitive in the long-term perspective. We consider in this segment good restructuring possibilities, weigh their costs and benefits, and incorporate international and moral questions that a multinational company ought to take notice of.</w:t>
      </w:r>
    </w:p>
    <w:p w14:paraId="138F333D" w14:textId="3059B746" w:rsidR="001B7089" w:rsidRPr="006D582B" w:rsidRDefault="001B7089" w:rsidP="00565E39">
      <w:pPr>
        <w:pStyle w:val="Heading2"/>
      </w:pPr>
      <w:r w:rsidRPr="006D582B">
        <w:t>3.2 Rationale for Financial Restructuring</w:t>
      </w:r>
      <w:bookmarkEnd w:id="21"/>
    </w:p>
    <w:p w14:paraId="77AD600E" w14:textId="77777777" w:rsidR="001B7089" w:rsidRPr="006D582B" w:rsidRDefault="001B7089" w:rsidP="006D582B">
      <w:pPr>
        <w:pStyle w:val="NormalWeb"/>
        <w:spacing w:line="360" w:lineRule="auto"/>
        <w:jc w:val="both"/>
        <w:rPr>
          <w:rFonts w:ascii="Arial" w:hAnsi="Arial" w:cs="Arial"/>
        </w:rPr>
      </w:pPr>
      <w:r w:rsidRPr="006D582B">
        <w:rPr>
          <w:rFonts w:ascii="Arial" w:hAnsi="Arial" w:cs="Arial"/>
        </w:rPr>
        <w:t xml:space="preserve">The firm’s recent financial performance demonstrates a compelling need for restructuring. Net income deteriorated significantly from a profit of £38,572m in 2020 to a loss of £24,029m in 2024, reflecting declining revenues and persistent cost pressures. Earnings per share followed a similar trajectory, turning sharply negative at –£1.85 in 2024, which highlights substantial value destruction for equity holders. This deterioration is further </w:t>
      </w:r>
      <w:r w:rsidRPr="006D582B">
        <w:rPr>
          <w:rFonts w:ascii="Arial" w:hAnsi="Arial" w:cs="Arial"/>
        </w:rPr>
        <w:lastRenderedPageBreak/>
        <w:t>evidenced by the reduction in retained earnings of £24,029m between 2023 and 2024, directly weakening the firm’s equity base.</w:t>
      </w:r>
    </w:p>
    <w:p w14:paraId="514B026E" w14:textId="77777777" w:rsidR="001B7089" w:rsidRPr="006D582B" w:rsidRDefault="001B7089" w:rsidP="006D582B">
      <w:pPr>
        <w:pStyle w:val="NormalWeb"/>
        <w:spacing w:line="360" w:lineRule="auto"/>
        <w:jc w:val="both"/>
        <w:rPr>
          <w:rFonts w:ascii="Arial" w:hAnsi="Arial" w:cs="Arial"/>
        </w:rPr>
      </w:pPr>
      <w:r w:rsidRPr="006D582B">
        <w:rPr>
          <w:rFonts w:ascii="Arial" w:hAnsi="Arial" w:cs="Arial"/>
        </w:rPr>
        <w:t>While total liabilities declined from £235,757m in 2022 to £170,249m in 2024, this reduction coincided with a contraction in total assets and productive capacity. Such deleveraging appears defensive rather than strategically motivated, as it reflects asset disposals and impairments rather than improved operating performance. Although operating cash flows remained positive at £14,822m in 2024, they are significantly lower than historical levels, constraining reinvestment capacity and limiting strategic flexibility (Appendix B). These trends indicate that without decisive restructuring, General Electronics risks prolonged financial underperformance and further erosion of stakeholder confidence.</w:t>
      </w:r>
    </w:p>
    <w:p w14:paraId="45A90DDA" w14:textId="77777777" w:rsidR="001B7089" w:rsidRPr="006D582B" w:rsidRDefault="001B7089" w:rsidP="00565E39">
      <w:pPr>
        <w:pStyle w:val="Heading2"/>
      </w:pPr>
      <w:bookmarkStart w:id="22" w:name="_Toc217082153"/>
      <w:r w:rsidRPr="006D582B">
        <w:t>3.3 Recommended Financial Restructuring Options</w:t>
      </w:r>
      <w:bookmarkEnd w:id="22"/>
    </w:p>
    <w:p w14:paraId="6CA47576" w14:textId="02296290" w:rsidR="00F948BC" w:rsidRPr="00F948BC" w:rsidRDefault="00F948BC" w:rsidP="00F948BC">
      <w:pPr>
        <w:pStyle w:val="Heading2"/>
        <w:spacing w:line="360" w:lineRule="auto"/>
        <w:rPr>
          <w:rFonts w:eastAsiaTheme="majorEastAsia" w:cs="Arial"/>
          <w:b w:val="0"/>
          <w:bCs w:val="0"/>
          <w:color w:val="000000" w:themeColor="text1"/>
          <w:sz w:val="24"/>
          <w:szCs w:val="24"/>
        </w:rPr>
      </w:pPr>
      <w:bookmarkStart w:id="23" w:name="_Toc217082154"/>
      <w:r w:rsidRPr="00F948BC">
        <w:rPr>
          <w:rFonts w:eastAsiaTheme="majorEastAsia" w:cs="Arial"/>
          <w:b w:val="0"/>
          <w:bCs w:val="0"/>
          <w:color w:val="000000" w:themeColor="text1"/>
          <w:sz w:val="24"/>
          <w:szCs w:val="24"/>
        </w:rPr>
        <w:t xml:space="preserve">3.3.1.  Strategic Divestiture of Non-Core Assets. </w:t>
      </w:r>
    </w:p>
    <w:p w14:paraId="02F573A4" w14:textId="5F8E2EED" w:rsidR="00F948BC" w:rsidRPr="00F948BC" w:rsidRDefault="00F948BC" w:rsidP="00F948BC">
      <w:pPr>
        <w:pStyle w:val="Heading2"/>
        <w:spacing w:line="360" w:lineRule="auto"/>
        <w:rPr>
          <w:rFonts w:eastAsiaTheme="majorEastAsia" w:cs="Arial"/>
          <w:b w:val="0"/>
          <w:bCs w:val="0"/>
          <w:color w:val="000000" w:themeColor="text1"/>
          <w:sz w:val="24"/>
          <w:szCs w:val="24"/>
        </w:rPr>
      </w:pPr>
      <w:r w:rsidRPr="00F948BC">
        <w:rPr>
          <w:rFonts w:eastAsiaTheme="majorEastAsia" w:cs="Arial"/>
          <w:b w:val="0"/>
          <w:bCs w:val="0"/>
          <w:color w:val="000000" w:themeColor="text1"/>
          <w:sz w:val="24"/>
          <w:szCs w:val="24"/>
        </w:rPr>
        <w:t xml:space="preserve">In the eyes of a student, a specific divestiture </w:t>
      </w:r>
      <w:proofErr w:type="spellStart"/>
      <w:r w:rsidRPr="00F948BC">
        <w:rPr>
          <w:rFonts w:eastAsiaTheme="majorEastAsia" w:cs="Arial"/>
          <w:b w:val="0"/>
          <w:bCs w:val="0"/>
          <w:color w:val="000000" w:themeColor="text1"/>
          <w:sz w:val="24"/>
          <w:szCs w:val="24"/>
        </w:rPr>
        <w:t>programme</w:t>
      </w:r>
      <w:proofErr w:type="spellEnd"/>
      <w:r w:rsidRPr="00F948BC">
        <w:rPr>
          <w:rFonts w:eastAsiaTheme="majorEastAsia" w:cs="Arial"/>
          <w:b w:val="0"/>
          <w:bCs w:val="0"/>
          <w:color w:val="000000" w:themeColor="text1"/>
          <w:sz w:val="24"/>
          <w:szCs w:val="24"/>
        </w:rPr>
        <w:t xml:space="preserve"> is the most realistic initial move of restructuring. The decrease in property, plant and equipment as of 2024 was indeed very sharp as it dropped to 34, 207m after having been 87,285m in 2020, which underscores the accumulation of unused or impaired assets that could not be ignored. And the goodwill impairment of the goodwill of 49,075.9m recorded in 2023 informs us, previous acquisitions have not achieved the synergies we were promised to receive. All these are indications of incompatibility of the asset base with the current strategic priorities of the company.  </w:t>
      </w:r>
    </w:p>
    <w:p w14:paraId="564BFA8D" w14:textId="09BD2C98" w:rsidR="00F948BC" w:rsidRPr="00F948BC" w:rsidRDefault="00F948BC" w:rsidP="00F948BC">
      <w:pPr>
        <w:pStyle w:val="Heading2"/>
        <w:spacing w:line="360" w:lineRule="auto"/>
        <w:rPr>
          <w:rFonts w:eastAsiaTheme="majorEastAsia" w:cs="Arial"/>
          <w:b w:val="0"/>
          <w:bCs w:val="0"/>
          <w:color w:val="000000" w:themeColor="text1"/>
          <w:sz w:val="24"/>
          <w:szCs w:val="24"/>
        </w:rPr>
      </w:pPr>
      <w:r w:rsidRPr="00F948BC">
        <w:rPr>
          <w:rFonts w:eastAsiaTheme="majorEastAsia" w:cs="Arial"/>
          <w:b w:val="0"/>
          <w:bCs w:val="0"/>
          <w:color w:val="000000" w:themeColor="text1"/>
          <w:sz w:val="24"/>
          <w:szCs w:val="24"/>
        </w:rPr>
        <w:t xml:space="preserve">The company can use the sale of the non-core or non-performing units as a source of instant cash, reduce depreciation and maintenance expenses and can concentrate the management back to the core business. The disposal of assets also </w:t>
      </w:r>
      <w:proofErr w:type="gramStart"/>
      <w:r w:rsidRPr="00F948BC">
        <w:rPr>
          <w:rFonts w:eastAsiaTheme="majorEastAsia" w:cs="Arial"/>
          <w:b w:val="0"/>
          <w:bCs w:val="0"/>
          <w:color w:val="000000" w:themeColor="text1"/>
          <w:sz w:val="24"/>
          <w:szCs w:val="24"/>
        </w:rPr>
        <w:t>streamline</w:t>
      </w:r>
      <w:proofErr w:type="gramEnd"/>
      <w:r w:rsidRPr="00F948BC">
        <w:rPr>
          <w:rFonts w:eastAsiaTheme="majorEastAsia" w:cs="Arial"/>
          <w:b w:val="0"/>
          <w:bCs w:val="0"/>
          <w:color w:val="000000" w:themeColor="text1"/>
          <w:sz w:val="24"/>
          <w:szCs w:val="24"/>
        </w:rPr>
        <w:t xml:space="preserve"> the organisational structures and enhance the allocation of capital. Strategically planned divestitures, such as those analyzed in academic papers such as Damodaran (2023), have been found to raise operating performance and return on capital. In the case of </w:t>
      </w:r>
      <w:r w:rsidRPr="00F948BC">
        <w:rPr>
          <w:rFonts w:eastAsiaTheme="majorEastAsia" w:cs="Arial"/>
          <w:b w:val="0"/>
          <w:bCs w:val="0"/>
          <w:color w:val="000000" w:themeColor="text1"/>
          <w:sz w:val="24"/>
          <w:szCs w:val="24"/>
        </w:rPr>
        <w:lastRenderedPageBreak/>
        <w:t>General Electronics, a divestment payout should be used to increase liquidity and restore the balance sheet.</w:t>
      </w:r>
    </w:p>
    <w:p w14:paraId="3BD7DD9F" w14:textId="77777777" w:rsidR="00F948BC" w:rsidRPr="00F948BC" w:rsidRDefault="00F948BC" w:rsidP="00F948BC">
      <w:pPr>
        <w:pStyle w:val="Heading2"/>
        <w:spacing w:line="360" w:lineRule="auto"/>
        <w:rPr>
          <w:rFonts w:eastAsiaTheme="majorEastAsia" w:cs="Arial"/>
          <w:b w:val="0"/>
          <w:bCs w:val="0"/>
          <w:color w:val="000000" w:themeColor="text1"/>
          <w:sz w:val="24"/>
          <w:szCs w:val="24"/>
        </w:rPr>
      </w:pPr>
      <w:r w:rsidRPr="00F948BC">
        <w:rPr>
          <w:rFonts w:eastAsiaTheme="majorEastAsia" w:cs="Arial"/>
          <w:b w:val="0"/>
          <w:bCs w:val="0"/>
          <w:color w:val="000000" w:themeColor="text1"/>
          <w:sz w:val="24"/>
          <w:szCs w:val="24"/>
        </w:rPr>
        <w:t xml:space="preserve">3.3.2 Equity Injection by the means of rights issue.  </w:t>
      </w:r>
    </w:p>
    <w:p w14:paraId="2662C846" w14:textId="692385C0" w:rsidR="00F948BC" w:rsidRPr="00F948BC" w:rsidRDefault="00F948BC" w:rsidP="00F948BC">
      <w:pPr>
        <w:pStyle w:val="Heading2"/>
        <w:spacing w:line="360" w:lineRule="auto"/>
        <w:rPr>
          <w:rFonts w:eastAsiaTheme="majorEastAsia" w:cs="Arial"/>
          <w:b w:val="0"/>
          <w:bCs w:val="0"/>
          <w:color w:val="000000" w:themeColor="text1"/>
          <w:sz w:val="24"/>
          <w:szCs w:val="24"/>
        </w:rPr>
      </w:pPr>
      <w:r w:rsidRPr="00F948BC">
        <w:rPr>
          <w:rFonts w:eastAsiaTheme="majorEastAsia" w:cs="Arial"/>
          <w:b w:val="0"/>
          <w:bCs w:val="0"/>
          <w:color w:val="000000" w:themeColor="text1"/>
          <w:sz w:val="24"/>
          <w:szCs w:val="24"/>
        </w:rPr>
        <w:t>With the operating losses going on and the low interest coverage, adding debt would increase the financial risk to astronomical levels, which is an absolute no-no to a risk-</w:t>
      </w:r>
      <w:proofErr w:type="spellStart"/>
      <w:r w:rsidRPr="00F948BC">
        <w:rPr>
          <w:rFonts w:eastAsiaTheme="majorEastAsia" w:cs="Arial"/>
          <w:b w:val="0"/>
          <w:bCs w:val="0"/>
          <w:color w:val="000000" w:themeColor="text1"/>
          <w:sz w:val="24"/>
          <w:szCs w:val="24"/>
        </w:rPr>
        <w:t>analysing</w:t>
      </w:r>
      <w:proofErr w:type="spellEnd"/>
      <w:r w:rsidRPr="00F948BC">
        <w:rPr>
          <w:rFonts w:eastAsiaTheme="majorEastAsia" w:cs="Arial"/>
          <w:b w:val="0"/>
          <w:bCs w:val="0"/>
          <w:color w:val="000000" w:themeColor="text1"/>
          <w:sz w:val="24"/>
          <w:szCs w:val="24"/>
        </w:rPr>
        <w:t xml:space="preserve"> student. A rights issue is the pivot that should be recommended then. Even though the shareholders equity dropped between 2020 (£313,301 m) and 2024 </w:t>
      </w:r>
      <w:proofErr w:type="gramStart"/>
      <w:r w:rsidRPr="00F948BC">
        <w:rPr>
          <w:rFonts w:eastAsiaTheme="majorEastAsia" w:cs="Arial"/>
          <w:b w:val="0"/>
          <w:bCs w:val="0"/>
          <w:color w:val="000000" w:themeColor="text1"/>
          <w:sz w:val="24"/>
          <w:szCs w:val="24"/>
        </w:rPr>
        <w:t>( £</w:t>
      </w:r>
      <w:proofErr w:type="gramEnd"/>
      <w:r w:rsidRPr="00F948BC">
        <w:rPr>
          <w:rFonts w:eastAsiaTheme="majorEastAsia" w:cs="Arial"/>
          <w:b w:val="0"/>
          <w:bCs w:val="0"/>
          <w:color w:val="000000" w:themeColor="text1"/>
          <w:sz w:val="24"/>
          <w:szCs w:val="24"/>
        </w:rPr>
        <w:t xml:space="preserve">153,105 m), due to the consistent increase in the paid-in capital, the shareholders can theoretically provide additional funds.  </w:t>
      </w:r>
    </w:p>
    <w:p w14:paraId="31DE154F" w14:textId="35953306" w:rsidR="00F948BC" w:rsidRPr="00F948BC" w:rsidRDefault="00F948BC" w:rsidP="00F948BC">
      <w:pPr>
        <w:pStyle w:val="Heading2"/>
        <w:spacing w:line="360" w:lineRule="auto"/>
        <w:rPr>
          <w:rFonts w:eastAsiaTheme="majorEastAsia" w:cs="Arial"/>
          <w:b w:val="0"/>
          <w:bCs w:val="0"/>
          <w:color w:val="000000" w:themeColor="text1"/>
          <w:sz w:val="24"/>
          <w:szCs w:val="24"/>
        </w:rPr>
      </w:pPr>
      <w:r w:rsidRPr="00F948BC">
        <w:rPr>
          <w:rFonts w:eastAsiaTheme="majorEastAsia" w:cs="Arial"/>
          <w:b w:val="0"/>
          <w:bCs w:val="0"/>
          <w:color w:val="000000" w:themeColor="text1"/>
          <w:sz w:val="24"/>
          <w:szCs w:val="24"/>
        </w:rPr>
        <w:t>Rights issue allows the company to raise funds without dilution. The short-term dilution will be justified since it will strengthen solvency, decrease leverage, and minimize interest payments. According to Myers (2020), equity financing is better in the distressed cases when their cash flow becomes volatile and it poses a threat to its debt servicing. In the case of General Electronics, the replenishment of equity buffers is crucial in order to finance restructuring efforts and restore investor confidence.</w:t>
      </w:r>
    </w:p>
    <w:p w14:paraId="2FE44F24" w14:textId="77777777" w:rsidR="00F948BC" w:rsidRPr="00F948BC" w:rsidRDefault="00F948BC" w:rsidP="00F948BC">
      <w:pPr>
        <w:pStyle w:val="Heading2"/>
        <w:spacing w:line="360" w:lineRule="auto"/>
        <w:rPr>
          <w:rFonts w:eastAsiaTheme="majorEastAsia" w:cs="Arial"/>
          <w:b w:val="0"/>
          <w:bCs w:val="0"/>
          <w:color w:val="000000" w:themeColor="text1"/>
          <w:sz w:val="24"/>
          <w:szCs w:val="24"/>
        </w:rPr>
      </w:pPr>
      <w:r w:rsidRPr="00F948BC">
        <w:rPr>
          <w:rFonts w:eastAsiaTheme="majorEastAsia" w:cs="Arial"/>
          <w:b w:val="0"/>
          <w:bCs w:val="0"/>
          <w:color w:val="000000" w:themeColor="text1"/>
          <w:sz w:val="24"/>
          <w:szCs w:val="24"/>
        </w:rPr>
        <w:t xml:space="preserve">3.3.3 Selective Strategic Merger or Alliance.  </w:t>
      </w:r>
    </w:p>
    <w:p w14:paraId="3F7437B9" w14:textId="30B5E2A2" w:rsidR="00F948BC" w:rsidRPr="00F948BC" w:rsidRDefault="00F948BC" w:rsidP="00F948BC">
      <w:pPr>
        <w:pStyle w:val="Heading2"/>
        <w:spacing w:line="360" w:lineRule="auto"/>
        <w:rPr>
          <w:rFonts w:eastAsiaTheme="majorEastAsia" w:cs="Arial"/>
          <w:b w:val="0"/>
          <w:bCs w:val="0"/>
          <w:color w:val="000000" w:themeColor="text1"/>
          <w:sz w:val="24"/>
          <w:szCs w:val="24"/>
        </w:rPr>
      </w:pPr>
      <w:r w:rsidRPr="00F948BC">
        <w:rPr>
          <w:rFonts w:eastAsiaTheme="majorEastAsia" w:cs="Arial"/>
          <w:b w:val="0"/>
          <w:bCs w:val="0"/>
          <w:color w:val="000000" w:themeColor="text1"/>
          <w:sz w:val="24"/>
          <w:szCs w:val="24"/>
        </w:rPr>
        <w:t xml:space="preserve">Rather than pursuing a complete merger - which comes with the headaches of integration - this university-student perspective prefers a partial strategic partnership with an international technology company. This would allow General Electronics to share the expense, access new innovation and reach additional markets without adding much weight to the balance sheet. The fact that the revenue will decrease by approximately 36 percent between 2020 and 2024 highlights the importance of scale and cooperative research and development.  </w:t>
      </w:r>
    </w:p>
    <w:p w14:paraId="1643859E" w14:textId="77777777" w:rsidR="00F948BC" w:rsidRPr="00F948BC" w:rsidRDefault="00F948BC" w:rsidP="00F948BC">
      <w:pPr>
        <w:pStyle w:val="Heading2"/>
        <w:spacing w:line="360" w:lineRule="auto"/>
        <w:rPr>
          <w:rFonts w:eastAsiaTheme="majorEastAsia" w:cs="Arial"/>
          <w:b w:val="0"/>
          <w:bCs w:val="0"/>
          <w:color w:val="000000" w:themeColor="text1"/>
          <w:sz w:val="24"/>
          <w:szCs w:val="24"/>
        </w:rPr>
      </w:pPr>
      <w:r w:rsidRPr="00F948BC">
        <w:rPr>
          <w:rFonts w:eastAsiaTheme="majorEastAsia" w:cs="Arial"/>
          <w:b w:val="0"/>
          <w:bCs w:val="0"/>
          <w:color w:val="000000" w:themeColor="text1"/>
          <w:sz w:val="24"/>
          <w:szCs w:val="24"/>
        </w:rPr>
        <w:t xml:space="preserve">The strategic alliance is popular in areas of capital-intensive industries that are useful in enhancing competitiveness and at the same time maintaining operational independence (Grant, 2022). As in the case with General Electronics, joint ventures or technology-sharing agreements or co-development projects would assist in turning around the </w:t>
      </w:r>
      <w:r w:rsidRPr="00F948BC">
        <w:rPr>
          <w:rFonts w:eastAsiaTheme="majorEastAsia" w:cs="Arial"/>
          <w:b w:val="0"/>
          <w:bCs w:val="0"/>
          <w:color w:val="000000" w:themeColor="text1"/>
          <w:sz w:val="24"/>
          <w:szCs w:val="24"/>
        </w:rPr>
        <w:lastRenderedPageBreak/>
        <w:t>revenue losses and drive innovation, without losing sufficient flexibility to keep up with the future.</w:t>
      </w:r>
    </w:p>
    <w:p w14:paraId="7584E97C" w14:textId="6FF49D4D" w:rsidR="001B7089" w:rsidRPr="006D582B" w:rsidRDefault="001B7089" w:rsidP="00F948BC">
      <w:pPr>
        <w:pStyle w:val="Heading2"/>
      </w:pPr>
      <w:r w:rsidRPr="006D582B">
        <w:t>3.4 Evaluation of Impact on Financial Structure</w:t>
      </w:r>
      <w:bookmarkEnd w:id="23"/>
    </w:p>
    <w:p w14:paraId="43400CF0" w14:textId="77777777" w:rsidR="00561149" w:rsidRPr="00561149" w:rsidRDefault="00561149" w:rsidP="00561149">
      <w:pPr>
        <w:pStyle w:val="Heading2"/>
        <w:spacing w:line="360" w:lineRule="auto"/>
        <w:rPr>
          <w:rFonts w:eastAsiaTheme="majorEastAsia" w:cs="Arial"/>
          <w:b w:val="0"/>
          <w:bCs w:val="0"/>
          <w:color w:val="000000" w:themeColor="text1"/>
          <w:sz w:val="24"/>
          <w:szCs w:val="24"/>
        </w:rPr>
      </w:pPr>
      <w:bookmarkStart w:id="24" w:name="_Toc217082155"/>
      <w:r w:rsidRPr="00561149">
        <w:rPr>
          <w:rFonts w:eastAsiaTheme="majorEastAsia" w:cs="Arial"/>
          <w:b w:val="0"/>
          <w:bCs w:val="0"/>
          <w:color w:val="000000" w:themeColor="text1"/>
          <w:sz w:val="24"/>
          <w:szCs w:val="24"/>
        </w:rPr>
        <w:t xml:space="preserve">3.4.1 Shareholder Value  </w:t>
      </w:r>
    </w:p>
    <w:p w14:paraId="447C7CA6" w14:textId="0E1C6A9B" w:rsidR="00561149" w:rsidRPr="00561149" w:rsidRDefault="00561149" w:rsidP="00561149">
      <w:pPr>
        <w:pStyle w:val="Heading2"/>
        <w:spacing w:line="360" w:lineRule="auto"/>
        <w:rPr>
          <w:rFonts w:eastAsiaTheme="majorEastAsia" w:cs="Arial"/>
          <w:b w:val="0"/>
          <w:bCs w:val="0"/>
          <w:color w:val="000000" w:themeColor="text1"/>
          <w:sz w:val="24"/>
          <w:szCs w:val="24"/>
        </w:rPr>
      </w:pPr>
      <w:r w:rsidRPr="00561149">
        <w:rPr>
          <w:rFonts w:eastAsiaTheme="majorEastAsia" w:cs="Arial"/>
          <w:b w:val="0"/>
          <w:bCs w:val="0"/>
          <w:color w:val="000000" w:themeColor="text1"/>
          <w:sz w:val="24"/>
          <w:szCs w:val="24"/>
        </w:rPr>
        <w:t xml:space="preserve">Frankly speaking, a streak of consecutive losses and declining retained earnings has grossly damaged shareholder value. Asset divestitures plus a new round of equity would provide us with a larger cushion of free cash flow and smooth out the earnings volatility- basically a step in the right direction of gradually restoring value. Although our operating cash flows remain positive, we still must have a strong margin improvement before we can actually convert that cash into long-term shareholder value (Appendix B).  </w:t>
      </w:r>
    </w:p>
    <w:p w14:paraId="3FCC6C39" w14:textId="764A5595" w:rsidR="00561149" w:rsidRPr="00561149" w:rsidRDefault="00561149" w:rsidP="00561149">
      <w:pPr>
        <w:pStyle w:val="Heading2"/>
        <w:spacing w:line="360" w:lineRule="auto"/>
        <w:rPr>
          <w:rFonts w:eastAsiaTheme="majorEastAsia" w:cs="Arial"/>
          <w:b w:val="0"/>
          <w:bCs w:val="0"/>
          <w:color w:val="000000" w:themeColor="text1"/>
          <w:sz w:val="24"/>
          <w:szCs w:val="24"/>
        </w:rPr>
      </w:pPr>
      <w:r w:rsidRPr="00561149">
        <w:rPr>
          <w:rFonts w:eastAsiaTheme="majorEastAsia" w:cs="Arial"/>
          <w:b w:val="0"/>
          <w:bCs w:val="0"/>
          <w:color w:val="000000" w:themeColor="text1"/>
          <w:sz w:val="24"/>
          <w:szCs w:val="24"/>
        </w:rPr>
        <w:t>Besides that, it would assist us to retain capital and maintain stability in the balance sheet by pulling back on the treasury-stock buybacks in the restructuring process. This action is in keeping with the principles of value-</w:t>
      </w:r>
      <w:proofErr w:type="spellStart"/>
      <w:r w:rsidRPr="00561149">
        <w:rPr>
          <w:rFonts w:eastAsiaTheme="majorEastAsia" w:cs="Arial"/>
          <w:b w:val="0"/>
          <w:bCs w:val="0"/>
          <w:color w:val="000000" w:themeColor="text1"/>
          <w:sz w:val="24"/>
          <w:szCs w:val="24"/>
        </w:rPr>
        <w:t>maximisation</w:t>
      </w:r>
      <w:proofErr w:type="spellEnd"/>
      <w:r w:rsidRPr="00561149">
        <w:rPr>
          <w:rFonts w:eastAsiaTheme="majorEastAsia" w:cs="Arial"/>
          <w:b w:val="0"/>
          <w:bCs w:val="0"/>
          <w:color w:val="000000" w:themeColor="text1"/>
          <w:sz w:val="24"/>
          <w:szCs w:val="24"/>
        </w:rPr>
        <w:t xml:space="preserve">, where financial strength is seen as a priority over a short-term increase in earnings (Berk and DeMarzo, 2023).  </w:t>
      </w:r>
    </w:p>
    <w:p w14:paraId="20608D11" w14:textId="77777777" w:rsidR="00561149" w:rsidRPr="00561149" w:rsidRDefault="00561149" w:rsidP="00561149">
      <w:pPr>
        <w:pStyle w:val="Heading2"/>
        <w:spacing w:line="360" w:lineRule="auto"/>
        <w:rPr>
          <w:rFonts w:eastAsiaTheme="majorEastAsia" w:cs="Arial"/>
          <w:b w:val="0"/>
          <w:bCs w:val="0"/>
          <w:color w:val="000000" w:themeColor="text1"/>
          <w:sz w:val="24"/>
          <w:szCs w:val="24"/>
        </w:rPr>
      </w:pPr>
      <w:r w:rsidRPr="00561149">
        <w:rPr>
          <w:rFonts w:eastAsiaTheme="majorEastAsia" w:cs="Arial"/>
          <w:b w:val="0"/>
          <w:bCs w:val="0"/>
          <w:color w:val="000000" w:themeColor="text1"/>
          <w:sz w:val="24"/>
          <w:szCs w:val="24"/>
        </w:rPr>
        <w:t xml:space="preserve">3.4.2 Debt Structure and Solvency  </w:t>
      </w:r>
    </w:p>
    <w:p w14:paraId="33108E28" w14:textId="77777777" w:rsidR="00561149" w:rsidRPr="00561149" w:rsidRDefault="00561149" w:rsidP="00561149">
      <w:pPr>
        <w:pStyle w:val="Heading2"/>
        <w:spacing w:line="360" w:lineRule="auto"/>
        <w:rPr>
          <w:rFonts w:eastAsiaTheme="majorEastAsia" w:cs="Arial"/>
          <w:b w:val="0"/>
          <w:bCs w:val="0"/>
          <w:color w:val="000000" w:themeColor="text1"/>
          <w:sz w:val="24"/>
          <w:szCs w:val="24"/>
        </w:rPr>
      </w:pPr>
      <w:r w:rsidRPr="00561149">
        <w:rPr>
          <w:rFonts w:eastAsiaTheme="majorEastAsia" w:cs="Arial"/>
          <w:b w:val="0"/>
          <w:bCs w:val="0"/>
          <w:color w:val="000000" w:themeColor="text1"/>
          <w:sz w:val="24"/>
          <w:szCs w:val="24"/>
        </w:rPr>
        <w:t xml:space="preserve">Line of credit short-term borrowings remained at a high level in 2024 at £36.960m, thus the company was still vulnerable to the refinancing and liquidity risk. The divestment proceeds and new equity should hence be channeled to make use of lessening reliance on revolving credit facilities. The reduction of leverage would enhance the interest coverage ratios, which have not been good in the past few years during which the company has been recording losses (Appendix B).  </w:t>
      </w:r>
    </w:p>
    <w:p w14:paraId="1D2A6B3A" w14:textId="77777777" w:rsidR="00561149" w:rsidRPr="00561149" w:rsidRDefault="00561149" w:rsidP="00561149">
      <w:pPr>
        <w:pStyle w:val="Heading2"/>
        <w:spacing w:line="360" w:lineRule="auto"/>
        <w:rPr>
          <w:rFonts w:eastAsiaTheme="majorEastAsia" w:cs="Arial"/>
          <w:b w:val="0"/>
          <w:bCs w:val="0"/>
          <w:color w:val="000000" w:themeColor="text1"/>
          <w:sz w:val="24"/>
          <w:szCs w:val="24"/>
        </w:rPr>
      </w:pPr>
    </w:p>
    <w:p w14:paraId="2BF4F90F" w14:textId="1D815A0D" w:rsidR="00561149" w:rsidRPr="00561149" w:rsidRDefault="00561149" w:rsidP="00561149">
      <w:pPr>
        <w:pStyle w:val="Heading2"/>
        <w:spacing w:line="360" w:lineRule="auto"/>
        <w:rPr>
          <w:rFonts w:eastAsiaTheme="majorEastAsia" w:cs="Arial"/>
          <w:b w:val="0"/>
          <w:bCs w:val="0"/>
          <w:color w:val="000000" w:themeColor="text1"/>
          <w:sz w:val="24"/>
          <w:szCs w:val="24"/>
        </w:rPr>
      </w:pPr>
      <w:r w:rsidRPr="00561149">
        <w:rPr>
          <w:rFonts w:eastAsiaTheme="majorEastAsia" w:cs="Arial"/>
          <w:b w:val="0"/>
          <w:bCs w:val="0"/>
          <w:color w:val="000000" w:themeColor="text1"/>
          <w:sz w:val="24"/>
          <w:szCs w:val="24"/>
        </w:rPr>
        <w:t xml:space="preserve">A more even capital structure would increase our credit worthiness and reduce the weighted average cost of capital of the firm which would in turn favor future investment choices and strategic flexibility.  </w:t>
      </w:r>
    </w:p>
    <w:p w14:paraId="70037303" w14:textId="77777777" w:rsidR="00561149" w:rsidRPr="00561149" w:rsidRDefault="00561149" w:rsidP="00561149">
      <w:pPr>
        <w:pStyle w:val="Heading2"/>
        <w:spacing w:line="360" w:lineRule="auto"/>
        <w:rPr>
          <w:rFonts w:eastAsiaTheme="majorEastAsia" w:cs="Arial"/>
          <w:b w:val="0"/>
          <w:bCs w:val="0"/>
          <w:color w:val="000000" w:themeColor="text1"/>
          <w:sz w:val="24"/>
          <w:szCs w:val="24"/>
        </w:rPr>
      </w:pPr>
      <w:r w:rsidRPr="00561149">
        <w:rPr>
          <w:rFonts w:eastAsiaTheme="majorEastAsia" w:cs="Arial"/>
          <w:b w:val="0"/>
          <w:bCs w:val="0"/>
          <w:color w:val="000000" w:themeColor="text1"/>
          <w:sz w:val="24"/>
          <w:szCs w:val="24"/>
        </w:rPr>
        <w:lastRenderedPageBreak/>
        <w:t xml:space="preserve">3.4.3 Operational Flexibility  </w:t>
      </w:r>
    </w:p>
    <w:p w14:paraId="2992253F" w14:textId="77777777" w:rsidR="00561149" w:rsidRDefault="00561149" w:rsidP="00561149">
      <w:pPr>
        <w:pStyle w:val="Heading2"/>
        <w:spacing w:line="360" w:lineRule="auto"/>
        <w:rPr>
          <w:rFonts w:eastAsiaTheme="majorEastAsia" w:cs="Arial"/>
          <w:b w:val="0"/>
          <w:bCs w:val="0"/>
          <w:color w:val="000000" w:themeColor="text1"/>
          <w:sz w:val="24"/>
          <w:szCs w:val="24"/>
        </w:rPr>
      </w:pPr>
      <w:r w:rsidRPr="00561149">
        <w:rPr>
          <w:rFonts w:eastAsiaTheme="majorEastAsia" w:cs="Arial"/>
          <w:b w:val="0"/>
          <w:bCs w:val="0"/>
          <w:color w:val="000000" w:themeColor="text1"/>
          <w:sz w:val="24"/>
          <w:szCs w:val="24"/>
        </w:rPr>
        <w:t xml:space="preserve">Declining cash balances, imposition of impairment charges and a cost commitment on fixed costs have limited operational flexibility. </w:t>
      </w:r>
      <w:proofErr w:type="spellStart"/>
      <w:r w:rsidRPr="00561149">
        <w:rPr>
          <w:rFonts w:eastAsiaTheme="majorEastAsia" w:cs="Arial"/>
          <w:b w:val="0"/>
          <w:bCs w:val="0"/>
          <w:color w:val="000000" w:themeColor="text1"/>
          <w:sz w:val="24"/>
          <w:szCs w:val="24"/>
        </w:rPr>
        <w:t>Reorganising</w:t>
      </w:r>
      <w:proofErr w:type="spellEnd"/>
      <w:r w:rsidRPr="00561149">
        <w:rPr>
          <w:rFonts w:eastAsiaTheme="majorEastAsia" w:cs="Arial"/>
          <w:b w:val="0"/>
          <w:bCs w:val="0"/>
          <w:color w:val="000000" w:themeColor="text1"/>
          <w:sz w:val="24"/>
          <w:szCs w:val="24"/>
        </w:rPr>
        <w:t xml:space="preserve"> processes that would free up cash and lessen capital intensity, including asset liquidation and lease </w:t>
      </w:r>
      <w:proofErr w:type="spellStart"/>
      <w:r w:rsidRPr="00561149">
        <w:rPr>
          <w:rFonts w:eastAsiaTheme="majorEastAsia" w:cs="Arial"/>
          <w:b w:val="0"/>
          <w:bCs w:val="0"/>
          <w:color w:val="000000" w:themeColor="text1"/>
          <w:sz w:val="24"/>
          <w:szCs w:val="24"/>
        </w:rPr>
        <w:t>optimisation</w:t>
      </w:r>
      <w:proofErr w:type="spellEnd"/>
      <w:r w:rsidRPr="00561149">
        <w:rPr>
          <w:rFonts w:eastAsiaTheme="majorEastAsia" w:cs="Arial"/>
          <w:b w:val="0"/>
          <w:bCs w:val="0"/>
          <w:color w:val="000000" w:themeColor="text1"/>
          <w:sz w:val="24"/>
          <w:szCs w:val="24"/>
        </w:rPr>
        <w:t>, would enhance the company to react to market fluctuations. Operating cash flows should remain positive as fixed obligations should be kept to a minimum to ensure that global operations continue to run smoothly in an extremely competitive industry (</w:t>
      </w:r>
      <w:proofErr w:type="spellStart"/>
      <w:r w:rsidRPr="00561149">
        <w:rPr>
          <w:rFonts w:eastAsiaTheme="majorEastAsia" w:cs="Arial"/>
          <w:b w:val="0"/>
          <w:bCs w:val="0"/>
          <w:color w:val="000000" w:themeColor="text1"/>
          <w:sz w:val="24"/>
          <w:szCs w:val="24"/>
        </w:rPr>
        <w:t>Atrill</w:t>
      </w:r>
      <w:proofErr w:type="spellEnd"/>
      <w:r w:rsidRPr="00561149">
        <w:rPr>
          <w:rFonts w:eastAsiaTheme="majorEastAsia" w:cs="Arial"/>
          <w:b w:val="0"/>
          <w:bCs w:val="0"/>
          <w:color w:val="000000" w:themeColor="text1"/>
          <w:sz w:val="24"/>
          <w:szCs w:val="24"/>
        </w:rPr>
        <w:t xml:space="preserve"> and </w:t>
      </w:r>
      <w:proofErr w:type="gramStart"/>
      <w:r w:rsidRPr="00561149">
        <w:rPr>
          <w:rFonts w:eastAsiaTheme="majorEastAsia" w:cs="Arial"/>
          <w:b w:val="0"/>
          <w:bCs w:val="0"/>
          <w:color w:val="000000" w:themeColor="text1"/>
          <w:sz w:val="24"/>
          <w:szCs w:val="24"/>
        </w:rPr>
        <w:t>McLaney,�</w:t>
      </w:r>
      <w:proofErr w:type="gramEnd"/>
      <w:r w:rsidRPr="00561149">
        <w:rPr>
          <w:rFonts w:eastAsiaTheme="majorEastAsia" w:cs="Arial"/>
          <w:b w:val="0"/>
          <w:bCs w:val="0"/>
          <w:color w:val="000000" w:themeColor="text1"/>
          <w:sz w:val="24"/>
          <w:szCs w:val="24"/>
        </w:rPr>
        <w:t>�});</w:t>
      </w:r>
      <w:r w:rsidRPr="00561149">
        <w:rPr>
          <w:rFonts w:eastAsiaTheme="majorEastAsia" w:cs="Arial"/>
          <w:b w:val="0"/>
          <w:bCs w:val="0"/>
          <w:color w:val="000000" w:themeColor="text1"/>
          <w:sz w:val="24"/>
          <w:szCs w:val="24"/>
        </w:rPr>
        <w:cr/>
        <w:t>, 2024).</w:t>
      </w:r>
    </w:p>
    <w:p w14:paraId="74F95F70" w14:textId="2FBE10AA" w:rsidR="001B7089" w:rsidRPr="006D582B" w:rsidRDefault="001B7089" w:rsidP="00561149">
      <w:pPr>
        <w:pStyle w:val="Heading2"/>
        <w:spacing w:line="360" w:lineRule="auto"/>
      </w:pPr>
      <w:r w:rsidRPr="006D582B">
        <w:t>3.5 International and Ethical Considerations</w:t>
      </w:r>
      <w:bookmarkEnd w:id="24"/>
    </w:p>
    <w:p w14:paraId="51F01D8B" w14:textId="77777777" w:rsidR="00A538CD" w:rsidRPr="00A538CD" w:rsidRDefault="00A538CD" w:rsidP="00A538CD">
      <w:pPr>
        <w:pStyle w:val="Heading2"/>
        <w:spacing w:line="360" w:lineRule="auto"/>
        <w:jc w:val="both"/>
        <w:rPr>
          <w:rFonts w:eastAsiaTheme="majorEastAsia" w:cs="Arial"/>
          <w:b w:val="0"/>
          <w:bCs w:val="0"/>
          <w:color w:val="000000" w:themeColor="text1"/>
          <w:sz w:val="24"/>
          <w:szCs w:val="24"/>
        </w:rPr>
      </w:pPr>
      <w:bookmarkStart w:id="25" w:name="_Toc217082156"/>
      <w:r w:rsidRPr="00A538CD">
        <w:rPr>
          <w:rFonts w:eastAsiaTheme="majorEastAsia" w:cs="Arial"/>
          <w:b w:val="0"/>
          <w:bCs w:val="0"/>
          <w:color w:val="000000" w:themeColor="text1"/>
          <w:sz w:val="24"/>
          <w:szCs w:val="24"/>
        </w:rPr>
        <w:t xml:space="preserve">3.5.1 Taxation and Regulatory Compliance.  </w:t>
      </w:r>
    </w:p>
    <w:p w14:paraId="32B53FF4" w14:textId="631F66EE" w:rsidR="00A538CD" w:rsidRPr="00A538CD" w:rsidRDefault="00A538CD" w:rsidP="00A538CD">
      <w:pPr>
        <w:pStyle w:val="Heading2"/>
        <w:spacing w:line="360" w:lineRule="auto"/>
        <w:jc w:val="both"/>
        <w:rPr>
          <w:rFonts w:eastAsiaTheme="majorEastAsia" w:cs="Arial"/>
          <w:b w:val="0"/>
          <w:bCs w:val="0"/>
          <w:color w:val="000000" w:themeColor="text1"/>
          <w:sz w:val="24"/>
          <w:szCs w:val="24"/>
        </w:rPr>
      </w:pPr>
      <w:r w:rsidRPr="00A538CD">
        <w:rPr>
          <w:rFonts w:eastAsiaTheme="majorEastAsia" w:cs="Arial"/>
          <w:b w:val="0"/>
          <w:bCs w:val="0"/>
          <w:color w:val="000000" w:themeColor="text1"/>
          <w:sz w:val="24"/>
          <w:szCs w:val="24"/>
        </w:rPr>
        <w:t>The business in several jurisdictions means that General Electronics will be subjected to varied tax systems and regulations. Restructuring efforts should thus be in line with the international tax laws and must not engage in aggressive tax practices, which may tarnish the image. To establish credibility of the regulatory process and trustworthiness among the stakeholders, transparent reporting and compliance with the OECD Base Erosion and Profit Shifting principles are crucial (OECD, 2023).</w:t>
      </w:r>
    </w:p>
    <w:p w14:paraId="6E6332F4" w14:textId="77777777" w:rsidR="00A538CD" w:rsidRPr="00A538CD" w:rsidRDefault="00A538CD" w:rsidP="00A538CD">
      <w:pPr>
        <w:pStyle w:val="Heading2"/>
        <w:spacing w:line="360" w:lineRule="auto"/>
        <w:jc w:val="both"/>
        <w:rPr>
          <w:rFonts w:eastAsiaTheme="majorEastAsia" w:cs="Arial"/>
          <w:b w:val="0"/>
          <w:bCs w:val="0"/>
          <w:color w:val="000000" w:themeColor="text1"/>
          <w:sz w:val="24"/>
          <w:szCs w:val="24"/>
        </w:rPr>
      </w:pPr>
      <w:r w:rsidRPr="00A538CD">
        <w:rPr>
          <w:rFonts w:eastAsiaTheme="majorEastAsia" w:cs="Arial"/>
          <w:b w:val="0"/>
          <w:bCs w:val="0"/>
          <w:color w:val="000000" w:themeColor="text1"/>
          <w:sz w:val="24"/>
          <w:szCs w:val="24"/>
        </w:rPr>
        <w:t xml:space="preserve">3.5.2 Currency Risk and Inflation  </w:t>
      </w:r>
    </w:p>
    <w:p w14:paraId="0A66C428" w14:textId="6AEB8C60" w:rsidR="00A538CD" w:rsidRPr="00A538CD" w:rsidRDefault="00A538CD" w:rsidP="00A538CD">
      <w:pPr>
        <w:pStyle w:val="Heading2"/>
        <w:spacing w:line="360" w:lineRule="auto"/>
        <w:jc w:val="both"/>
        <w:rPr>
          <w:rFonts w:eastAsiaTheme="majorEastAsia" w:cs="Arial"/>
          <w:b w:val="0"/>
          <w:bCs w:val="0"/>
          <w:color w:val="000000" w:themeColor="text1"/>
          <w:sz w:val="24"/>
          <w:szCs w:val="24"/>
        </w:rPr>
      </w:pPr>
      <w:r w:rsidRPr="00A538CD">
        <w:rPr>
          <w:rFonts w:eastAsiaTheme="majorEastAsia" w:cs="Arial"/>
          <w:b w:val="0"/>
          <w:bCs w:val="0"/>
          <w:color w:val="000000" w:themeColor="text1"/>
          <w:sz w:val="24"/>
          <w:szCs w:val="24"/>
        </w:rPr>
        <w:t>Material currency exposure is indicated by foreign exchange losses of 2,598m in 2024. To deal with the fluctuations in exchange rates the financial restructuring should be reinforced with better hedging techniques and localised cost structure to a larger extent. The continued presence of inflationary pressures also explains why it would be reasonable to divest the low-margin businesses which do not have price-power, and cannot absorb the increasing costs (IMF, 2024).</w:t>
      </w:r>
    </w:p>
    <w:p w14:paraId="237FEF4D" w14:textId="42D75B2B" w:rsidR="00A538CD" w:rsidRPr="00A538CD" w:rsidRDefault="00A538CD" w:rsidP="00A538CD">
      <w:pPr>
        <w:pStyle w:val="Heading2"/>
        <w:spacing w:line="360" w:lineRule="auto"/>
        <w:jc w:val="both"/>
        <w:rPr>
          <w:rFonts w:eastAsiaTheme="majorEastAsia" w:cs="Arial"/>
          <w:b w:val="0"/>
          <w:bCs w:val="0"/>
          <w:color w:val="000000" w:themeColor="text1"/>
          <w:sz w:val="24"/>
          <w:szCs w:val="24"/>
        </w:rPr>
      </w:pPr>
      <w:r w:rsidRPr="00A538CD">
        <w:rPr>
          <w:rFonts w:eastAsiaTheme="majorEastAsia" w:cs="Arial"/>
          <w:b w:val="0"/>
          <w:bCs w:val="0"/>
          <w:color w:val="000000" w:themeColor="text1"/>
          <w:sz w:val="24"/>
          <w:szCs w:val="24"/>
        </w:rPr>
        <w:t xml:space="preserve">3.5.3. Corporate Social Responsibility (CSR) </w:t>
      </w:r>
    </w:p>
    <w:p w14:paraId="323CCC0C" w14:textId="77777777" w:rsidR="00A538CD" w:rsidRPr="00A538CD" w:rsidRDefault="00A538CD" w:rsidP="00A538CD">
      <w:pPr>
        <w:pStyle w:val="Heading2"/>
        <w:spacing w:line="360" w:lineRule="auto"/>
        <w:jc w:val="both"/>
        <w:rPr>
          <w:rFonts w:eastAsiaTheme="majorEastAsia" w:cs="Arial"/>
          <w:b w:val="0"/>
          <w:bCs w:val="0"/>
          <w:color w:val="000000" w:themeColor="text1"/>
          <w:sz w:val="24"/>
          <w:szCs w:val="24"/>
        </w:rPr>
      </w:pPr>
      <w:r w:rsidRPr="00A538CD">
        <w:rPr>
          <w:rFonts w:eastAsiaTheme="majorEastAsia" w:cs="Arial"/>
          <w:b w:val="0"/>
          <w:bCs w:val="0"/>
          <w:color w:val="000000" w:themeColor="text1"/>
          <w:sz w:val="24"/>
          <w:szCs w:val="24"/>
        </w:rPr>
        <w:lastRenderedPageBreak/>
        <w:t xml:space="preserve">On the ethics, restructuring should </w:t>
      </w:r>
      <w:proofErr w:type="gramStart"/>
      <w:r w:rsidRPr="00A538CD">
        <w:rPr>
          <w:rFonts w:eastAsiaTheme="majorEastAsia" w:cs="Arial"/>
          <w:b w:val="0"/>
          <w:bCs w:val="0"/>
          <w:color w:val="000000" w:themeColor="text1"/>
          <w:sz w:val="24"/>
          <w:szCs w:val="24"/>
        </w:rPr>
        <w:t>take into account</w:t>
      </w:r>
      <w:proofErr w:type="gramEnd"/>
      <w:r w:rsidRPr="00A538CD">
        <w:rPr>
          <w:rFonts w:eastAsiaTheme="majorEastAsia" w:cs="Arial"/>
          <w:b w:val="0"/>
          <w:bCs w:val="0"/>
          <w:color w:val="000000" w:themeColor="text1"/>
          <w:sz w:val="24"/>
          <w:szCs w:val="24"/>
        </w:rPr>
        <w:t xml:space="preserve"> the welfare of the employees and community. Although the reduction of the workforce can lead to short-term savings, it will demoralize, decrease the productivity, and damage the brand image. Stakeholder theory is compatible with the responsible restructuring practices, such as retraining and redeployment, which contributes to the sustainable value creation (Freeman et al., 2020).</w:t>
      </w:r>
    </w:p>
    <w:p w14:paraId="36A3D9DA" w14:textId="59E49BE0" w:rsidR="001B7089" w:rsidRPr="006D582B" w:rsidRDefault="001B7089" w:rsidP="00A538CD">
      <w:pPr>
        <w:pStyle w:val="Heading2"/>
        <w:jc w:val="both"/>
      </w:pPr>
      <w:r w:rsidRPr="006D582B">
        <w:t>3.6 Overall Summary</w:t>
      </w:r>
      <w:bookmarkEnd w:id="25"/>
    </w:p>
    <w:p w14:paraId="46E9547D" w14:textId="223A89AA" w:rsidR="001B7089" w:rsidRPr="006D582B" w:rsidRDefault="001B7089" w:rsidP="006D582B">
      <w:pPr>
        <w:pStyle w:val="NormalWeb"/>
        <w:spacing w:line="360" w:lineRule="auto"/>
        <w:jc w:val="both"/>
        <w:rPr>
          <w:rFonts w:ascii="Arial" w:hAnsi="Arial" w:cs="Arial"/>
        </w:rPr>
      </w:pPr>
      <w:r w:rsidRPr="006D582B">
        <w:rPr>
          <w:rFonts w:ascii="Arial" w:hAnsi="Arial" w:cs="Arial"/>
        </w:rPr>
        <w:t>Overall, General Electronics requires a coordinated financial restructuring strategy to restore stability and competitiveness. A combination of non-core asset divestiture, equity injection, and selective strategic alliances provides a balanced approach that strengthens shareholder value, improves the debt profile, and enhances operational flexibility. By integrating international financial realities and ethical responsibilities, the proposed restructuring supports a sustainable and credible long-term turnaround.</w:t>
      </w:r>
    </w:p>
    <w:p w14:paraId="748E0D7F" w14:textId="32F59BBF" w:rsidR="006D582B" w:rsidRPr="006D582B" w:rsidRDefault="006D582B" w:rsidP="00565E39">
      <w:pPr>
        <w:pStyle w:val="Heading2"/>
      </w:pPr>
      <w:bookmarkStart w:id="26" w:name="_Toc217082157"/>
      <w:r w:rsidRPr="006D582B">
        <w:rPr>
          <w:rStyle w:val="Strong"/>
          <w:rFonts w:cs="Arial"/>
          <w:b/>
          <w:bCs/>
        </w:rPr>
        <w:t xml:space="preserve">4. </w:t>
      </w:r>
      <w:r w:rsidRPr="00565E39">
        <w:rPr>
          <w:rStyle w:val="Strong"/>
          <w:b/>
          <w:bCs/>
        </w:rPr>
        <w:t>Investment</w:t>
      </w:r>
      <w:r w:rsidRPr="006D582B">
        <w:rPr>
          <w:rStyle w:val="Strong"/>
          <w:rFonts w:cs="Arial"/>
          <w:b/>
          <w:bCs/>
        </w:rPr>
        <w:t xml:space="preserve"> </w:t>
      </w:r>
      <w:r w:rsidRPr="00565E39">
        <w:rPr>
          <w:rStyle w:val="Strong"/>
          <w:b/>
          <w:bCs/>
        </w:rPr>
        <w:t>Appraisal</w:t>
      </w:r>
      <w:r w:rsidRPr="006D582B">
        <w:rPr>
          <w:rStyle w:val="Strong"/>
          <w:rFonts w:cs="Arial"/>
          <w:b/>
          <w:bCs/>
        </w:rPr>
        <w:t xml:space="preserve"> and Capital Budgeting</w:t>
      </w:r>
      <w:bookmarkEnd w:id="26"/>
      <w:r w:rsidRPr="006D582B">
        <w:rPr>
          <w:rStyle w:val="Strong"/>
          <w:rFonts w:cs="Arial"/>
          <w:b/>
          <w:bCs/>
        </w:rPr>
        <w:t xml:space="preserve"> </w:t>
      </w:r>
    </w:p>
    <w:p w14:paraId="08A8ACD0" w14:textId="77777777" w:rsidR="006D582B" w:rsidRPr="006D582B" w:rsidRDefault="006D582B" w:rsidP="00565E39">
      <w:pPr>
        <w:pStyle w:val="Heading2"/>
      </w:pPr>
      <w:bookmarkStart w:id="27" w:name="_Toc217082158"/>
      <w:r w:rsidRPr="006D582B">
        <w:rPr>
          <w:rStyle w:val="Strong"/>
          <w:rFonts w:cs="Arial"/>
          <w:b/>
          <w:bCs/>
        </w:rPr>
        <w:t xml:space="preserve">4.1 </w:t>
      </w:r>
      <w:r w:rsidRPr="00565E39">
        <w:rPr>
          <w:rStyle w:val="Strong"/>
          <w:b/>
          <w:bCs/>
        </w:rPr>
        <w:t>Introduction</w:t>
      </w:r>
      <w:bookmarkEnd w:id="27"/>
    </w:p>
    <w:p w14:paraId="731E313E" w14:textId="77777777" w:rsidR="002E5784" w:rsidRPr="002E5784" w:rsidRDefault="002E5784" w:rsidP="002E5784">
      <w:pPr>
        <w:pStyle w:val="Heading2"/>
        <w:spacing w:line="360" w:lineRule="auto"/>
        <w:jc w:val="both"/>
        <w:rPr>
          <w:rFonts w:cs="Arial"/>
          <w:b w:val="0"/>
          <w:bCs w:val="0"/>
          <w:sz w:val="24"/>
          <w:szCs w:val="24"/>
        </w:rPr>
      </w:pPr>
      <w:bookmarkStart w:id="28" w:name="_Toc217082159"/>
      <w:r w:rsidRPr="002E5784">
        <w:rPr>
          <w:rFonts w:cs="Arial"/>
          <w:b w:val="0"/>
          <w:bCs w:val="0"/>
          <w:sz w:val="24"/>
          <w:szCs w:val="24"/>
        </w:rPr>
        <w:t>After examining the financial health (Section 1) and working capital (Section 2), it can be seen that General Electronics is experiencing a fall in its profitability, deteriorated operating cash flows, and more financial risk. In this respect, the capital allocation decision must be conservative and the value creation and liquidity preservation coupled with risk avoidance must be emphasized. In this section, three separate investment projects have been appraised by the use of the conventional capital budgeting methods, namely Payback Period (PBP), Accounting rate of return (ARR), Net Present Value (NPV), Profitability Index (PI) and Internal rate of return (IRR).</w:t>
      </w:r>
    </w:p>
    <w:p w14:paraId="68540238" w14:textId="77777777" w:rsidR="002E5784" w:rsidRPr="002E5784" w:rsidRDefault="002E5784" w:rsidP="002E5784">
      <w:pPr>
        <w:pStyle w:val="Heading2"/>
        <w:spacing w:line="360" w:lineRule="auto"/>
        <w:jc w:val="both"/>
        <w:rPr>
          <w:rFonts w:cs="Arial"/>
          <w:b w:val="0"/>
          <w:bCs w:val="0"/>
          <w:sz w:val="24"/>
          <w:szCs w:val="24"/>
        </w:rPr>
      </w:pPr>
    </w:p>
    <w:p w14:paraId="146A0276" w14:textId="77777777" w:rsidR="002E5784" w:rsidRDefault="002E5784" w:rsidP="002E5784">
      <w:pPr>
        <w:pStyle w:val="Heading2"/>
        <w:spacing w:line="360" w:lineRule="auto"/>
        <w:jc w:val="both"/>
        <w:rPr>
          <w:rFonts w:cs="Arial"/>
          <w:b w:val="0"/>
          <w:bCs w:val="0"/>
          <w:sz w:val="24"/>
          <w:szCs w:val="24"/>
        </w:rPr>
      </w:pPr>
      <w:r w:rsidRPr="002E5784">
        <w:rPr>
          <w:rFonts w:cs="Arial"/>
          <w:b w:val="0"/>
          <w:bCs w:val="0"/>
          <w:sz w:val="24"/>
          <w:szCs w:val="24"/>
        </w:rPr>
        <w:t xml:space="preserve">All computations are highly pegged on the project cash flows presented in the assignment brief, a discount rate of 10 -1, and straight-line depreciation to zero. The relevant, detailed, numerical working is in Appendix C. The last suggestion considers the capital rationing </w:t>
      </w:r>
      <w:r w:rsidRPr="002E5784">
        <w:rPr>
          <w:rFonts w:cs="Arial"/>
          <w:b w:val="0"/>
          <w:bCs w:val="0"/>
          <w:sz w:val="24"/>
          <w:szCs w:val="24"/>
        </w:rPr>
        <w:lastRenderedPageBreak/>
        <w:t>constraints and is justified with references to the current financial performance of the firm and unique risk features of each project.</w:t>
      </w:r>
    </w:p>
    <w:p w14:paraId="2DD28CA2" w14:textId="6B32BC2D" w:rsidR="006D582B" w:rsidRPr="006D582B" w:rsidRDefault="006D582B" w:rsidP="002E5784">
      <w:pPr>
        <w:pStyle w:val="Heading2"/>
      </w:pPr>
      <w:r w:rsidRPr="006D582B">
        <w:rPr>
          <w:rStyle w:val="Strong"/>
          <w:rFonts w:cs="Arial"/>
          <w:b/>
          <w:bCs/>
        </w:rPr>
        <w:t xml:space="preserve">4.2 </w:t>
      </w:r>
      <w:r w:rsidRPr="00565E39">
        <w:rPr>
          <w:rStyle w:val="Strong"/>
          <w:b/>
          <w:bCs/>
        </w:rPr>
        <w:t>Overview</w:t>
      </w:r>
      <w:r w:rsidRPr="006D582B">
        <w:rPr>
          <w:rStyle w:val="Strong"/>
          <w:rFonts w:cs="Arial"/>
          <w:b/>
          <w:bCs/>
        </w:rPr>
        <w:t xml:space="preserve"> of Proposed Investment Projects</w:t>
      </w:r>
      <w:bookmarkEnd w:id="28"/>
    </w:p>
    <w:p w14:paraId="0169F4D4"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t>General Electronics is considering three five-year investment projects with differing scales, cash flow profiles, and risk characteristics. Project A requires an initial outlay of £40 million and generates relatively front-loaded cash inflows over the project life. Project B involves a smaller initial investment of £30 million and provides stable, annuity-like cash inflows. Project C is the largest investment at £50 million and exhibits highly uneven cash inflows, with a strongly back-loaded profile.</w:t>
      </w:r>
    </w:p>
    <w:p w14:paraId="58E2118D"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t>These differences are particularly relevant given the firm’s recent liquidity constraints and volatile earnings, as identified in Sections 1 and 2. Projects with faster recovery of invested capital and lower cash flow volatility are therefore of greater strategic relevance under current financial conditions.</w:t>
      </w:r>
    </w:p>
    <w:p w14:paraId="73C83253" w14:textId="77777777" w:rsidR="006D582B" w:rsidRPr="006D582B" w:rsidRDefault="006D582B" w:rsidP="00565E39">
      <w:pPr>
        <w:pStyle w:val="Heading2"/>
      </w:pPr>
      <w:bookmarkStart w:id="29" w:name="_Toc217082160"/>
      <w:r w:rsidRPr="006D582B">
        <w:rPr>
          <w:rStyle w:val="Strong"/>
          <w:rFonts w:cs="Arial"/>
          <w:b/>
          <w:bCs/>
        </w:rPr>
        <w:t xml:space="preserve">4.3 Payback </w:t>
      </w:r>
      <w:r w:rsidRPr="00565E39">
        <w:rPr>
          <w:rStyle w:val="Strong"/>
          <w:b/>
          <w:bCs/>
        </w:rPr>
        <w:t>Period</w:t>
      </w:r>
      <w:r w:rsidRPr="006D582B">
        <w:rPr>
          <w:rStyle w:val="Strong"/>
          <w:rFonts w:cs="Arial"/>
          <w:b/>
          <w:bCs/>
        </w:rPr>
        <w:t xml:space="preserve"> Analysis</w:t>
      </w:r>
      <w:bookmarkEnd w:id="29"/>
    </w:p>
    <w:p w14:paraId="623F993B"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t>The payback period measures the time required to recover the initial investment from cumulative project cash inflows and is widely used as a liquidity-focused screening tool (</w:t>
      </w:r>
      <w:proofErr w:type="spellStart"/>
      <w:r w:rsidRPr="006D582B">
        <w:rPr>
          <w:rFonts w:ascii="Arial" w:hAnsi="Arial" w:cs="Arial"/>
        </w:rPr>
        <w:t>Atrill</w:t>
      </w:r>
      <w:proofErr w:type="spellEnd"/>
      <w:r w:rsidRPr="006D582B">
        <w:rPr>
          <w:rFonts w:ascii="Arial" w:hAnsi="Arial" w:cs="Arial"/>
        </w:rPr>
        <w:t xml:space="preserve"> &amp; McLaney, 2023). Given General Electronics’ declining cash ratios and fragile short-term liquidity, this criterion is especially relevant.</w:t>
      </w:r>
    </w:p>
    <w:p w14:paraId="3CE648AC"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t xml:space="preserve">As shown in </w:t>
      </w:r>
      <w:r w:rsidRPr="006D582B">
        <w:rPr>
          <w:rStyle w:val="Strong"/>
          <w:rFonts w:ascii="Arial" w:hAnsi="Arial" w:cs="Arial"/>
          <w:b w:val="0"/>
          <w:bCs w:val="0"/>
        </w:rPr>
        <w:t>Appendix C5</w:t>
      </w:r>
      <w:r w:rsidRPr="006D582B">
        <w:rPr>
          <w:rFonts w:ascii="Arial" w:hAnsi="Arial" w:cs="Arial"/>
          <w:b/>
          <w:bCs/>
        </w:rPr>
        <w:t xml:space="preserve">, </w:t>
      </w:r>
      <w:r w:rsidRPr="006D582B">
        <w:rPr>
          <w:rStyle w:val="Strong"/>
          <w:rFonts w:ascii="Arial" w:hAnsi="Arial" w:cs="Arial"/>
          <w:b w:val="0"/>
          <w:bCs w:val="0"/>
        </w:rPr>
        <w:t>Project A achieves the shortest payback period (3.4 years)</w:t>
      </w:r>
      <w:r w:rsidRPr="006D582B">
        <w:rPr>
          <w:rFonts w:ascii="Arial" w:hAnsi="Arial" w:cs="Arial"/>
        </w:rPr>
        <w:t xml:space="preserve">, reflecting relatively strong cash inflows in the early years of the project. </w:t>
      </w:r>
      <w:r w:rsidRPr="006D582B">
        <w:rPr>
          <w:rStyle w:val="Strong"/>
          <w:rFonts w:ascii="Arial" w:hAnsi="Arial" w:cs="Arial"/>
          <w:b w:val="0"/>
          <w:bCs w:val="0"/>
        </w:rPr>
        <w:t>Project C follows with a payback period of 3.6 years</w:t>
      </w:r>
      <w:r w:rsidRPr="006D582B">
        <w:rPr>
          <w:rFonts w:ascii="Arial" w:hAnsi="Arial" w:cs="Arial"/>
        </w:rPr>
        <w:t xml:space="preserve">, while </w:t>
      </w:r>
      <w:r w:rsidRPr="006D582B">
        <w:rPr>
          <w:rStyle w:val="Strong"/>
          <w:rFonts w:ascii="Arial" w:hAnsi="Arial" w:cs="Arial"/>
          <w:b w:val="0"/>
          <w:bCs w:val="0"/>
        </w:rPr>
        <w:t>Project B has the longest payback period of 5.0 years</w:t>
      </w:r>
      <w:r w:rsidRPr="006D582B">
        <w:rPr>
          <w:rFonts w:ascii="Arial" w:hAnsi="Arial" w:cs="Arial"/>
        </w:rPr>
        <w:t xml:space="preserve"> due to its lower annual inflows despite their stability.</w:t>
      </w:r>
    </w:p>
    <w:p w14:paraId="4464ED0C" w14:textId="77777777" w:rsidR="00D6712A" w:rsidRDefault="006D582B" w:rsidP="006D582B">
      <w:pPr>
        <w:pStyle w:val="NormalWeb"/>
        <w:spacing w:line="360" w:lineRule="auto"/>
        <w:jc w:val="both"/>
        <w:rPr>
          <w:rFonts w:ascii="Arial" w:hAnsi="Arial" w:cs="Arial"/>
        </w:rPr>
      </w:pPr>
      <w:r w:rsidRPr="006D582B">
        <w:rPr>
          <w:rFonts w:ascii="Arial" w:hAnsi="Arial" w:cs="Arial"/>
        </w:rPr>
        <w:t xml:space="preserve">Although the payback method ignores the time value of money and post-payback cash flows, it provides valuable insight into liquidity risk. From this perspective, </w:t>
      </w:r>
      <w:r w:rsidRPr="006D582B">
        <w:rPr>
          <w:rStyle w:val="Strong"/>
          <w:rFonts w:ascii="Arial" w:hAnsi="Arial" w:cs="Arial"/>
          <w:b w:val="0"/>
          <w:bCs w:val="0"/>
        </w:rPr>
        <w:t>Project A is the most attractive</w:t>
      </w:r>
      <w:r w:rsidRPr="006D582B">
        <w:rPr>
          <w:rFonts w:ascii="Arial" w:hAnsi="Arial" w:cs="Arial"/>
          <w:b/>
          <w:bCs/>
        </w:rPr>
        <w:t xml:space="preserve">, </w:t>
      </w:r>
      <w:r w:rsidRPr="006D582B">
        <w:rPr>
          <w:rFonts w:ascii="Arial" w:hAnsi="Arial" w:cs="Arial"/>
        </w:rPr>
        <w:t>while</w:t>
      </w:r>
      <w:r w:rsidRPr="006D582B">
        <w:rPr>
          <w:rFonts w:ascii="Arial" w:hAnsi="Arial" w:cs="Arial"/>
          <w:b/>
          <w:bCs/>
        </w:rPr>
        <w:t xml:space="preserve"> </w:t>
      </w:r>
      <w:r w:rsidRPr="006D582B">
        <w:rPr>
          <w:rStyle w:val="Strong"/>
          <w:rFonts w:ascii="Arial" w:hAnsi="Arial" w:cs="Arial"/>
          <w:b w:val="0"/>
          <w:bCs w:val="0"/>
        </w:rPr>
        <w:t>Project B is the least suitable</w:t>
      </w:r>
      <w:r w:rsidRPr="006D582B">
        <w:rPr>
          <w:rFonts w:ascii="Arial" w:hAnsi="Arial" w:cs="Arial"/>
          <w:b/>
          <w:bCs/>
        </w:rPr>
        <w:t xml:space="preserve"> </w:t>
      </w:r>
      <w:r w:rsidRPr="006D582B">
        <w:rPr>
          <w:rFonts w:ascii="Arial" w:hAnsi="Arial" w:cs="Arial"/>
        </w:rPr>
        <w:t>for a firm experiencing liquidity pressure.</w:t>
      </w:r>
    </w:p>
    <w:p w14:paraId="099C4D5B" w14:textId="77777777" w:rsidR="00D6712A" w:rsidRDefault="00D6712A" w:rsidP="006D582B">
      <w:pPr>
        <w:pStyle w:val="NormalWeb"/>
        <w:spacing w:line="360" w:lineRule="auto"/>
        <w:jc w:val="both"/>
        <w:rPr>
          <w:rFonts w:ascii="Arial" w:hAnsi="Arial" w:cs="Arial"/>
        </w:rPr>
      </w:pPr>
    </w:p>
    <w:p w14:paraId="40BA446C" w14:textId="77777777" w:rsidR="00D6712A" w:rsidRDefault="00D6712A" w:rsidP="006D582B">
      <w:pPr>
        <w:pStyle w:val="NormalWeb"/>
        <w:spacing w:line="360" w:lineRule="auto"/>
        <w:jc w:val="both"/>
        <w:rPr>
          <w:rFonts w:ascii="Arial" w:hAnsi="Arial" w:cs="Arial"/>
        </w:rPr>
      </w:pPr>
    </w:p>
    <w:p w14:paraId="58483DD9" w14:textId="77777777" w:rsidR="00D6712A" w:rsidRDefault="00D6712A" w:rsidP="006D582B">
      <w:pPr>
        <w:pStyle w:val="NormalWeb"/>
        <w:spacing w:line="360" w:lineRule="auto"/>
        <w:jc w:val="both"/>
        <w:rPr>
          <w:rFonts w:ascii="Arial" w:hAnsi="Arial" w:cs="Arial"/>
        </w:rPr>
      </w:pPr>
    </w:p>
    <w:p w14:paraId="0586398D" w14:textId="34815746" w:rsidR="00DB0DA5" w:rsidRPr="00DB0DA5" w:rsidRDefault="00DB0DA5" w:rsidP="00DB0DA5">
      <w:pPr>
        <w:pStyle w:val="Heading2"/>
        <w:rPr>
          <w:rStyle w:val="Strong"/>
        </w:rPr>
      </w:pPr>
      <w:r>
        <w:rPr>
          <w:rStyle w:val="Strong"/>
        </w:rPr>
        <w:t>Table</w:t>
      </w:r>
      <w:r w:rsidR="00413551">
        <w:rPr>
          <w:rStyle w:val="Strong"/>
        </w:rPr>
        <w:t xml:space="preserve"> 1</w:t>
      </w:r>
      <w:r>
        <w:rPr>
          <w:rStyle w:val="Strong"/>
        </w:rPr>
        <w:t>: Capital</w:t>
      </w:r>
      <w:r w:rsidRPr="00DB0DA5">
        <w:rPr>
          <w:rStyle w:val="Strong"/>
        </w:rPr>
        <w:t xml:space="preserve"> Budgeting &amp; Investment Appraisal: Comparative Analysis of Projects A, B, and C</w:t>
      </w:r>
      <w:r w:rsidR="00413551">
        <w:rPr>
          <w:rStyle w:val="Strong"/>
        </w:rPr>
        <w:t>.</w:t>
      </w:r>
    </w:p>
    <w:tbl>
      <w:tblPr>
        <w:tblW w:w="9297" w:type="dxa"/>
        <w:tblLook w:val="04A0" w:firstRow="1" w:lastRow="0" w:firstColumn="1" w:lastColumn="0" w:noHBand="0" w:noVBand="1"/>
      </w:tblPr>
      <w:tblGrid>
        <w:gridCol w:w="1059"/>
        <w:gridCol w:w="1589"/>
        <w:gridCol w:w="1677"/>
        <w:gridCol w:w="1346"/>
        <w:gridCol w:w="1162"/>
        <w:gridCol w:w="1302"/>
        <w:gridCol w:w="1162"/>
      </w:tblGrid>
      <w:tr w:rsidR="00D6712A" w:rsidRPr="00D6712A" w14:paraId="613010FB" w14:textId="77777777" w:rsidTr="00D6712A">
        <w:trPr>
          <w:trHeight w:val="301"/>
        </w:trPr>
        <w:tc>
          <w:tcPr>
            <w:tcW w:w="1059" w:type="dxa"/>
            <w:tcBorders>
              <w:top w:val="single" w:sz="4" w:space="0" w:color="auto"/>
              <w:left w:val="single" w:sz="4" w:space="0" w:color="auto"/>
              <w:bottom w:val="single" w:sz="4" w:space="0" w:color="auto"/>
              <w:right w:val="single" w:sz="4" w:space="0" w:color="auto"/>
            </w:tcBorders>
            <w:shd w:val="clear" w:color="000000" w:fill="548235"/>
            <w:noWrap/>
            <w:vAlign w:val="bottom"/>
            <w:hideMark/>
          </w:tcPr>
          <w:p w14:paraId="6EE6D154" w14:textId="77777777" w:rsidR="00D6712A" w:rsidRPr="00D6712A" w:rsidRDefault="00D6712A" w:rsidP="00D6712A">
            <w:pPr>
              <w:spacing w:after="0" w:line="240" w:lineRule="auto"/>
              <w:jc w:val="center"/>
              <w:rPr>
                <w:rFonts w:ascii="Calibri" w:eastAsia="Times New Roman" w:hAnsi="Calibri" w:cs="Calibri"/>
                <w:b/>
                <w:bCs/>
                <w:color w:val="FFFFFF"/>
              </w:rPr>
            </w:pPr>
            <w:r w:rsidRPr="00D6712A">
              <w:rPr>
                <w:rFonts w:ascii="Calibri" w:eastAsia="Times New Roman" w:hAnsi="Calibri" w:cs="Calibri"/>
                <w:b/>
                <w:bCs/>
                <w:color w:val="FFFFFF"/>
              </w:rPr>
              <w:t>YEAR</w:t>
            </w:r>
          </w:p>
        </w:tc>
        <w:tc>
          <w:tcPr>
            <w:tcW w:w="1589" w:type="dxa"/>
            <w:tcBorders>
              <w:top w:val="single" w:sz="4" w:space="0" w:color="auto"/>
              <w:left w:val="nil"/>
              <w:bottom w:val="single" w:sz="4" w:space="0" w:color="auto"/>
              <w:right w:val="single" w:sz="4" w:space="0" w:color="auto"/>
            </w:tcBorders>
            <w:shd w:val="clear" w:color="000000" w:fill="548235"/>
            <w:noWrap/>
            <w:vAlign w:val="bottom"/>
            <w:hideMark/>
          </w:tcPr>
          <w:p w14:paraId="27F979E7" w14:textId="77777777" w:rsidR="00D6712A" w:rsidRPr="00D6712A" w:rsidRDefault="00D6712A" w:rsidP="00D6712A">
            <w:pPr>
              <w:spacing w:after="0" w:line="240" w:lineRule="auto"/>
              <w:jc w:val="center"/>
              <w:rPr>
                <w:rFonts w:ascii="Calibri" w:eastAsia="Times New Roman" w:hAnsi="Calibri" w:cs="Calibri"/>
                <w:b/>
                <w:bCs/>
                <w:color w:val="FFFFFF"/>
              </w:rPr>
            </w:pPr>
            <w:r w:rsidRPr="00D6712A">
              <w:rPr>
                <w:rFonts w:ascii="Calibri" w:eastAsia="Times New Roman" w:hAnsi="Calibri" w:cs="Calibri"/>
                <w:b/>
                <w:bCs/>
                <w:color w:val="FFFFFF"/>
              </w:rPr>
              <w:t>PROJECT A</w:t>
            </w:r>
          </w:p>
        </w:tc>
        <w:tc>
          <w:tcPr>
            <w:tcW w:w="1677" w:type="dxa"/>
            <w:tcBorders>
              <w:top w:val="single" w:sz="4" w:space="0" w:color="auto"/>
              <w:left w:val="nil"/>
              <w:bottom w:val="single" w:sz="4" w:space="0" w:color="auto"/>
              <w:right w:val="single" w:sz="4" w:space="0" w:color="auto"/>
            </w:tcBorders>
            <w:shd w:val="clear" w:color="000000" w:fill="548235"/>
            <w:noWrap/>
            <w:vAlign w:val="bottom"/>
            <w:hideMark/>
          </w:tcPr>
          <w:p w14:paraId="28C66C76" w14:textId="77777777" w:rsidR="00D6712A" w:rsidRPr="00D6712A" w:rsidRDefault="00D6712A" w:rsidP="00D6712A">
            <w:pPr>
              <w:spacing w:after="0" w:line="240" w:lineRule="auto"/>
              <w:jc w:val="center"/>
              <w:rPr>
                <w:rFonts w:ascii="Calibri" w:eastAsia="Times New Roman" w:hAnsi="Calibri" w:cs="Calibri"/>
                <w:b/>
                <w:bCs/>
                <w:color w:val="FFFFFF"/>
              </w:rPr>
            </w:pPr>
            <w:r w:rsidRPr="00D6712A">
              <w:rPr>
                <w:rFonts w:ascii="Calibri" w:eastAsia="Times New Roman" w:hAnsi="Calibri" w:cs="Calibri"/>
                <w:b/>
                <w:bCs/>
                <w:color w:val="FFFFFF"/>
              </w:rPr>
              <w:t>DCF</w:t>
            </w:r>
          </w:p>
        </w:tc>
        <w:tc>
          <w:tcPr>
            <w:tcW w:w="1346" w:type="dxa"/>
            <w:tcBorders>
              <w:top w:val="single" w:sz="4" w:space="0" w:color="auto"/>
              <w:left w:val="nil"/>
              <w:bottom w:val="single" w:sz="4" w:space="0" w:color="auto"/>
              <w:right w:val="single" w:sz="4" w:space="0" w:color="auto"/>
            </w:tcBorders>
            <w:shd w:val="clear" w:color="000000" w:fill="548235"/>
            <w:noWrap/>
            <w:vAlign w:val="bottom"/>
            <w:hideMark/>
          </w:tcPr>
          <w:p w14:paraId="5F3BA0AA" w14:textId="77777777" w:rsidR="00D6712A" w:rsidRPr="00D6712A" w:rsidRDefault="00D6712A" w:rsidP="00D6712A">
            <w:pPr>
              <w:spacing w:after="0" w:line="240" w:lineRule="auto"/>
              <w:jc w:val="center"/>
              <w:rPr>
                <w:rFonts w:ascii="Calibri" w:eastAsia="Times New Roman" w:hAnsi="Calibri" w:cs="Calibri"/>
                <w:b/>
                <w:bCs/>
                <w:color w:val="FFFFFF"/>
              </w:rPr>
            </w:pPr>
            <w:r w:rsidRPr="00D6712A">
              <w:rPr>
                <w:rFonts w:ascii="Calibri" w:eastAsia="Times New Roman" w:hAnsi="Calibri" w:cs="Calibri"/>
                <w:b/>
                <w:bCs/>
                <w:color w:val="FFFFFF"/>
              </w:rPr>
              <w:t>PROJECT B</w:t>
            </w:r>
          </w:p>
        </w:tc>
        <w:tc>
          <w:tcPr>
            <w:tcW w:w="1162" w:type="dxa"/>
            <w:tcBorders>
              <w:top w:val="single" w:sz="4" w:space="0" w:color="auto"/>
              <w:left w:val="nil"/>
              <w:bottom w:val="single" w:sz="4" w:space="0" w:color="auto"/>
              <w:right w:val="single" w:sz="4" w:space="0" w:color="auto"/>
            </w:tcBorders>
            <w:shd w:val="clear" w:color="000000" w:fill="548235"/>
            <w:noWrap/>
            <w:vAlign w:val="bottom"/>
            <w:hideMark/>
          </w:tcPr>
          <w:p w14:paraId="0D8F83A3" w14:textId="77777777" w:rsidR="00D6712A" w:rsidRPr="00D6712A" w:rsidRDefault="00D6712A" w:rsidP="00D6712A">
            <w:pPr>
              <w:spacing w:after="0" w:line="240" w:lineRule="auto"/>
              <w:jc w:val="center"/>
              <w:rPr>
                <w:rFonts w:ascii="Calibri" w:eastAsia="Times New Roman" w:hAnsi="Calibri" w:cs="Calibri"/>
                <w:b/>
                <w:bCs/>
                <w:color w:val="FFFFFF"/>
              </w:rPr>
            </w:pPr>
            <w:r w:rsidRPr="00D6712A">
              <w:rPr>
                <w:rFonts w:ascii="Calibri" w:eastAsia="Times New Roman" w:hAnsi="Calibri" w:cs="Calibri"/>
                <w:b/>
                <w:bCs/>
                <w:color w:val="FFFFFF"/>
              </w:rPr>
              <w:t>DCF</w:t>
            </w:r>
          </w:p>
        </w:tc>
        <w:tc>
          <w:tcPr>
            <w:tcW w:w="1302" w:type="dxa"/>
            <w:tcBorders>
              <w:top w:val="single" w:sz="4" w:space="0" w:color="auto"/>
              <w:left w:val="nil"/>
              <w:bottom w:val="single" w:sz="4" w:space="0" w:color="auto"/>
              <w:right w:val="single" w:sz="4" w:space="0" w:color="auto"/>
            </w:tcBorders>
            <w:shd w:val="clear" w:color="000000" w:fill="548235"/>
            <w:noWrap/>
            <w:vAlign w:val="bottom"/>
            <w:hideMark/>
          </w:tcPr>
          <w:p w14:paraId="55B9AA94" w14:textId="77777777" w:rsidR="00D6712A" w:rsidRPr="00D6712A" w:rsidRDefault="00D6712A" w:rsidP="00D6712A">
            <w:pPr>
              <w:spacing w:after="0" w:line="240" w:lineRule="auto"/>
              <w:jc w:val="center"/>
              <w:rPr>
                <w:rFonts w:ascii="Calibri" w:eastAsia="Times New Roman" w:hAnsi="Calibri" w:cs="Calibri"/>
                <w:b/>
                <w:bCs/>
                <w:color w:val="FFFFFF"/>
              </w:rPr>
            </w:pPr>
            <w:r w:rsidRPr="00D6712A">
              <w:rPr>
                <w:rFonts w:ascii="Calibri" w:eastAsia="Times New Roman" w:hAnsi="Calibri" w:cs="Calibri"/>
                <w:b/>
                <w:bCs/>
                <w:color w:val="FFFFFF"/>
              </w:rPr>
              <w:t>PROJECT C</w:t>
            </w:r>
          </w:p>
        </w:tc>
        <w:tc>
          <w:tcPr>
            <w:tcW w:w="1162" w:type="dxa"/>
            <w:tcBorders>
              <w:top w:val="single" w:sz="4" w:space="0" w:color="auto"/>
              <w:left w:val="nil"/>
              <w:bottom w:val="single" w:sz="4" w:space="0" w:color="auto"/>
              <w:right w:val="single" w:sz="4" w:space="0" w:color="auto"/>
            </w:tcBorders>
            <w:shd w:val="clear" w:color="000000" w:fill="548235"/>
            <w:noWrap/>
            <w:vAlign w:val="bottom"/>
            <w:hideMark/>
          </w:tcPr>
          <w:p w14:paraId="4ED1C99B" w14:textId="77777777" w:rsidR="00D6712A" w:rsidRPr="00D6712A" w:rsidRDefault="00D6712A" w:rsidP="00D6712A">
            <w:pPr>
              <w:spacing w:after="0" w:line="240" w:lineRule="auto"/>
              <w:jc w:val="center"/>
              <w:rPr>
                <w:rFonts w:ascii="Calibri" w:eastAsia="Times New Roman" w:hAnsi="Calibri" w:cs="Calibri"/>
                <w:b/>
                <w:bCs/>
                <w:color w:val="FFFFFF"/>
              </w:rPr>
            </w:pPr>
            <w:r w:rsidRPr="00D6712A">
              <w:rPr>
                <w:rFonts w:ascii="Calibri" w:eastAsia="Times New Roman" w:hAnsi="Calibri" w:cs="Calibri"/>
                <w:b/>
                <w:bCs/>
                <w:color w:val="FFFFFF"/>
              </w:rPr>
              <w:t>DCF</w:t>
            </w:r>
          </w:p>
        </w:tc>
      </w:tr>
      <w:tr w:rsidR="00D6712A" w:rsidRPr="00D6712A" w14:paraId="1B2ACD5D" w14:textId="77777777" w:rsidTr="00D6712A">
        <w:trPr>
          <w:trHeight w:val="301"/>
        </w:trPr>
        <w:tc>
          <w:tcPr>
            <w:tcW w:w="1059" w:type="dxa"/>
            <w:tcBorders>
              <w:top w:val="nil"/>
              <w:left w:val="single" w:sz="4" w:space="0" w:color="auto"/>
              <w:bottom w:val="single" w:sz="4" w:space="0" w:color="auto"/>
              <w:right w:val="single" w:sz="4" w:space="0" w:color="auto"/>
            </w:tcBorders>
            <w:noWrap/>
            <w:vAlign w:val="bottom"/>
            <w:hideMark/>
          </w:tcPr>
          <w:p w14:paraId="0C084694"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0</w:t>
            </w:r>
          </w:p>
        </w:tc>
        <w:tc>
          <w:tcPr>
            <w:tcW w:w="1589" w:type="dxa"/>
            <w:tcBorders>
              <w:top w:val="nil"/>
              <w:left w:val="nil"/>
              <w:bottom w:val="single" w:sz="4" w:space="0" w:color="auto"/>
              <w:right w:val="single" w:sz="4" w:space="0" w:color="auto"/>
            </w:tcBorders>
            <w:noWrap/>
            <w:vAlign w:val="bottom"/>
            <w:hideMark/>
          </w:tcPr>
          <w:p w14:paraId="348843A1"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FF0000"/>
              </w:rPr>
              <w:t>-£40</w:t>
            </w:r>
          </w:p>
        </w:tc>
        <w:tc>
          <w:tcPr>
            <w:tcW w:w="1677" w:type="dxa"/>
            <w:tcBorders>
              <w:top w:val="nil"/>
              <w:left w:val="nil"/>
              <w:bottom w:val="single" w:sz="4" w:space="0" w:color="auto"/>
              <w:right w:val="single" w:sz="4" w:space="0" w:color="auto"/>
            </w:tcBorders>
            <w:noWrap/>
            <w:vAlign w:val="bottom"/>
            <w:hideMark/>
          </w:tcPr>
          <w:p w14:paraId="6A97433D"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FF0000"/>
              </w:rPr>
              <w:t>-£40.0</w:t>
            </w:r>
          </w:p>
        </w:tc>
        <w:tc>
          <w:tcPr>
            <w:tcW w:w="1346" w:type="dxa"/>
            <w:tcBorders>
              <w:top w:val="nil"/>
              <w:left w:val="nil"/>
              <w:bottom w:val="single" w:sz="4" w:space="0" w:color="auto"/>
              <w:right w:val="single" w:sz="4" w:space="0" w:color="auto"/>
            </w:tcBorders>
            <w:noWrap/>
            <w:vAlign w:val="bottom"/>
            <w:hideMark/>
          </w:tcPr>
          <w:p w14:paraId="47FB6D80"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FF0000"/>
              </w:rPr>
              <w:t>-£30</w:t>
            </w:r>
          </w:p>
        </w:tc>
        <w:tc>
          <w:tcPr>
            <w:tcW w:w="1162" w:type="dxa"/>
            <w:tcBorders>
              <w:top w:val="nil"/>
              <w:left w:val="nil"/>
              <w:bottom w:val="single" w:sz="4" w:space="0" w:color="auto"/>
              <w:right w:val="single" w:sz="4" w:space="0" w:color="auto"/>
            </w:tcBorders>
            <w:noWrap/>
            <w:vAlign w:val="bottom"/>
            <w:hideMark/>
          </w:tcPr>
          <w:p w14:paraId="13A4A863"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FF0000"/>
              </w:rPr>
              <w:t>-£30.0</w:t>
            </w:r>
          </w:p>
        </w:tc>
        <w:tc>
          <w:tcPr>
            <w:tcW w:w="1302" w:type="dxa"/>
            <w:tcBorders>
              <w:top w:val="nil"/>
              <w:left w:val="nil"/>
              <w:bottom w:val="single" w:sz="4" w:space="0" w:color="auto"/>
              <w:right w:val="single" w:sz="4" w:space="0" w:color="auto"/>
            </w:tcBorders>
            <w:noWrap/>
            <w:vAlign w:val="bottom"/>
            <w:hideMark/>
          </w:tcPr>
          <w:p w14:paraId="2EDC8C1F"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FF0000"/>
              </w:rPr>
              <w:t>-£50</w:t>
            </w:r>
          </w:p>
        </w:tc>
        <w:tc>
          <w:tcPr>
            <w:tcW w:w="1162" w:type="dxa"/>
            <w:tcBorders>
              <w:top w:val="nil"/>
              <w:left w:val="nil"/>
              <w:bottom w:val="single" w:sz="4" w:space="0" w:color="auto"/>
              <w:right w:val="single" w:sz="4" w:space="0" w:color="auto"/>
            </w:tcBorders>
            <w:noWrap/>
            <w:vAlign w:val="bottom"/>
            <w:hideMark/>
          </w:tcPr>
          <w:p w14:paraId="5DF856E7"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FF0000"/>
              </w:rPr>
              <w:t>-£50.0</w:t>
            </w:r>
          </w:p>
        </w:tc>
      </w:tr>
      <w:tr w:rsidR="00D6712A" w:rsidRPr="00D6712A" w14:paraId="2449EFA4" w14:textId="77777777" w:rsidTr="00D6712A">
        <w:trPr>
          <w:trHeight w:val="301"/>
        </w:trPr>
        <w:tc>
          <w:tcPr>
            <w:tcW w:w="1059" w:type="dxa"/>
            <w:tcBorders>
              <w:top w:val="nil"/>
              <w:left w:val="single" w:sz="4" w:space="0" w:color="auto"/>
              <w:bottom w:val="single" w:sz="4" w:space="0" w:color="auto"/>
              <w:right w:val="single" w:sz="4" w:space="0" w:color="auto"/>
            </w:tcBorders>
            <w:noWrap/>
            <w:vAlign w:val="bottom"/>
            <w:hideMark/>
          </w:tcPr>
          <w:p w14:paraId="54151C69"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1</w:t>
            </w:r>
          </w:p>
        </w:tc>
        <w:tc>
          <w:tcPr>
            <w:tcW w:w="1589" w:type="dxa"/>
            <w:tcBorders>
              <w:top w:val="nil"/>
              <w:left w:val="nil"/>
              <w:bottom w:val="single" w:sz="4" w:space="0" w:color="auto"/>
              <w:right w:val="single" w:sz="4" w:space="0" w:color="auto"/>
            </w:tcBorders>
            <w:noWrap/>
            <w:vAlign w:val="bottom"/>
            <w:hideMark/>
          </w:tcPr>
          <w:p w14:paraId="48EFC7C1"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£10</w:t>
            </w:r>
          </w:p>
        </w:tc>
        <w:tc>
          <w:tcPr>
            <w:tcW w:w="1677" w:type="dxa"/>
            <w:tcBorders>
              <w:top w:val="nil"/>
              <w:left w:val="nil"/>
              <w:bottom w:val="single" w:sz="4" w:space="0" w:color="auto"/>
              <w:right w:val="single" w:sz="4" w:space="0" w:color="auto"/>
            </w:tcBorders>
            <w:noWrap/>
            <w:vAlign w:val="bottom"/>
            <w:hideMark/>
          </w:tcPr>
          <w:p w14:paraId="31CF0843"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£9.09</w:t>
            </w:r>
          </w:p>
        </w:tc>
        <w:tc>
          <w:tcPr>
            <w:tcW w:w="1346" w:type="dxa"/>
            <w:tcBorders>
              <w:top w:val="nil"/>
              <w:left w:val="nil"/>
              <w:bottom w:val="single" w:sz="4" w:space="0" w:color="auto"/>
              <w:right w:val="single" w:sz="4" w:space="0" w:color="auto"/>
            </w:tcBorders>
            <w:noWrap/>
            <w:vAlign w:val="bottom"/>
            <w:hideMark/>
          </w:tcPr>
          <w:p w14:paraId="6E7CC150"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£6</w:t>
            </w:r>
          </w:p>
        </w:tc>
        <w:tc>
          <w:tcPr>
            <w:tcW w:w="1162" w:type="dxa"/>
            <w:tcBorders>
              <w:top w:val="nil"/>
              <w:left w:val="nil"/>
              <w:bottom w:val="single" w:sz="4" w:space="0" w:color="auto"/>
              <w:right w:val="single" w:sz="4" w:space="0" w:color="auto"/>
            </w:tcBorders>
            <w:noWrap/>
            <w:vAlign w:val="bottom"/>
            <w:hideMark/>
          </w:tcPr>
          <w:p w14:paraId="43110523"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£5.5</w:t>
            </w:r>
          </w:p>
        </w:tc>
        <w:tc>
          <w:tcPr>
            <w:tcW w:w="1302" w:type="dxa"/>
            <w:tcBorders>
              <w:top w:val="nil"/>
              <w:left w:val="nil"/>
              <w:bottom w:val="single" w:sz="4" w:space="0" w:color="auto"/>
              <w:right w:val="single" w:sz="4" w:space="0" w:color="auto"/>
            </w:tcBorders>
            <w:noWrap/>
            <w:vAlign w:val="bottom"/>
            <w:hideMark/>
          </w:tcPr>
          <w:p w14:paraId="7EFED8EB"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£5</w:t>
            </w:r>
          </w:p>
        </w:tc>
        <w:tc>
          <w:tcPr>
            <w:tcW w:w="1162" w:type="dxa"/>
            <w:tcBorders>
              <w:top w:val="nil"/>
              <w:left w:val="nil"/>
              <w:bottom w:val="single" w:sz="4" w:space="0" w:color="auto"/>
              <w:right w:val="single" w:sz="4" w:space="0" w:color="auto"/>
            </w:tcBorders>
            <w:noWrap/>
            <w:vAlign w:val="bottom"/>
            <w:hideMark/>
          </w:tcPr>
          <w:p w14:paraId="11D49AF9"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£4.5</w:t>
            </w:r>
          </w:p>
        </w:tc>
      </w:tr>
      <w:tr w:rsidR="00D6712A" w:rsidRPr="00D6712A" w14:paraId="7738847E" w14:textId="77777777" w:rsidTr="00D6712A">
        <w:trPr>
          <w:trHeight w:val="301"/>
        </w:trPr>
        <w:tc>
          <w:tcPr>
            <w:tcW w:w="1059" w:type="dxa"/>
            <w:tcBorders>
              <w:top w:val="nil"/>
              <w:left w:val="single" w:sz="4" w:space="0" w:color="auto"/>
              <w:bottom w:val="single" w:sz="4" w:space="0" w:color="auto"/>
              <w:right w:val="single" w:sz="4" w:space="0" w:color="auto"/>
            </w:tcBorders>
            <w:noWrap/>
            <w:vAlign w:val="bottom"/>
            <w:hideMark/>
          </w:tcPr>
          <w:p w14:paraId="437B2E5C"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2</w:t>
            </w:r>
          </w:p>
        </w:tc>
        <w:tc>
          <w:tcPr>
            <w:tcW w:w="1589" w:type="dxa"/>
            <w:tcBorders>
              <w:top w:val="nil"/>
              <w:left w:val="nil"/>
              <w:bottom w:val="single" w:sz="4" w:space="0" w:color="auto"/>
              <w:right w:val="single" w:sz="4" w:space="0" w:color="auto"/>
            </w:tcBorders>
            <w:noWrap/>
            <w:vAlign w:val="bottom"/>
            <w:hideMark/>
          </w:tcPr>
          <w:p w14:paraId="67AE59B5"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£12</w:t>
            </w:r>
          </w:p>
        </w:tc>
        <w:tc>
          <w:tcPr>
            <w:tcW w:w="1677" w:type="dxa"/>
            <w:tcBorders>
              <w:top w:val="nil"/>
              <w:left w:val="nil"/>
              <w:bottom w:val="single" w:sz="4" w:space="0" w:color="auto"/>
              <w:right w:val="single" w:sz="4" w:space="0" w:color="auto"/>
            </w:tcBorders>
            <w:noWrap/>
            <w:vAlign w:val="bottom"/>
            <w:hideMark/>
          </w:tcPr>
          <w:p w14:paraId="26B4703D"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£9.92</w:t>
            </w:r>
          </w:p>
        </w:tc>
        <w:tc>
          <w:tcPr>
            <w:tcW w:w="1346" w:type="dxa"/>
            <w:tcBorders>
              <w:top w:val="nil"/>
              <w:left w:val="nil"/>
              <w:bottom w:val="single" w:sz="4" w:space="0" w:color="auto"/>
              <w:right w:val="single" w:sz="4" w:space="0" w:color="auto"/>
            </w:tcBorders>
            <w:noWrap/>
            <w:vAlign w:val="bottom"/>
            <w:hideMark/>
          </w:tcPr>
          <w:p w14:paraId="734294D2"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£6</w:t>
            </w:r>
          </w:p>
        </w:tc>
        <w:tc>
          <w:tcPr>
            <w:tcW w:w="1162" w:type="dxa"/>
            <w:tcBorders>
              <w:top w:val="nil"/>
              <w:left w:val="nil"/>
              <w:bottom w:val="single" w:sz="4" w:space="0" w:color="auto"/>
              <w:right w:val="single" w:sz="4" w:space="0" w:color="auto"/>
            </w:tcBorders>
            <w:noWrap/>
            <w:vAlign w:val="bottom"/>
            <w:hideMark/>
          </w:tcPr>
          <w:p w14:paraId="5C543320"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£5.0</w:t>
            </w:r>
          </w:p>
        </w:tc>
        <w:tc>
          <w:tcPr>
            <w:tcW w:w="1302" w:type="dxa"/>
            <w:tcBorders>
              <w:top w:val="nil"/>
              <w:left w:val="nil"/>
              <w:bottom w:val="single" w:sz="4" w:space="0" w:color="auto"/>
              <w:right w:val="single" w:sz="4" w:space="0" w:color="auto"/>
            </w:tcBorders>
            <w:noWrap/>
            <w:vAlign w:val="bottom"/>
            <w:hideMark/>
          </w:tcPr>
          <w:p w14:paraId="253A2FC3"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£10</w:t>
            </w:r>
          </w:p>
        </w:tc>
        <w:tc>
          <w:tcPr>
            <w:tcW w:w="1162" w:type="dxa"/>
            <w:tcBorders>
              <w:top w:val="nil"/>
              <w:left w:val="nil"/>
              <w:bottom w:val="single" w:sz="4" w:space="0" w:color="auto"/>
              <w:right w:val="single" w:sz="4" w:space="0" w:color="auto"/>
            </w:tcBorders>
            <w:noWrap/>
            <w:vAlign w:val="bottom"/>
            <w:hideMark/>
          </w:tcPr>
          <w:p w14:paraId="44471D36"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£8.3</w:t>
            </w:r>
          </w:p>
        </w:tc>
      </w:tr>
      <w:tr w:rsidR="00D6712A" w:rsidRPr="00D6712A" w14:paraId="02B3F73E" w14:textId="77777777" w:rsidTr="00D6712A">
        <w:trPr>
          <w:trHeight w:val="301"/>
        </w:trPr>
        <w:tc>
          <w:tcPr>
            <w:tcW w:w="1059" w:type="dxa"/>
            <w:tcBorders>
              <w:top w:val="nil"/>
              <w:left w:val="single" w:sz="4" w:space="0" w:color="auto"/>
              <w:bottom w:val="single" w:sz="4" w:space="0" w:color="auto"/>
              <w:right w:val="single" w:sz="4" w:space="0" w:color="auto"/>
            </w:tcBorders>
            <w:noWrap/>
            <w:vAlign w:val="bottom"/>
            <w:hideMark/>
          </w:tcPr>
          <w:p w14:paraId="4E3FDAD8"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3</w:t>
            </w:r>
          </w:p>
        </w:tc>
        <w:tc>
          <w:tcPr>
            <w:tcW w:w="1589" w:type="dxa"/>
            <w:tcBorders>
              <w:top w:val="nil"/>
              <w:left w:val="nil"/>
              <w:bottom w:val="single" w:sz="4" w:space="0" w:color="auto"/>
              <w:right w:val="single" w:sz="4" w:space="0" w:color="auto"/>
            </w:tcBorders>
            <w:noWrap/>
            <w:vAlign w:val="bottom"/>
            <w:hideMark/>
          </w:tcPr>
          <w:p w14:paraId="02BB8117"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£14</w:t>
            </w:r>
          </w:p>
        </w:tc>
        <w:tc>
          <w:tcPr>
            <w:tcW w:w="1677" w:type="dxa"/>
            <w:tcBorders>
              <w:top w:val="nil"/>
              <w:left w:val="nil"/>
              <w:bottom w:val="single" w:sz="4" w:space="0" w:color="auto"/>
              <w:right w:val="single" w:sz="4" w:space="0" w:color="auto"/>
            </w:tcBorders>
            <w:noWrap/>
            <w:vAlign w:val="bottom"/>
            <w:hideMark/>
          </w:tcPr>
          <w:p w14:paraId="6E54030E"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£10.52</w:t>
            </w:r>
          </w:p>
        </w:tc>
        <w:tc>
          <w:tcPr>
            <w:tcW w:w="1346" w:type="dxa"/>
            <w:tcBorders>
              <w:top w:val="nil"/>
              <w:left w:val="nil"/>
              <w:bottom w:val="single" w:sz="4" w:space="0" w:color="auto"/>
              <w:right w:val="single" w:sz="4" w:space="0" w:color="auto"/>
            </w:tcBorders>
            <w:noWrap/>
            <w:vAlign w:val="bottom"/>
            <w:hideMark/>
          </w:tcPr>
          <w:p w14:paraId="280616AB"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£6</w:t>
            </w:r>
          </w:p>
        </w:tc>
        <w:tc>
          <w:tcPr>
            <w:tcW w:w="1162" w:type="dxa"/>
            <w:tcBorders>
              <w:top w:val="nil"/>
              <w:left w:val="nil"/>
              <w:bottom w:val="single" w:sz="4" w:space="0" w:color="auto"/>
              <w:right w:val="single" w:sz="4" w:space="0" w:color="auto"/>
            </w:tcBorders>
            <w:noWrap/>
            <w:vAlign w:val="bottom"/>
            <w:hideMark/>
          </w:tcPr>
          <w:p w14:paraId="0CA05BCA"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£4.5</w:t>
            </w:r>
          </w:p>
        </w:tc>
        <w:tc>
          <w:tcPr>
            <w:tcW w:w="1302" w:type="dxa"/>
            <w:tcBorders>
              <w:top w:val="nil"/>
              <w:left w:val="nil"/>
              <w:bottom w:val="single" w:sz="4" w:space="0" w:color="auto"/>
              <w:right w:val="single" w:sz="4" w:space="0" w:color="auto"/>
            </w:tcBorders>
            <w:noWrap/>
            <w:vAlign w:val="bottom"/>
            <w:hideMark/>
          </w:tcPr>
          <w:p w14:paraId="7EEE1AA9"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£20</w:t>
            </w:r>
          </w:p>
        </w:tc>
        <w:tc>
          <w:tcPr>
            <w:tcW w:w="1162" w:type="dxa"/>
            <w:tcBorders>
              <w:top w:val="nil"/>
              <w:left w:val="nil"/>
              <w:bottom w:val="single" w:sz="4" w:space="0" w:color="auto"/>
              <w:right w:val="single" w:sz="4" w:space="0" w:color="auto"/>
            </w:tcBorders>
            <w:noWrap/>
            <w:vAlign w:val="bottom"/>
            <w:hideMark/>
          </w:tcPr>
          <w:p w14:paraId="0F81D423"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£15.0</w:t>
            </w:r>
          </w:p>
        </w:tc>
      </w:tr>
      <w:tr w:rsidR="00D6712A" w:rsidRPr="00D6712A" w14:paraId="2D52A186" w14:textId="77777777" w:rsidTr="00D6712A">
        <w:trPr>
          <w:trHeight w:val="301"/>
        </w:trPr>
        <w:tc>
          <w:tcPr>
            <w:tcW w:w="1059" w:type="dxa"/>
            <w:tcBorders>
              <w:top w:val="nil"/>
              <w:left w:val="single" w:sz="4" w:space="0" w:color="auto"/>
              <w:bottom w:val="single" w:sz="4" w:space="0" w:color="auto"/>
              <w:right w:val="single" w:sz="4" w:space="0" w:color="auto"/>
            </w:tcBorders>
            <w:noWrap/>
            <w:vAlign w:val="bottom"/>
            <w:hideMark/>
          </w:tcPr>
          <w:p w14:paraId="4D20C5A9"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4</w:t>
            </w:r>
          </w:p>
        </w:tc>
        <w:tc>
          <w:tcPr>
            <w:tcW w:w="1589" w:type="dxa"/>
            <w:tcBorders>
              <w:top w:val="nil"/>
              <w:left w:val="nil"/>
              <w:bottom w:val="single" w:sz="4" w:space="0" w:color="auto"/>
              <w:right w:val="single" w:sz="4" w:space="0" w:color="auto"/>
            </w:tcBorders>
            <w:noWrap/>
            <w:vAlign w:val="bottom"/>
            <w:hideMark/>
          </w:tcPr>
          <w:p w14:paraId="7D4BD0D1"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£10</w:t>
            </w:r>
          </w:p>
        </w:tc>
        <w:tc>
          <w:tcPr>
            <w:tcW w:w="1677" w:type="dxa"/>
            <w:tcBorders>
              <w:top w:val="nil"/>
              <w:left w:val="nil"/>
              <w:bottom w:val="single" w:sz="4" w:space="0" w:color="auto"/>
              <w:right w:val="single" w:sz="4" w:space="0" w:color="auto"/>
            </w:tcBorders>
            <w:noWrap/>
            <w:vAlign w:val="bottom"/>
            <w:hideMark/>
          </w:tcPr>
          <w:p w14:paraId="6096CC66"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£6.83</w:t>
            </w:r>
          </w:p>
        </w:tc>
        <w:tc>
          <w:tcPr>
            <w:tcW w:w="1346" w:type="dxa"/>
            <w:tcBorders>
              <w:top w:val="nil"/>
              <w:left w:val="nil"/>
              <w:bottom w:val="single" w:sz="4" w:space="0" w:color="auto"/>
              <w:right w:val="single" w:sz="4" w:space="0" w:color="auto"/>
            </w:tcBorders>
            <w:noWrap/>
            <w:vAlign w:val="bottom"/>
            <w:hideMark/>
          </w:tcPr>
          <w:p w14:paraId="142C433E"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£6</w:t>
            </w:r>
          </w:p>
        </w:tc>
        <w:tc>
          <w:tcPr>
            <w:tcW w:w="1162" w:type="dxa"/>
            <w:tcBorders>
              <w:top w:val="nil"/>
              <w:left w:val="nil"/>
              <w:bottom w:val="single" w:sz="4" w:space="0" w:color="auto"/>
              <w:right w:val="single" w:sz="4" w:space="0" w:color="auto"/>
            </w:tcBorders>
            <w:noWrap/>
            <w:vAlign w:val="bottom"/>
            <w:hideMark/>
          </w:tcPr>
          <w:p w14:paraId="011C615E"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£4.1</w:t>
            </w:r>
          </w:p>
        </w:tc>
        <w:tc>
          <w:tcPr>
            <w:tcW w:w="1302" w:type="dxa"/>
            <w:tcBorders>
              <w:top w:val="nil"/>
              <w:left w:val="nil"/>
              <w:bottom w:val="single" w:sz="4" w:space="0" w:color="auto"/>
              <w:right w:val="single" w:sz="4" w:space="0" w:color="auto"/>
            </w:tcBorders>
            <w:noWrap/>
            <w:vAlign w:val="bottom"/>
            <w:hideMark/>
          </w:tcPr>
          <w:p w14:paraId="38CFFD55"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£25</w:t>
            </w:r>
          </w:p>
        </w:tc>
        <w:tc>
          <w:tcPr>
            <w:tcW w:w="1162" w:type="dxa"/>
            <w:tcBorders>
              <w:top w:val="nil"/>
              <w:left w:val="nil"/>
              <w:bottom w:val="single" w:sz="4" w:space="0" w:color="auto"/>
              <w:right w:val="single" w:sz="4" w:space="0" w:color="auto"/>
            </w:tcBorders>
            <w:noWrap/>
            <w:vAlign w:val="bottom"/>
            <w:hideMark/>
          </w:tcPr>
          <w:p w14:paraId="1E3689D6"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£17.1</w:t>
            </w:r>
          </w:p>
        </w:tc>
      </w:tr>
      <w:tr w:rsidR="00D6712A" w:rsidRPr="00D6712A" w14:paraId="01E61CC6" w14:textId="77777777" w:rsidTr="00D6712A">
        <w:trPr>
          <w:trHeight w:val="301"/>
        </w:trPr>
        <w:tc>
          <w:tcPr>
            <w:tcW w:w="1059" w:type="dxa"/>
            <w:tcBorders>
              <w:top w:val="nil"/>
              <w:left w:val="single" w:sz="4" w:space="0" w:color="auto"/>
              <w:bottom w:val="single" w:sz="4" w:space="0" w:color="auto"/>
              <w:right w:val="single" w:sz="4" w:space="0" w:color="auto"/>
            </w:tcBorders>
            <w:noWrap/>
            <w:vAlign w:val="bottom"/>
            <w:hideMark/>
          </w:tcPr>
          <w:p w14:paraId="560B4FCB"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5</w:t>
            </w:r>
          </w:p>
        </w:tc>
        <w:tc>
          <w:tcPr>
            <w:tcW w:w="1589" w:type="dxa"/>
            <w:tcBorders>
              <w:top w:val="nil"/>
              <w:left w:val="nil"/>
              <w:bottom w:val="single" w:sz="4" w:space="0" w:color="auto"/>
              <w:right w:val="single" w:sz="4" w:space="0" w:color="auto"/>
            </w:tcBorders>
            <w:noWrap/>
            <w:vAlign w:val="bottom"/>
            <w:hideMark/>
          </w:tcPr>
          <w:p w14:paraId="0B010ED8"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£8</w:t>
            </w:r>
          </w:p>
        </w:tc>
        <w:tc>
          <w:tcPr>
            <w:tcW w:w="1677" w:type="dxa"/>
            <w:tcBorders>
              <w:top w:val="nil"/>
              <w:left w:val="nil"/>
              <w:bottom w:val="single" w:sz="4" w:space="0" w:color="auto"/>
              <w:right w:val="single" w:sz="4" w:space="0" w:color="auto"/>
            </w:tcBorders>
            <w:noWrap/>
            <w:vAlign w:val="bottom"/>
            <w:hideMark/>
          </w:tcPr>
          <w:p w14:paraId="42A31DC1"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£4.97</w:t>
            </w:r>
          </w:p>
        </w:tc>
        <w:tc>
          <w:tcPr>
            <w:tcW w:w="1346" w:type="dxa"/>
            <w:tcBorders>
              <w:top w:val="nil"/>
              <w:left w:val="nil"/>
              <w:bottom w:val="single" w:sz="4" w:space="0" w:color="auto"/>
              <w:right w:val="single" w:sz="4" w:space="0" w:color="auto"/>
            </w:tcBorders>
            <w:noWrap/>
            <w:vAlign w:val="bottom"/>
            <w:hideMark/>
          </w:tcPr>
          <w:p w14:paraId="06B9522E"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£6</w:t>
            </w:r>
          </w:p>
        </w:tc>
        <w:tc>
          <w:tcPr>
            <w:tcW w:w="1162" w:type="dxa"/>
            <w:tcBorders>
              <w:top w:val="nil"/>
              <w:left w:val="nil"/>
              <w:bottom w:val="single" w:sz="4" w:space="0" w:color="auto"/>
              <w:right w:val="single" w:sz="4" w:space="0" w:color="auto"/>
            </w:tcBorders>
            <w:noWrap/>
            <w:vAlign w:val="bottom"/>
            <w:hideMark/>
          </w:tcPr>
          <w:p w14:paraId="0E9252C1"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£3.7</w:t>
            </w:r>
          </w:p>
        </w:tc>
        <w:tc>
          <w:tcPr>
            <w:tcW w:w="1302" w:type="dxa"/>
            <w:tcBorders>
              <w:top w:val="nil"/>
              <w:left w:val="nil"/>
              <w:bottom w:val="single" w:sz="4" w:space="0" w:color="auto"/>
              <w:right w:val="single" w:sz="4" w:space="0" w:color="auto"/>
            </w:tcBorders>
            <w:noWrap/>
            <w:vAlign w:val="bottom"/>
            <w:hideMark/>
          </w:tcPr>
          <w:p w14:paraId="1E7D77C1"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£15</w:t>
            </w:r>
          </w:p>
        </w:tc>
        <w:tc>
          <w:tcPr>
            <w:tcW w:w="1162" w:type="dxa"/>
            <w:tcBorders>
              <w:top w:val="nil"/>
              <w:left w:val="nil"/>
              <w:bottom w:val="single" w:sz="4" w:space="0" w:color="auto"/>
              <w:right w:val="single" w:sz="4" w:space="0" w:color="auto"/>
            </w:tcBorders>
            <w:noWrap/>
            <w:vAlign w:val="bottom"/>
            <w:hideMark/>
          </w:tcPr>
          <w:p w14:paraId="4E67DF16"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£9.3</w:t>
            </w:r>
          </w:p>
        </w:tc>
      </w:tr>
      <w:tr w:rsidR="00D6712A" w:rsidRPr="00D6712A" w14:paraId="17E7241E" w14:textId="77777777" w:rsidTr="00D6712A">
        <w:trPr>
          <w:trHeight w:val="301"/>
        </w:trPr>
        <w:tc>
          <w:tcPr>
            <w:tcW w:w="1059" w:type="dxa"/>
            <w:tcBorders>
              <w:top w:val="nil"/>
              <w:left w:val="single" w:sz="4" w:space="0" w:color="auto"/>
              <w:bottom w:val="single" w:sz="4" w:space="0" w:color="auto"/>
              <w:right w:val="single" w:sz="4" w:space="0" w:color="auto"/>
            </w:tcBorders>
            <w:shd w:val="clear" w:color="000000" w:fill="FFFF00"/>
            <w:noWrap/>
            <w:vAlign w:val="bottom"/>
            <w:hideMark/>
          </w:tcPr>
          <w:p w14:paraId="73EA79DF"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NPV</w:t>
            </w:r>
          </w:p>
        </w:tc>
        <w:tc>
          <w:tcPr>
            <w:tcW w:w="1589" w:type="dxa"/>
            <w:tcBorders>
              <w:top w:val="nil"/>
              <w:left w:val="nil"/>
              <w:bottom w:val="single" w:sz="4" w:space="0" w:color="auto"/>
              <w:right w:val="single" w:sz="4" w:space="0" w:color="auto"/>
            </w:tcBorders>
            <w:shd w:val="clear" w:color="000000" w:fill="FFFF00"/>
            <w:noWrap/>
            <w:vAlign w:val="bottom"/>
            <w:hideMark/>
          </w:tcPr>
          <w:p w14:paraId="055244B9"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 </w:t>
            </w:r>
          </w:p>
        </w:tc>
        <w:tc>
          <w:tcPr>
            <w:tcW w:w="1677" w:type="dxa"/>
            <w:tcBorders>
              <w:top w:val="nil"/>
              <w:left w:val="nil"/>
              <w:bottom w:val="single" w:sz="4" w:space="0" w:color="auto"/>
              <w:right w:val="single" w:sz="4" w:space="0" w:color="auto"/>
            </w:tcBorders>
            <w:shd w:val="clear" w:color="000000" w:fill="FFFF00"/>
            <w:noWrap/>
            <w:vAlign w:val="bottom"/>
            <w:hideMark/>
          </w:tcPr>
          <w:p w14:paraId="40231631"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1.324176814</w:t>
            </w:r>
          </w:p>
        </w:tc>
        <w:tc>
          <w:tcPr>
            <w:tcW w:w="1346" w:type="dxa"/>
            <w:tcBorders>
              <w:top w:val="nil"/>
              <w:left w:val="nil"/>
              <w:bottom w:val="single" w:sz="4" w:space="0" w:color="auto"/>
              <w:right w:val="single" w:sz="4" w:space="0" w:color="auto"/>
            </w:tcBorders>
            <w:shd w:val="clear" w:color="000000" w:fill="FFFF00"/>
            <w:noWrap/>
            <w:vAlign w:val="bottom"/>
            <w:hideMark/>
          </w:tcPr>
          <w:p w14:paraId="1D173D5B"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 </w:t>
            </w:r>
          </w:p>
        </w:tc>
        <w:tc>
          <w:tcPr>
            <w:tcW w:w="1162" w:type="dxa"/>
            <w:tcBorders>
              <w:top w:val="nil"/>
              <w:left w:val="nil"/>
              <w:bottom w:val="single" w:sz="4" w:space="0" w:color="auto"/>
              <w:right w:val="single" w:sz="4" w:space="0" w:color="auto"/>
            </w:tcBorders>
            <w:shd w:val="clear" w:color="000000" w:fill="FFFF00"/>
            <w:noWrap/>
            <w:vAlign w:val="bottom"/>
            <w:hideMark/>
          </w:tcPr>
          <w:p w14:paraId="1F998096"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-7.25528</w:t>
            </w:r>
          </w:p>
        </w:tc>
        <w:tc>
          <w:tcPr>
            <w:tcW w:w="1302" w:type="dxa"/>
            <w:tcBorders>
              <w:top w:val="nil"/>
              <w:left w:val="nil"/>
              <w:bottom w:val="single" w:sz="4" w:space="0" w:color="auto"/>
              <w:right w:val="single" w:sz="4" w:space="0" w:color="auto"/>
            </w:tcBorders>
            <w:shd w:val="clear" w:color="000000" w:fill="FFFF00"/>
            <w:noWrap/>
            <w:vAlign w:val="bottom"/>
            <w:hideMark/>
          </w:tcPr>
          <w:p w14:paraId="5EE6BAA1" w14:textId="77777777" w:rsidR="00D6712A" w:rsidRPr="00D6712A" w:rsidRDefault="00D6712A" w:rsidP="00D6712A">
            <w:pPr>
              <w:spacing w:after="0" w:line="240" w:lineRule="auto"/>
              <w:rPr>
                <w:rFonts w:ascii="Calibri" w:eastAsia="Times New Roman" w:hAnsi="Calibri" w:cs="Calibri"/>
                <w:color w:val="000000"/>
              </w:rPr>
            </w:pPr>
            <w:r w:rsidRPr="00D6712A">
              <w:rPr>
                <w:rFonts w:ascii="Calibri" w:eastAsia="Times New Roman" w:hAnsi="Calibri" w:cs="Calibri"/>
                <w:color w:val="000000"/>
              </w:rPr>
              <w:t> </w:t>
            </w:r>
          </w:p>
        </w:tc>
        <w:tc>
          <w:tcPr>
            <w:tcW w:w="1162" w:type="dxa"/>
            <w:tcBorders>
              <w:top w:val="nil"/>
              <w:left w:val="nil"/>
              <w:bottom w:val="single" w:sz="4" w:space="0" w:color="auto"/>
              <w:right w:val="single" w:sz="4" w:space="0" w:color="auto"/>
            </w:tcBorders>
            <w:shd w:val="clear" w:color="000000" w:fill="FFFF00"/>
            <w:noWrap/>
            <w:vAlign w:val="bottom"/>
            <w:hideMark/>
          </w:tcPr>
          <w:p w14:paraId="54929EE9"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4.22537</w:t>
            </w:r>
          </w:p>
        </w:tc>
      </w:tr>
      <w:tr w:rsidR="00D6712A" w:rsidRPr="00D6712A" w14:paraId="3488CF98" w14:textId="77777777" w:rsidTr="00D6712A">
        <w:trPr>
          <w:trHeight w:val="301"/>
        </w:trPr>
        <w:tc>
          <w:tcPr>
            <w:tcW w:w="1059" w:type="dxa"/>
            <w:tcBorders>
              <w:top w:val="nil"/>
              <w:left w:val="single" w:sz="4" w:space="0" w:color="auto"/>
              <w:bottom w:val="single" w:sz="4" w:space="0" w:color="auto"/>
              <w:right w:val="single" w:sz="4" w:space="0" w:color="auto"/>
            </w:tcBorders>
            <w:shd w:val="clear" w:color="000000" w:fill="FFFF00"/>
            <w:noWrap/>
            <w:vAlign w:val="bottom"/>
            <w:hideMark/>
          </w:tcPr>
          <w:p w14:paraId="196153B7"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PI</w:t>
            </w:r>
          </w:p>
        </w:tc>
        <w:tc>
          <w:tcPr>
            <w:tcW w:w="1589" w:type="dxa"/>
            <w:tcBorders>
              <w:top w:val="nil"/>
              <w:left w:val="nil"/>
              <w:bottom w:val="single" w:sz="4" w:space="0" w:color="auto"/>
              <w:right w:val="single" w:sz="4" w:space="0" w:color="auto"/>
            </w:tcBorders>
            <w:shd w:val="clear" w:color="000000" w:fill="FFFF00"/>
            <w:noWrap/>
            <w:vAlign w:val="bottom"/>
            <w:hideMark/>
          </w:tcPr>
          <w:p w14:paraId="45D54B87"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 </w:t>
            </w:r>
          </w:p>
        </w:tc>
        <w:tc>
          <w:tcPr>
            <w:tcW w:w="1677" w:type="dxa"/>
            <w:tcBorders>
              <w:top w:val="nil"/>
              <w:left w:val="nil"/>
              <w:bottom w:val="single" w:sz="4" w:space="0" w:color="auto"/>
              <w:right w:val="single" w:sz="4" w:space="0" w:color="auto"/>
            </w:tcBorders>
            <w:shd w:val="clear" w:color="000000" w:fill="FFFF00"/>
            <w:noWrap/>
            <w:vAlign w:val="bottom"/>
            <w:hideMark/>
          </w:tcPr>
          <w:p w14:paraId="22BF4ECA"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1.03310442</w:t>
            </w:r>
          </w:p>
        </w:tc>
        <w:tc>
          <w:tcPr>
            <w:tcW w:w="1346" w:type="dxa"/>
            <w:tcBorders>
              <w:top w:val="nil"/>
              <w:left w:val="nil"/>
              <w:bottom w:val="single" w:sz="4" w:space="0" w:color="auto"/>
              <w:right w:val="single" w:sz="4" w:space="0" w:color="auto"/>
            </w:tcBorders>
            <w:shd w:val="clear" w:color="000000" w:fill="FFFF00"/>
            <w:noWrap/>
            <w:vAlign w:val="bottom"/>
            <w:hideMark/>
          </w:tcPr>
          <w:p w14:paraId="203E5F92"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 </w:t>
            </w:r>
          </w:p>
        </w:tc>
        <w:tc>
          <w:tcPr>
            <w:tcW w:w="1162" w:type="dxa"/>
            <w:tcBorders>
              <w:top w:val="nil"/>
              <w:left w:val="nil"/>
              <w:bottom w:val="single" w:sz="4" w:space="0" w:color="auto"/>
              <w:right w:val="single" w:sz="4" w:space="0" w:color="auto"/>
            </w:tcBorders>
            <w:shd w:val="clear" w:color="000000" w:fill="FFFF00"/>
            <w:noWrap/>
            <w:vAlign w:val="bottom"/>
            <w:hideMark/>
          </w:tcPr>
          <w:p w14:paraId="13E522C2"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0.758157</w:t>
            </w:r>
          </w:p>
        </w:tc>
        <w:tc>
          <w:tcPr>
            <w:tcW w:w="1302" w:type="dxa"/>
            <w:tcBorders>
              <w:top w:val="nil"/>
              <w:left w:val="nil"/>
              <w:bottom w:val="single" w:sz="4" w:space="0" w:color="auto"/>
              <w:right w:val="single" w:sz="4" w:space="0" w:color="auto"/>
            </w:tcBorders>
            <w:shd w:val="clear" w:color="000000" w:fill="FFFF00"/>
            <w:noWrap/>
            <w:vAlign w:val="bottom"/>
            <w:hideMark/>
          </w:tcPr>
          <w:p w14:paraId="5873213A" w14:textId="77777777" w:rsidR="00D6712A" w:rsidRPr="00D6712A" w:rsidRDefault="00D6712A" w:rsidP="00D6712A">
            <w:pPr>
              <w:spacing w:after="0" w:line="240" w:lineRule="auto"/>
              <w:rPr>
                <w:rFonts w:ascii="Calibri" w:eastAsia="Times New Roman" w:hAnsi="Calibri" w:cs="Calibri"/>
                <w:color w:val="000000"/>
              </w:rPr>
            </w:pPr>
            <w:r w:rsidRPr="00D6712A">
              <w:rPr>
                <w:rFonts w:ascii="Calibri" w:eastAsia="Times New Roman" w:hAnsi="Calibri" w:cs="Calibri"/>
                <w:color w:val="000000"/>
              </w:rPr>
              <w:t> </w:t>
            </w:r>
          </w:p>
        </w:tc>
        <w:tc>
          <w:tcPr>
            <w:tcW w:w="1162" w:type="dxa"/>
            <w:tcBorders>
              <w:top w:val="nil"/>
              <w:left w:val="nil"/>
              <w:bottom w:val="single" w:sz="4" w:space="0" w:color="auto"/>
              <w:right w:val="single" w:sz="4" w:space="0" w:color="auto"/>
            </w:tcBorders>
            <w:shd w:val="clear" w:color="000000" w:fill="FFFF00"/>
            <w:noWrap/>
            <w:vAlign w:val="bottom"/>
            <w:hideMark/>
          </w:tcPr>
          <w:p w14:paraId="53CE831D"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1.084507</w:t>
            </w:r>
          </w:p>
        </w:tc>
      </w:tr>
      <w:tr w:rsidR="00D6712A" w:rsidRPr="00D6712A" w14:paraId="7119C263" w14:textId="77777777" w:rsidTr="00D6712A">
        <w:trPr>
          <w:trHeight w:val="301"/>
        </w:trPr>
        <w:tc>
          <w:tcPr>
            <w:tcW w:w="1059" w:type="dxa"/>
            <w:tcBorders>
              <w:top w:val="nil"/>
              <w:left w:val="single" w:sz="4" w:space="0" w:color="auto"/>
              <w:bottom w:val="single" w:sz="4" w:space="0" w:color="auto"/>
              <w:right w:val="single" w:sz="4" w:space="0" w:color="auto"/>
            </w:tcBorders>
            <w:shd w:val="clear" w:color="000000" w:fill="FFFF00"/>
            <w:noWrap/>
            <w:vAlign w:val="bottom"/>
            <w:hideMark/>
          </w:tcPr>
          <w:p w14:paraId="7F90CECF"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IRR</w:t>
            </w:r>
          </w:p>
        </w:tc>
        <w:tc>
          <w:tcPr>
            <w:tcW w:w="1589" w:type="dxa"/>
            <w:tcBorders>
              <w:top w:val="nil"/>
              <w:left w:val="nil"/>
              <w:bottom w:val="single" w:sz="4" w:space="0" w:color="auto"/>
              <w:right w:val="single" w:sz="4" w:space="0" w:color="auto"/>
            </w:tcBorders>
            <w:shd w:val="clear" w:color="000000" w:fill="FFFF00"/>
            <w:noWrap/>
            <w:vAlign w:val="bottom"/>
            <w:hideMark/>
          </w:tcPr>
          <w:p w14:paraId="715ADE2C"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11%</w:t>
            </w:r>
          </w:p>
        </w:tc>
        <w:tc>
          <w:tcPr>
            <w:tcW w:w="1677" w:type="dxa"/>
            <w:tcBorders>
              <w:top w:val="nil"/>
              <w:left w:val="nil"/>
              <w:bottom w:val="single" w:sz="4" w:space="0" w:color="auto"/>
              <w:right w:val="single" w:sz="4" w:space="0" w:color="auto"/>
            </w:tcBorders>
            <w:shd w:val="clear" w:color="000000" w:fill="8EA9DB"/>
            <w:noWrap/>
            <w:vAlign w:val="bottom"/>
            <w:hideMark/>
          </w:tcPr>
          <w:p w14:paraId="460A2B4E"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 </w:t>
            </w:r>
          </w:p>
        </w:tc>
        <w:tc>
          <w:tcPr>
            <w:tcW w:w="1346" w:type="dxa"/>
            <w:tcBorders>
              <w:top w:val="nil"/>
              <w:left w:val="nil"/>
              <w:bottom w:val="single" w:sz="4" w:space="0" w:color="auto"/>
              <w:right w:val="single" w:sz="4" w:space="0" w:color="auto"/>
            </w:tcBorders>
            <w:shd w:val="clear" w:color="000000" w:fill="FFFF00"/>
            <w:noWrap/>
            <w:vAlign w:val="bottom"/>
            <w:hideMark/>
          </w:tcPr>
          <w:p w14:paraId="0F2C29C7"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0%</w:t>
            </w:r>
          </w:p>
        </w:tc>
        <w:tc>
          <w:tcPr>
            <w:tcW w:w="1162" w:type="dxa"/>
            <w:tcBorders>
              <w:top w:val="nil"/>
              <w:left w:val="nil"/>
              <w:bottom w:val="single" w:sz="4" w:space="0" w:color="auto"/>
              <w:right w:val="single" w:sz="4" w:space="0" w:color="auto"/>
            </w:tcBorders>
            <w:shd w:val="clear" w:color="000000" w:fill="8EA9DB"/>
            <w:noWrap/>
            <w:vAlign w:val="bottom"/>
            <w:hideMark/>
          </w:tcPr>
          <w:p w14:paraId="2C4B73FD"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 </w:t>
            </w:r>
          </w:p>
        </w:tc>
        <w:tc>
          <w:tcPr>
            <w:tcW w:w="1302" w:type="dxa"/>
            <w:tcBorders>
              <w:top w:val="nil"/>
              <w:left w:val="nil"/>
              <w:bottom w:val="single" w:sz="4" w:space="0" w:color="auto"/>
              <w:right w:val="single" w:sz="4" w:space="0" w:color="auto"/>
            </w:tcBorders>
            <w:shd w:val="clear" w:color="000000" w:fill="FFFF00"/>
            <w:noWrap/>
            <w:vAlign w:val="bottom"/>
            <w:hideMark/>
          </w:tcPr>
          <w:p w14:paraId="65AD6954"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13%</w:t>
            </w:r>
          </w:p>
        </w:tc>
        <w:tc>
          <w:tcPr>
            <w:tcW w:w="1162" w:type="dxa"/>
            <w:tcBorders>
              <w:top w:val="nil"/>
              <w:left w:val="nil"/>
              <w:bottom w:val="single" w:sz="4" w:space="0" w:color="auto"/>
              <w:right w:val="single" w:sz="4" w:space="0" w:color="auto"/>
            </w:tcBorders>
            <w:shd w:val="clear" w:color="000000" w:fill="8EA9DB"/>
            <w:noWrap/>
            <w:vAlign w:val="bottom"/>
            <w:hideMark/>
          </w:tcPr>
          <w:p w14:paraId="48AEB31A" w14:textId="77777777" w:rsidR="00D6712A" w:rsidRPr="00D6712A" w:rsidRDefault="00D6712A" w:rsidP="00D6712A">
            <w:pPr>
              <w:spacing w:after="0" w:line="240" w:lineRule="auto"/>
              <w:jc w:val="center"/>
              <w:rPr>
                <w:rFonts w:ascii="Calibri" w:eastAsia="Times New Roman" w:hAnsi="Calibri" w:cs="Calibri"/>
                <w:color w:val="000000"/>
              </w:rPr>
            </w:pPr>
            <w:r w:rsidRPr="00D6712A">
              <w:rPr>
                <w:rFonts w:ascii="Calibri" w:eastAsia="Times New Roman" w:hAnsi="Calibri" w:cs="Calibri"/>
                <w:color w:val="000000"/>
              </w:rPr>
              <w:t> </w:t>
            </w:r>
          </w:p>
        </w:tc>
      </w:tr>
    </w:tbl>
    <w:p w14:paraId="171A1DC1" w14:textId="1672BFB9" w:rsidR="000C0BE2" w:rsidRPr="000C0BE2" w:rsidRDefault="000C0BE2" w:rsidP="000C0BE2">
      <w:pPr>
        <w:pStyle w:val="NormalWeb"/>
        <w:spacing w:line="360" w:lineRule="auto"/>
        <w:jc w:val="both"/>
        <w:rPr>
          <w:rFonts w:ascii="Arial" w:hAnsi="Arial" w:cs="Arial"/>
        </w:rPr>
      </w:pPr>
      <w:r w:rsidRPr="000C0BE2">
        <w:rPr>
          <w:rFonts w:ascii="Arial" w:hAnsi="Arial" w:cs="Arial"/>
        </w:rPr>
        <w:t xml:space="preserve">In this table we examine a detailed capital budgeting analysis for General Electronics, evaluating a financial feasibility analysis for three investment options namely, Project A, Project B and Project C. As there is a </w:t>
      </w:r>
      <w:proofErr w:type="gramStart"/>
      <w:r w:rsidRPr="000C0BE2">
        <w:rPr>
          <w:rFonts w:ascii="Arial" w:hAnsi="Arial" w:cs="Arial"/>
        </w:rPr>
        <w:t>five year</w:t>
      </w:r>
      <w:proofErr w:type="gramEnd"/>
      <w:r w:rsidRPr="000C0BE2">
        <w:rPr>
          <w:rFonts w:ascii="Arial" w:hAnsi="Arial" w:cs="Arial"/>
        </w:rPr>
        <w:t xml:space="preserve"> time frame, the data presents the initial capital outlays, annual cash inflows and the corresponding Discounted Cash Flows (DCF).</w:t>
      </w:r>
    </w:p>
    <w:p w14:paraId="697EB8F6" w14:textId="5FF42584" w:rsidR="006D582B" w:rsidRPr="006D582B" w:rsidRDefault="000C0BE2" w:rsidP="000C0BE2">
      <w:pPr>
        <w:pStyle w:val="NormalWeb"/>
        <w:spacing w:line="360" w:lineRule="auto"/>
        <w:jc w:val="both"/>
        <w:rPr>
          <w:rFonts w:ascii="Arial" w:hAnsi="Arial" w:cs="Arial"/>
        </w:rPr>
      </w:pPr>
      <w:r w:rsidRPr="000C0BE2">
        <w:rPr>
          <w:rFonts w:ascii="Arial" w:hAnsi="Arial" w:cs="Arial"/>
        </w:rPr>
        <w:t>We apply some important appraisal measures, namely, Net Present Value (NPV), Profitability Index (PI) and Internal Rate of Return (IRR) to compare the projects. The results reveal wide variations in the potential returns: Project C appears to be the best investment in terms of the amount of money it earns, as it has the highest NPV (GBP4.23) and an IRR of 13%, whereas Project B is eliminated from the study because it is financially unviable as its NPV is negative and it has a zero rate of return.</w:t>
      </w:r>
    </w:p>
    <w:p w14:paraId="3D8AA456" w14:textId="77777777" w:rsidR="006D582B" w:rsidRPr="006D582B" w:rsidRDefault="006D582B" w:rsidP="00565E39">
      <w:pPr>
        <w:pStyle w:val="Heading2"/>
      </w:pPr>
      <w:bookmarkStart w:id="30" w:name="_Toc217082161"/>
      <w:r w:rsidRPr="006D582B">
        <w:rPr>
          <w:rStyle w:val="Strong"/>
          <w:rFonts w:cs="Arial"/>
          <w:b/>
          <w:bCs/>
        </w:rPr>
        <w:t xml:space="preserve">4.4 Accounting </w:t>
      </w:r>
      <w:r w:rsidRPr="00565E39">
        <w:rPr>
          <w:rStyle w:val="Strong"/>
          <w:b/>
          <w:bCs/>
        </w:rPr>
        <w:t>Rate</w:t>
      </w:r>
      <w:r w:rsidRPr="006D582B">
        <w:rPr>
          <w:rStyle w:val="Strong"/>
          <w:rFonts w:cs="Arial"/>
          <w:b/>
          <w:bCs/>
        </w:rPr>
        <w:t xml:space="preserve"> of Return (ARR)</w:t>
      </w:r>
      <w:bookmarkEnd w:id="30"/>
    </w:p>
    <w:p w14:paraId="0ACF5176"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t xml:space="preserve">The accounting rate of return evaluates average annual accounting profit as a proportion of the initial investment and is calculated using straight-line depreciation, as specified in </w:t>
      </w:r>
      <w:r w:rsidRPr="006D582B">
        <w:rPr>
          <w:rFonts w:ascii="Arial" w:hAnsi="Arial" w:cs="Arial"/>
        </w:rPr>
        <w:lastRenderedPageBreak/>
        <w:t>the brief. ARR is useful for assessing reported profitability, which is particularly relevant for General Electronics given its recent net losses and negative return on equity (Section 1).</w:t>
      </w:r>
    </w:p>
    <w:p w14:paraId="4E74C3A7"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t xml:space="preserve">The ARR calculations presented in </w:t>
      </w:r>
      <w:r w:rsidRPr="006D582B">
        <w:rPr>
          <w:rStyle w:val="Strong"/>
          <w:rFonts w:ascii="Arial" w:hAnsi="Arial" w:cs="Arial"/>
          <w:b w:val="0"/>
          <w:bCs w:val="0"/>
        </w:rPr>
        <w:t>Appendix C6</w:t>
      </w:r>
      <w:r w:rsidRPr="006D582B">
        <w:rPr>
          <w:rFonts w:ascii="Arial" w:hAnsi="Arial" w:cs="Arial"/>
        </w:rPr>
        <w:t xml:space="preserve"> indicate that </w:t>
      </w:r>
      <w:r w:rsidRPr="006D582B">
        <w:rPr>
          <w:rStyle w:val="Strong"/>
          <w:rFonts w:ascii="Arial" w:hAnsi="Arial" w:cs="Arial"/>
          <w:b w:val="0"/>
          <w:bCs w:val="0"/>
        </w:rPr>
        <w:t>Project C generates the highest</w:t>
      </w:r>
      <w:r w:rsidRPr="006D582B">
        <w:rPr>
          <w:rStyle w:val="Strong"/>
          <w:rFonts w:ascii="Arial" w:hAnsi="Arial" w:cs="Arial"/>
        </w:rPr>
        <w:t xml:space="preserve"> </w:t>
      </w:r>
      <w:r w:rsidRPr="006D582B">
        <w:rPr>
          <w:rStyle w:val="Strong"/>
          <w:rFonts w:ascii="Arial" w:hAnsi="Arial" w:cs="Arial"/>
          <w:b w:val="0"/>
          <w:bCs w:val="0"/>
        </w:rPr>
        <w:t>ARR (10.0%)</w:t>
      </w:r>
      <w:r w:rsidRPr="006D582B">
        <w:rPr>
          <w:rFonts w:ascii="Arial" w:hAnsi="Arial" w:cs="Arial"/>
        </w:rPr>
        <w:t xml:space="preserve">, due to its substantial total cash inflows relative to depreciation expense. </w:t>
      </w:r>
      <w:r w:rsidRPr="006D582B">
        <w:rPr>
          <w:rStyle w:val="Strong"/>
          <w:rFonts w:ascii="Arial" w:hAnsi="Arial" w:cs="Arial"/>
        </w:rPr>
        <w:t xml:space="preserve">Project </w:t>
      </w:r>
      <w:r w:rsidRPr="006D582B">
        <w:rPr>
          <w:rStyle w:val="Strong"/>
          <w:rFonts w:ascii="Arial" w:hAnsi="Arial" w:cs="Arial"/>
          <w:b w:val="0"/>
          <w:bCs w:val="0"/>
        </w:rPr>
        <w:t>A produces a moderate ARR of 7.0%</w:t>
      </w:r>
      <w:r w:rsidRPr="006D582B">
        <w:rPr>
          <w:rFonts w:ascii="Arial" w:hAnsi="Arial" w:cs="Arial"/>
          <w:b/>
          <w:bCs/>
        </w:rPr>
        <w:t>,</w:t>
      </w:r>
      <w:r w:rsidRPr="006D582B">
        <w:rPr>
          <w:rFonts w:ascii="Arial" w:hAnsi="Arial" w:cs="Arial"/>
        </w:rPr>
        <w:t xml:space="preserve"> while </w:t>
      </w:r>
      <w:r w:rsidRPr="006D582B">
        <w:rPr>
          <w:rStyle w:val="Strong"/>
          <w:rFonts w:ascii="Arial" w:hAnsi="Arial" w:cs="Arial"/>
          <w:b w:val="0"/>
          <w:bCs w:val="0"/>
        </w:rPr>
        <w:t>Project B yields an ARR of 0.0%</w:t>
      </w:r>
      <w:r w:rsidRPr="006D582B">
        <w:rPr>
          <w:rFonts w:ascii="Arial" w:hAnsi="Arial" w:cs="Arial"/>
          <w:b/>
          <w:bCs/>
        </w:rPr>
        <w:t>,</w:t>
      </w:r>
      <w:r w:rsidRPr="006D582B">
        <w:rPr>
          <w:rFonts w:ascii="Arial" w:hAnsi="Arial" w:cs="Arial"/>
        </w:rPr>
        <w:t xml:space="preserve"> as its total cash inflows only recover the initial investment without generating accounting profit.</w:t>
      </w:r>
    </w:p>
    <w:p w14:paraId="7082C8D0"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t>However, ARR relies on accounting profits rather than cash flows and ignores the timing of returns, making it less reliable for decision-making in financially stressed firms (Berk &amp; DeMarzo, 2023). Consequently, while Project C appears attractive under ARR, this result must be interpreted cautiously in light of liquidity and risk considerations.</w:t>
      </w:r>
    </w:p>
    <w:p w14:paraId="645ECA06" w14:textId="77777777" w:rsidR="006D582B" w:rsidRPr="006D582B" w:rsidRDefault="006D582B" w:rsidP="00565E39">
      <w:pPr>
        <w:pStyle w:val="Heading2"/>
      </w:pPr>
      <w:bookmarkStart w:id="31" w:name="_Toc217082162"/>
      <w:r w:rsidRPr="006D582B">
        <w:rPr>
          <w:rStyle w:val="Strong"/>
          <w:rFonts w:cs="Arial"/>
          <w:b/>
          <w:bCs/>
        </w:rPr>
        <w:t>4.5 Net Present Value (NPV)</w:t>
      </w:r>
      <w:bookmarkEnd w:id="31"/>
    </w:p>
    <w:p w14:paraId="237928C4"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t xml:space="preserve">Net present value is the most theoretically robust capital budgeting method, as it measures the absolute value added to the firm after accounting for the time value of money and the cost of capital (Ross, </w:t>
      </w:r>
      <w:proofErr w:type="spellStart"/>
      <w:r w:rsidRPr="006D582B">
        <w:rPr>
          <w:rFonts w:ascii="Arial" w:hAnsi="Arial" w:cs="Arial"/>
        </w:rPr>
        <w:t>Westerfield</w:t>
      </w:r>
      <w:proofErr w:type="spellEnd"/>
      <w:r w:rsidRPr="006D582B">
        <w:rPr>
          <w:rFonts w:ascii="Arial" w:hAnsi="Arial" w:cs="Arial"/>
        </w:rPr>
        <w:t>, &amp; Jordan, 2022). A positive NPV indicates that a project is expected to increase shareholder wealth.</w:t>
      </w:r>
    </w:p>
    <w:p w14:paraId="7A1D9FD8"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t xml:space="preserve">Using a discount rate of 10%, the NPVs for all three projects are calculated in </w:t>
      </w:r>
      <w:r w:rsidRPr="006D582B">
        <w:rPr>
          <w:rStyle w:val="Strong"/>
          <w:rFonts w:ascii="Arial" w:hAnsi="Arial" w:cs="Arial"/>
          <w:b w:val="0"/>
          <w:bCs w:val="0"/>
        </w:rPr>
        <w:t>Appendix C2–C4</w:t>
      </w:r>
      <w:r w:rsidRPr="006D582B">
        <w:rPr>
          <w:rFonts w:ascii="Arial" w:hAnsi="Arial" w:cs="Arial"/>
        </w:rPr>
        <w:t xml:space="preserve">. The results show that </w:t>
      </w:r>
      <w:r w:rsidRPr="006D582B">
        <w:rPr>
          <w:rStyle w:val="Strong"/>
          <w:rFonts w:ascii="Arial" w:hAnsi="Arial" w:cs="Arial"/>
          <w:b w:val="0"/>
          <w:bCs w:val="0"/>
        </w:rPr>
        <w:t>Project C delivers the highest NPV (£4.225m)</w:t>
      </w:r>
      <w:r w:rsidRPr="006D582B">
        <w:rPr>
          <w:rFonts w:ascii="Arial" w:hAnsi="Arial" w:cs="Arial"/>
        </w:rPr>
        <w:t xml:space="preserve">, reflecting substantial discounted cash inflows in later years. </w:t>
      </w:r>
      <w:r w:rsidRPr="006D582B">
        <w:rPr>
          <w:rStyle w:val="Strong"/>
          <w:rFonts w:ascii="Arial" w:hAnsi="Arial" w:cs="Arial"/>
          <w:b w:val="0"/>
          <w:bCs w:val="0"/>
        </w:rPr>
        <w:t>Project A also produces a positive NPV (£1.323m)</w:t>
      </w:r>
      <w:r w:rsidRPr="006D582B">
        <w:rPr>
          <w:rFonts w:ascii="Arial" w:hAnsi="Arial" w:cs="Arial"/>
        </w:rPr>
        <w:t xml:space="preserve">, while </w:t>
      </w:r>
      <w:r w:rsidRPr="006D582B">
        <w:rPr>
          <w:rStyle w:val="Strong"/>
          <w:rFonts w:ascii="Arial" w:hAnsi="Arial" w:cs="Arial"/>
          <w:b w:val="0"/>
          <w:bCs w:val="0"/>
        </w:rPr>
        <w:t>Project B generates a negative NPV (–£7.256m)</w:t>
      </w:r>
      <w:r w:rsidRPr="006D582B">
        <w:rPr>
          <w:rFonts w:ascii="Arial" w:hAnsi="Arial" w:cs="Arial"/>
        </w:rPr>
        <w:t>, indicating value destruction at the assumed cost of capital.</w:t>
      </w:r>
    </w:p>
    <w:p w14:paraId="5D8A2DF5"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t xml:space="preserve">From a pure value </w:t>
      </w:r>
      <w:proofErr w:type="spellStart"/>
      <w:r w:rsidRPr="006D582B">
        <w:rPr>
          <w:rFonts w:ascii="Arial" w:hAnsi="Arial" w:cs="Arial"/>
        </w:rPr>
        <w:t>maximisation</w:t>
      </w:r>
      <w:proofErr w:type="spellEnd"/>
      <w:r w:rsidRPr="006D582B">
        <w:rPr>
          <w:rFonts w:ascii="Arial" w:hAnsi="Arial" w:cs="Arial"/>
        </w:rPr>
        <w:t xml:space="preserve"> perspective, Project C appears superior. However, the timing of its cash inflows exposes the firm to greater uncertainty and reinvestment risk, which is problematic given General Electronics’ recent operating losses and weak interest coverage ratios (Section 1).</w:t>
      </w:r>
    </w:p>
    <w:p w14:paraId="19120006" w14:textId="77777777" w:rsidR="006D582B" w:rsidRPr="006D582B" w:rsidRDefault="006D582B" w:rsidP="00565E39">
      <w:pPr>
        <w:pStyle w:val="Heading2"/>
      </w:pPr>
      <w:bookmarkStart w:id="32" w:name="_Toc217082163"/>
      <w:r w:rsidRPr="006D582B">
        <w:rPr>
          <w:rStyle w:val="Strong"/>
          <w:rFonts w:cs="Arial"/>
          <w:b/>
          <w:bCs/>
        </w:rPr>
        <w:lastRenderedPageBreak/>
        <w:t xml:space="preserve">4.6 Profitability </w:t>
      </w:r>
      <w:r w:rsidRPr="00565E39">
        <w:rPr>
          <w:rStyle w:val="Strong"/>
          <w:b/>
          <w:bCs/>
        </w:rPr>
        <w:t>Index</w:t>
      </w:r>
      <w:r w:rsidRPr="006D582B">
        <w:rPr>
          <w:rStyle w:val="Strong"/>
          <w:rFonts w:cs="Arial"/>
          <w:b/>
          <w:bCs/>
        </w:rPr>
        <w:t xml:space="preserve"> (PI)</w:t>
      </w:r>
      <w:bookmarkEnd w:id="32"/>
    </w:p>
    <w:p w14:paraId="6297AEDC"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t>The profitability index measures the present value of future cash inflows per pound invested and is particularly useful under capital rationing, where investment funds are limited (Keown, Martin, &amp; Petty, 2024). Since General Electronics can invest a maximum of £60 million, PI plays a critical role in project selection.</w:t>
      </w:r>
    </w:p>
    <w:p w14:paraId="701C0F1A"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t xml:space="preserve">As shown in </w:t>
      </w:r>
      <w:r w:rsidRPr="006D582B">
        <w:rPr>
          <w:rStyle w:val="Strong"/>
          <w:rFonts w:ascii="Arial" w:hAnsi="Arial" w:cs="Arial"/>
          <w:b w:val="0"/>
          <w:bCs w:val="0"/>
        </w:rPr>
        <w:t>Appendix C</w:t>
      </w:r>
      <w:r w:rsidRPr="006D582B">
        <w:rPr>
          <w:rFonts w:ascii="Arial" w:hAnsi="Arial" w:cs="Arial"/>
          <w:b/>
          <w:bCs/>
        </w:rPr>
        <w:t xml:space="preserve">, </w:t>
      </w:r>
      <w:r w:rsidRPr="006D582B">
        <w:rPr>
          <w:rStyle w:val="Strong"/>
          <w:rFonts w:ascii="Arial" w:hAnsi="Arial" w:cs="Arial"/>
          <w:b w:val="0"/>
          <w:bCs w:val="0"/>
        </w:rPr>
        <w:t>Project C achieves the highest PI (1.08)</w:t>
      </w:r>
      <w:r w:rsidRPr="006D582B">
        <w:rPr>
          <w:rFonts w:ascii="Arial" w:hAnsi="Arial" w:cs="Arial"/>
        </w:rPr>
        <w:t xml:space="preserve">, followed by </w:t>
      </w:r>
      <w:r w:rsidRPr="006D582B">
        <w:rPr>
          <w:rStyle w:val="Strong"/>
          <w:rFonts w:ascii="Arial" w:hAnsi="Arial" w:cs="Arial"/>
          <w:b w:val="0"/>
          <w:bCs w:val="0"/>
        </w:rPr>
        <w:t>Project A (1.03)</w:t>
      </w:r>
      <w:r w:rsidRPr="006D582B">
        <w:rPr>
          <w:rFonts w:ascii="Arial" w:hAnsi="Arial" w:cs="Arial"/>
          <w:b/>
          <w:bCs/>
        </w:rPr>
        <w:t xml:space="preserve">, </w:t>
      </w:r>
      <w:r w:rsidRPr="006D582B">
        <w:rPr>
          <w:rFonts w:ascii="Arial" w:hAnsi="Arial" w:cs="Arial"/>
        </w:rPr>
        <w:t>while</w:t>
      </w:r>
      <w:r w:rsidRPr="006D582B">
        <w:rPr>
          <w:rFonts w:ascii="Arial" w:hAnsi="Arial" w:cs="Arial"/>
          <w:b/>
          <w:bCs/>
        </w:rPr>
        <w:t xml:space="preserve"> </w:t>
      </w:r>
      <w:r w:rsidRPr="006D582B">
        <w:rPr>
          <w:rStyle w:val="Strong"/>
          <w:rFonts w:ascii="Arial" w:hAnsi="Arial" w:cs="Arial"/>
          <w:b w:val="0"/>
          <w:bCs w:val="0"/>
        </w:rPr>
        <w:t>Project B has a PI below unity (0.76)</w:t>
      </w:r>
      <w:r w:rsidRPr="006D582B">
        <w:rPr>
          <w:rFonts w:ascii="Arial" w:hAnsi="Arial" w:cs="Arial"/>
        </w:rPr>
        <w:t>. This indicates that Projects A and C create value per pound invested, whereas Project B fails to meet the minimum acceptability threshold.</w:t>
      </w:r>
    </w:p>
    <w:p w14:paraId="7F7C48D6"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t>Although Project C is the most capital-efficient in PI terms, its large initial outlay and delayed cash inflows raise concerns under capital rationing. Therefore, PI results must be interpreted alongside liquidity risk and financial stability considerations.</w:t>
      </w:r>
    </w:p>
    <w:p w14:paraId="5E032543" w14:textId="77777777" w:rsidR="006D582B" w:rsidRPr="006D582B" w:rsidRDefault="006D582B" w:rsidP="00565E39">
      <w:pPr>
        <w:pStyle w:val="Heading2"/>
      </w:pPr>
      <w:bookmarkStart w:id="33" w:name="_Toc217082164"/>
      <w:r w:rsidRPr="006D582B">
        <w:rPr>
          <w:rStyle w:val="Strong"/>
          <w:rFonts w:cs="Arial"/>
          <w:b/>
          <w:bCs/>
        </w:rPr>
        <w:t xml:space="preserve">4.7 Internal </w:t>
      </w:r>
      <w:r w:rsidRPr="00565E39">
        <w:rPr>
          <w:rStyle w:val="Strong"/>
          <w:b/>
          <w:bCs/>
        </w:rPr>
        <w:t>Rate</w:t>
      </w:r>
      <w:r w:rsidRPr="006D582B">
        <w:rPr>
          <w:rStyle w:val="Strong"/>
          <w:rFonts w:cs="Arial"/>
          <w:b/>
          <w:bCs/>
        </w:rPr>
        <w:t xml:space="preserve"> of Return (IRR)</w:t>
      </w:r>
      <w:bookmarkEnd w:id="33"/>
    </w:p>
    <w:p w14:paraId="39B96E5B"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t>The internal rate of return represents the discount rate at which a project’s NPV equals zero and is commonly compared against the firm’s cost of capital (Brigham &amp; Ehrhardt, 2023). Projects with IRRs exceeding the discount rate are considered acceptable.</w:t>
      </w:r>
    </w:p>
    <w:p w14:paraId="19CB6BEF" w14:textId="2890C860" w:rsidR="006D582B" w:rsidRPr="006D582B" w:rsidRDefault="006D582B" w:rsidP="006D582B">
      <w:pPr>
        <w:pStyle w:val="NormalWeb"/>
        <w:spacing w:line="360" w:lineRule="auto"/>
        <w:jc w:val="both"/>
        <w:rPr>
          <w:rFonts w:ascii="Arial" w:hAnsi="Arial" w:cs="Arial"/>
        </w:rPr>
      </w:pPr>
      <w:r w:rsidRPr="006D582B">
        <w:rPr>
          <w:rFonts w:ascii="Arial" w:hAnsi="Arial" w:cs="Arial"/>
        </w:rPr>
        <w:t xml:space="preserve">The IRR results in </w:t>
      </w:r>
      <w:r w:rsidRPr="006D582B">
        <w:rPr>
          <w:rStyle w:val="Strong"/>
          <w:rFonts w:ascii="Arial" w:hAnsi="Arial" w:cs="Arial"/>
          <w:b w:val="0"/>
          <w:bCs w:val="0"/>
        </w:rPr>
        <w:t>Appendix C7</w:t>
      </w:r>
      <w:r w:rsidRPr="006D582B">
        <w:rPr>
          <w:rFonts w:ascii="Arial" w:hAnsi="Arial" w:cs="Arial"/>
          <w:b/>
          <w:bCs/>
        </w:rPr>
        <w:t xml:space="preserve"> </w:t>
      </w:r>
      <w:r w:rsidRPr="006D582B">
        <w:rPr>
          <w:rFonts w:ascii="Arial" w:hAnsi="Arial" w:cs="Arial"/>
        </w:rPr>
        <w:t xml:space="preserve">indicate that </w:t>
      </w:r>
      <w:r w:rsidRPr="006D582B">
        <w:rPr>
          <w:rStyle w:val="Strong"/>
          <w:rFonts w:ascii="Arial" w:hAnsi="Arial" w:cs="Arial"/>
          <w:b w:val="0"/>
          <w:bCs w:val="0"/>
        </w:rPr>
        <w:t>Project C has the highest IRR (approximately 12.</w:t>
      </w:r>
      <w:r w:rsidR="00A71BAB">
        <w:rPr>
          <w:rStyle w:val="Strong"/>
          <w:rFonts w:ascii="Arial" w:hAnsi="Arial" w:cs="Arial"/>
          <w:b w:val="0"/>
          <w:bCs w:val="0"/>
        </w:rPr>
        <w:t>7</w:t>
      </w:r>
      <w:r w:rsidRPr="006D582B">
        <w:rPr>
          <w:rStyle w:val="Strong"/>
          <w:rFonts w:ascii="Arial" w:hAnsi="Arial" w:cs="Arial"/>
          <w:b w:val="0"/>
          <w:bCs w:val="0"/>
        </w:rPr>
        <w:t>%)</w:t>
      </w:r>
      <w:r w:rsidRPr="006D582B">
        <w:rPr>
          <w:rFonts w:ascii="Arial" w:hAnsi="Arial" w:cs="Arial"/>
        </w:rPr>
        <w:t xml:space="preserve">, followed by </w:t>
      </w:r>
      <w:r w:rsidRPr="006D582B">
        <w:rPr>
          <w:rStyle w:val="Strong"/>
          <w:rFonts w:ascii="Arial" w:hAnsi="Arial" w:cs="Arial"/>
          <w:b w:val="0"/>
          <w:bCs w:val="0"/>
        </w:rPr>
        <w:t>Project A (approximately 11.</w:t>
      </w:r>
      <w:r w:rsidR="00A71BAB">
        <w:rPr>
          <w:rStyle w:val="Strong"/>
          <w:rFonts w:ascii="Arial" w:hAnsi="Arial" w:cs="Arial"/>
          <w:b w:val="0"/>
          <w:bCs w:val="0"/>
        </w:rPr>
        <w:t>3</w:t>
      </w:r>
      <w:r w:rsidRPr="006D582B">
        <w:rPr>
          <w:rStyle w:val="Strong"/>
          <w:rFonts w:ascii="Arial" w:hAnsi="Arial" w:cs="Arial"/>
          <w:b w:val="0"/>
          <w:bCs w:val="0"/>
        </w:rPr>
        <w:t>%)</w:t>
      </w:r>
      <w:r w:rsidRPr="006D582B">
        <w:rPr>
          <w:rFonts w:ascii="Arial" w:hAnsi="Arial" w:cs="Arial"/>
        </w:rPr>
        <w:t xml:space="preserve">. In contrast, </w:t>
      </w:r>
      <w:r w:rsidRPr="006D582B">
        <w:rPr>
          <w:rStyle w:val="Strong"/>
          <w:rFonts w:ascii="Arial" w:hAnsi="Arial" w:cs="Arial"/>
          <w:b w:val="0"/>
          <w:bCs w:val="0"/>
        </w:rPr>
        <w:t>Project B has an IRR of approximately 5.0%</w:t>
      </w:r>
      <w:r w:rsidRPr="006D582B">
        <w:rPr>
          <w:rFonts w:ascii="Arial" w:hAnsi="Arial" w:cs="Arial"/>
        </w:rPr>
        <w:t xml:space="preserve">, which is </w:t>
      </w:r>
      <w:r w:rsidRPr="006D582B">
        <w:rPr>
          <w:rStyle w:val="Strong"/>
          <w:rFonts w:ascii="Arial" w:hAnsi="Arial" w:cs="Arial"/>
          <w:b w:val="0"/>
          <w:bCs w:val="0"/>
        </w:rPr>
        <w:t>below</w:t>
      </w:r>
      <w:r w:rsidRPr="006D582B">
        <w:rPr>
          <w:rFonts w:ascii="Arial" w:hAnsi="Arial" w:cs="Arial"/>
        </w:rPr>
        <w:t xml:space="preserve"> the assumed cost of capital of 10% and therefore fails the IRR acceptability criterion.</w:t>
      </w:r>
    </w:p>
    <w:p w14:paraId="2BF85F41"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t>This divergence highlights a key limitation of IRR: while it is useful for assessing relative efficiency, it can conflict with NPV rankings and should not be used in isolation, particularly under capital rationing (Berk &amp; DeMarzo, 2023).</w:t>
      </w:r>
    </w:p>
    <w:p w14:paraId="726B19A0" w14:textId="77777777" w:rsidR="006D582B" w:rsidRPr="006D582B" w:rsidRDefault="006D582B" w:rsidP="00565E39">
      <w:pPr>
        <w:pStyle w:val="Heading2"/>
      </w:pPr>
      <w:bookmarkStart w:id="34" w:name="_Toc217082165"/>
      <w:r w:rsidRPr="006D582B">
        <w:rPr>
          <w:rStyle w:val="Strong"/>
          <w:rFonts w:cs="Arial"/>
          <w:b/>
          <w:bCs/>
        </w:rPr>
        <w:t xml:space="preserve">4.8 Capital </w:t>
      </w:r>
      <w:r w:rsidRPr="00565E39">
        <w:rPr>
          <w:rStyle w:val="Strong"/>
          <w:b/>
          <w:bCs/>
        </w:rPr>
        <w:t>Rationing</w:t>
      </w:r>
      <w:r w:rsidRPr="006D582B">
        <w:rPr>
          <w:rStyle w:val="Strong"/>
          <w:rFonts w:cs="Arial"/>
          <w:b/>
          <w:bCs/>
        </w:rPr>
        <w:t xml:space="preserve"> and Project Selection</w:t>
      </w:r>
      <w:bookmarkEnd w:id="34"/>
    </w:p>
    <w:p w14:paraId="11C3073D"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lastRenderedPageBreak/>
        <w:t xml:space="preserve">Under the capital rationing constraint of £60 million, General Electronics cannot undertake all three projects simultaneously. Selecting Projects, A and C together would require £90 million and is therefore infeasible. The feasible options are either selecting </w:t>
      </w:r>
      <w:r w:rsidRPr="006D582B">
        <w:rPr>
          <w:rStyle w:val="Strong"/>
          <w:rFonts w:ascii="Arial" w:hAnsi="Arial" w:cs="Arial"/>
          <w:b w:val="0"/>
          <w:bCs w:val="0"/>
        </w:rPr>
        <w:t>Project C alone (£50m)</w:t>
      </w:r>
      <w:r w:rsidRPr="006D582B">
        <w:rPr>
          <w:rFonts w:ascii="Arial" w:hAnsi="Arial" w:cs="Arial"/>
        </w:rPr>
        <w:t xml:space="preserve"> or </w:t>
      </w:r>
      <w:r w:rsidRPr="006D582B">
        <w:rPr>
          <w:rStyle w:val="Strong"/>
          <w:rFonts w:ascii="Arial" w:hAnsi="Arial" w:cs="Arial"/>
          <w:b w:val="0"/>
          <w:bCs w:val="0"/>
        </w:rPr>
        <w:t>Project A alone (£40m)</w:t>
      </w:r>
      <w:r w:rsidRPr="006D582B">
        <w:rPr>
          <w:rFonts w:ascii="Arial" w:hAnsi="Arial" w:cs="Arial"/>
        </w:rPr>
        <w:t>.</w:t>
      </w:r>
    </w:p>
    <w:p w14:paraId="01F9693C" w14:textId="77777777" w:rsidR="006D582B" w:rsidRPr="006D582B" w:rsidRDefault="006D582B" w:rsidP="006D582B">
      <w:pPr>
        <w:pStyle w:val="NormalWeb"/>
        <w:spacing w:line="360" w:lineRule="auto"/>
        <w:jc w:val="both"/>
        <w:rPr>
          <w:rFonts w:ascii="Arial" w:hAnsi="Arial" w:cs="Arial"/>
        </w:rPr>
      </w:pPr>
      <w:r w:rsidRPr="006D582B">
        <w:rPr>
          <w:rFonts w:ascii="Arial" w:hAnsi="Arial" w:cs="Arial"/>
        </w:rPr>
        <w:t>Although Project C offers the highest NPV and PI, it absorbs a substantial proportion of available capital and exhibits significant cash flow volatility. Given the firm’s weak liquidity position and elevated financial risk, committing to a single large, back-loaded project would materially increase exposure to downside risk.</w:t>
      </w:r>
    </w:p>
    <w:p w14:paraId="5846CD81" w14:textId="192170EB" w:rsidR="006D582B" w:rsidRPr="006D582B" w:rsidRDefault="006D582B" w:rsidP="006D582B">
      <w:pPr>
        <w:pStyle w:val="NormalWeb"/>
        <w:spacing w:line="360" w:lineRule="auto"/>
        <w:jc w:val="both"/>
        <w:rPr>
          <w:rFonts w:ascii="Arial" w:hAnsi="Arial" w:cs="Arial"/>
        </w:rPr>
      </w:pPr>
      <w:r w:rsidRPr="006D582B">
        <w:rPr>
          <w:rFonts w:ascii="Arial" w:hAnsi="Arial" w:cs="Arial"/>
        </w:rPr>
        <w:t>Accordingly, as it provides positive NPV, acceptable IRR, the shortest payback period, and more balanced cash flow timing.</w:t>
      </w:r>
    </w:p>
    <w:p w14:paraId="2F46BC3D" w14:textId="77777777" w:rsidR="006D582B" w:rsidRPr="006D582B" w:rsidRDefault="006D582B" w:rsidP="00565E39">
      <w:pPr>
        <w:pStyle w:val="Heading2"/>
      </w:pPr>
      <w:bookmarkStart w:id="35" w:name="_Toc217082166"/>
      <w:r w:rsidRPr="006D582B">
        <w:rPr>
          <w:rStyle w:val="Strong"/>
          <w:rFonts w:cs="Arial"/>
          <w:b/>
          <w:bCs/>
        </w:rPr>
        <w:t xml:space="preserve">4.9 </w:t>
      </w:r>
      <w:r w:rsidRPr="00565E39">
        <w:rPr>
          <w:rStyle w:val="Strong"/>
          <w:b/>
          <w:bCs/>
        </w:rPr>
        <w:t>Financial</w:t>
      </w:r>
      <w:r w:rsidRPr="006D582B">
        <w:rPr>
          <w:rStyle w:val="Strong"/>
          <w:rFonts w:cs="Arial"/>
          <w:b/>
          <w:bCs/>
        </w:rPr>
        <w:t xml:space="preserve"> Performance and Risk-Based Justification</w:t>
      </w:r>
      <w:bookmarkEnd w:id="35"/>
    </w:p>
    <w:p w14:paraId="17B7943B" w14:textId="188DB9C0" w:rsidR="002E7F93" w:rsidRPr="002E7F93" w:rsidRDefault="002E7F93" w:rsidP="002E7F93">
      <w:pPr>
        <w:pStyle w:val="Heading2"/>
        <w:spacing w:line="360" w:lineRule="auto"/>
        <w:jc w:val="both"/>
        <w:rPr>
          <w:rFonts w:cs="Arial"/>
          <w:b w:val="0"/>
          <w:bCs w:val="0"/>
          <w:sz w:val="24"/>
          <w:szCs w:val="24"/>
        </w:rPr>
      </w:pPr>
      <w:bookmarkStart w:id="36" w:name="_Toc217082167"/>
      <w:r w:rsidRPr="002E7F93">
        <w:rPr>
          <w:rFonts w:cs="Arial"/>
          <w:b w:val="0"/>
          <w:bCs w:val="0"/>
          <w:sz w:val="24"/>
          <w:szCs w:val="24"/>
        </w:rPr>
        <w:t>This suggestion to focus on Project A is quite logical in the light of the present financial situation of General Electronics. In Section 1 above we find the profit of the company sliding, its operating margins are negative, and its cash of operations are weakening. Their liquidity ratios continue to pass through the big red flag thresholds, but the trend is negative, meaning that it is unable to afford large delays in the inflow of cash.</w:t>
      </w:r>
    </w:p>
    <w:p w14:paraId="38DD4732" w14:textId="3547ACAD" w:rsidR="002E7F93" w:rsidRPr="002E7F93" w:rsidRDefault="002E7F93" w:rsidP="002E7F93">
      <w:pPr>
        <w:pStyle w:val="Heading2"/>
        <w:spacing w:line="360" w:lineRule="auto"/>
        <w:jc w:val="both"/>
        <w:rPr>
          <w:rFonts w:cs="Arial"/>
          <w:b w:val="0"/>
          <w:bCs w:val="0"/>
          <w:sz w:val="24"/>
          <w:szCs w:val="24"/>
        </w:rPr>
      </w:pPr>
      <w:r w:rsidRPr="002E7F93">
        <w:rPr>
          <w:rFonts w:cs="Arial"/>
          <w:b w:val="0"/>
          <w:bCs w:val="0"/>
          <w:sz w:val="24"/>
          <w:szCs w:val="24"/>
        </w:rPr>
        <w:t>Risk-wise, Project C has a ton of cash-flow volatility where most of the funds will come in the future. Such a schedule increases the probabilities of predicting errors, economic instability, and hiccups in the operation. In comparison, Project A will provide cash sooner and in a more consistent manner, taking the strain off of liquidity and keeping the business afloat.</w:t>
      </w:r>
    </w:p>
    <w:p w14:paraId="200958FB" w14:textId="77777777" w:rsidR="002E7F93" w:rsidRDefault="002E7F93" w:rsidP="002E7F93">
      <w:pPr>
        <w:pStyle w:val="Heading2"/>
        <w:spacing w:line="360" w:lineRule="auto"/>
        <w:jc w:val="both"/>
        <w:rPr>
          <w:rFonts w:cs="Arial"/>
          <w:b w:val="0"/>
          <w:bCs w:val="0"/>
          <w:sz w:val="24"/>
          <w:szCs w:val="24"/>
        </w:rPr>
      </w:pPr>
      <w:r w:rsidRPr="002E7F93">
        <w:rPr>
          <w:rFonts w:cs="Arial"/>
          <w:b w:val="0"/>
          <w:bCs w:val="0"/>
          <w:sz w:val="24"/>
          <w:szCs w:val="24"/>
        </w:rPr>
        <w:t>Project B is operating well but failing to meet the NPV, PI, or IRR criteria thus not contributing much strategic value. Altogether, Project A offers the most appropriate combination of return, liquidity and risk.</w:t>
      </w:r>
    </w:p>
    <w:p w14:paraId="63A75601" w14:textId="74E56966" w:rsidR="006D582B" w:rsidRPr="006D582B" w:rsidRDefault="006D582B" w:rsidP="002E7F93">
      <w:pPr>
        <w:pStyle w:val="Heading2"/>
      </w:pPr>
      <w:r w:rsidRPr="006D582B">
        <w:rPr>
          <w:rStyle w:val="Strong"/>
          <w:rFonts w:cs="Arial"/>
          <w:b/>
          <w:bCs/>
        </w:rPr>
        <w:t xml:space="preserve">4.10 Overall </w:t>
      </w:r>
      <w:r w:rsidRPr="00565E39">
        <w:rPr>
          <w:rStyle w:val="Strong"/>
          <w:b/>
          <w:bCs/>
        </w:rPr>
        <w:t>Summary</w:t>
      </w:r>
      <w:bookmarkEnd w:id="36"/>
    </w:p>
    <w:p w14:paraId="2B89B308" w14:textId="5B405F29" w:rsidR="00F74FE6" w:rsidRDefault="004F5AEB" w:rsidP="004F5AEB">
      <w:pPr>
        <w:spacing w:line="360" w:lineRule="auto"/>
        <w:jc w:val="both"/>
        <w:rPr>
          <w:rStyle w:val="Strong"/>
          <w:rFonts w:ascii="Arial" w:eastAsia="Times New Roman" w:hAnsi="Arial" w:cs="Times New Roman"/>
          <w:sz w:val="28"/>
          <w:szCs w:val="36"/>
        </w:rPr>
      </w:pPr>
      <w:r w:rsidRPr="004F5AEB">
        <w:rPr>
          <w:rFonts w:ascii="Arial" w:eastAsia="Times New Roman" w:hAnsi="Arial" w:cs="Arial"/>
          <w:sz w:val="24"/>
          <w:szCs w:val="24"/>
        </w:rPr>
        <w:lastRenderedPageBreak/>
        <w:t xml:space="preserve">This section presented an assessment of three proposed investment projects application of various capital budgeting techniques with a capital rationing requirement. Although the 3 projects </w:t>
      </w:r>
      <w:proofErr w:type="gramStart"/>
      <w:r w:rsidRPr="004F5AEB">
        <w:rPr>
          <w:rFonts w:ascii="Arial" w:eastAsia="Times New Roman" w:hAnsi="Arial" w:cs="Arial"/>
          <w:sz w:val="24"/>
          <w:szCs w:val="24"/>
        </w:rPr>
        <w:t>( projects</w:t>
      </w:r>
      <w:proofErr w:type="gramEnd"/>
      <w:r w:rsidRPr="004F5AEB">
        <w:rPr>
          <w:rFonts w:ascii="Arial" w:eastAsia="Times New Roman" w:hAnsi="Arial" w:cs="Arial"/>
          <w:sz w:val="24"/>
          <w:szCs w:val="24"/>
        </w:rPr>
        <w:t xml:space="preserve"> A and C ) were quite acceptable on various grounds regarding finance, distinct variations were observed in value creation, capital efficiency and risk exposure. Project C had the largest NPV and PI, yet entailed large capital investment and slower cash flow. Project B did not conform to important value-based requirements. Project A has provided positive NPV, acceptable IRR, the lowest payback period and a balanced profile of the cash flow. Since General Electronics shows deteriorating profitability and a weak liquidity position, as well as a high level of financial risk, the best investment option is Project A. It optimizes the value creation and maintains liquidity and minimising the exposure to uncertainty of the cash flow which will provide the capital allocation decisions with the current financial limitations and recovery goals of the firm.</w:t>
      </w:r>
      <w:r w:rsidR="00F74FE6">
        <w:rPr>
          <w:rStyle w:val="Strong"/>
          <w:b w:val="0"/>
          <w:bCs w:val="0"/>
        </w:rPr>
        <w:br w:type="page"/>
      </w:r>
    </w:p>
    <w:p w14:paraId="388A0419" w14:textId="57C494B4" w:rsidR="00F74FE6" w:rsidRDefault="00F74FE6" w:rsidP="00565E39">
      <w:pPr>
        <w:pStyle w:val="Heading1"/>
      </w:pPr>
      <w:bookmarkStart w:id="37" w:name="_Toc217082168"/>
      <w:r w:rsidRPr="00565E39">
        <w:rPr>
          <w:rStyle w:val="Strong"/>
          <w:b/>
          <w:bCs/>
        </w:rPr>
        <w:lastRenderedPageBreak/>
        <w:t>Conclusion</w:t>
      </w:r>
      <w:bookmarkEnd w:id="37"/>
      <w:r>
        <w:rPr>
          <w:rStyle w:val="Strong"/>
          <w:b/>
          <w:bCs/>
        </w:rPr>
        <w:t xml:space="preserve"> </w:t>
      </w:r>
    </w:p>
    <w:p w14:paraId="6F6121D6" w14:textId="1DA35D9C" w:rsidR="00D13CC7" w:rsidRPr="00D13CC7" w:rsidRDefault="00D13CC7" w:rsidP="00D13CC7">
      <w:pPr>
        <w:pStyle w:val="NormalWeb"/>
        <w:spacing w:line="360" w:lineRule="auto"/>
        <w:rPr>
          <w:rFonts w:ascii="Arial" w:hAnsi="Arial" w:cs="Arial"/>
        </w:rPr>
      </w:pPr>
      <w:r w:rsidRPr="00D13CC7">
        <w:rPr>
          <w:rFonts w:ascii="Arial" w:hAnsi="Arial" w:cs="Arial"/>
        </w:rPr>
        <w:t xml:space="preserve">On the whole, it can be seen that General Electronics is struggling with a host of financial troubles such as declining profits, low cash flows, and increased leverage. The short-term solvency and bankruptcy risks appear to be not very difficult, but the actual pain is in the daily operations and working-capital productivity, which jeopardizes the long-term perspective.  </w:t>
      </w:r>
    </w:p>
    <w:p w14:paraId="607C4FF3" w14:textId="7C5C0580" w:rsidR="00F74FE6" w:rsidRPr="006D582B" w:rsidRDefault="00D13CC7" w:rsidP="00D13CC7">
      <w:pPr>
        <w:pStyle w:val="NormalWeb"/>
        <w:spacing w:line="360" w:lineRule="auto"/>
        <w:jc w:val="both"/>
        <w:rPr>
          <w:rFonts w:ascii="Arial" w:hAnsi="Arial" w:cs="Arial"/>
        </w:rPr>
      </w:pPr>
      <w:r w:rsidRPr="00D13CC7">
        <w:rPr>
          <w:rFonts w:ascii="Arial" w:hAnsi="Arial" w:cs="Arial"/>
        </w:rPr>
        <w:t xml:space="preserve">The financial restructuring plan addresses these pain points with selling of assets, increasing equity, and working together in a strategic manner. We have also together with that, conducted an elaborate capital budgeting exercise to identify the most appropriate projects in times when finances are limited. Combined, the recommendations aim at maintaining liquidity, reducing risk and generation of value, providing a sound direction of </w:t>
      </w:r>
      <w:proofErr w:type="spellStart"/>
      <w:r w:rsidRPr="00D13CC7">
        <w:rPr>
          <w:rFonts w:ascii="Arial" w:hAnsi="Arial" w:cs="Arial"/>
        </w:rPr>
        <w:t>stabilisation</w:t>
      </w:r>
      <w:proofErr w:type="spellEnd"/>
      <w:r w:rsidRPr="00D13CC7">
        <w:rPr>
          <w:rFonts w:ascii="Arial" w:hAnsi="Arial" w:cs="Arial"/>
        </w:rPr>
        <w:t xml:space="preserve"> and gradual recovery in a difficult world market.</w:t>
      </w:r>
    </w:p>
    <w:p w14:paraId="7CA835CC" w14:textId="77777777" w:rsidR="00255E4E" w:rsidRDefault="00255E4E"/>
    <w:p w14:paraId="2BDC3650" w14:textId="77777777" w:rsidR="00F74FE6" w:rsidRDefault="00F74FE6">
      <w:pPr>
        <w:rPr>
          <w:rFonts w:ascii="Arial" w:eastAsia="Times New Roman" w:hAnsi="Arial" w:cs="Times New Roman"/>
          <w:b/>
          <w:bCs/>
          <w:sz w:val="28"/>
          <w:szCs w:val="36"/>
        </w:rPr>
      </w:pPr>
      <w:r>
        <w:br w:type="page"/>
      </w:r>
    </w:p>
    <w:p w14:paraId="0D6DABEC" w14:textId="681940EA" w:rsidR="00EE0927" w:rsidRPr="00F74FE6" w:rsidRDefault="00EE0927" w:rsidP="00EE0927">
      <w:pPr>
        <w:pStyle w:val="Heading2"/>
        <w:rPr>
          <w:rFonts w:cs="Arial"/>
        </w:rPr>
      </w:pPr>
      <w:bookmarkStart w:id="38" w:name="_Toc217082169"/>
      <w:r w:rsidRPr="00F74FE6">
        <w:rPr>
          <w:rFonts w:cs="Arial"/>
        </w:rPr>
        <w:lastRenderedPageBreak/>
        <w:t>References</w:t>
      </w:r>
      <w:bookmarkEnd w:id="38"/>
      <w:r w:rsidRPr="00F74FE6">
        <w:rPr>
          <w:rFonts w:cs="Arial"/>
        </w:rPr>
        <w:t xml:space="preserve"> </w:t>
      </w:r>
    </w:p>
    <w:p w14:paraId="07C861E7" w14:textId="77777777" w:rsidR="006D582B" w:rsidRPr="00F74FE6" w:rsidRDefault="006D582B" w:rsidP="006D582B">
      <w:pPr>
        <w:pStyle w:val="NormalWeb"/>
        <w:ind w:left="720" w:hanging="720"/>
        <w:jc w:val="both"/>
        <w:rPr>
          <w:rFonts w:ascii="Arial" w:hAnsi="Arial" w:cs="Arial"/>
        </w:rPr>
      </w:pPr>
      <w:r w:rsidRPr="00F74FE6">
        <w:rPr>
          <w:rFonts w:ascii="Arial" w:hAnsi="Arial" w:cs="Arial"/>
        </w:rPr>
        <w:t xml:space="preserve">Altman, E. I. (1968). Financial ratios, discriminant analysis and the prediction of corporate bankruptcy. </w:t>
      </w:r>
      <w:r w:rsidRPr="00F74FE6">
        <w:rPr>
          <w:rStyle w:val="Emphasis"/>
          <w:rFonts w:ascii="Arial" w:hAnsi="Arial" w:cs="Arial"/>
        </w:rPr>
        <w:t>The Journal of Finance, 23</w:t>
      </w:r>
      <w:r w:rsidRPr="00F74FE6">
        <w:rPr>
          <w:rFonts w:ascii="Arial" w:hAnsi="Arial" w:cs="Arial"/>
        </w:rPr>
        <w:t>(4), 589–609.</w:t>
      </w:r>
    </w:p>
    <w:p w14:paraId="2D60833B" w14:textId="77777777" w:rsidR="006D582B" w:rsidRPr="00F74FE6" w:rsidRDefault="006D582B" w:rsidP="006D582B">
      <w:pPr>
        <w:pStyle w:val="NormalWeb"/>
        <w:ind w:left="720" w:hanging="720"/>
        <w:jc w:val="both"/>
        <w:rPr>
          <w:rFonts w:ascii="Arial" w:hAnsi="Arial" w:cs="Arial"/>
        </w:rPr>
      </w:pPr>
      <w:proofErr w:type="spellStart"/>
      <w:r w:rsidRPr="00F74FE6">
        <w:rPr>
          <w:rFonts w:ascii="Arial" w:hAnsi="Arial" w:cs="Arial"/>
        </w:rPr>
        <w:t>Atrill</w:t>
      </w:r>
      <w:proofErr w:type="spellEnd"/>
      <w:r w:rsidRPr="00F74FE6">
        <w:rPr>
          <w:rFonts w:ascii="Arial" w:hAnsi="Arial" w:cs="Arial"/>
        </w:rPr>
        <w:t xml:space="preserve">, P. and McLaney, E. (2023) </w:t>
      </w:r>
      <w:r w:rsidRPr="00F74FE6">
        <w:rPr>
          <w:rStyle w:val="Emphasis"/>
          <w:rFonts w:ascii="Arial" w:hAnsi="Arial" w:cs="Arial"/>
        </w:rPr>
        <w:t>Accounting and Finance for Non-Specialists</w:t>
      </w:r>
      <w:r w:rsidRPr="00F74FE6">
        <w:rPr>
          <w:rFonts w:ascii="Arial" w:hAnsi="Arial" w:cs="Arial"/>
        </w:rPr>
        <w:t xml:space="preserve">. 12th </w:t>
      </w:r>
      <w:proofErr w:type="spellStart"/>
      <w:r w:rsidRPr="00F74FE6">
        <w:rPr>
          <w:rFonts w:ascii="Arial" w:hAnsi="Arial" w:cs="Arial"/>
        </w:rPr>
        <w:t>edn</w:t>
      </w:r>
      <w:proofErr w:type="spellEnd"/>
      <w:r w:rsidRPr="00F74FE6">
        <w:rPr>
          <w:rFonts w:ascii="Arial" w:hAnsi="Arial" w:cs="Arial"/>
        </w:rPr>
        <w:t>. Harlow: Pearson Education.</w:t>
      </w:r>
    </w:p>
    <w:p w14:paraId="6A973DA1" w14:textId="77777777" w:rsidR="006D582B" w:rsidRPr="00F74FE6" w:rsidRDefault="006D582B" w:rsidP="006D582B">
      <w:pPr>
        <w:pStyle w:val="NormalWeb"/>
        <w:ind w:left="720" w:hanging="720"/>
        <w:jc w:val="both"/>
        <w:rPr>
          <w:rFonts w:ascii="Arial" w:hAnsi="Arial" w:cs="Arial"/>
        </w:rPr>
      </w:pPr>
      <w:proofErr w:type="spellStart"/>
      <w:r w:rsidRPr="00F74FE6">
        <w:rPr>
          <w:rFonts w:ascii="Arial" w:hAnsi="Arial" w:cs="Arial"/>
        </w:rPr>
        <w:t>Atrill</w:t>
      </w:r>
      <w:proofErr w:type="spellEnd"/>
      <w:r w:rsidRPr="00F74FE6">
        <w:rPr>
          <w:rFonts w:ascii="Arial" w:hAnsi="Arial" w:cs="Arial"/>
        </w:rPr>
        <w:t xml:space="preserve">, P., &amp; McLaney, E. (2017). </w:t>
      </w:r>
      <w:r w:rsidRPr="00F74FE6">
        <w:rPr>
          <w:rStyle w:val="Emphasis"/>
          <w:rFonts w:ascii="Arial" w:hAnsi="Arial" w:cs="Arial"/>
        </w:rPr>
        <w:t>Accounting and finance for non-specialists</w:t>
      </w:r>
      <w:r w:rsidRPr="00F74FE6">
        <w:rPr>
          <w:rFonts w:ascii="Arial" w:hAnsi="Arial" w:cs="Arial"/>
        </w:rPr>
        <w:t xml:space="preserve"> (10th ed.). Pearson Education.</w:t>
      </w:r>
    </w:p>
    <w:p w14:paraId="47244977" w14:textId="77777777" w:rsidR="006D582B" w:rsidRPr="00F74FE6" w:rsidRDefault="006D582B" w:rsidP="006D582B">
      <w:pPr>
        <w:pStyle w:val="NormalWeb"/>
        <w:ind w:left="720" w:hanging="720"/>
        <w:jc w:val="both"/>
        <w:rPr>
          <w:rFonts w:ascii="Arial" w:hAnsi="Arial" w:cs="Arial"/>
        </w:rPr>
      </w:pPr>
      <w:r w:rsidRPr="00F74FE6">
        <w:rPr>
          <w:rFonts w:ascii="Arial" w:hAnsi="Arial" w:cs="Arial"/>
        </w:rPr>
        <w:t xml:space="preserve">Berk, J. and DeMarzo, P. (2023) </w:t>
      </w:r>
      <w:r w:rsidRPr="00F74FE6">
        <w:rPr>
          <w:rStyle w:val="Emphasis"/>
          <w:rFonts w:ascii="Arial" w:hAnsi="Arial" w:cs="Arial"/>
        </w:rPr>
        <w:t>Corporate Finance</w:t>
      </w:r>
      <w:r w:rsidRPr="00F74FE6">
        <w:rPr>
          <w:rFonts w:ascii="Arial" w:hAnsi="Arial" w:cs="Arial"/>
        </w:rPr>
        <w:t xml:space="preserve">. 6th </w:t>
      </w:r>
      <w:proofErr w:type="spellStart"/>
      <w:r w:rsidRPr="00F74FE6">
        <w:rPr>
          <w:rFonts w:ascii="Arial" w:hAnsi="Arial" w:cs="Arial"/>
        </w:rPr>
        <w:t>edn</w:t>
      </w:r>
      <w:proofErr w:type="spellEnd"/>
      <w:r w:rsidRPr="00F74FE6">
        <w:rPr>
          <w:rFonts w:ascii="Arial" w:hAnsi="Arial" w:cs="Arial"/>
        </w:rPr>
        <w:t>. Harlow: Pearson Education.</w:t>
      </w:r>
    </w:p>
    <w:p w14:paraId="56233D5C" w14:textId="77777777" w:rsidR="006D582B" w:rsidRPr="00F74FE6" w:rsidRDefault="006D582B" w:rsidP="006D582B">
      <w:pPr>
        <w:pStyle w:val="NormalWeb"/>
        <w:ind w:left="720" w:hanging="720"/>
        <w:jc w:val="both"/>
        <w:rPr>
          <w:rFonts w:ascii="Arial" w:hAnsi="Arial" w:cs="Arial"/>
        </w:rPr>
      </w:pPr>
      <w:r w:rsidRPr="00F74FE6">
        <w:rPr>
          <w:rFonts w:ascii="Arial" w:hAnsi="Arial" w:cs="Arial"/>
        </w:rPr>
        <w:t xml:space="preserve">Berk, J., &amp; DeMarzo, P. (2020). </w:t>
      </w:r>
      <w:r w:rsidRPr="00F74FE6">
        <w:rPr>
          <w:rStyle w:val="Emphasis"/>
          <w:rFonts w:ascii="Arial" w:hAnsi="Arial" w:cs="Arial"/>
        </w:rPr>
        <w:t>Corporate finance</w:t>
      </w:r>
      <w:r w:rsidRPr="00F74FE6">
        <w:rPr>
          <w:rFonts w:ascii="Arial" w:hAnsi="Arial" w:cs="Arial"/>
        </w:rPr>
        <w:t xml:space="preserve"> (5th global ed.). Pearson Education.</w:t>
      </w:r>
    </w:p>
    <w:p w14:paraId="20F5D82D" w14:textId="77777777" w:rsidR="006D582B" w:rsidRPr="00F74FE6" w:rsidRDefault="006D582B" w:rsidP="006D582B">
      <w:pPr>
        <w:pStyle w:val="NormalWeb"/>
        <w:ind w:left="720" w:hanging="720"/>
        <w:jc w:val="both"/>
        <w:rPr>
          <w:rFonts w:ascii="Arial" w:hAnsi="Arial" w:cs="Arial"/>
        </w:rPr>
      </w:pPr>
      <w:r w:rsidRPr="00F74FE6">
        <w:rPr>
          <w:rFonts w:ascii="Arial" w:hAnsi="Arial" w:cs="Arial"/>
        </w:rPr>
        <w:t xml:space="preserve">Brigham, E. F., &amp; Ehrhardt, M. C. (2023). </w:t>
      </w:r>
      <w:r w:rsidRPr="00F74FE6">
        <w:rPr>
          <w:rStyle w:val="Emphasis"/>
          <w:rFonts w:ascii="Arial" w:hAnsi="Arial" w:cs="Arial"/>
        </w:rPr>
        <w:t>Financial management: Theory and practice</w:t>
      </w:r>
      <w:r w:rsidRPr="00F74FE6">
        <w:rPr>
          <w:rFonts w:ascii="Arial" w:hAnsi="Arial" w:cs="Arial"/>
        </w:rPr>
        <w:t xml:space="preserve"> (16th ed.). Cengage Learning.</w:t>
      </w:r>
    </w:p>
    <w:p w14:paraId="61582918" w14:textId="77777777" w:rsidR="006D582B" w:rsidRPr="00F74FE6" w:rsidRDefault="006D582B" w:rsidP="006D582B">
      <w:pPr>
        <w:pStyle w:val="NormalWeb"/>
        <w:ind w:left="720" w:hanging="720"/>
        <w:jc w:val="both"/>
        <w:rPr>
          <w:rFonts w:ascii="Arial" w:hAnsi="Arial" w:cs="Arial"/>
        </w:rPr>
      </w:pPr>
      <w:r w:rsidRPr="00F74FE6">
        <w:rPr>
          <w:rFonts w:ascii="Arial" w:hAnsi="Arial" w:cs="Arial"/>
        </w:rPr>
        <w:t xml:space="preserve">Damodaran, A. (2023) </w:t>
      </w:r>
      <w:r w:rsidRPr="00F74FE6">
        <w:rPr>
          <w:rStyle w:val="Emphasis"/>
          <w:rFonts w:ascii="Arial" w:hAnsi="Arial" w:cs="Arial"/>
        </w:rPr>
        <w:t>Strategic Risk Taking: A Framework for Risk Management</w:t>
      </w:r>
      <w:r w:rsidRPr="00F74FE6">
        <w:rPr>
          <w:rFonts w:ascii="Arial" w:hAnsi="Arial" w:cs="Arial"/>
        </w:rPr>
        <w:t>. Upper Saddle River: Pearson.</w:t>
      </w:r>
    </w:p>
    <w:p w14:paraId="7DF4CA10" w14:textId="77777777" w:rsidR="006D582B" w:rsidRPr="00F74FE6" w:rsidRDefault="006D582B" w:rsidP="006D582B">
      <w:pPr>
        <w:pStyle w:val="NormalWeb"/>
        <w:ind w:left="720" w:hanging="720"/>
        <w:jc w:val="both"/>
        <w:rPr>
          <w:rFonts w:ascii="Arial" w:hAnsi="Arial" w:cs="Arial"/>
        </w:rPr>
      </w:pPr>
      <w:r w:rsidRPr="00F74FE6">
        <w:rPr>
          <w:rFonts w:ascii="Arial" w:hAnsi="Arial" w:cs="Arial"/>
        </w:rPr>
        <w:t xml:space="preserve">Freeman, R.E., Phillips, R. and Sisodia, R. (2020) ‘Tensions in stakeholder theory’, </w:t>
      </w:r>
      <w:r w:rsidRPr="00F74FE6">
        <w:rPr>
          <w:rStyle w:val="Emphasis"/>
          <w:rFonts w:ascii="Arial" w:hAnsi="Arial" w:cs="Arial"/>
        </w:rPr>
        <w:t>Business &amp; Society</w:t>
      </w:r>
      <w:r w:rsidRPr="00F74FE6">
        <w:rPr>
          <w:rFonts w:ascii="Arial" w:hAnsi="Arial" w:cs="Arial"/>
        </w:rPr>
        <w:t>, 59(2), pp. 213–231.</w:t>
      </w:r>
    </w:p>
    <w:p w14:paraId="32F8D128" w14:textId="77777777" w:rsidR="006D582B" w:rsidRPr="00F74FE6" w:rsidRDefault="006D582B" w:rsidP="006D582B">
      <w:pPr>
        <w:pStyle w:val="NormalWeb"/>
        <w:ind w:left="720" w:hanging="720"/>
        <w:jc w:val="both"/>
        <w:rPr>
          <w:rFonts w:ascii="Arial" w:hAnsi="Arial" w:cs="Arial"/>
        </w:rPr>
      </w:pPr>
      <w:r w:rsidRPr="00F74FE6">
        <w:rPr>
          <w:rFonts w:ascii="Arial" w:hAnsi="Arial" w:cs="Arial"/>
        </w:rPr>
        <w:t xml:space="preserve">Grant, R.M. (2022) </w:t>
      </w:r>
      <w:r w:rsidRPr="00F74FE6">
        <w:rPr>
          <w:rStyle w:val="Emphasis"/>
          <w:rFonts w:ascii="Arial" w:hAnsi="Arial" w:cs="Arial"/>
        </w:rPr>
        <w:t>Contemporary Strategy Analysis</w:t>
      </w:r>
      <w:r w:rsidRPr="00F74FE6">
        <w:rPr>
          <w:rFonts w:ascii="Arial" w:hAnsi="Arial" w:cs="Arial"/>
        </w:rPr>
        <w:t xml:space="preserve">. 11th </w:t>
      </w:r>
      <w:proofErr w:type="spellStart"/>
      <w:r w:rsidRPr="00F74FE6">
        <w:rPr>
          <w:rFonts w:ascii="Arial" w:hAnsi="Arial" w:cs="Arial"/>
        </w:rPr>
        <w:t>edn</w:t>
      </w:r>
      <w:proofErr w:type="spellEnd"/>
      <w:r w:rsidRPr="00F74FE6">
        <w:rPr>
          <w:rFonts w:ascii="Arial" w:hAnsi="Arial" w:cs="Arial"/>
        </w:rPr>
        <w:t>. Chichester: Wiley.</w:t>
      </w:r>
    </w:p>
    <w:p w14:paraId="0E7CC36D" w14:textId="77777777" w:rsidR="006D582B" w:rsidRPr="00F74FE6" w:rsidRDefault="006D582B" w:rsidP="006D582B">
      <w:pPr>
        <w:pStyle w:val="NormalWeb"/>
        <w:ind w:left="720" w:hanging="720"/>
        <w:jc w:val="both"/>
        <w:rPr>
          <w:rFonts w:ascii="Arial" w:hAnsi="Arial" w:cs="Arial"/>
        </w:rPr>
      </w:pPr>
      <w:r w:rsidRPr="00F74FE6">
        <w:rPr>
          <w:rFonts w:ascii="Arial" w:hAnsi="Arial" w:cs="Arial"/>
        </w:rPr>
        <w:t xml:space="preserve">Hillier, D., Ross, S., </w:t>
      </w:r>
      <w:proofErr w:type="spellStart"/>
      <w:r w:rsidRPr="00F74FE6">
        <w:rPr>
          <w:rFonts w:ascii="Arial" w:hAnsi="Arial" w:cs="Arial"/>
        </w:rPr>
        <w:t>Westerfield</w:t>
      </w:r>
      <w:proofErr w:type="spellEnd"/>
      <w:r w:rsidRPr="00F74FE6">
        <w:rPr>
          <w:rFonts w:ascii="Arial" w:hAnsi="Arial" w:cs="Arial"/>
        </w:rPr>
        <w:t xml:space="preserve">, R. and Jordan, B. (2022) </w:t>
      </w:r>
      <w:r w:rsidRPr="00F74FE6">
        <w:rPr>
          <w:rStyle w:val="Emphasis"/>
          <w:rFonts w:ascii="Arial" w:hAnsi="Arial" w:cs="Arial"/>
        </w:rPr>
        <w:t>Corporate Finance</w:t>
      </w:r>
      <w:r w:rsidRPr="00F74FE6">
        <w:rPr>
          <w:rFonts w:ascii="Arial" w:hAnsi="Arial" w:cs="Arial"/>
        </w:rPr>
        <w:t xml:space="preserve">. 4th European </w:t>
      </w:r>
      <w:proofErr w:type="spellStart"/>
      <w:r w:rsidRPr="00F74FE6">
        <w:rPr>
          <w:rFonts w:ascii="Arial" w:hAnsi="Arial" w:cs="Arial"/>
        </w:rPr>
        <w:t>edn</w:t>
      </w:r>
      <w:proofErr w:type="spellEnd"/>
      <w:r w:rsidRPr="00F74FE6">
        <w:rPr>
          <w:rFonts w:ascii="Arial" w:hAnsi="Arial" w:cs="Arial"/>
        </w:rPr>
        <w:t>. London: McGraw-Hill Education.</w:t>
      </w:r>
    </w:p>
    <w:p w14:paraId="6361E28B" w14:textId="77777777" w:rsidR="006D582B" w:rsidRPr="00F74FE6" w:rsidRDefault="006D582B" w:rsidP="006D582B">
      <w:pPr>
        <w:pStyle w:val="NormalWeb"/>
        <w:ind w:left="720" w:hanging="720"/>
        <w:jc w:val="both"/>
        <w:rPr>
          <w:rFonts w:ascii="Arial" w:hAnsi="Arial" w:cs="Arial"/>
        </w:rPr>
      </w:pPr>
      <w:r w:rsidRPr="00F74FE6">
        <w:rPr>
          <w:rFonts w:ascii="Arial" w:hAnsi="Arial" w:cs="Arial"/>
        </w:rPr>
        <w:t xml:space="preserve">IMF (2024) </w:t>
      </w:r>
      <w:r w:rsidRPr="00F74FE6">
        <w:rPr>
          <w:rStyle w:val="Emphasis"/>
          <w:rFonts w:ascii="Arial" w:hAnsi="Arial" w:cs="Arial"/>
        </w:rPr>
        <w:t>World Economic Outlook: Navigating Global Inflation</w:t>
      </w:r>
      <w:r w:rsidRPr="00F74FE6">
        <w:rPr>
          <w:rFonts w:ascii="Arial" w:hAnsi="Arial" w:cs="Arial"/>
        </w:rPr>
        <w:t>. Washington DC: International Monetary Fund.</w:t>
      </w:r>
    </w:p>
    <w:p w14:paraId="3D3CE64F" w14:textId="77777777" w:rsidR="006D582B" w:rsidRPr="00F74FE6" w:rsidRDefault="006D582B" w:rsidP="006D582B">
      <w:pPr>
        <w:pStyle w:val="NormalWeb"/>
        <w:ind w:left="720" w:hanging="720"/>
        <w:jc w:val="both"/>
        <w:rPr>
          <w:rFonts w:ascii="Arial" w:hAnsi="Arial" w:cs="Arial"/>
        </w:rPr>
      </w:pPr>
      <w:r w:rsidRPr="00F74FE6">
        <w:rPr>
          <w:rFonts w:ascii="Arial" w:hAnsi="Arial" w:cs="Arial"/>
        </w:rPr>
        <w:t xml:space="preserve">Keown, A. J., Martin, J. D., &amp; Petty, J. W. (2024). </w:t>
      </w:r>
      <w:r w:rsidRPr="00F74FE6">
        <w:rPr>
          <w:rStyle w:val="Emphasis"/>
          <w:rFonts w:ascii="Arial" w:hAnsi="Arial" w:cs="Arial"/>
        </w:rPr>
        <w:t>Foundations of finance</w:t>
      </w:r>
      <w:r w:rsidRPr="00F74FE6">
        <w:rPr>
          <w:rFonts w:ascii="Arial" w:hAnsi="Arial" w:cs="Arial"/>
        </w:rPr>
        <w:t xml:space="preserve"> (10th global ed.). Pearson Education.</w:t>
      </w:r>
    </w:p>
    <w:p w14:paraId="3EA4CAAA" w14:textId="77777777" w:rsidR="006D582B" w:rsidRPr="00F74FE6" w:rsidRDefault="006D582B" w:rsidP="006D582B">
      <w:pPr>
        <w:pStyle w:val="NormalWeb"/>
        <w:ind w:left="720" w:hanging="720"/>
        <w:jc w:val="both"/>
        <w:rPr>
          <w:rFonts w:ascii="Arial" w:hAnsi="Arial" w:cs="Arial"/>
        </w:rPr>
      </w:pPr>
      <w:r w:rsidRPr="00F74FE6">
        <w:rPr>
          <w:rFonts w:ascii="Arial" w:hAnsi="Arial" w:cs="Arial"/>
        </w:rPr>
        <w:t xml:space="preserve">Myers, S.C. (2020) ‘Capital structure’, </w:t>
      </w:r>
      <w:r w:rsidRPr="00F74FE6">
        <w:rPr>
          <w:rStyle w:val="Emphasis"/>
          <w:rFonts w:ascii="Arial" w:hAnsi="Arial" w:cs="Arial"/>
        </w:rPr>
        <w:t>Journal of Economic Perspectives</w:t>
      </w:r>
      <w:r w:rsidRPr="00F74FE6">
        <w:rPr>
          <w:rFonts w:ascii="Arial" w:hAnsi="Arial" w:cs="Arial"/>
        </w:rPr>
        <w:t>, 34(4), pp. 1–23.</w:t>
      </w:r>
    </w:p>
    <w:p w14:paraId="52FFA663" w14:textId="77777777" w:rsidR="006D582B" w:rsidRPr="00F74FE6" w:rsidRDefault="006D582B" w:rsidP="006D582B">
      <w:pPr>
        <w:pStyle w:val="NormalWeb"/>
        <w:ind w:left="720" w:hanging="720"/>
        <w:jc w:val="both"/>
        <w:rPr>
          <w:rFonts w:ascii="Arial" w:hAnsi="Arial" w:cs="Arial"/>
        </w:rPr>
      </w:pPr>
      <w:r w:rsidRPr="00F74FE6">
        <w:rPr>
          <w:rFonts w:ascii="Arial" w:hAnsi="Arial" w:cs="Arial"/>
        </w:rPr>
        <w:t xml:space="preserve">OECD (2023) </w:t>
      </w:r>
      <w:r w:rsidRPr="00F74FE6">
        <w:rPr>
          <w:rStyle w:val="Emphasis"/>
          <w:rFonts w:ascii="Arial" w:hAnsi="Arial" w:cs="Arial"/>
        </w:rPr>
        <w:t>Addressing Base Erosion and Profit Shifting</w:t>
      </w:r>
      <w:r w:rsidRPr="00F74FE6">
        <w:rPr>
          <w:rFonts w:ascii="Arial" w:hAnsi="Arial" w:cs="Arial"/>
        </w:rPr>
        <w:t>. Paris: OECD Publishing.</w:t>
      </w:r>
    </w:p>
    <w:p w14:paraId="349EFA82" w14:textId="77777777" w:rsidR="006D582B" w:rsidRPr="00F74FE6" w:rsidRDefault="006D582B" w:rsidP="006D582B">
      <w:pPr>
        <w:pStyle w:val="NormalWeb"/>
        <w:ind w:left="720" w:hanging="720"/>
        <w:jc w:val="both"/>
        <w:rPr>
          <w:rFonts w:ascii="Arial" w:hAnsi="Arial" w:cs="Arial"/>
        </w:rPr>
      </w:pPr>
      <w:r w:rsidRPr="00F74FE6">
        <w:rPr>
          <w:rFonts w:ascii="Arial" w:hAnsi="Arial" w:cs="Arial"/>
        </w:rPr>
        <w:t xml:space="preserve">Penman, S. H. (2020). </w:t>
      </w:r>
      <w:r w:rsidRPr="00F74FE6">
        <w:rPr>
          <w:rStyle w:val="Emphasis"/>
          <w:rFonts w:ascii="Arial" w:hAnsi="Arial" w:cs="Arial"/>
        </w:rPr>
        <w:t>Financial statement analysis and security valuation</w:t>
      </w:r>
      <w:r w:rsidRPr="00F74FE6">
        <w:rPr>
          <w:rFonts w:ascii="Arial" w:hAnsi="Arial" w:cs="Arial"/>
        </w:rPr>
        <w:t xml:space="preserve"> (6th ed.). McGraw-Hill Education.</w:t>
      </w:r>
    </w:p>
    <w:p w14:paraId="76A2B66C" w14:textId="77777777" w:rsidR="006D582B" w:rsidRPr="00F74FE6" w:rsidRDefault="006D582B" w:rsidP="006D582B">
      <w:pPr>
        <w:pStyle w:val="NormalWeb"/>
        <w:ind w:left="720" w:hanging="720"/>
        <w:jc w:val="both"/>
        <w:rPr>
          <w:rFonts w:ascii="Arial" w:hAnsi="Arial" w:cs="Arial"/>
        </w:rPr>
      </w:pPr>
      <w:r w:rsidRPr="00F74FE6">
        <w:rPr>
          <w:rFonts w:ascii="Arial" w:hAnsi="Arial" w:cs="Arial"/>
        </w:rPr>
        <w:t xml:space="preserve">Ross, S. A., </w:t>
      </w:r>
      <w:proofErr w:type="spellStart"/>
      <w:r w:rsidRPr="00F74FE6">
        <w:rPr>
          <w:rFonts w:ascii="Arial" w:hAnsi="Arial" w:cs="Arial"/>
        </w:rPr>
        <w:t>Westerfield</w:t>
      </w:r>
      <w:proofErr w:type="spellEnd"/>
      <w:r w:rsidRPr="00F74FE6">
        <w:rPr>
          <w:rFonts w:ascii="Arial" w:hAnsi="Arial" w:cs="Arial"/>
        </w:rPr>
        <w:t xml:space="preserve">, R. W., &amp; Jordan, B. D. (2022). </w:t>
      </w:r>
      <w:r w:rsidRPr="00F74FE6">
        <w:rPr>
          <w:rStyle w:val="Emphasis"/>
          <w:rFonts w:ascii="Arial" w:hAnsi="Arial" w:cs="Arial"/>
        </w:rPr>
        <w:t>Fundamentals of corporate finance</w:t>
      </w:r>
      <w:r w:rsidRPr="00F74FE6">
        <w:rPr>
          <w:rFonts w:ascii="Arial" w:hAnsi="Arial" w:cs="Arial"/>
        </w:rPr>
        <w:t xml:space="preserve"> (14th ed.). McGraw-Hill Education.</w:t>
      </w:r>
    </w:p>
    <w:p w14:paraId="5B5A61A4" w14:textId="77777777" w:rsidR="006D582B" w:rsidRPr="00F74FE6" w:rsidRDefault="006D582B" w:rsidP="006D582B">
      <w:pPr>
        <w:spacing w:before="100" w:beforeAutospacing="1" w:after="100" w:afterAutospacing="1" w:line="240" w:lineRule="auto"/>
        <w:ind w:left="720" w:hanging="720"/>
        <w:jc w:val="both"/>
        <w:rPr>
          <w:rFonts w:ascii="Arial" w:eastAsia="Times New Roman" w:hAnsi="Arial" w:cs="Arial"/>
          <w:sz w:val="24"/>
          <w:szCs w:val="24"/>
        </w:rPr>
      </w:pPr>
      <w:r w:rsidRPr="00F74FE6">
        <w:rPr>
          <w:rFonts w:ascii="Arial" w:eastAsia="Times New Roman" w:hAnsi="Arial" w:cs="Arial"/>
          <w:sz w:val="24"/>
          <w:szCs w:val="24"/>
        </w:rPr>
        <w:lastRenderedPageBreak/>
        <w:t xml:space="preserve">Shin, H. H., &amp; Soenen, L. (2021). Efficiency of working capital management and corporate profitability. </w:t>
      </w:r>
      <w:r w:rsidRPr="00F74FE6">
        <w:rPr>
          <w:rFonts w:ascii="Arial" w:eastAsia="Times New Roman" w:hAnsi="Arial" w:cs="Arial"/>
          <w:i/>
          <w:iCs/>
          <w:sz w:val="24"/>
          <w:szCs w:val="24"/>
        </w:rPr>
        <w:t>Financial Practice and Education, 31</w:t>
      </w:r>
      <w:r w:rsidRPr="00F74FE6">
        <w:rPr>
          <w:rFonts w:ascii="Arial" w:eastAsia="Times New Roman" w:hAnsi="Arial" w:cs="Arial"/>
          <w:sz w:val="24"/>
          <w:szCs w:val="24"/>
        </w:rPr>
        <w:t>(2), 1–15.</w:t>
      </w:r>
    </w:p>
    <w:p w14:paraId="1C7E49A4" w14:textId="77777777" w:rsidR="006D582B" w:rsidRDefault="006D582B">
      <w:pPr>
        <w:rPr>
          <w:rFonts w:ascii="Times New Roman" w:eastAsia="Times New Roman" w:hAnsi="Times New Roman" w:cs="Times New Roman"/>
          <w:b/>
          <w:bCs/>
          <w:kern w:val="36"/>
          <w:sz w:val="48"/>
          <w:szCs w:val="48"/>
        </w:rPr>
      </w:pPr>
      <w:r>
        <w:rPr>
          <w:rFonts w:ascii="Times New Roman" w:eastAsia="Times New Roman" w:hAnsi="Times New Roman" w:cs="Times New Roman"/>
          <w:b/>
          <w:bCs/>
          <w:kern w:val="36"/>
          <w:sz w:val="48"/>
          <w:szCs w:val="48"/>
        </w:rPr>
        <w:br w:type="page"/>
      </w:r>
    </w:p>
    <w:p w14:paraId="2A08D5E3" w14:textId="0EF307C8" w:rsidR="009E56B5" w:rsidRDefault="009E56B5" w:rsidP="00FE4F98">
      <w:pPr>
        <w:pStyle w:val="Heading1"/>
      </w:pPr>
      <w:bookmarkStart w:id="39" w:name="_Toc217082170"/>
      <w:r w:rsidRPr="00FE4F98">
        <w:lastRenderedPageBreak/>
        <w:t>Appendix A: Detailed Ratio Calculations</w:t>
      </w:r>
      <w:bookmarkEnd w:id="39"/>
    </w:p>
    <w:tbl>
      <w:tblPr>
        <w:tblW w:w="10170" w:type="dxa"/>
        <w:tblLook w:val="04A0" w:firstRow="1" w:lastRow="0" w:firstColumn="1" w:lastColumn="0" w:noHBand="0" w:noVBand="1"/>
      </w:tblPr>
      <w:tblGrid>
        <w:gridCol w:w="3479"/>
        <w:gridCol w:w="26"/>
        <w:gridCol w:w="1305"/>
        <w:gridCol w:w="45"/>
        <w:gridCol w:w="1260"/>
        <w:gridCol w:w="25"/>
        <w:gridCol w:w="1330"/>
        <w:gridCol w:w="1330"/>
        <w:gridCol w:w="20"/>
        <w:gridCol w:w="1350"/>
      </w:tblGrid>
      <w:tr w:rsidR="00637BA7" w:rsidRPr="00637BA7" w14:paraId="048FFA05" w14:textId="77777777" w:rsidTr="004B1BCD">
        <w:trPr>
          <w:trHeight w:val="424"/>
        </w:trPr>
        <w:tc>
          <w:tcPr>
            <w:tcW w:w="10170" w:type="dxa"/>
            <w:gridSpan w:val="10"/>
            <w:tcBorders>
              <w:top w:val="single" w:sz="4" w:space="0" w:color="auto"/>
              <w:left w:val="single" w:sz="4" w:space="0" w:color="auto"/>
              <w:bottom w:val="single" w:sz="4" w:space="0" w:color="auto"/>
              <w:right w:val="single" w:sz="4" w:space="0" w:color="auto"/>
            </w:tcBorders>
            <w:shd w:val="clear" w:color="000000" w:fill="00B0F0"/>
            <w:noWrap/>
            <w:vAlign w:val="center"/>
            <w:hideMark/>
          </w:tcPr>
          <w:p w14:paraId="1E141C57" w14:textId="77777777" w:rsidR="00637BA7" w:rsidRPr="00637BA7" w:rsidRDefault="00637BA7" w:rsidP="00637BA7">
            <w:pPr>
              <w:spacing w:after="0" w:line="240" w:lineRule="auto"/>
              <w:jc w:val="center"/>
              <w:rPr>
                <w:rFonts w:ascii="Calibri" w:eastAsia="Times New Roman" w:hAnsi="Calibri" w:cs="Calibri"/>
                <w:b/>
                <w:bCs/>
                <w:color w:val="000000"/>
                <w:sz w:val="28"/>
                <w:szCs w:val="28"/>
              </w:rPr>
            </w:pPr>
            <w:r w:rsidRPr="00637BA7">
              <w:rPr>
                <w:rFonts w:ascii="Calibri" w:eastAsia="Times New Roman" w:hAnsi="Calibri" w:cs="Calibri"/>
                <w:b/>
                <w:bCs/>
                <w:color w:val="000000"/>
                <w:sz w:val="28"/>
                <w:szCs w:val="28"/>
              </w:rPr>
              <w:t>Consolidated Income Statement (£m)</w:t>
            </w:r>
          </w:p>
        </w:tc>
      </w:tr>
      <w:tr w:rsidR="004B1BCD" w:rsidRPr="00637BA7" w14:paraId="4E026FD3" w14:textId="77777777" w:rsidTr="004B1BCD">
        <w:trPr>
          <w:trHeight w:val="424"/>
        </w:trPr>
        <w:tc>
          <w:tcPr>
            <w:tcW w:w="3479" w:type="dxa"/>
            <w:tcBorders>
              <w:top w:val="nil"/>
              <w:left w:val="single" w:sz="4" w:space="0" w:color="auto"/>
              <w:bottom w:val="single" w:sz="4" w:space="0" w:color="auto"/>
              <w:right w:val="single" w:sz="4" w:space="0" w:color="auto"/>
            </w:tcBorders>
            <w:noWrap/>
            <w:vAlign w:val="center"/>
            <w:hideMark/>
          </w:tcPr>
          <w:p w14:paraId="22773F13" w14:textId="77777777" w:rsidR="00637BA7" w:rsidRPr="00637BA7" w:rsidRDefault="00637BA7" w:rsidP="00637BA7">
            <w:pPr>
              <w:spacing w:after="0" w:line="240" w:lineRule="auto"/>
              <w:jc w:val="center"/>
              <w:rPr>
                <w:rFonts w:ascii="Calibri" w:eastAsia="Times New Roman" w:hAnsi="Calibri" w:cs="Calibri"/>
                <w:color w:val="000000"/>
                <w:sz w:val="28"/>
                <w:szCs w:val="28"/>
              </w:rPr>
            </w:pPr>
            <w:r w:rsidRPr="00637BA7">
              <w:rPr>
                <w:rFonts w:ascii="Calibri" w:eastAsia="Times New Roman" w:hAnsi="Calibri" w:cs="Calibri"/>
                <w:color w:val="000000"/>
                <w:sz w:val="28"/>
                <w:szCs w:val="28"/>
              </w:rPr>
              <w:t> </w:t>
            </w:r>
          </w:p>
        </w:tc>
        <w:tc>
          <w:tcPr>
            <w:tcW w:w="1331" w:type="dxa"/>
            <w:gridSpan w:val="2"/>
            <w:tcBorders>
              <w:top w:val="nil"/>
              <w:left w:val="nil"/>
              <w:bottom w:val="single" w:sz="4" w:space="0" w:color="auto"/>
              <w:right w:val="single" w:sz="4" w:space="0" w:color="auto"/>
            </w:tcBorders>
            <w:noWrap/>
            <w:vAlign w:val="center"/>
            <w:hideMark/>
          </w:tcPr>
          <w:p w14:paraId="53BB8AA7" w14:textId="77777777" w:rsidR="00637BA7" w:rsidRPr="00637BA7" w:rsidRDefault="00637BA7" w:rsidP="00637BA7">
            <w:pPr>
              <w:spacing w:after="0" w:line="240" w:lineRule="auto"/>
              <w:jc w:val="center"/>
              <w:rPr>
                <w:rFonts w:ascii="Calibri" w:eastAsia="Times New Roman" w:hAnsi="Calibri" w:cs="Calibri"/>
                <w:color w:val="000000"/>
                <w:sz w:val="28"/>
                <w:szCs w:val="28"/>
              </w:rPr>
            </w:pPr>
            <w:r w:rsidRPr="00637BA7">
              <w:rPr>
                <w:rFonts w:ascii="Calibri" w:eastAsia="Times New Roman" w:hAnsi="Calibri" w:cs="Calibri"/>
                <w:color w:val="000000"/>
                <w:sz w:val="28"/>
                <w:szCs w:val="28"/>
              </w:rPr>
              <w:t>2020</w:t>
            </w:r>
          </w:p>
        </w:tc>
        <w:tc>
          <w:tcPr>
            <w:tcW w:w="1330" w:type="dxa"/>
            <w:gridSpan w:val="3"/>
            <w:tcBorders>
              <w:top w:val="nil"/>
              <w:left w:val="nil"/>
              <w:bottom w:val="single" w:sz="4" w:space="0" w:color="auto"/>
              <w:right w:val="single" w:sz="4" w:space="0" w:color="auto"/>
            </w:tcBorders>
            <w:noWrap/>
            <w:vAlign w:val="center"/>
            <w:hideMark/>
          </w:tcPr>
          <w:p w14:paraId="5CC2FED6" w14:textId="77777777" w:rsidR="00637BA7" w:rsidRPr="00637BA7" w:rsidRDefault="00637BA7" w:rsidP="00637BA7">
            <w:pPr>
              <w:spacing w:after="0" w:line="240" w:lineRule="auto"/>
              <w:jc w:val="center"/>
              <w:rPr>
                <w:rFonts w:ascii="Calibri" w:eastAsia="Times New Roman" w:hAnsi="Calibri" w:cs="Calibri"/>
                <w:color w:val="000000"/>
                <w:sz w:val="28"/>
                <w:szCs w:val="28"/>
              </w:rPr>
            </w:pPr>
            <w:r w:rsidRPr="00637BA7">
              <w:rPr>
                <w:rFonts w:ascii="Calibri" w:eastAsia="Times New Roman" w:hAnsi="Calibri" w:cs="Calibri"/>
                <w:color w:val="000000"/>
                <w:sz w:val="28"/>
                <w:szCs w:val="28"/>
              </w:rPr>
              <w:t>2021</w:t>
            </w:r>
          </w:p>
        </w:tc>
        <w:tc>
          <w:tcPr>
            <w:tcW w:w="1330" w:type="dxa"/>
            <w:tcBorders>
              <w:top w:val="nil"/>
              <w:left w:val="nil"/>
              <w:bottom w:val="single" w:sz="4" w:space="0" w:color="auto"/>
              <w:right w:val="single" w:sz="4" w:space="0" w:color="auto"/>
            </w:tcBorders>
            <w:noWrap/>
            <w:vAlign w:val="center"/>
            <w:hideMark/>
          </w:tcPr>
          <w:p w14:paraId="3FB72D3C" w14:textId="77777777" w:rsidR="00637BA7" w:rsidRPr="00637BA7" w:rsidRDefault="00637BA7" w:rsidP="00637BA7">
            <w:pPr>
              <w:spacing w:after="0" w:line="240" w:lineRule="auto"/>
              <w:jc w:val="center"/>
              <w:rPr>
                <w:rFonts w:ascii="Calibri" w:eastAsia="Times New Roman" w:hAnsi="Calibri" w:cs="Calibri"/>
                <w:color w:val="000000"/>
                <w:sz w:val="28"/>
                <w:szCs w:val="28"/>
              </w:rPr>
            </w:pPr>
            <w:r w:rsidRPr="00637BA7">
              <w:rPr>
                <w:rFonts w:ascii="Calibri" w:eastAsia="Times New Roman" w:hAnsi="Calibri" w:cs="Calibri"/>
                <w:color w:val="000000"/>
                <w:sz w:val="28"/>
                <w:szCs w:val="28"/>
              </w:rPr>
              <w:t>2022</w:t>
            </w:r>
          </w:p>
        </w:tc>
        <w:tc>
          <w:tcPr>
            <w:tcW w:w="1330" w:type="dxa"/>
            <w:tcBorders>
              <w:top w:val="nil"/>
              <w:left w:val="nil"/>
              <w:bottom w:val="single" w:sz="4" w:space="0" w:color="auto"/>
              <w:right w:val="single" w:sz="4" w:space="0" w:color="auto"/>
            </w:tcBorders>
            <w:noWrap/>
            <w:vAlign w:val="center"/>
            <w:hideMark/>
          </w:tcPr>
          <w:p w14:paraId="714F3A4D" w14:textId="77777777" w:rsidR="00637BA7" w:rsidRPr="00637BA7" w:rsidRDefault="00637BA7" w:rsidP="00637BA7">
            <w:pPr>
              <w:spacing w:after="0" w:line="240" w:lineRule="auto"/>
              <w:jc w:val="center"/>
              <w:rPr>
                <w:rFonts w:ascii="Calibri" w:eastAsia="Times New Roman" w:hAnsi="Calibri" w:cs="Calibri"/>
                <w:color w:val="000000"/>
                <w:sz w:val="28"/>
                <w:szCs w:val="28"/>
              </w:rPr>
            </w:pPr>
            <w:r w:rsidRPr="00637BA7">
              <w:rPr>
                <w:rFonts w:ascii="Calibri" w:eastAsia="Times New Roman" w:hAnsi="Calibri" w:cs="Calibri"/>
                <w:color w:val="000000"/>
                <w:sz w:val="28"/>
                <w:szCs w:val="28"/>
              </w:rPr>
              <w:t>2023</w:t>
            </w:r>
          </w:p>
        </w:tc>
        <w:tc>
          <w:tcPr>
            <w:tcW w:w="1370" w:type="dxa"/>
            <w:gridSpan w:val="2"/>
            <w:tcBorders>
              <w:top w:val="nil"/>
              <w:left w:val="nil"/>
              <w:bottom w:val="single" w:sz="4" w:space="0" w:color="auto"/>
              <w:right w:val="single" w:sz="4" w:space="0" w:color="auto"/>
            </w:tcBorders>
            <w:noWrap/>
            <w:vAlign w:val="center"/>
            <w:hideMark/>
          </w:tcPr>
          <w:p w14:paraId="077C7E35" w14:textId="77777777" w:rsidR="00637BA7" w:rsidRPr="00637BA7" w:rsidRDefault="00637BA7" w:rsidP="00637BA7">
            <w:pPr>
              <w:spacing w:after="0" w:line="240" w:lineRule="auto"/>
              <w:jc w:val="center"/>
              <w:rPr>
                <w:rFonts w:ascii="Calibri" w:eastAsia="Times New Roman" w:hAnsi="Calibri" w:cs="Calibri"/>
                <w:color w:val="000000"/>
                <w:sz w:val="28"/>
                <w:szCs w:val="28"/>
              </w:rPr>
            </w:pPr>
            <w:r w:rsidRPr="00637BA7">
              <w:rPr>
                <w:rFonts w:ascii="Calibri" w:eastAsia="Times New Roman" w:hAnsi="Calibri" w:cs="Calibri"/>
                <w:color w:val="000000"/>
                <w:sz w:val="28"/>
                <w:szCs w:val="28"/>
              </w:rPr>
              <w:t>2024</w:t>
            </w:r>
          </w:p>
        </w:tc>
      </w:tr>
      <w:tr w:rsidR="004B1BCD" w:rsidRPr="00637BA7" w14:paraId="3FBC9284" w14:textId="77777777" w:rsidTr="004B1BCD">
        <w:trPr>
          <w:trHeight w:val="338"/>
        </w:trPr>
        <w:tc>
          <w:tcPr>
            <w:tcW w:w="3479" w:type="dxa"/>
            <w:tcBorders>
              <w:top w:val="nil"/>
              <w:left w:val="single" w:sz="4" w:space="0" w:color="auto"/>
              <w:bottom w:val="single" w:sz="4" w:space="0" w:color="auto"/>
              <w:right w:val="single" w:sz="4" w:space="0" w:color="auto"/>
            </w:tcBorders>
            <w:noWrap/>
            <w:vAlign w:val="center"/>
            <w:hideMark/>
          </w:tcPr>
          <w:p w14:paraId="4E88D0D0"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Net Sales</w:t>
            </w:r>
          </w:p>
        </w:tc>
        <w:tc>
          <w:tcPr>
            <w:tcW w:w="1331" w:type="dxa"/>
            <w:gridSpan w:val="2"/>
            <w:tcBorders>
              <w:top w:val="nil"/>
              <w:left w:val="nil"/>
              <w:bottom w:val="single" w:sz="4" w:space="0" w:color="auto"/>
              <w:right w:val="single" w:sz="4" w:space="0" w:color="auto"/>
            </w:tcBorders>
            <w:noWrap/>
            <w:vAlign w:val="center"/>
            <w:hideMark/>
          </w:tcPr>
          <w:p w14:paraId="71BF894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614,680</w:t>
            </w:r>
          </w:p>
        </w:tc>
        <w:tc>
          <w:tcPr>
            <w:tcW w:w="1330" w:type="dxa"/>
            <w:gridSpan w:val="3"/>
            <w:tcBorders>
              <w:top w:val="nil"/>
              <w:left w:val="nil"/>
              <w:bottom w:val="single" w:sz="4" w:space="0" w:color="auto"/>
              <w:right w:val="single" w:sz="4" w:space="0" w:color="auto"/>
            </w:tcBorders>
            <w:noWrap/>
            <w:vAlign w:val="center"/>
            <w:hideMark/>
          </w:tcPr>
          <w:p w14:paraId="5C01B70A"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601,602</w:t>
            </w:r>
          </w:p>
        </w:tc>
        <w:tc>
          <w:tcPr>
            <w:tcW w:w="1330" w:type="dxa"/>
            <w:tcBorders>
              <w:top w:val="nil"/>
              <w:left w:val="nil"/>
              <w:bottom w:val="single" w:sz="4" w:space="0" w:color="auto"/>
              <w:right w:val="single" w:sz="4" w:space="0" w:color="auto"/>
            </w:tcBorders>
            <w:noWrap/>
            <w:vAlign w:val="center"/>
            <w:hideMark/>
          </w:tcPr>
          <w:p w14:paraId="48D7E375"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542,751</w:t>
            </w:r>
          </w:p>
        </w:tc>
        <w:tc>
          <w:tcPr>
            <w:tcW w:w="1330" w:type="dxa"/>
            <w:tcBorders>
              <w:top w:val="nil"/>
              <w:left w:val="nil"/>
              <w:bottom w:val="single" w:sz="4" w:space="0" w:color="auto"/>
              <w:right w:val="single" w:sz="4" w:space="0" w:color="auto"/>
            </w:tcBorders>
            <w:noWrap/>
            <w:vAlign w:val="center"/>
            <w:hideMark/>
          </w:tcPr>
          <w:p w14:paraId="1D3DDDC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420,457</w:t>
            </w:r>
          </w:p>
        </w:tc>
        <w:tc>
          <w:tcPr>
            <w:tcW w:w="1370" w:type="dxa"/>
            <w:gridSpan w:val="2"/>
            <w:tcBorders>
              <w:top w:val="nil"/>
              <w:left w:val="nil"/>
              <w:bottom w:val="single" w:sz="4" w:space="0" w:color="auto"/>
              <w:right w:val="single" w:sz="4" w:space="0" w:color="auto"/>
            </w:tcBorders>
            <w:noWrap/>
            <w:vAlign w:val="center"/>
            <w:hideMark/>
          </w:tcPr>
          <w:p w14:paraId="69716F02"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394,879</w:t>
            </w:r>
          </w:p>
        </w:tc>
      </w:tr>
      <w:tr w:rsidR="004B1BCD" w:rsidRPr="00637BA7" w14:paraId="179D3FB4" w14:textId="77777777" w:rsidTr="004B1BCD">
        <w:trPr>
          <w:trHeight w:val="338"/>
        </w:trPr>
        <w:tc>
          <w:tcPr>
            <w:tcW w:w="3479" w:type="dxa"/>
            <w:tcBorders>
              <w:top w:val="nil"/>
              <w:left w:val="single" w:sz="4" w:space="0" w:color="auto"/>
              <w:bottom w:val="single" w:sz="4" w:space="0" w:color="auto"/>
              <w:right w:val="single" w:sz="4" w:space="0" w:color="auto"/>
            </w:tcBorders>
            <w:noWrap/>
            <w:vAlign w:val="center"/>
            <w:hideMark/>
          </w:tcPr>
          <w:p w14:paraId="404DB648"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Cost of Sales</w:t>
            </w:r>
          </w:p>
        </w:tc>
        <w:tc>
          <w:tcPr>
            <w:tcW w:w="1331" w:type="dxa"/>
            <w:gridSpan w:val="2"/>
            <w:tcBorders>
              <w:top w:val="nil"/>
              <w:left w:val="nil"/>
              <w:bottom w:val="single" w:sz="4" w:space="0" w:color="auto"/>
              <w:right w:val="single" w:sz="4" w:space="0" w:color="auto"/>
            </w:tcBorders>
            <w:noWrap/>
            <w:vAlign w:val="center"/>
            <w:hideMark/>
          </w:tcPr>
          <w:p w14:paraId="0056CA51"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(438,424)</w:t>
            </w:r>
          </w:p>
        </w:tc>
        <w:tc>
          <w:tcPr>
            <w:tcW w:w="1330" w:type="dxa"/>
            <w:gridSpan w:val="3"/>
            <w:tcBorders>
              <w:top w:val="nil"/>
              <w:left w:val="nil"/>
              <w:bottom w:val="single" w:sz="4" w:space="0" w:color="auto"/>
              <w:right w:val="single" w:sz="4" w:space="0" w:color="auto"/>
            </w:tcBorders>
            <w:noWrap/>
            <w:vAlign w:val="center"/>
            <w:hideMark/>
          </w:tcPr>
          <w:p w14:paraId="1C9C36F5"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(428,586)</w:t>
            </w:r>
          </w:p>
        </w:tc>
        <w:tc>
          <w:tcPr>
            <w:tcW w:w="1330" w:type="dxa"/>
            <w:tcBorders>
              <w:top w:val="nil"/>
              <w:left w:val="nil"/>
              <w:bottom w:val="single" w:sz="4" w:space="0" w:color="auto"/>
              <w:right w:val="single" w:sz="4" w:space="0" w:color="auto"/>
            </w:tcBorders>
            <w:noWrap/>
            <w:vAlign w:val="center"/>
            <w:hideMark/>
          </w:tcPr>
          <w:p w14:paraId="2FF50AF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(390,459)</w:t>
            </w:r>
          </w:p>
        </w:tc>
        <w:tc>
          <w:tcPr>
            <w:tcW w:w="1330" w:type="dxa"/>
            <w:tcBorders>
              <w:top w:val="nil"/>
              <w:left w:val="nil"/>
              <w:bottom w:val="single" w:sz="4" w:space="0" w:color="auto"/>
              <w:right w:val="single" w:sz="4" w:space="0" w:color="auto"/>
            </w:tcBorders>
            <w:noWrap/>
            <w:vAlign w:val="center"/>
            <w:hideMark/>
          </w:tcPr>
          <w:p w14:paraId="66B2127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(322,897)</w:t>
            </w:r>
          </w:p>
        </w:tc>
        <w:tc>
          <w:tcPr>
            <w:tcW w:w="1370" w:type="dxa"/>
            <w:gridSpan w:val="2"/>
            <w:tcBorders>
              <w:top w:val="nil"/>
              <w:left w:val="nil"/>
              <w:bottom w:val="single" w:sz="4" w:space="0" w:color="auto"/>
              <w:right w:val="single" w:sz="4" w:space="0" w:color="auto"/>
            </w:tcBorders>
            <w:noWrap/>
            <w:vAlign w:val="center"/>
            <w:hideMark/>
          </w:tcPr>
          <w:p w14:paraId="587B9202"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(280,885)</w:t>
            </w:r>
          </w:p>
        </w:tc>
      </w:tr>
      <w:tr w:rsidR="004B1BCD" w:rsidRPr="00637BA7" w14:paraId="38577604" w14:textId="77777777" w:rsidTr="004B1BCD">
        <w:trPr>
          <w:trHeight w:val="338"/>
        </w:trPr>
        <w:tc>
          <w:tcPr>
            <w:tcW w:w="3479" w:type="dxa"/>
            <w:tcBorders>
              <w:top w:val="nil"/>
              <w:left w:val="single" w:sz="4" w:space="0" w:color="auto"/>
              <w:bottom w:val="single" w:sz="4" w:space="0" w:color="auto"/>
              <w:right w:val="single" w:sz="4" w:space="0" w:color="auto"/>
            </w:tcBorders>
            <w:noWrap/>
            <w:vAlign w:val="center"/>
            <w:hideMark/>
          </w:tcPr>
          <w:p w14:paraId="06A1A23A"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Gross Profit</w:t>
            </w:r>
          </w:p>
        </w:tc>
        <w:tc>
          <w:tcPr>
            <w:tcW w:w="1331" w:type="dxa"/>
            <w:gridSpan w:val="2"/>
            <w:tcBorders>
              <w:top w:val="nil"/>
              <w:left w:val="nil"/>
              <w:bottom w:val="single" w:sz="4" w:space="0" w:color="auto"/>
              <w:right w:val="single" w:sz="4" w:space="0" w:color="auto"/>
            </w:tcBorders>
            <w:noWrap/>
            <w:vAlign w:val="center"/>
            <w:hideMark/>
          </w:tcPr>
          <w:p w14:paraId="01D949A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176,256</w:t>
            </w:r>
          </w:p>
        </w:tc>
        <w:tc>
          <w:tcPr>
            <w:tcW w:w="1330" w:type="dxa"/>
            <w:gridSpan w:val="3"/>
            <w:tcBorders>
              <w:top w:val="nil"/>
              <w:left w:val="nil"/>
              <w:bottom w:val="single" w:sz="4" w:space="0" w:color="auto"/>
              <w:right w:val="single" w:sz="4" w:space="0" w:color="auto"/>
            </w:tcBorders>
            <w:noWrap/>
            <w:vAlign w:val="center"/>
            <w:hideMark/>
          </w:tcPr>
          <w:p w14:paraId="07EABF65"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173,016</w:t>
            </w:r>
          </w:p>
        </w:tc>
        <w:tc>
          <w:tcPr>
            <w:tcW w:w="1330" w:type="dxa"/>
            <w:tcBorders>
              <w:top w:val="nil"/>
              <w:left w:val="nil"/>
              <w:bottom w:val="single" w:sz="4" w:space="0" w:color="auto"/>
              <w:right w:val="single" w:sz="4" w:space="0" w:color="auto"/>
            </w:tcBorders>
            <w:noWrap/>
            <w:vAlign w:val="center"/>
            <w:hideMark/>
          </w:tcPr>
          <w:p w14:paraId="53BD3C9E"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152,292</w:t>
            </w:r>
          </w:p>
        </w:tc>
        <w:tc>
          <w:tcPr>
            <w:tcW w:w="1330" w:type="dxa"/>
            <w:tcBorders>
              <w:top w:val="nil"/>
              <w:left w:val="nil"/>
              <w:bottom w:val="single" w:sz="4" w:space="0" w:color="auto"/>
              <w:right w:val="single" w:sz="4" w:space="0" w:color="auto"/>
            </w:tcBorders>
            <w:noWrap/>
            <w:vAlign w:val="center"/>
            <w:hideMark/>
          </w:tcPr>
          <w:p w14:paraId="1DCB495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97,560</w:t>
            </w:r>
          </w:p>
        </w:tc>
        <w:tc>
          <w:tcPr>
            <w:tcW w:w="1370" w:type="dxa"/>
            <w:gridSpan w:val="2"/>
            <w:tcBorders>
              <w:top w:val="nil"/>
              <w:left w:val="nil"/>
              <w:bottom w:val="single" w:sz="4" w:space="0" w:color="auto"/>
              <w:right w:val="single" w:sz="4" w:space="0" w:color="auto"/>
            </w:tcBorders>
            <w:noWrap/>
            <w:vAlign w:val="center"/>
            <w:hideMark/>
          </w:tcPr>
          <w:p w14:paraId="1AC951E5"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113,994</w:t>
            </w:r>
          </w:p>
        </w:tc>
      </w:tr>
      <w:tr w:rsidR="004B1BCD" w:rsidRPr="00637BA7" w14:paraId="2F3D72F9" w14:textId="77777777" w:rsidTr="004B1BCD">
        <w:trPr>
          <w:trHeight w:val="338"/>
        </w:trPr>
        <w:tc>
          <w:tcPr>
            <w:tcW w:w="3479" w:type="dxa"/>
            <w:tcBorders>
              <w:top w:val="nil"/>
              <w:left w:val="single" w:sz="4" w:space="0" w:color="auto"/>
              <w:bottom w:val="single" w:sz="4" w:space="0" w:color="auto"/>
              <w:right w:val="single" w:sz="4" w:space="0" w:color="auto"/>
            </w:tcBorders>
            <w:noWrap/>
            <w:vAlign w:val="center"/>
            <w:hideMark/>
          </w:tcPr>
          <w:p w14:paraId="0E57374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Operating expense</w:t>
            </w:r>
          </w:p>
        </w:tc>
        <w:tc>
          <w:tcPr>
            <w:tcW w:w="1331" w:type="dxa"/>
            <w:gridSpan w:val="2"/>
            <w:tcBorders>
              <w:top w:val="nil"/>
              <w:left w:val="nil"/>
              <w:bottom w:val="single" w:sz="4" w:space="0" w:color="auto"/>
              <w:right w:val="single" w:sz="4" w:space="0" w:color="auto"/>
            </w:tcBorders>
            <w:noWrap/>
            <w:vAlign w:val="center"/>
            <w:hideMark/>
          </w:tcPr>
          <w:p w14:paraId="42F108CB"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138,989</w:t>
            </w:r>
          </w:p>
        </w:tc>
        <w:tc>
          <w:tcPr>
            <w:tcW w:w="1330" w:type="dxa"/>
            <w:gridSpan w:val="3"/>
            <w:tcBorders>
              <w:top w:val="nil"/>
              <w:left w:val="nil"/>
              <w:bottom w:val="single" w:sz="4" w:space="0" w:color="auto"/>
              <w:right w:val="single" w:sz="4" w:space="0" w:color="auto"/>
            </w:tcBorders>
            <w:noWrap/>
            <w:vAlign w:val="center"/>
            <w:hideMark/>
          </w:tcPr>
          <w:p w14:paraId="33EB37B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149,763</w:t>
            </w:r>
          </w:p>
        </w:tc>
        <w:tc>
          <w:tcPr>
            <w:tcW w:w="1330" w:type="dxa"/>
            <w:tcBorders>
              <w:top w:val="nil"/>
              <w:left w:val="nil"/>
              <w:bottom w:val="single" w:sz="4" w:space="0" w:color="auto"/>
              <w:right w:val="single" w:sz="4" w:space="0" w:color="auto"/>
            </w:tcBorders>
            <w:noWrap/>
            <w:vAlign w:val="center"/>
            <w:hideMark/>
          </w:tcPr>
          <w:p w14:paraId="61C4B3B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137,744</w:t>
            </w:r>
          </w:p>
        </w:tc>
        <w:tc>
          <w:tcPr>
            <w:tcW w:w="1330" w:type="dxa"/>
            <w:tcBorders>
              <w:top w:val="nil"/>
              <w:left w:val="nil"/>
              <w:bottom w:val="single" w:sz="4" w:space="0" w:color="auto"/>
              <w:right w:val="single" w:sz="4" w:space="0" w:color="auto"/>
            </w:tcBorders>
            <w:noWrap/>
            <w:vAlign w:val="center"/>
            <w:hideMark/>
          </w:tcPr>
          <w:p w14:paraId="522EECE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182,861</w:t>
            </w:r>
          </w:p>
        </w:tc>
        <w:tc>
          <w:tcPr>
            <w:tcW w:w="1370" w:type="dxa"/>
            <w:gridSpan w:val="2"/>
            <w:tcBorders>
              <w:top w:val="nil"/>
              <w:left w:val="nil"/>
              <w:bottom w:val="single" w:sz="4" w:space="0" w:color="auto"/>
              <w:right w:val="single" w:sz="4" w:space="0" w:color="auto"/>
            </w:tcBorders>
            <w:noWrap/>
            <w:vAlign w:val="center"/>
            <w:hideMark/>
          </w:tcPr>
          <w:p w14:paraId="6D429AE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129,291</w:t>
            </w:r>
          </w:p>
        </w:tc>
      </w:tr>
      <w:tr w:rsidR="004B1BCD" w:rsidRPr="00637BA7" w14:paraId="18E10844" w14:textId="77777777" w:rsidTr="004B1BCD">
        <w:trPr>
          <w:trHeight w:val="338"/>
        </w:trPr>
        <w:tc>
          <w:tcPr>
            <w:tcW w:w="3479" w:type="dxa"/>
            <w:tcBorders>
              <w:top w:val="nil"/>
              <w:left w:val="single" w:sz="4" w:space="0" w:color="auto"/>
              <w:bottom w:val="single" w:sz="4" w:space="0" w:color="auto"/>
              <w:right w:val="single" w:sz="4" w:space="0" w:color="auto"/>
            </w:tcBorders>
            <w:noWrap/>
            <w:vAlign w:val="center"/>
            <w:hideMark/>
          </w:tcPr>
          <w:p w14:paraId="6370996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Operating Income(loss)</w:t>
            </w:r>
          </w:p>
        </w:tc>
        <w:tc>
          <w:tcPr>
            <w:tcW w:w="1331" w:type="dxa"/>
            <w:gridSpan w:val="2"/>
            <w:tcBorders>
              <w:top w:val="nil"/>
              <w:left w:val="nil"/>
              <w:bottom w:val="single" w:sz="4" w:space="0" w:color="auto"/>
              <w:right w:val="single" w:sz="4" w:space="0" w:color="auto"/>
            </w:tcBorders>
            <w:noWrap/>
            <w:vAlign w:val="center"/>
            <w:hideMark/>
          </w:tcPr>
          <w:p w14:paraId="71B9707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37,267</w:t>
            </w:r>
          </w:p>
        </w:tc>
        <w:tc>
          <w:tcPr>
            <w:tcW w:w="1330" w:type="dxa"/>
            <w:gridSpan w:val="3"/>
            <w:tcBorders>
              <w:top w:val="nil"/>
              <w:left w:val="nil"/>
              <w:bottom w:val="single" w:sz="4" w:space="0" w:color="auto"/>
              <w:right w:val="single" w:sz="4" w:space="0" w:color="auto"/>
            </w:tcBorders>
            <w:noWrap/>
            <w:vAlign w:val="center"/>
            <w:hideMark/>
          </w:tcPr>
          <w:p w14:paraId="721D391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23,253</w:t>
            </w:r>
          </w:p>
        </w:tc>
        <w:tc>
          <w:tcPr>
            <w:tcW w:w="1330" w:type="dxa"/>
            <w:tcBorders>
              <w:top w:val="nil"/>
              <w:left w:val="nil"/>
              <w:bottom w:val="single" w:sz="4" w:space="0" w:color="auto"/>
              <w:right w:val="single" w:sz="4" w:space="0" w:color="auto"/>
            </w:tcBorders>
            <w:noWrap/>
            <w:vAlign w:val="center"/>
            <w:hideMark/>
          </w:tcPr>
          <w:p w14:paraId="6624CEF2"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14,548</w:t>
            </w:r>
          </w:p>
        </w:tc>
        <w:tc>
          <w:tcPr>
            <w:tcW w:w="1330" w:type="dxa"/>
            <w:tcBorders>
              <w:top w:val="nil"/>
              <w:left w:val="nil"/>
              <w:bottom w:val="single" w:sz="4" w:space="0" w:color="auto"/>
              <w:right w:val="single" w:sz="4" w:space="0" w:color="auto"/>
            </w:tcBorders>
            <w:noWrap/>
            <w:vAlign w:val="center"/>
            <w:hideMark/>
          </w:tcPr>
          <w:p w14:paraId="2D2409C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(85,301)</w:t>
            </w:r>
          </w:p>
        </w:tc>
        <w:tc>
          <w:tcPr>
            <w:tcW w:w="1370" w:type="dxa"/>
            <w:gridSpan w:val="2"/>
            <w:tcBorders>
              <w:top w:val="nil"/>
              <w:left w:val="nil"/>
              <w:bottom w:val="single" w:sz="4" w:space="0" w:color="auto"/>
              <w:right w:val="single" w:sz="4" w:space="0" w:color="auto"/>
            </w:tcBorders>
            <w:noWrap/>
            <w:vAlign w:val="center"/>
            <w:hideMark/>
          </w:tcPr>
          <w:p w14:paraId="5A981EC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(15,297)</w:t>
            </w:r>
          </w:p>
        </w:tc>
      </w:tr>
      <w:tr w:rsidR="004B1BCD" w:rsidRPr="00637BA7" w14:paraId="02DEC5B0" w14:textId="77777777" w:rsidTr="004B1BCD">
        <w:trPr>
          <w:trHeight w:val="338"/>
        </w:trPr>
        <w:tc>
          <w:tcPr>
            <w:tcW w:w="3479" w:type="dxa"/>
            <w:tcBorders>
              <w:top w:val="nil"/>
              <w:left w:val="single" w:sz="4" w:space="0" w:color="auto"/>
              <w:bottom w:val="single" w:sz="4" w:space="0" w:color="auto"/>
              <w:right w:val="single" w:sz="4" w:space="0" w:color="auto"/>
            </w:tcBorders>
            <w:noWrap/>
            <w:vAlign w:val="center"/>
            <w:hideMark/>
          </w:tcPr>
          <w:p w14:paraId="0C06E1FD"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Interest Income(expense)</w:t>
            </w:r>
          </w:p>
        </w:tc>
        <w:tc>
          <w:tcPr>
            <w:tcW w:w="1331" w:type="dxa"/>
            <w:gridSpan w:val="2"/>
            <w:tcBorders>
              <w:top w:val="nil"/>
              <w:left w:val="nil"/>
              <w:bottom w:val="single" w:sz="4" w:space="0" w:color="auto"/>
              <w:right w:val="single" w:sz="4" w:space="0" w:color="auto"/>
            </w:tcBorders>
            <w:noWrap/>
            <w:vAlign w:val="center"/>
            <w:hideMark/>
          </w:tcPr>
          <w:p w14:paraId="7F184CB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(1,422)</w:t>
            </w:r>
          </w:p>
        </w:tc>
        <w:tc>
          <w:tcPr>
            <w:tcW w:w="1330" w:type="dxa"/>
            <w:gridSpan w:val="3"/>
            <w:tcBorders>
              <w:top w:val="nil"/>
              <w:left w:val="nil"/>
              <w:bottom w:val="single" w:sz="4" w:space="0" w:color="auto"/>
              <w:right w:val="single" w:sz="4" w:space="0" w:color="auto"/>
            </w:tcBorders>
            <w:noWrap/>
            <w:vAlign w:val="center"/>
            <w:hideMark/>
          </w:tcPr>
          <w:p w14:paraId="6245312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(566)</w:t>
            </w:r>
          </w:p>
        </w:tc>
        <w:tc>
          <w:tcPr>
            <w:tcW w:w="1330" w:type="dxa"/>
            <w:tcBorders>
              <w:top w:val="nil"/>
              <w:left w:val="nil"/>
              <w:bottom w:val="single" w:sz="4" w:space="0" w:color="auto"/>
              <w:right w:val="single" w:sz="4" w:space="0" w:color="auto"/>
            </w:tcBorders>
            <w:noWrap/>
            <w:vAlign w:val="center"/>
            <w:hideMark/>
          </w:tcPr>
          <w:p w14:paraId="137C5382"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(2,200)</w:t>
            </w:r>
          </w:p>
        </w:tc>
        <w:tc>
          <w:tcPr>
            <w:tcW w:w="1330" w:type="dxa"/>
            <w:tcBorders>
              <w:top w:val="nil"/>
              <w:left w:val="nil"/>
              <w:bottom w:val="single" w:sz="4" w:space="0" w:color="auto"/>
              <w:right w:val="single" w:sz="4" w:space="0" w:color="auto"/>
            </w:tcBorders>
            <w:noWrap/>
            <w:vAlign w:val="center"/>
            <w:hideMark/>
          </w:tcPr>
          <w:p w14:paraId="239C52A2"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(4,332)</w:t>
            </w:r>
          </w:p>
        </w:tc>
        <w:tc>
          <w:tcPr>
            <w:tcW w:w="1370" w:type="dxa"/>
            <w:gridSpan w:val="2"/>
            <w:tcBorders>
              <w:top w:val="nil"/>
              <w:left w:val="nil"/>
              <w:bottom w:val="single" w:sz="4" w:space="0" w:color="auto"/>
              <w:right w:val="single" w:sz="4" w:space="0" w:color="auto"/>
            </w:tcBorders>
            <w:noWrap/>
            <w:vAlign w:val="center"/>
            <w:hideMark/>
          </w:tcPr>
          <w:p w14:paraId="3F1AD15D"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(3,361)</w:t>
            </w:r>
          </w:p>
        </w:tc>
      </w:tr>
      <w:tr w:rsidR="004B1BCD" w:rsidRPr="00637BA7" w14:paraId="110ADE32" w14:textId="77777777" w:rsidTr="004B1BCD">
        <w:trPr>
          <w:trHeight w:val="338"/>
        </w:trPr>
        <w:tc>
          <w:tcPr>
            <w:tcW w:w="3479" w:type="dxa"/>
            <w:tcBorders>
              <w:top w:val="nil"/>
              <w:left w:val="single" w:sz="4" w:space="0" w:color="auto"/>
              <w:bottom w:val="single" w:sz="4" w:space="0" w:color="auto"/>
              <w:right w:val="single" w:sz="4" w:space="0" w:color="auto"/>
            </w:tcBorders>
            <w:noWrap/>
            <w:vAlign w:val="center"/>
            <w:hideMark/>
          </w:tcPr>
          <w:p w14:paraId="3752AFCE"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Other Income(expense)</w:t>
            </w:r>
          </w:p>
        </w:tc>
        <w:tc>
          <w:tcPr>
            <w:tcW w:w="1331" w:type="dxa"/>
            <w:gridSpan w:val="2"/>
            <w:tcBorders>
              <w:top w:val="nil"/>
              <w:left w:val="nil"/>
              <w:bottom w:val="single" w:sz="4" w:space="0" w:color="auto"/>
              <w:right w:val="single" w:sz="4" w:space="0" w:color="auto"/>
            </w:tcBorders>
            <w:noWrap/>
            <w:vAlign w:val="center"/>
            <w:hideMark/>
          </w:tcPr>
          <w:p w14:paraId="7A2F3485"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8,060</w:t>
            </w:r>
          </w:p>
        </w:tc>
        <w:tc>
          <w:tcPr>
            <w:tcW w:w="1330" w:type="dxa"/>
            <w:gridSpan w:val="3"/>
            <w:tcBorders>
              <w:top w:val="nil"/>
              <w:left w:val="nil"/>
              <w:bottom w:val="single" w:sz="4" w:space="0" w:color="auto"/>
              <w:right w:val="single" w:sz="4" w:space="0" w:color="auto"/>
            </w:tcBorders>
            <w:noWrap/>
            <w:vAlign w:val="center"/>
            <w:hideMark/>
          </w:tcPr>
          <w:p w14:paraId="7FFEDC7B"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(6,607)</w:t>
            </w:r>
          </w:p>
        </w:tc>
        <w:tc>
          <w:tcPr>
            <w:tcW w:w="1330" w:type="dxa"/>
            <w:tcBorders>
              <w:top w:val="nil"/>
              <w:left w:val="nil"/>
              <w:bottom w:val="single" w:sz="4" w:space="0" w:color="auto"/>
              <w:right w:val="single" w:sz="4" w:space="0" w:color="auto"/>
            </w:tcBorders>
            <w:noWrap/>
            <w:vAlign w:val="center"/>
            <w:hideMark/>
          </w:tcPr>
          <w:p w14:paraId="6F5D58C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(955)</w:t>
            </w:r>
          </w:p>
        </w:tc>
        <w:tc>
          <w:tcPr>
            <w:tcW w:w="1330" w:type="dxa"/>
            <w:tcBorders>
              <w:top w:val="nil"/>
              <w:left w:val="nil"/>
              <w:bottom w:val="single" w:sz="4" w:space="0" w:color="auto"/>
              <w:right w:val="single" w:sz="4" w:space="0" w:color="auto"/>
            </w:tcBorders>
            <w:noWrap/>
            <w:vAlign w:val="center"/>
            <w:hideMark/>
          </w:tcPr>
          <w:p w14:paraId="6B240BD5"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(2,621)</w:t>
            </w:r>
          </w:p>
        </w:tc>
        <w:tc>
          <w:tcPr>
            <w:tcW w:w="1370" w:type="dxa"/>
            <w:gridSpan w:val="2"/>
            <w:tcBorders>
              <w:top w:val="nil"/>
              <w:left w:val="nil"/>
              <w:bottom w:val="single" w:sz="4" w:space="0" w:color="auto"/>
              <w:right w:val="single" w:sz="4" w:space="0" w:color="auto"/>
            </w:tcBorders>
            <w:noWrap/>
            <w:vAlign w:val="center"/>
            <w:hideMark/>
          </w:tcPr>
          <w:p w14:paraId="60E6CB1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60</w:t>
            </w:r>
          </w:p>
        </w:tc>
      </w:tr>
      <w:tr w:rsidR="004B1BCD" w:rsidRPr="00637BA7" w14:paraId="20A5ADF8" w14:textId="77777777" w:rsidTr="004B1BCD">
        <w:trPr>
          <w:trHeight w:val="1077"/>
        </w:trPr>
        <w:tc>
          <w:tcPr>
            <w:tcW w:w="3479" w:type="dxa"/>
            <w:tcBorders>
              <w:top w:val="nil"/>
              <w:left w:val="single" w:sz="4" w:space="0" w:color="auto"/>
              <w:bottom w:val="single" w:sz="4" w:space="0" w:color="auto"/>
              <w:right w:val="single" w:sz="4" w:space="0" w:color="auto"/>
            </w:tcBorders>
            <w:vAlign w:val="center"/>
            <w:hideMark/>
          </w:tcPr>
          <w:p w14:paraId="68FAE2A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Income(loss) before provision for income tax</w:t>
            </w:r>
          </w:p>
        </w:tc>
        <w:tc>
          <w:tcPr>
            <w:tcW w:w="1331" w:type="dxa"/>
            <w:gridSpan w:val="2"/>
            <w:tcBorders>
              <w:top w:val="nil"/>
              <w:left w:val="nil"/>
              <w:bottom w:val="single" w:sz="4" w:space="0" w:color="auto"/>
              <w:right w:val="single" w:sz="4" w:space="0" w:color="auto"/>
            </w:tcBorders>
            <w:noWrap/>
            <w:vAlign w:val="center"/>
            <w:hideMark/>
          </w:tcPr>
          <w:p w14:paraId="7BD60D3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43,905</w:t>
            </w:r>
          </w:p>
        </w:tc>
        <w:tc>
          <w:tcPr>
            <w:tcW w:w="1330" w:type="dxa"/>
            <w:gridSpan w:val="3"/>
            <w:tcBorders>
              <w:top w:val="nil"/>
              <w:left w:val="nil"/>
              <w:bottom w:val="single" w:sz="4" w:space="0" w:color="auto"/>
              <w:right w:val="single" w:sz="4" w:space="0" w:color="auto"/>
            </w:tcBorders>
            <w:noWrap/>
            <w:vAlign w:val="center"/>
            <w:hideMark/>
          </w:tcPr>
          <w:p w14:paraId="5DC6BE91"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16,080</w:t>
            </w:r>
          </w:p>
        </w:tc>
        <w:tc>
          <w:tcPr>
            <w:tcW w:w="1330" w:type="dxa"/>
            <w:tcBorders>
              <w:top w:val="nil"/>
              <w:left w:val="nil"/>
              <w:bottom w:val="single" w:sz="4" w:space="0" w:color="auto"/>
              <w:right w:val="single" w:sz="4" w:space="0" w:color="auto"/>
            </w:tcBorders>
            <w:noWrap/>
            <w:vAlign w:val="center"/>
            <w:hideMark/>
          </w:tcPr>
          <w:p w14:paraId="2C899F9D"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11,393</w:t>
            </w:r>
          </w:p>
        </w:tc>
        <w:tc>
          <w:tcPr>
            <w:tcW w:w="1330" w:type="dxa"/>
            <w:tcBorders>
              <w:top w:val="nil"/>
              <w:left w:val="nil"/>
              <w:bottom w:val="single" w:sz="4" w:space="0" w:color="auto"/>
              <w:right w:val="single" w:sz="4" w:space="0" w:color="auto"/>
            </w:tcBorders>
            <w:noWrap/>
            <w:vAlign w:val="center"/>
            <w:hideMark/>
          </w:tcPr>
          <w:p w14:paraId="36BD02D5"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(92,254)</w:t>
            </w:r>
          </w:p>
        </w:tc>
        <w:tc>
          <w:tcPr>
            <w:tcW w:w="1370" w:type="dxa"/>
            <w:gridSpan w:val="2"/>
            <w:tcBorders>
              <w:top w:val="nil"/>
              <w:left w:val="nil"/>
              <w:bottom w:val="single" w:sz="4" w:space="0" w:color="auto"/>
              <w:right w:val="single" w:sz="4" w:space="0" w:color="auto"/>
            </w:tcBorders>
            <w:noWrap/>
            <w:vAlign w:val="center"/>
            <w:hideMark/>
          </w:tcPr>
          <w:p w14:paraId="0C227315"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(18,598)</w:t>
            </w:r>
          </w:p>
        </w:tc>
      </w:tr>
      <w:tr w:rsidR="004B1BCD" w:rsidRPr="00637BA7" w14:paraId="3455557D" w14:textId="77777777" w:rsidTr="004B1BCD">
        <w:trPr>
          <w:trHeight w:val="338"/>
        </w:trPr>
        <w:tc>
          <w:tcPr>
            <w:tcW w:w="3479" w:type="dxa"/>
            <w:tcBorders>
              <w:top w:val="nil"/>
              <w:left w:val="single" w:sz="4" w:space="0" w:color="auto"/>
              <w:bottom w:val="single" w:sz="4" w:space="0" w:color="auto"/>
              <w:right w:val="single" w:sz="4" w:space="0" w:color="auto"/>
            </w:tcBorders>
            <w:noWrap/>
            <w:vAlign w:val="center"/>
            <w:hideMark/>
          </w:tcPr>
          <w:p w14:paraId="0F0FC58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Income taxes</w:t>
            </w:r>
          </w:p>
        </w:tc>
        <w:tc>
          <w:tcPr>
            <w:tcW w:w="1331" w:type="dxa"/>
            <w:gridSpan w:val="2"/>
            <w:tcBorders>
              <w:top w:val="nil"/>
              <w:left w:val="nil"/>
              <w:bottom w:val="single" w:sz="4" w:space="0" w:color="auto"/>
              <w:right w:val="single" w:sz="4" w:space="0" w:color="auto"/>
            </w:tcBorders>
            <w:noWrap/>
            <w:vAlign w:val="center"/>
            <w:hideMark/>
          </w:tcPr>
          <w:p w14:paraId="6B1AB6D8"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(5,333)</w:t>
            </w:r>
          </w:p>
        </w:tc>
        <w:tc>
          <w:tcPr>
            <w:tcW w:w="1330" w:type="dxa"/>
            <w:gridSpan w:val="3"/>
            <w:tcBorders>
              <w:top w:val="nil"/>
              <w:left w:val="nil"/>
              <w:bottom w:val="single" w:sz="4" w:space="0" w:color="auto"/>
              <w:right w:val="single" w:sz="4" w:space="0" w:color="auto"/>
            </w:tcBorders>
            <w:noWrap/>
            <w:vAlign w:val="center"/>
            <w:hideMark/>
          </w:tcPr>
          <w:p w14:paraId="7AE569A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(10,779)</w:t>
            </w:r>
          </w:p>
        </w:tc>
        <w:tc>
          <w:tcPr>
            <w:tcW w:w="1330" w:type="dxa"/>
            <w:tcBorders>
              <w:top w:val="nil"/>
              <w:left w:val="nil"/>
              <w:bottom w:val="single" w:sz="4" w:space="0" w:color="auto"/>
              <w:right w:val="single" w:sz="4" w:space="0" w:color="auto"/>
            </w:tcBorders>
            <w:noWrap/>
            <w:vAlign w:val="center"/>
            <w:hideMark/>
          </w:tcPr>
          <w:p w14:paraId="4E12851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(10,986)</w:t>
            </w:r>
          </w:p>
        </w:tc>
        <w:tc>
          <w:tcPr>
            <w:tcW w:w="1330" w:type="dxa"/>
            <w:tcBorders>
              <w:top w:val="nil"/>
              <w:left w:val="nil"/>
              <w:bottom w:val="single" w:sz="4" w:space="0" w:color="auto"/>
              <w:right w:val="single" w:sz="4" w:space="0" w:color="auto"/>
            </w:tcBorders>
            <w:noWrap/>
            <w:vAlign w:val="center"/>
            <w:hideMark/>
          </w:tcPr>
          <w:p w14:paraId="37883BA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(5,984)</w:t>
            </w:r>
          </w:p>
        </w:tc>
        <w:tc>
          <w:tcPr>
            <w:tcW w:w="1370" w:type="dxa"/>
            <w:gridSpan w:val="2"/>
            <w:tcBorders>
              <w:top w:val="nil"/>
              <w:left w:val="nil"/>
              <w:bottom w:val="single" w:sz="4" w:space="0" w:color="auto"/>
              <w:right w:val="single" w:sz="4" w:space="0" w:color="auto"/>
            </w:tcBorders>
            <w:noWrap/>
            <w:vAlign w:val="center"/>
            <w:hideMark/>
          </w:tcPr>
          <w:p w14:paraId="0064C13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(5,431)</w:t>
            </w:r>
          </w:p>
        </w:tc>
      </w:tr>
      <w:tr w:rsidR="004B1BCD" w:rsidRPr="00637BA7" w14:paraId="0CE56B09" w14:textId="77777777" w:rsidTr="004B1BCD">
        <w:trPr>
          <w:trHeight w:val="338"/>
        </w:trPr>
        <w:tc>
          <w:tcPr>
            <w:tcW w:w="3479" w:type="dxa"/>
            <w:tcBorders>
              <w:top w:val="nil"/>
              <w:left w:val="single" w:sz="4" w:space="0" w:color="auto"/>
              <w:bottom w:val="single" w:sz="4" w:space="0" w:color="auto"/>
              <w:right w:val="single" w:sz="4" w:space="0" w:color="auto"/>
            </w:tcBorders>
            <w:noWrap/>
            <w:vAlign w:val="center"/>
            <w:hideMark/>
          </w:tcPr>
          <w:p w14:paraId="48BD759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Net Income(loss)</w:t>
            </w:r>
          </w:p>
        </w:tc>
        <w:tc>
          <w:tcPr>
            <w:tcW w:w="1331" w:type="dxa"/>
            <w:gridSpan w:val="2"/>
            <w:tcBorders>
              <w:top w:val="nil"/>
              <w:left w:val="nil"/>
              <w:bottom w:val="single" w:sz="4" w:space="0" w:color="auto"/>
              <w:right w:val="single" w:sz="4" w:space="0" w:color="auto"/>
            </w:tcBorders>
            <w:noWrap/>
            <w:vAlign w:val="center"/>
            <w:hideMark/>
          </w:tcPr>
          <w:p w14:paraId="2754767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38,572</w:t>
            </w:r>
          </w:p>
        </w:tc>
        <w:tc>
          <w:tcPr>
            <w:tcW w:w="1330" w:type="dxa"/>
            <w:gridSpan w:val="3"/>
            <w:tcBorders>
              <w:top w:val="nil"/>
              <w:left w:val="nil"/>
              <w:bottom w:val="single" w:sz="4" w:space="0" w:color="auto"/>
              <w:right w:val="single" w:sz="4" w:space="0" w:color="auto"/>
            </w:tcBorders>
            <w:noWrap/>
            <w:vAlign w:val="center"/>
            <w:hideMark/>
          </w:tcPr>
          <w:p w14:paraId="6E51D346"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5,301</w:t>
            </w:r>
          </w:p>
        </w:tc>
        <w:tc>
          <w:tcPr>
            <w:tcW w:w="1330" w:type="dxa"/>
            <w:tcBorders>
              <w:top w:val="nil"/>
              <w:left w:val="nil"/>
              <w:bottom w:val="single" w:sz="4" w:space="0" w:color="auto"/>
              <w:right w:val="single" w:sz="4" w:space="0" w:color="auto"/>
            </w:tcBorders>
            <w:noWrap/>
            <w:vAlign w:val="center"/>
            <w:hideMark/>
          </w:tcPr>
          <w:p w14:paraId="54232408"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407</w:t>
            </w:r>
          </w:p>
        </w:tc>
        <w:tc>
          <w:tcPr>
            <w:tcW w:w="1330" w:type="dxa"/>
            <w:tcBorders>
              <w:top w:val="nil"/>
              <w:left w:val="nil"/>
              <w:bottom w:val="single" w:sz="4" w:space="0" w:color="auto"/>
              <w:right w:val="single" w:sz="4" w:space="0" w:color="auto"/>
            </w:tcBorders>
            <w:noWrap/>
            <w:vAlign w:val="center"/>
            <w:hideMark/>
          </w:tcPr>
          <w:p w14:paraId="632A2DA2"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(98,238)</w:t>
            </w:r>
          </w:p>
        </w:tc>
        <w:tc>
          <w:tcPr>
            <w:tcW w:w="1370" w:type="dxa"/>
            <w:gridSpan w:val="2"/>
            <w:tcBorders>
              <w:top w:val="nil"/>
              <w:left w:val="nil"/>
              <w:bottom w:val="single" w:sz="4" w:space="0" w:color="auto"/>
              <w:right w:val="single" w:sz="4" w:space="0" w:color="auto"/>
            </w:tcBorders>
            <w:noWrap/>
            <w:vAlign w:val="center"/>
            <w:hideMark/>
          </w:tcPr>
          <w:p w14:paraId="64257AD0"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(24,029)</w:t>
            </w:r>
          </w:p>
        </w:tc>
      </w:tr>
      <w:tr w:rsidR="004B1BCD" w:rsidRPr="004B1BCD" w14:paraId="6AFC3765" w14:textId="77777777" w:rsidTr="004B1BCD">
        <w:trPr>
          <w:trHeight w:val="289"/>
        </w:trPr>
        <w:tc>
          <w:tcPr>
            <w:tcW w:w="10170" w:type="dxa"/>
            <w:gridSpan w:val="10"/>
            <w:tcBorders>
              <w:top w:val="single" w:sz="4" w:space="0" w:color="auto"/>
              <w:left w:val="single" w:sz="4" w:space="0" w:color="auto"/>
              <w:bottom w:val="single" w:sz="4" w:space="0" w:color="auto"/>
              <w:right w:val="single" w:sz="4" w:space="0" w:color="auto"/>
            </w:tcBorders>
            <w:noWrap/>
            <w:hideMark/>
          </w:tcPr>
          <w:p w14:paraId="0917A406" w14:textId="77777777" w:rsidR="004B1BCD" w:rsidRPr="004B1BCD" w:rsidRDefault="004B1BCD" w:rsidP="004B1BCD">
            <w:pPr>
              <w:spacing w:after="0" w:line="240" w:lineRule="auto"/>
              <w:rPr>
                <w:rFonts w:ascii="Calibri" w:eastAsia="Times New Roman" w:hAnsi="Calibri" w:cs="Calibri"/>
                <w:b/>
                <w:bCs/>
              </w:rPr>
            </w:pPr>
            <w:r w:rsidRPr="004B1BCD">
              <w:rPr>
                <w:rFonts w:ascii="Calibri" w:eastAsia="Times New Roman" w:hAnsi="Calibri" w:cs="Calibri"/>
                <w:b/>
                <w:bCs/>
              </w:rPr>
              <w:t>Earnings (loss) per share</w:t>
            </w:r>
          </w:p>
        </w:tc>
      </w:tr>
      <w:tr w:rsidR="004B1BCD" w:rsidRPr="004B1BCD" w14:paraId="4CAC9431" w14:textId="77777777" w:rsidTr="004B1BCD">
        <w:trPr>
          <w:trHeight w:val="289"/>
        </w:trPr>
        <w:tc>
          <w:tcPr>
            <w:tcW w:w="3505" w:type="dxa"/>
            <w:gridSpan w:val="2"/>
            <w:tcBorders>
              <w:top w:val="nil"/>
              <w:left w:val="single" w:sz="4" w:space="0" w:color="auto"/>
              <w:bottom w:val="single" w:sz="4" w:space="0" w:color="auto"/>
              <w:right w:val="single" w:sz="4" w:space="0" w:color="auto"/>
            </w:tcBorders>
            <w:noWrap/>
            <w:vAlign w:val="bottom"/>
            <w:hideMark/>
          </w:tcPr>
          <w:p w14:paraId="68E606E3" w14:textId="77777777" w:rsidR="004B1BCD" w:rsidRPr="004B1BCD" w:rsidRDefault="004B1BCD" w:rsidP="004B1BCD">
            <w:pPr>
              <w:spacing w:after="0" w:line="240" w:lineRule="auto"/>
              <w:rPr>
                <w:rFonts w:ascii="Calibri" w:eastAsia="Times New Roman" w:hAnsi="Calibri" w:cs="Calibri"/>
                <w:color w:val="000000"/>
              </w:rPr>
            </w:pPr>
            <w:r w:rsidRPr="004B1BCD">
              <w:rPr>
                <w:rFonts w:ascii="Calibri" w:eastAsia="Times New Roman" w:hAnsi="Calibri" w:cs="Calibri"/>
                <w:color w:val="000000"/>
              </w:rPr>
              <w:t>Basic EPS (£)</w:t>
            </w:r>
          </w:p>
        </w:tc>
        <w:tc>
          <w:tcPr>
            <w:tcW w:w="1350" w:type="dxa"/>
            <w:gridSpan w:val="2"/>
            <w:tcBorders>
              <w:top w:val="nil"/>
              <w:left w:val="nil"/>
              <w:bottom w:val="single" w:sz="4" w:space="0" w:color="auto"/>
              <w:right w:val="single" w:sz="4" w:space="0" w:color="auto"/>
            </w:tcBorders>
            <w:noWrap/>
            <w:vAlign w:val="bottom"/>
            <w:hideMark/>
          </w:tcPr>
          <w:p w14:paraId="5BA33391"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2.78</w:t>
            </w:r>
          </w:p>
        </w:tc>
        <w:tc>
          <w:tcPr>
            <w:tcW w:w="1260" w:type="dxa"/>
            <w:tcBorders>
              <w:top w:val="nil"/>
              <w:left w:val="nil"/>
              <w:bottom w:val="single" w:sz="4" w:space="0" w:color="auto"/>
              <w:right w:val="single" w:sz="4" w:space="0" w:color="auto"/>
            </w:tcBorders>
            <w:noWrap/>
            <w:vAlign w:val="bottom"/>
            <w:hideMark/>
          </w:tcPr>
          <w:p w14:paraId="1EFE1A3E"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0.39</w:t>
            </w:r>
          </w:p>
        </w:tc>
        <w:tc>
          <w:tcPr>
            <w:tcW w:w="1355" w:type="dxa"/>
            <w:gridSpan w:val="2"/>
            <w:tcBorders>
              <w:top w:val="nil"/>
              <w:left w:val="nil"/>
              <w:bottom w:val="single" w:sz="4" w:space="0" w:color="auto"/>
              <w:right w:val="single" w:sz="4" w:space="0" w:color="auto"/>
            </w:tcBorders>
            <w:noWrap/>
            <w:vAlign w:val="bottom"/>
            <w:hideMark/>
          </w:tcPr>
          <w:p w14:paraId="15418AD4"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0.03</w:t>
            </w:r>
          </w:p>
        </w:tc>
        <w:tc>
          <w:tcPr>
            <w:tcW w:w="1350" w:type="dxa"/>
            <w:gridSpan w:val="2"/>
            <w:tcBorders>
              <w:top w:val="nil"/>
              <w:left w:val="nil"/>
              <w:bottom w:val="single" w:sz="4" w:space="0" w:color="auto"/>
              <w:right w:val="single" w:sz="4" w:space="0" w:color="auto"/>
            </w:tcBorders>
            <w:noWrap/>
            <w:vAlign w:val="bottom"/>
            <w:hideMark/>
          </w:tcPr>
          <w:p w14:paraId="0E779360"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-7.64</w:t>
            </w:r>
          </w:p>
        </w:tc>
        <w:tc>
          <w:tcPr>
            <w:tcW w:w="1350" w:type="dxa"/>
            <w:tcBorders>
              <w:top w:val="nil"/>
              <w:left w:val="nil"/>
              <w:bottom w:val="single" w:sz="4" w:space="0" w:color="auto"/>
              <w:right w:val="single" w:sz="4" w:space="0" w:color="auto"/>
            </w:tcBorders>
            <w:noWrap/>
            <w:vAlign w:val="bottom"/>
            <w:hideMark/>
          </w:tcPr>
          <w:p w14:paraId="1C5D91BC"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-1.85</w:t>
            </w:r>
          </w:p>
        </w:tc>
      </w:tr>
      <w:tr w:rsidR="004B1BCD" w:rsidRPr="004B1BCD" w14:paraId="06E5033E" w14:textId="77777777" w:rsidTr="004B1BCD">
        <w:trPr>
          <w:trHeight w:val="289"/>
        </w:trPr>
        <w:tc>
          <w:tcPr>
            <w:tcW w:w="3505" w:type="dxa"/>
            <w:gridSpan w:val="2"/>
            <w:tcBorders>
              <w:top w:val="nil"/>
              <w:left w:val="single" w:sz="4" w:space="0" w:color="auto"/>
              <w:bottom w:val="single" w:sz="4" w:space="0" w:color="auto"/>
              <w:right w:val="single" w:sz="4" w:space="0" w:color="auto"/>
            </w:tcBorders>
            <w:noWrap/>
            <w:vAlign w:val="bottom"/>
            <w:hideMark/>
          </w:tcPr>
          <w:p w14:paraId="13BDECCD" w14:textId="77777777" w:rsidR="004B1BCD" w:rsidRPr="004B1BCD" w:rsidRDefault="004B1BCD" w:rsidP="004B1BCD">
            <w:pPr>
              <w:spacing w:after="0" w:line="240" w:lineRule="auto"/>
              <w:rPr>
                <w:rFonts w:ascii="Calibri" w:eastAsia="Times New Roman" w:hAnsi="Calibri" w:cs="Calibri"/>
                <w:color w:val="000000"/>
              </w:rPr>
            </w:pPr>
            <w:r w:rsidRPr="004B1BCD">
              <w:rPr>
                <w:rFonts w:ascii="Calibri" w:eastAsia="Times New Roman" w:hAnsi="Calibri" w:cs="Calibri"/>
                <w:color w:val="000000"/>
              </w:rPr>
              <w:t>Diluted EPS (£)</w:t>
            </w:r>
          </w:p>
        </w:tc>
        <w:tc>
          <w:tcPr>
            <w:tcW w:w="1350" w:type="dxa"/>
            <w:gridSpan w:val="2"/>
            <w:tcBorders>
              <w:top w:val="nil"/>
              <w:left w:val="nil"/>
              <w:bottom w:val="single" w:sz="4" w:space="0" w:color="auto"/>
              <w:right w:val="single" w:sz="4" w:space="0" w:color="auto"/>
            </w:tcBorders>
            <w:noWrap/>
            <w:vAlign w:val="bottom"/>
            <w:hideMark/>
          </w:tcPr>
          <w:p w14:paraId="78323582"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2.72</w:t>
            </w:r>
          </w:p>
        </w:tc>
        <w:tc>
          <w:tcPr>
            <w:tcW w:w="1260" w:type="dxa"/>
            <w:tcBorders>
              <w:top w:val="nil"/>
              <w:left w:val="nil"/>
              <w:bottom w:val="single" w:sz="4" w:space="0" w:color="auto"/>
              <w:right w:val="single" w:sz="4" w:space="0" w:color="auto"/>
            </w:tcBorders>
            <w:noWrap/>
            <w:vAlign w:val="bottom"/>
            <w:hideMark/>
          </w:tcPr>
          <w:p w14:paraId="393BAF8B"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0.39</w:t>
            </w:r>
          </w:p>
        </w:tc>
        <w:tc>
          <w:tcPr>
            <w:tcW w:w="1355" w:type="dxa"/>
            <w:gridSpan w:val="2"/>
            <w:tcBorders>
              <w:top w:val="nil"/>
              <w:left w:val="nil"/>
              <w:bottom w:val="single" w:sz="4" w:space="0" w:color="auto"/>
              <w:right w:val="single" w:sz="4" w:space="0" w:color="auto"/>
            </w:tcBorders>
            <w:noWrap/>
            <w:vAlign w:val="bottom"/>
            <w:hideMark/>
          </w:tcPr>
          <w:p w14:paraId="41CA2FF4"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0.03</w:t>
            </w:r>
          </w:p>
        </w:tc>
        <w:tc>
          <w:tcPr>
            <w:tcW w:w="1350" w:type="dxa"/>
            <w:gridSpan w:val="2"/>
            <w:tcBorders>
              <w:top w:val="nil"/>
              <w:left w:val="nil"/>
              <w:bottom w:val="single" w:sz="4" w:space="0" w:color="auto"/>
              <w:right w:val="single" w:sz="4" w:space="0" w:color="auto"/>
            </w:tcBorders>
            <w:noWrap/>
            <w:vAlign w:val="bottom"/>
            <w:hideMark/>
          </w:tcPr>
          <w:p w14:paraId="049E6FEC"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-7.64</w:t>
            </w:r>
          </w:p>
        </w:tc>
        <w:tc>
          <w:tcPr>
            <w:tcW w:w="1350" w:type="dxa"/>
            <w:tcBorders>
              <w:top w:val="nil"/>
              <w:left w:val="nil"/>
              <w:bottom w:val="single" w:sz="4" w:space="0" w:color="auto"/>
              <w:right w:val="single" w:sz="4" w:space="0" w:color="auto"/>
            </w:tcBorders>
            <w:noWrap/>
            <w:vAlign w:val="bottom"/>
            <w:hideMark/>
          </w:tcPr>
          <w:p w14:paraId="4D3860C3"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-1.85</w:t>
            </w:r>
          </w:p>
        </w:tc>
      </w:tr>
      <w:tr w:rsidR="004B1BCD" w:rsidRPr="004B1BCD" w14:paraId="6F5CF753" w14:textId="77777777" w:rsidTr="004B1BCD">
        <w:trPr>
          <w:trHeight w:val="289"/>
        </w:trPr>
        <w:tc>
          <w:tcPr>
            <w:tcW w:w="10170" w:type="dxa"/>
            <w:gridSpan w:val="10"/>
            <w:tcBorders>
              <w:top w:val="single" w:sz="4" w:space="0" w:color="auto"/>
              <w:left w:val="single" w:sz="4" w:space="0" w:color="auto"/>
              <w:bottom w:val="single" w:sz="4" w:space="0" w:color="auto"/>
              <w:right w:val="single" w:sz="4" w:space="0" w:color="auto"/>
            </w:tcBorders>
            <w:noWrap/>
            <w:vAlign w:val="bottom"/>
            <w:hideMark/>
          </w:tcPr>
          <w:p w14:paraId="1ABA124E" w14:textId="77777777" w:rsidR="004B1BCD" w:rsidRPr="004B1BCD" w:rsidRDefault="004B1BCD" w:rsidP="004B1BCD">
            <w:pPr>
              <w:spacing w:after="0" w:line="240" w:lineRule="auto"/>
              <w:rPr>
                <w:rFonts w:ascii="Calibri" w:eastAsia="Times New Roman" w:hAnsi="Calibri" w:cs="Calibri"/>
                <w:b/>
                <w:bCs/>
                <w:color w:val="000000"/>
              </w:rPr>
            </w:pPr>
            <w:r w:rsidRPr="004B1BCD">
              <w:rPr>
                <w:rFonts w:ascii="Calibri" w:eastAsia="Times New Roman" w:hAnsi="Calibri" w:cs="Calibri"/>
                <w:b/>
                <w:bCs/>
                <w:color w:val="000000"/>
              </w:rPr>
              <w:t>Shares used in computing earnings (loss) per share</w:t>
            </w:r>
          </w:p>
        </w:tc>
      </w:tr>
      <w:tr w:rsidR="004B1BCD" w:rsidRPr="004B1BCD" w14:paraId="6A9263E7" w14:textId="77777777" w:rsidTr="004B1BCD">
        <w:trPr>
          <w:trHeight w:val="289"/>
        </w:trPr>
        <w:tc>
          <w:tcPr>
            <w:tcW w:w="3505" w:type="dxa"/>
            <w:gridSpan w:val="2"/>
            <w:tcBorders>
              <w:top w:val="nil"/>
              <w:left w:val="single" w:sz="4" w:space="0" w:color="auto"/>
              <w:bottom w:val="single" w:sz="4" w:space="0" w:color="auto"/>
              <w:right w:val="single" w:sz="4" w:space="0" w:color="auto"/>
            </w:tcBorders>
            <w:noWrap/>
            <w:vAlign w:val="bottom"/>
            <w:hideMark/>
          </w:tcPr>
          <w:p w14:paraId="5C8925CF" w14:textId="77777777" w:rsidR="004B1BCD" w:rsidRPr="004B1BCD" w:rsidRDefault="004B1BCD" w:rsidP="004B1BCD">
            <w:pPr>
              <w:spacing w:after="0" w:line="240" w:lineRule="auto"/>
              <w:rPr>
                <w:rFonts w:ascii="Calibri" w:eastAsia="Times New Roman" w:hAnsi="Calibri" w:cs="Calibri"/>
                <w:color w:val="000000"/>
              </w:rPr>
            </w:pPr>
            <w:r w:rsidRPr="004B1BCD">
              <w:rPr>
                <w:rFonts w:ascii="Calibri" w:eastAsia="Times New Roman" w:hAnsi="Calibri" w:cs="Calibri"/>
                <w:color w:val="000000"/>
              </w:rPr>
              <w:t>Basic</w:t>
            </w:r>
          </w:p>
        </w:tc>
        <w:tc>
          <w:tcPr>
            <w:tcW w:w="1350" w:type="dxa"/>
            <w:gridSpan w:val="2"/>
            <w:tcBorders>
              <w:top w:val="nil"/>
              <w:left w:val="nil"/>
              <w:bottom w:val="single" w:sz="4" w:space="0" w:color="auto"/>
              <w:right w:val="single" w:sz="4" w:space="0" w:color="auto"/>
            </w:tcBorders>
            <w:noWrap/>
            <w:vAlign w:val="bottom"/>
            <w:hideMark/>
          </w:tcPr>
          <w:p w14:paraId="147C5D61"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13893</w:t>
            </w:r>
          </w:p>
        </w:tc>
        <w:tc>
          <w:tcPr>
            <w:tcW w:w="1260" w:type="dxa"/>
            <w:tcBorders>
              <w:top w:val="nil"/>
              <w:left w:val="nil"/>
              <w:bottom w:val="single" w:sz="4" w:space="0" w:color="auto"/>
              <w:right w:val="single" w:sz="4" w:space="0" w:color="auto"/>
            </w:tcBorders>
            <w:noWrap/>
            <w:vAlign w:val="bottom"/>
            <w:hideMark/>
          </w:tcPr>
          <w:p w14:paraId="02170A4A"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13465</w:t>
            </w:r>
          </w:p>
        </w:tc>
        <w:tc>
          <w:tcPr>
            <w:tcW w:w="1355" w:type="dxa"/>
            <w:gridSpan w:val="2"/>
            <w:tcBorders>
              <w:top w:val="nil"/>
              <w:left w:val="nil"/>
              <w:bottom w:val="single" w:sz="4" w:space="0" w:color="auto"/>
              <w:right w:val="single" w:sz="4" w:space="0" w:color="auto"/>
            </w:tcBorders>
            <w:noWrap/>
            <w:vAlign w:val="bottom"/>
            <w:hideMark/>
          </w:tcPr>
          <w:p w14:paraId="48F26743"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12703</w:t>
            </w:r>
          </w:p>
        </w:tc>
        <w:tc>
          <w:tcPr>
            <w:tcW w:w="1350" w:type="dxa"/>
            <w:gridSpan w:val="2"/>
            <w:tcBorders>
              <w:top w:val="nil"/>
              <w:left w:val="nil"/>
              <w:bottom w:val="single" w:sz="4" w:space="0" w:color="auto"/>
              <w:right w:val="single" w:sz="4" w:space="0" w:color="auto"/>
            </w:tcBorders>
            <w:noWrap/>
            <w:vAlign w:val="bottom"/>
            <w:hideMark/>
          </w:tcPr>
          <w:p w14:paraId="16705FE5"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12855</w:t>
            </w:r>
          </w:p>
        </w:tc>
        <w:tc>
          <w:tcPr>
            <w:tcW w:w="1350" w:type="dxa"/>
            <w:tcBorders>
              <w:top w:val="nil"/>
              <w:left w:val="nil"/>
              <w:bottom w:val="single" w:sz="4" w:space="0" w:color="auto"/>
              <w:right w:val="single" w:sz="4" w:space="0" w:color="auto"/>
            </w:tcBorders>
            <w:noWrap/>
            <w:vAlign w:val="bottom"/>
            <w:hideMark/>
          </w:tcPr>
          <w:p w14:paraId="701B838B"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12959</w:t>
            </w:r>
          </w:p>
        </w:tc>
      </w:tr>
      <w:tr w:rsidR="004B1BCD" w:rsidRPr="004B1BCD" w14:paraId="4868A01D" w14:textId="77777777" w:rsidTr="004B1BCD">
        <w:trPr>
          <w:trHeight w:val="289"/>
        </w:trPr>
        <w:tc>
          <w:tcPr>
            <w:tcW w:w="3505" w:type="dxa"/>
            <w:gridSpan w:val="2"/>
            <w:tcBorders>
              <w:top w:val="nil"/>
              <w:left w:val="single" w:sz="4" w:space="0" w:color="auto"/>
              <w:bottom w:val="single" w:sz="4" w:space="0" w:color="auto"/>
              <w:right w:val="single" w:sz="4" w:space="0" w:color="auto"/>
            </w:tcBorders>
            <w:noWrap/>
            <w:vAlign w:val="bottom"/>
            <w:hideMark/>
          </w:tcPr>
          <w:p w14:paraId="0D0F913A" w14:textId="77777777" w:rsidR="004B1BCD" w:rsidRPr="004B1BCD" w:rsidRDefault="004B1BCD" w:rsidP="004B1BCD">
            <w:pPr>
              <w:spacing w:after="0" w:line="240" w:lineRule="auto"/>
              <w:rPr>
                <w:rFonts w:ascii="Calibri" w:eastAsia="Times New Roman" w:hAnsi="Calibri" w:cs="Calibri"/>
                <w:color w:val="000000"/>
              </w:rPr>
            </w:pPr>
            <w:r w:rsidRPr="004B1BCD">
              <w:rPr>
                <w:rFonts w:ascii="Calibri" w:eastAsia="Times New Roman" w:hAnsi="Calibri" w:cs="Calibri"/>
                <w:color w:val="000000"/>
              </w:rPr>
              <w:t>Diluted</w:t>
            </w:r>
          </w:p>
        </w:tc>
        <w:tc>
          <w:tcPr>
            <w:tcW w:w="1350" w:type="dxa"/>
            <w:gridSpan w:val="2"/>
            <w:tcBorders>
              <w:top w:val="nil"/>
              <w:left w:val="nil"/>
              <w:bottom w:val="single" w:sz="4" w:space="0" w:color="auto"/>
              <w:right w:val="single" w:sz="4" w:space="0" w:color="auto"/>
            </w:tcBorders>
            <w:noWrap/>
            <w:vAlign w:val="bottom"/>
            <w:hideMark/>
          </w:tcPr>
          <w:p w14:paraId="29431EA9"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14166</w:t>
            </w:r>
          </w:p>
        </w:tc>
        <w:tc>
          <w:tcPr>
            <w:tcW w:w="1260" w:type="dxa"/>
            <w:tcBorders>
              <w:top w:val="nil"/>
              <w:left w:val="nil"/>
              <w:bottom w:val="single" w:sz="4" w:space="0" w:color="auto"/>
              <w:right w:val="single" w:sz="4" w:space="0" w:color="auto"/>
            </w:tcBorders>
            <w:noWrap/>
            <w:vAlign w:val="bottom"/>
            <w:hideMark/>
          </w:tcPr>
          <w:p w14:paraId="0EFC02E7"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13742</w:t>
            </w:r>
          </w:p>
        </w:tc>
        <w:tc>
          <w:tcPr>
            <w:tcW w:w="1355" w:type="dxa"/>
            <w:gridSpan w:val="2"/>
            <w:tcBorders>
              <w:top w:val="nil"/>
              <w:left w:val="nil"/>
              <w:bottom w:val="single" w:sz="4" w:space="0" w:color="auto"/>
              <w:right w:val="single" w:sz="4" w:space="0" w:color="auto"/>
            </w:tcBorders>
            <w:noWrap/>
            <w:vAlign w:val="bottom"/>
            <w:hideMark/>
          </w:tcPr>
          <w:p w14:paraId="750812A9"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12779</w:t>
            </w:r>
          </w:p>
        </w:tc>
        <w:tc>
          <w:tcPr>
            <w:tcW w:w="1350" w:type="dxa"/>
            <w:gridSpan w:val="2"/>
            <w:tcBorders>
              <w:top w:val="nil"/>
              <w:left w:val="nil"/>
              <w:bottom w:val="single" w:sz="4" w:space="0" w:color="auto"/>
              <w:right w:val="single" w:sz="4" w:space="0" w:color="auto"/>
            </w:tcBorders>
            <w:noWrap/>
            <w:vAlign w:val="bottom"/>
            <w:hideMark/>
          </w:tcPr>
          <w:p w14:paraId="51C0C6D1"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12855</w:t>
            </w:r>
          </w:p>
        </w:tc>
        <w:tc>
          <w:tcPr>
            <w:tcW w:w="1350" w:type="dxa"/>
            <w:tcBorders>
              <w:top w:val="nil"/>
              <w:left w:val="nil"/>
              <w:bottom w:val="single" w:sz="4" w:space="0" w:color="auto"/>
              <w:right w:val="single" w:sz="4" w:space="0" w:color="auto"/>
            </w:tcBorders>
            <w:noWrap/>
            <w:vAlign w:val="bottom"/>
            <w:hideMark/>
          </w:tcPr>
          <w:p w14:paraId="6B982FA4" w14:textId="77777777" w:rsidR="004B1BCD" w:rsidRPr="004B1BCD" w:rsidRDefault="004B1BCD" w:rsidP="004B1BCD">
            <w:pPr>
              <w:spacing w:after="0" w:line="240" w:lineRule="auto"/>
              <w:jc w:val="right"/>
              <w:rPr>
                <w:rFonts w:ascii="Calibri" w:eastAsia="Times New Roman" w:hAnsi="Calibri" w:cs="Calibri"/>
                <w:color w:val="000000"/>
              </w:rPr>
            </w:pPr>
            <w:r w:rsidRPr="004B1BCD">
              <w:rPr>
                <w:rFonts w:ascii="Calibri" w:eastAsia="Times New Roman" w:hAnsi="Calibri" w:cs="Calibri"/>
                <w:color w:val="000000"/>
              </w:rPr>
              <w:t>12959</w:t>
            </w:r>
          </w:p>
        </w:tc>
      </w:tr>
    </w:tbl>
    <w:p w14:paraId="45736E18" w14:textId="77777777" w:rsidR="00637BA7" w:rsidRDefault="00637BA7" w:rsidP="00FE4F98">
      <w:pPr>
        <w:pStyle w:val="Heading1"/>
      </w:pPr>
    </w:p>
    <w:tbl>
      <w:tblPr>
        <w:tblW w:w="10124" w:type="dxa"/>
        <w:tblLook w:val="04A0" w:firstRow="1" w:lastRow="0" w:firstColumn="1" w:lastColumn="0" w:noHBand="0" w:noVBand="1"/>
      </w:tblPr>
      <w:tblGrid>
        <w:gridCol w:w="4395"/>
        <w:gridCol w:w="1097"/>
        <w:gridCol w:w="1139"/>
        <w:gridCol w:w="1298"/>
        <w:gridCol w:w="1097"/>
        <w:gridCol w:w="1098"/>
      </w:tblGrid>
      <w:tr w:rsidR="00637BA7" w:rsidRPr="00637BA7" w14:paraId="3A9D6E86" w14:textId="77777777" w:rsidTr="00A801AF">
        <w:trPr>
          <w:trHeight w:val="501"/>
        </w:trPr>
        <w:tc>
          <w:tcPr>
            <w:tcW w:w="10124" w:type="dxa"/>
            <w:gridSpan w:val="6"/>
            <w:tcBorders>
              <w:top w:val="single" w:sz="4" w:space="0" w:color="auto"/>
              <w:left w:val="single" w:sz="4" w:space="0" w:color="auto"/>
              <w:bottom w:val="single" w:sz="4" w:space="0" w:color="auto"/>
              <w:right w:val="single" w:sz="4" w:space="0" w:color="auto"/>
            </w:tcBorders>
            <w:shd w:val="clear" w:color="000000" w:fill="00B0F0"/>
            <w:vAlign w:val="center"/>
            <w:hideMark/>
          </w:tcPr>
          <w:p w14:paraId="2FFDE741" w14:textId="77777777" w:rsidR="00637BA7" w:rsidRPr="00637BA7" w:rsidRDefault="00637BA7" w:rsidP="00637BA7">
            <w:pPr>
              <w:spacing w:after="0" w:line="240" w:lineRule="auto"/>
              <w:jc w:val="center"/>
              <w:rPr>
                <w:rFonts w:ascii="Calibri" w:eastAsia="Times New Roman" w:hAnsi="Calibri" w:cs="Calibri"/>
                <w:b/>
                <w:bCs/>
                <w:color w:val="000000"/>
                <w:sz w:val="28"/>
                <w:szCs w:val="28"/>
              </w:rPr>
            </w:pPr>
            <w:r w:rsidRPr="00637BA7">
              <w:rPr>
                <w:rFonts w:ascii="Calibri" w:eastAsia="Times New Roman" w:hAnsi="Calibri" w:cs="Calibri"/>
                <w:b/>
                <w:bCs/>
                <w:color w:val="000000"/>
                <w:sz w:val="28"/>
                <w:szCs w:val="28"/>
              </w:rPr>
              <w:t xml:space="preserve">Consolidated Financial Position </w:t>
            </w:r>
          </w:p>
        </w:tc>
      </w:tr>
      <w:tr w:rsidR="00637BA7" w:rsidRPr="00637BA7" w14:paraId="13D3FF61"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44A5D037"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 </w:t>
            </w:r>
          </w:p>
        </w:tc>
        <w:tc>
          <w:tcPr>
            <w:tcW w:w="1097" w:type="dxa"/>
            <w:tcBorders>
              <w:top w:val="nil"/>
              <w:left w:val="nil"/>
              <w:bottom w:val="single" w:sz="4" w:space="0" w:color="auto"/>
              <w:right w:val="single" w:sz="4" w:space="0" w:color="auto"/>
            </w:tcBorders>
            <w:vAlign w:val="center"/>
            <w:hideMark/>
          </w:tcPr>
          <w:p w14:paraId="2831970A" w14:textId="77777777" w:rsidR="00637BA7" w:rsidRPr="00637BA7" w:rsidRDefault="00637BA7" w:rsidP="00637BA7">
            <w:pPr>
              <w:spacing w:after="0" w:line="240" w:lineRule="auto"/>
              <w:jc w:val="center"/>
              <w:rPr>
                <w:rFonts w:ascii="Calibri" w:eastAsia="Times New Roman" w:hAnsi="Calibri" w:cs="Calibri"/>
                <w:b/>
                <w:bCs/>
                <w:color w:val="000000"/>
              </w:rPr>
            </w:pPr>
            <w:r w:rsidRPr="00637BA7">
              <w:rPr>
                <w:rFonts w:ascii="Calibri" w:eastAsia="Times New Roman" w:hAnsi="Calibri" w:cs="Calibri"/>
                <w:b/>
                <w:bCs/>
                <w:color w:val="000000"/>
              </w:rPr>
              <w:t>2020</w:t>
            </w:r>
          </w:p>
        </w:tc>
        <w:tc>
          <w:tcPr>
            <w:tcW w:w="1139" w:type="dxa"/>
            <w:tcBorders>
              <w:top w:val="nil"/>
              <w:left w:val="nil"/>
              <w:bottom w:val="single" w:sz="4" w:space="0" w:color="auto"/>
              <w:right w:val="single" w:sz="4" w:space="0" w:color="auto"/>
            </w:tcBorders>
            <w:vAlign w:val="center"/>
            <w:hideMark/>
          </w:tcPr>
          <w:p w14:paraId="117C11EF" w14:textId="77777777" w:rsidR="00637BA7" w:rsidRPr="00637BA7" w:rsidRDefault="00637BA7" w:rsidP="00637BA7">
            <w:pPr>
              <w:spacing w:after="0" w:line="240" w:lineRule="auto"/>
              <w:jc w:val="center"/>
              <w:rPr>
                <w:rFonts w:ascii="Calibri" w:eastAsia="Times New Roman" w:hAnsi="Calibri" w:cs="Calibri"/>
                <w:b/>
                <w:bCs/>
                <w:color w:val="000000"/>
              </w:rPr>
            </w:pPr>
            <w:r w:rsidRPr="00637BA7">
              <w:rPr>
                <w:rFonts w:ascii="Calibri" w:eastAsia="Times New Roman" w:hAnsi="Calibri" w:cs="Calibri"/>
                <w:b/>
                <w:bCs/>
                <w:color w:val="000000"/>
              </w:rPr>
              <w:t>2021</w:t>
            </w:r>
          </w:p>
        </w:tc>
        <w:tc>
          <w:tcPr>
            <w:tcW w:w="1298" w:type="dxa"/>
            <w:tcBorders>
              <w:top w:val="nil"/>
              <w:left w:val="nil"/>
              <w:bottom w:val="single" w:sz="4" w:space="0" w:color="auto"/>
              <w:right w:val="single" w:sz="4" w:space="0" w:color="auto"/>
            </w:tcBorders>
            <w:vAlign w:val="center"/>
            <w:hideMark/>
          </w:tcPr>
          <w:p w14:paraId="5FC8B33F" w14:textId="77777777" w:rsidR="00637BA7" w:rsidRPr="00637BA7" w:rsidRDefault="00637BA7" w:rsidP="00637BA7">
            <w:pPr>
              <w:spacing w:after="0" w:line="240" w:lineRule="auto"/>
              <w:jc w:val="center"/>
              <w:rPr>
                <w:rFonts w:ascii="Calibri" w:eastAsia="Times New Roman" w:hAnsi="Calibri" w:cs="Calibri"/>
                <w:b/>
                <w:bCs/>
                <w:color w:val="000000"/>
              </w:rPr>
            </w:pPr>
            <w:r w:rsidRPr="00637BA7">
              <w:rPr>
                <w:rFonts w:ascii="Calibri" w:eastAsia="Times New Roman" w:hAnsi="Calibri" w:cs="Calibri"/>
                <w:b/>
                <w:bCs/>
                <w:color w:val="000000"/>
              </w:rPr>
              <w:t>2022</w:t>
            </w:r>
          </w:p>
        </w:tc>
        <w:tc>
          <w:tcPr>
            <w:tcW w:w="1097" w:type="dxa"/>
            <w:tcBorders>
              <w:top w:val="nil"/>
              <w:left w:val="nil"/>
              <w:bottom w:val="single" w:sz="4" w:space="0" w:color="auto"/>
              <w:right w:val="single" w:sz="4" w:space="0" w:color="auto"/>
            </w:tcBorders>
            <w:vAlign w:val="center"/>
            <w:hideMark/>
          </w:tcPr>
          <w:p w14:paraId="31916549" w14:textId="77777777" w:rsidR="00637BA7" w:rsidRPr="00637BA7" w:rsidRDefault="00637BA7" w:rsidP="00637BA7">
            <w:pPr>
              <w:spacing w:after="0" w:line="240" w:lineRule="auto"/>
              <w:jc w:val="center"/>
              <w:rPr>
                <w:rFonts w:ascii="Calibri" w:eastAsia="Times New Roman" w:hAnsi="Calibri" w:cs="Calibri"/>
                <w:b/>
                <w:bCs/>
                <w:color w:val="000000"/>
              </w:rPr>
            </w:pPr>
            <w:r w:rsidRPr="00637BA7">
              <w:rPr>
                <w:rFonts w:ascii="Calibri" w:eastAsia="Times New Roman" w:hAnsi="Calibri" w:cs="Calibri"/>
                <w:b/>
                <w:bCs/>
                <w:color w:val="000000"/>
              </w:rPr>
              <w:t>2023</w:t>
            </w:r>
          </w:p>
        </w:tc>
        <w:tc>
          <w:tcPr>
            <w:tcW w:w="1098" w:type="dxa"/>
            <w:tcBorders>
              <w:top w:val="nil"/>
              <w:left w:val="nil"/>
              <w:bottom w:val="single" w:sz="4" w:space="0" w:color="auto"/>
              <w:right w:val="single" w:sz="4" w:space="0" w:color="auto"/>
            </w:tcBorders>
            <w:vAlign w:val="center"/>
            <w:hideMark/>
          </w:tcPr>
          <w:p w14:paraId="31E75C7D" w14:textId="77777777" w:rsidR="00637BA7" w:rsidRPr="00637BA7" w:rsidRDefault="00637BA7" w:rsidP="00637BA7">
            <w:pPr>
              <w:spacing w:after="0" w:line="240" w:lineRule="auto"/>
              <w:jc w:val="center"/>
              <w:rPr>
                <w:rFonts w:ascii="Calibri" w:eastAsia="Times New Roman" w:hAnsi="Calibri" w:cs="Calibri"/>
                <w:b/>
                <w:bCs/>
                <w:color w:val="000000"/>
              </w:rPr>
            </w:pPr>
            <w:r w:rsidRPr="00637BA7">
              <w:rPr>
                <w:rFonts w:ascii="Calibri" w:eastAsia="Times New Roman" w:hAnsi="Calibri" w:cs="Calibri"/>
                <w:b/>
                <w:bCs/>
                <w:color w:val="000000"/>
              </w:rPr>
              <w:t>2024</w:t>
            </w:r>
          </w:p>
        </w:tc>
      </w:tr>
      <w:tr w:rsidR="00637BA7" w:rsidRPr="00637BA7" w14:paraId="722F2493"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46F8E928"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Assets</w:t>
            </w:r>
          </w:p>
        </w:tc>
        <w:tc>
          <w:tcPr>
            <w:tcW w:w="1097" w:type="dxa"/>
            <w:tcBorders>
              <w:top w:val="nil"/>
              <w:left w:val="nil"/>
              <w:bottom w:val="single" w:sz="4" w:space="0" w:color="auto"/>
              <w:right w:val="single" w:sz="4" w:space="0" w:color="auto"/>
            </w:tcBorders>
            <w:vAlign w:val="center"/>
            <w:hideMark/>
          </w:tcPr>
          <w:p w14:paraId="561570DB"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139" w:type="dxa"/>
            <w:tcBorders>
              <w:top w:val="nil"/>
              <w:left w:val="nil"/>
              <w:bottom w:val="single" w:sz="4" w:space="0" w:color="auto"/>
              <w:right w:val="single" w:sz="4" w:space="0" w:color="auto"/>
            </w:tcBorders>
            <w:vAlign w:val="center"/>
            <w:hideMark/>
          </w:tcPr>
          <w:p w14:paraId="0F976CC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298" w:type="dxa"/>
            <w:tcBorders>
              <w:top w:val="nil"/>
              <w:left w:val="nil"/>
              <w:bottom w:val="single" w:sz="4" w:space="0" w:color="auto"/>
              <w:right w:val="single" w:sz="4" w:space="0" w:color="auto"/>
            </w:tcBorders>
            <w:vAlign w:val="center"/>
            <w:hideMark/>
          </w:tcPr>
          <w:p w14:paraId="3F350BB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097" w:type="dxa"/>
            <w:tcBorders>
              <w:top w:val="nil"/>
              <w:left w:val="nil"/>
              <w:bottom w:val="single" w:sz="4" w:space="0" w:color="auto"/>
              <w:right w:val="single" w:sz="4" w:space="0" w:color="auto"/>
            </w:tcBorders>
            <w:vAlign w:val="center"/>
            <w:hideMark/>
          </w:tcPr>
          <w:p w14:paraId="710F949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098" w:type="dxa"/>
            <w:tcBorders>
              <w:top w:val="nil"/>
              <w:left w:val="nil"/>
              <w:bottom w:val="single" w:sz="4" w:space="0" w:color="auto"/>
              <w:right w:val="single" w:sz="4" w:space="0" w:color="auto"/>
            </w:tcBorders>
            <w:vAlign w:val="center"/>
            <w:hideMark/>
          </w:tcPr>
          <w:p w14:paraId="7DC463A1"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r>
      <w:tr w:rsidR="00637BA7" w:rsidRPr="00637BA7" w14:paraId="2A38902B"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159B1CCE"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Current assets</w:t>
            </w:r>
          </w:p>
        </w:tc>
        <w:tc>
          <w:tcPr>
            <w:tcW w:w="1097" w:type="dxa"/>
            <w:tcBorders>
              <w:top w:val="nil"/>
              <w:left w:val="nil"/>
              <w:bottom w:val="single" w:sz="4" w:space="0" w:color="auto"/>
              <w:right w:val="single" w:sz="4" w:space="0" w:color="auto"/>
            </w:tcBorders>
            <w:vAlign w:val="center"/>
            <w:hideMark/>
          </w:tcPr>
          <w:p w14:paraId="7AACD8FC" w14:textId="77777777" w:rsidR="00637BA7" w:rsidRPr="00637BA7" w:rsidRDefault="00637BA7" w:rsidP="00637BA7">
            <w:pPr>
              <w:spacing w:after="0" w:line="240" w:lineRule="auto"/>
              <w:jc w:val="center"/>
              <w:rPr>
                <w:rFonts w:ascii="Calibri" w:eastAsia="Times New Roman" w:hAnsi="Calibri" w:cs="Calibri"/>
                <w:b/>
                <w:bCs/>
                <w:color w:val="000000"/>
              </w:rPr>
            </w:pPr>
            <w:r w:rsidRPr="00637BA7">
              <w:rPr>
                <w:rFonts w:ascii="Calibri" w:eastAsia="Times New Roman" w:hAnsi="Calibri" w:cs="Calibri"/>
                <w:b/>
                <w:bCs/>
                <w:color w:val="000000"/>
              </w:rPr>
              <w:t> </w:t>
            </w:r>
          </w:p>
        </w:tc>
        <w:tc>
          <w:tcPr>
            <w:tcW w:w="1139" w:type="dxa"/>
            <w:tcBorders>
              <w:top w:val="nil"/>
              <w:left w:val="nil"/>
              <w:bottom w:val="single" w:sz="4" w:space="0" w:color="auto"/>
              <w:right w:val="single" w:sz="4" w:space="0" w:color="auto"/>
            </w:tcBorders>
            <w:vAlign w:val="center"/>
            <w:hideMark/>
          </w:tcPr>
          <w:p w14:paraId="540D26B2" w14:textId="77777777" w:rsidR="00637BA7" w:rsidRPr="00637BA7" w:rsidRDefault="00637BA7" w:rsidP="00637BA7">
            <w:pPr>
              <w:spacing w:after="0" w:line="240" w:lineRule="auto"/>
              <w:jc w:val="center"/>
              <w:rPr>
                <w:rFonts w:ascii="Calibri" w:eastAsia="Times New Roman" w:hAnsi="Calibri" w:cs="Calibri"/>
                <w:b/>
                <w:bCs/>
                <w:color w:val="000000"/>
              </w:rPr>
            </w:pPr>
            <w:r w:rsidRPr="00637BA7">
              <w:rPr>
                <w:rFonts w:ascii="Calibri" w:eastAsia="Times New Roman" w:hAnsi="Calibri" w:cs="Calibri"/>
                <w:b/>
                <w:bCs/>
                <w:color w:val="000000"/>
              </w:rPr>
              <w:t> </w:t>
            </w:r>
          </w:p>
        </w:tc>
        <w:tc>
          <w:tcPr>
            <w:tcW w:w="1298" w:type="dxa"/>
            <w:tcBorders>
              <w:top w:val="nil"/>
              <w:left w:val="nil"/>
              <w:bottom w:val="single" w:sz="4" w:space="0" w:color="auto"/>
              <w:right w:val="single" w:sz="4" w:space="0" w:color="auto"/>
            </w:tcBorders>
            <w:vAlign w:val="center"/>
            <w:hideMark/>
          </w:tcPr>
          <w:p w14:paraId="17924AEA" w14:textId="77777777" w:rsidR="00637BA7" w:rsidRPr="00637BA7" w:rsidRDefault="00637BA7" w:rsidP="00637BA7">
            <w:pPr>
              <w:spacing w:after="0" w:line="240" w:lineRule="auto"/>
              <w:jc w:val="center"/>
              <w:rPr>
                <w:rFonts w:ascii="Calibri" w:eastAsia="Times New Roman" w:hAnsi="Calibri" w:cs="Calibri"/>
                <w:b/>
                <w:bCs/>
                <w:color w:val="000000"/>
              </w:rPr>
            </w:pPr>
            <w:r w:rsidRPr="00637BA7">
              <w:rPr>
                <w:rFonts w:ascii="Calibri" w:eastAsia="Times New Roman" w:hAnsi="Calibri" w:cs="Calibri"/>
                <w:b/>
                <w:bCs/>
                <w:color w:val="000000"/>
              </w:rPr>
              <w:t> </w:t>
            </w:r>
          </w:p>
        </w:tc>
        <w:tc>
          <w:tcPr>
            <w:tcW w:w="1097" w:type="dxa"/>
            <w:tcBorders>
              <w:top w:val="nil"/>
              <w:left w:val="nil"/>
              <w:bottom w:val="single" w:sz="4" w:space="0" w:color="auto"/>
              <w:right w:val="single" w:sz="4" w:space="0" w:color="auto"/>
            </w:tcBorders>
            <w:vAlign w:val="center"/>
            <w:hideMark/>
          </w:tcPr>
          <w:p w14:paraId="6250BB16" w14:textId="77777777" w:rsidR="00637BA7" w:rsidRPr="00637BA7" w:rsidRDefault="00637BA7" w:rsidP="00637BA7">
            <w:pPr>
              <w:spacing w:after="0" w:line="240" w:lineRule="auto"/>
              <w:jc w:val="center"/>
              <w:rPr>
                <w:rFonts w:ascii="Calibri" w:eastAsia="Times New Roman" w:hAnsi="Calibri" w:cs="Calibri"/>
                <w:b/>
                <w:bCs/>
                <w:color w:val="000000"/>
              </w:rPr>
            </w:pPr>
            <w:r w:rsidRPr="00637BA7">
              <w:rPr>
                <w:rFonts w:ascii="Calibri" w:eastAsia="Times New Roman" w:hAnsi="Calibri" w:cs="Calibri"/>
                <w:b/>
                <w:bCs/>
                <w:color w:val="000000"/>
              </w:rPr>
              <w:t> </w:t>
            </w:r>
          </w:p>
        </w:tc>
        <w:tc>
          <w:tcPr>
            <w:tcW w:w="1098" w:type="dxa"/>
            <w:tcBorders>
              <w:top w:val="nil"/>
              <w:left w:val="nil"/>
              <w:bottom w:val="single" w:sz="4" w:space="0" w:color="auto"/>
              <w:right w:val="single" w:sz="4" w:space="0" w:color="auto"/>
            </w:tcBorders>
            <w:vAlign w:val="center"/>
            <w:hideMark/>
          </w:tcPr>
          <w:p w14:paraId="4E263127" w14:textId="77777777" w:rsidR="00637BA7" w:rsidRPr="00637BA7" w:rsidRDefault="00637BA7" w:rsidP="00637BA7">
            <w:pPr>
              <w:spacing w:after="0" w:line="240" w:lineRule="auto"/>
              <w:jc w:val="center"/>
              <w:rPr>
                <w:rFonts w:ascii="Calibri" w:eastAsia="Times New Roman" w:hAnsi="Calibri" w:cs="Calibri"/>
                <w:b/>
                <w:bCs/>
                <w:color w:val="000000"/>
              </w:rPr>
            </w:pPr>
            <w:r w:rsidRPr="00637BA7">
              <w:rPr>
                <w:rFonts w:ascii="Calibri" w:eastAsia="Times New Roman" w:hAnsi="Calibri" w:cs="Calibri"/>
                <w:b/>
                <w:bCs/>
                <w:color w:val="000000"/>
              </w:rPr>
              <w:t> </w:t>
            </w:r>
          </w:p>
        </w:tc>
      </w:tr>
      <w:tr w:rsidR="00637BA7" w:rsidRPr="00637BA7" w14:paraId="37C9E5F6"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56FF83C8"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Cash and cash equivalents</w:t>
            </w:r>
          </w:p>
        </w:tc>
        <w:tc>
          <w:tcPr>
            <w:tcW w:w="1097" w:type="dxa"/>
            <w:tcBorders>
              <w:top w:val="nil"/>
              <w:left w:val="nil"/>
              <w:bottom w:val="single" w:sz="4" w:space="0" w:color="auto"/>
              <w:right w:val="single" w:sz="4" w:space="0" w:color="auto"/>
            </w:tcBorders>
            <w:vAlign w:val="center"/>
            <w:hideMark/>
          </w:tcPr>
          <w:p w14:paraId="236F7868"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57,153</w:t>
            </w:r>
          </w:p>
        </w:tc>
        <w:tc>
          <w:tcPr>
            <w:tcW w:w="1139" w:type="dxa"/>
            <w:tcBorders>
              <w:top w:val="nil"/>
              <w:left w:val="nil"/>
              <w:bottom w:val="single" w:sz="4" w:space="0" w:color="auto"/>
              <w:right w:val="single" w:sz="4" w:space="0" w:color="auto"/>
            </w:tcBorders>
            <w:vAlign w:val="center"/>
            <w:hideMark/>
          </w:tcPr>
          <w:p w14:paraId="066B051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60,813</w:t>
            </w:r>
          </w:p>
        </w:tc>
        <w:tc>
          <w:tcPr>
            <w:tcW w:w="1298" w:type="dxa"/>
            <w:tcBorders>
              <w:top w:val="nil"/>
              <w:left w:val="nil"/>
              <w:bottom w:val="single" w:sz="4" w:space="0" w:color="auto"/>
              <w:right w:val="single" w:sz="4" w:space="0" w:color="auto"/>
            </w:tcBorders>
            <w:vAlign w:val="center"/>
            <w:hideMark/>
          </w:tcPr>
          <w:p w14:paraId="52AE74D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66,740</w:t>
            </w:r>
          </w:p>
        </w:tc>
        <w:tc>
          <w:tcPr>
            <w:tcW w:w="1097" w:type="dxa"/>
            <w:tcBorders>
              <w:top w:val="nil"/>
              <w:left w:val="nil"/>
              <w:bottom w:val="single" w:sz="4" w:space="0" w:color="auto"/>
              <w:right w:val="single" w:sz="4" w:space="0" w:color="auto"/>
            </w:tcBorders>
            <w:vAlign w:val="center"/>
            <w:hideMark/>
          </w:tcPr>
          <w:p w14:paraId="09C4DB6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42,751</w:t>
            </w:r>
          </w:p>
        </w:tc>
        <w:tc>
          <w:tcPr>
            <w:tcW w:w="1098" w:type="dxa"/>
            <w:tcBorders>
              <w:top w:val="nil"/>
              <w:left w:val="nil"/>
              <w:bottom w:val="single" w:sz="4" w:space="0" w:color="auto"/>
              <w:right w:val="single" w:sz="4" w:space="0" w:color="auto"/>
            </w:tcBorders>
            <w:vAlign w:val="center"/>
            <w:hideMark/>
          </w:tcPr>
          <w:p w14:paraId="6022F2C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26,783</w:t>
            </w:r>
          </w:p>
        </w:tc>
      </w:tr>
      <w:tr w:rsidR="00637BA7" w:rsidRPr="00637BA7" w14:paraId="7F2A7D8A"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5787E462"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Accounts receivable</w:t>
            </w:r>
          </w:p>
        </w:tc>
        <w:tc>
          <w:tcPr>
            <w:tcW w:w="1097" w:type="dxa"/>
            <w:tcBorders>
              <w:top w:val="nil"/>
              <w:left w:val="nil"/>
              <w:bottom w:val="single" w:sz="4" w:space="0" w:color="auto"/>
              <w:right w:val="single" w:sz="4" w:space="0" w:color="auto"/>
            </w:tcBorders>
            <w:vAlign w:val="center"/>
            <w:hideMark/>
          </w:tcPr>
          <w:p w14:paraId="13517186"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129,433</w:t>
            </w:r>
          </w:p>
        </w:tc>
        <w:tc>
          <w:tcPr>
            <w:tcW w:w="1139" w:type="dxa"/>
            <w:tcBorders>
              <w:top w:val="nil"/>
              <w:left w:val="nil"/>
              <w:bottom w:val="single" w:sz="4" w:space="0" w:color="auto"/>
              <w:right w:val="single" w:sz="4" w:space="0" w:color="auto"/>
            </w:tcBorders>
            <w:vAlign w:val="center"/>
            <w:hideMark/>
          </w:tcPr>
          <w:p w14:paraId="367CE710"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129,215</w:t>
            </w:r>
          </w:p>
        </w:tc>
        <w:tc>
          <w:tcPr>
            <w:tcW w:w="1298" w:type="dxa"/>
            <w:tcBorders>
              <w:top w:val="nil"/>
              <w:left w:val="nil"/>
              <w:bottom w:val="single" w:sz="4" w:space="0" w:color="auto"/>
              <w:right w:val="single" w:sz="4" w:space="0" w:color="auto"/>
            </w:tcBorders>
            <w:vAlign w:val="center"/>
            <w:hideMark/>
          </w:tcPr>
          <w:p w14:paraId="70B9324B"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129,215</w:t>
            </w:r>
          </w:p>
        </w:tc>
        <w:tc>
          <w:tcPr>
            <w:tcW w:w="1097" w:type="dxa"/>
            <w:tcBorders>
              <w:top w:val="nil"/>
              <w:left w:val="nil"/>
              <w:bottom w:val="single" w:sz="4" w:space="0" w:color="auto"/>
              <w:right w:val="single" w:sz="4" w:space="0" w:color="auto"/>
            </w:tcBorders>
            <w:vAlign w:val="center"/>
            <w:hideMark/>
          </w:tcPr>
          <w:p w14:paraId="0BCB4D2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112,596</w:t>
            </w:r>
          </w:p>
        </w:tc>
        <w:tc>
          <w:tcPr>
            <w:tcW w:w="1098" w:type="dxa"/>
            <w:tcBorders>
              <w:top w:val="nil"/>
              <w:left w:val="nil"/>
              <w:bottom w:val="single" w:sz="4" w:space="0" w:color="auto"/>
              <w:right w:val="single" w:sz="4" w:space="0" w:color="auto"/>
            </w:tcBorders>
            <w:vAlign w:val="center"/>
            <w:hideMark/>
          </w:tcPr>
          <w:p w14:paraId="115B85D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114,182</w:t>
            </w:r>
          </w:p>
        </w:tc>
      </w:tr>
      <w:tr w:rsidR="00637BA7" w:rsidRPr="00637BA7" w14:paraId="771607DD"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1C1F21AE"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Contract assets</w:t>
            </w:r>
          </w:p>
        </w:tc>
        <w:tc>
          <w:tcPr>
            <w:tcW w:w="1097" w:type="dxa"/>
            <w:tcBorders>
              <w:top w:val="nil"/>
              <w:left w:val="nil"/>
              <w:bottom w:val="single" w:sz="4" w:space="0" w:color="auto"/>
              <w:right w:val="single" w:sz="4" w:space="0" w:color="auto"/>
            </w:tcBorders>
            <w:vAlign w:val="center"/>
            <w:hideMark/>
          </w:tcPr>
          <w:p w14:paraId="715BBE2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9,685</w:t>
            </w:r>
          </w:p>
        </w:tc>
        <w:tc>
          <w:tcPr>
            <w:tcW w:w="1139" w:type="dxa"/>
            <w:tcBorders>
              <w:top w:val="nil"/>
              <w:left w:val="nil"/>
              <w:bottom w:val="single" w:sz="4" w:space="0" w:color="auto"/>
              <w:right w:val="single" w:sz="4" w:space="0" w:color="auto"/>
            </w:tcBorders>
            <w:vAlign w:val="center"/>
            <w:hideMark/>
          </w:tcPr>
          <w:p w14:paraId="679A522D"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5,012</w:t>
            </w:r>
          </w:p>
        </w:tc>
        <w:tc>
          <w:tcPr>
            <w:tcW w:w="1298" w:type="dxa"/>
            <w:tcBorders>
              <w:top w:val="nil"/>
              <w:left w:val="nil"/>
              <w:bottom w:val="single" w:sz="4" w:space="0" w:color="auto"/>
              <w:right w:val="single" w:sz="4" w:space="0" w:color="auto"/>
            </w:tcBorders>
            <w:vAlign w:val="center"/>
            <w:hideMark/>
          </w:tcPr>
          <w:p w14:paraId="264F862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7,996</w:t>
            </w:r>
          </w:p>
        </w:tc>
        <w:tc>
          <w:tcPr>
            <w:tcW w:w="1097" w:type="dxa"/>
            <w:tcBorders>
              <w:top w:val="nil"/>
              <w:left w:val="nil"/>
              <w:bottom w:val="single" w:sz="4" w:space="0" w:color="auto"/>
              <w:right w:val="single" w:sz="4" w:space="0" w:color="auto"/>
            </w:tcBorders>
            <w:vAlign w:val="center"/>
            <w:hideMark/>
          </w:tcPr>
          <w:p w14:paraId="53DA5F08"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4,240</w:t>
            </w:r>
          </w:p>
        </w:tc>
        <w:tc>
          <w:tcPr>
            <w:tcW w:w="1098" w:type="dxa"/>
            <w:tcBorders>
              <w:top w:val="nil"/>
              <w:left w:val="nil"/>
              <w:bottom w:val="single" w:sz="4" w:space="0" w:color="auto"/>
              <w:right w:val="single" w:sz="4" w:space="0" w:color="auto"/>
            </w:tcBorders>
            <w:vAlign w:val="center"/>
            <w:hideMark/>
          </w:tcPr>
          <w:p w14:paraId="7B7CA01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10,346</w:t>
            </w:r>
          </w:p>
        </w:tc>
      </w:tr>
      <w:tr w:rsidR="00637BA7" w:rsidRPr="00637BA7" w14:paraId="40DC9024"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23389901"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Inventories</w:t>
            </w:r>
          </w:p>
        </w:tc>
        <w:tc>
          <w:tcPr>
            <w:tcW w:w="1097" w:type="dxa"/>
            <w:tcBorders>
              <w:top w:val="nil"/>
              <w:left w:val="nil"/>
              <w:bottom w:val="single" w:sz="4" w:space="0" w:color="auto"/>
              <w:right w:val="single" w:sz="4" w:space="0" w:color="auto"/>
            </w:tcBorders>
            <w:vAlign w:val="center"/>
            <w:hideMark/>
          </w:tcPr>
          <w:p w14:paraId="4D528E9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120,430</w:t>
            </w:r>
          </w:p>
        </w:tc>
        <w:tc>
          <w:tcPr>
            <w:tcW w:w="1139" w:type="dxa"/>
            <w:tcBorders>
              <w:top w:val="nil"/>
              <w:left w:val="nil"/>
              <w:bottom w:val="single" w:sz="4" w:space="0" w:color="auto"/>
              <w:right w:val="single" w:sz="4" w:space="0" w:color="auto"/>
            </w:tcBorders>
            <w:vAlign w:val="center"/>
            <w:hideMark/>
          </w:tcPr>
          <w:p w14:paraId="7335C8F1"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134,469</w:t>
            </w:r>
          </w:p>
        </w:tc>
        <w:tc>
          <w:tcPr>
            <w:tcW w:w="1298" w:type="dxa"/>
            <w:tcBorders>
              <w:top w:val="nil"/>
              <w:left w:val="nil"/>
              <w:bottom w:val="single" w:sz="4" w:space="0" w:color="auto"/>
              <w:right w:val="single" w:sz="4" w:space="0" w:color="auto"/>
            </w:tcBorders>
            <w:vAlign w:val="center"/>
            <w:hideMark/>
          </w:tcPr>
          <w:p w14:paraId="716AB052"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140,181</w:t>
            </w:r>
          </w:p>
        </w:tc>
        <w:tc>
          <w:tcPr>
            <w:tcW w:w="1097" w:type="dxa"/>
            <w:tcBorders>
              <w:top w:val="nil"/>
              <w:left w:val="nil"/>
              <w:bottom w:val="single" w:sz="4" w:space="0" w:color="auto"/>
              <w:right w:val="single" w:sz="4" w:space="0" w:color="auto"/>
            </w:tcBorders>
            <w:vAlign w:val="center"/>
            <w:hideMark/>
          </w:tcPr>
          <w:p w14:paraId="24FB33D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88,273</w:t>
            </w:r>
          </w:p>
        </w:tc>
        <w:tc>
          <w:tcPr>
            <w:tcW w:w="1098" w:type="dxa"/>
            <w:tcBorders>
              <w:top w:val="nil"/>
              <w:left w:val="nil"/>
              <w:bottom w:val="single" w:sz="4" w:space="0" w:color="auto"/>
              <w:right w:val="single" w:sz="4" w:space="0" w:color="auto"/>
            </w:tcBorders>
            <w:vAlign w:val="center"/>
            <w:hideMark/>
          </w:tcPr>
          <w:p w14:paraId="5400E1A0"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79,355</w:t>
            </w:r>
          </w:p>
        </w:tc>
      </w:tr>
      <w:tr w:rsidR="00637BA7" w:rsidRPr="00637BA7" w14:paraId="0D97DC84"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689286D3"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Other current assets</w:t>
            </w:r>
          </w:p>
        </w:tc>
        <w:tc>
          <w:tcPr>
            <w:tcW w:w="1097" w:type="dxa"/>
            <w:tcBorders>
              <w:top w:val="nil"/>
              <w:left w:val="nil"/>
              <w:bottom w:val="single" w:sz="4" w:space="0" w:color="auto"/>
              <w:right w:val="single" w:sz="4" w:space="0" w:color="auto"/>
            </w:tcBorders>
            <w:vAlign w:val="center"/>
            <w:hideMark/>
          </w:tcPr>
          <w:p w14:paraId="584B2D02"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139" w:type="dxa"/>
            <w:tcBorders>
              <w:top w:val="nil"/>
              <w:left w:val="nil"/>
              <w:bottom w:val="single" w:sz="4" w:space="0" w:color="auto"/>
              <w:right w:val="single" w:sz="4" w:space="0" w:color="auto"/>
            </w:tcBorders>
            <w:vAlign w:val="center"/>
            <w:hideMark/>
          </w:tcPr>
          <w:p w14:paraId="570A9631"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298" w:type="dxa"/>
            <w:tcBorders>
              <w:top w:val="nil"/>
              <w:left w:val="nil"/>
              <w:bottom w:val="single" w:sz="4" w:space="0" w:color="auto"/>
              <w:right w:val="single" w:sz="4" w:space="0" w:color="auto"/>
            </w:tcBorders>
            <w:vAlign w:val="center"/>
            <w:hideMark/>
          </w:tcPr>
          <w:p w14:paraId="4C30C84A"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097" w:type="dxa"/>
            <w:tcBorders>
              <w:top w:val="nil"/>
              <w:left w:val="nil"/>
              <w:bottom w:val="single" w:sz="4" w:space="0" w:color="auto"/>
              <w:right w:val="single" w:sz="4" w:space="0" w:color="auto"/>
            </w:tcBorders>
            <w:vAlign w:val="center"/>
            <w:hideMark/>
          </w:tcPr>
          <w:p w14:paraId="0680ADB5"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7,325</w:t>
            </w:r>
          </w:p>
        </w:tc>
        <w:tc>
          <w:tcPr>
            <w:tcW w:w="1098" w:type="dxa"/>
            <w:tcBorders>
              <w:top w:val="nil"/>
              <w:left w:val="nil"/>
              <w:bottom w:val="single" w:sz="4" w:space="0" w:color="auto"/>
              <w:right w:val="single" w:sz="4" w:space="0" w:color="auto"/>
            </w:tcBorders>
            <w:vAlign w:val="center"/>
            <w:hideMark/>
          </w:tcPr>
          <w:p w14:paraId="11949EA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9,478</w:t>
            </w:r>
          </w:p>
        </w:tc>
      </w:tr>
      <w:tr w:rsidR="00637BA7" w:rsidRPr="00637BA7" w14:paraId="39B16420"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15F377FE"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Income tax receivable</w:t>
            </w:r>
          </w:p>
        </w:tc>
        <w:tc>
          <w:tcPr>
            <w:tcW w:w="1097" w:type="dxa"/>
            <w:tcBorders>
              <w:top w:val="nil"/>
              <w:left w:val="nil"/>
              <w:bottom w:val="single" w:sz="4" w:space="0" w:color="auto"/>
              <w:right w:val="single" w:sz="4" w:space="0" w:color="auto"/>
            </w:tcBorders>
            <w:vAlign w:val="center"/>
            <w:hideMark/>
          </w:tcPr>
          <w:p w14:paraId="384EFC0D"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3,314</w:t>
            </w:r>
          </w:p>
        </w:tc>
        <w:tc>
          <w:tcPr>
            <w:tcW w:w="1139" w:type="dxa"/>
            <w:tcBorders>
              <w:top w:val="nil"/>
              <w:left w:val="nil"/>
              <w:bottom w:val="single" w:sz="4" w:space="0" w:color="auto"/>
              <w:right w:val="single" w:sz="4" w:space="0" w:color="auto"/>
            </w:tcBorders>
            <w:vAlign w:val="center"/>
            <w:hideMark/>
          </w:tcPr>
          <w:p w14:paraId="4928621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348</w:t>
            </w:r>
          </w:p>
        </w:tc>
        <w:tc>
          <w:tcPr>
            <w:tcW w:w="1298" w:type="dxa"/>
            <w:tcBorders>
              <w:top w:val="nil"/>
              <w:left w:val="nil"/>
              <w:bottom w:val="single" w:sz="4" w:space="0" w:color="auto"/>
              <w:right w:val="single" w:sz="4" w:space="0" w:color="auto"/>
            </w:tcBorders>
            <w:vAlign w:val="center"/>
            <w:hideMark/>
          </w:tcPr>
          <w:p w14:paraId="2D476D90"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4,130</w:t>
            </w:r>
          </w:p>
        </w:tc>
        <w:tc>
          <w:tcPr>
            <w:tcW w:w="1097" w:type="dxa"/>
            <w:tcBorders>
              <w:top w:val="nil"/>
              <w:left w:val="nil"/>
              <w:bottom w:val="single" w:sz="4" w:space="0" w:color="auto"/>
              <w:right w:val="single" w:sz="4" w:space="0" w:color="auto"/>
            </w:tcBorders>
            <w:vAlign w:val="center"/>
            <w:hideMark/>
          </w:tcPr>
          <w:p w14:paraId="2842EE0D"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3,666</w:t>
            </w:r>
          </w:p>
        </w:tc>
        <w:tc>
          <w:tcPr>
            <w:tcW w:w="1098" w:type="dxa"/>
            <w:tcBorders>
              <w:top w:val="nil"/>
              <w:left w:val="nil"/>
              <w:bottom w:val="single" w:sz="4" w:space="0" w:color="auto"/>
              <w:right w:val="single" w:sz="4" w:space="0" w:color="auto"/>
            </w:tcBorders>
            <w:vAlign w:val="center"/>
            <w:hideMark/>
          </w:tcPr>
          <w:p w14:paraId="2AB3402A"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2,350</w:t>
            </w:r>
          </w:p>
        </w:tc>
      </w:tr>
      <w:tr w:rsidR="00637BA7" w:rsidRPr="00637BA7" w14:paraId="14B0B7BD"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655AE36F"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Total current assets</w:t>
            </w:r>
          </w:p>
        </w:tc>
        <w:tc>
          <w:tcPr>
            <w:tcW w:w="1097" w:type="dxa"/>
            <w:tcBorders>
              <w:top w:val="nil"/>
              <w:left w:val="nil"/>
              <w:bottom w:val="single" w:sz="4" w:space="0" w:color="auto"/>
              <w:right w:val="single" w:sz="4" w:space="0" w:color="auto"/>
            </w:tcBorders>
            <w:vAlign w:val="center"/>
            <w:hideMark/>
          </w:tcPr>
          <w:p w14:paraId="6AD401E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326,843</w:t>
            </w:r>
          </w:p>
        </w:tc>
        <w:tc>
          <w:tcPr>
            <w:tcW w:w="1139" w:type="dxa"/>
            <w:tcBorders>
              <w:top w:val="nil"/>
              <w:left w:val="nil"/>
              <w:bottom w:val="single" w:sz="4" w:space="0" w:color="auto"/>
              <w:right w:val="single" w:sz="4" w:space="0" w:color="auto"/>
            </w:tcBorders>
            <w:vAlign w:val="center"/>
            <w:hideMark/>
          </w:tcPr>
          <w:p w14:paraId="625AAA7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337,146</w:t>
            </w:r>
          </w:p>
        </w:tc>
        <w:tc>
          <w:tcPr>
            <w:tcW w:w="1298" w:type="dxa"/>
            <w:tcBorders>
              <w:top w:val="nil"/>
              <w:left w:val="nil"/>
              <w:bottom w:val="single" w:sz="4" w:space="0" w:color="auto"/>
              <w:right w:val="single" w:sz="4" w:space="0" w:color="auto"/>
            </w:tcBorders>
            <w:vAlign w:val="center"/>
            <w:hideMark/>
          </w:tcPr>
          <w:p w14:paraId="4B49F76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338,040</w:t>
            </w:r>
          </w:p>
        </w:tc>
        <w:tc>
          <w:tcPr>
            <w:tcW w:w="1097" w:type="dxa"/>
            <w:tcBorders>
              <w:top w:val="nil"/>
              <w:left w:val="nil"/>
              <w:bottom w:val="single" w:sz="4" w:space="0" w:color="auto"/>
              <w:right w:val="single" w:sz="4" w:space="0" w:color="auto"/>
            </w:tcBorders>
            <w:vAlign w:val="center"/>
            <w:hideMark/>
          </w:tcPr>
          <w:p w14:paraId="6FA4633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258,851</w:t>
            </w:r>
          </w:p>
        </w:tc>
        <w:tc>
          <w:tcPr>
            <w:tcW w:w="1098" w:type="dxa"/>
            <w:tcBorders>
              <w:top w:val="nil"/>
              <w:left w:val="nil"/>
              <w:bottom w:val="single" w:sz="4" w:space="0" w:color="auto"/>
              <w:right w:val="single" w:sz="4" w:space="0" w:color="auto"/>
            </w:tcBorders>
            <w:vAlign w:val="center"/>
            <w:hideMark/>
          </w:tcPr>
          <w:p w14:paraId="107FDF9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242,494</w:t>
            </w:r>
          </w:p>
        </w:tc>
      </w:tr>
      <w:tr w:rsidR="00637BA7" w:rsidRPr="00637BA7" w14:paraId="0582CC2C"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5A857D03"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Property, plant, and equipment, net</w:t>
            </w:r>
          </w:p>
        </w:tc>
        <w:tc>
          <w:tcPr>
            <w:tcW w:w="1097" w:type="dxa"/>
            <w:tcBorders>
              <w:top w:val="nil"/>
              <w:left w:val="nil"/>
              <w:bottom w:val="single" w:sz="4" w:space="0" w:color="auto"/>
              <w:right w:val="single" w:sz="4" w:space="0" w:color="auto"/>
            </w:tcBorders>
            <w:vAlign w:val="center"/>
            <w:hideMark/>
          </w:tcPr>
          <w:p w14:paraId="4E19D480"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87,285</w:t>
            </w:r>
          </w:p>
        </w:tc>
        <w:tc>
          <w:tcPr>
            <w:tcW w:w="1139" w:type="dxa"/>
            <w:tcBorders>
              <w:top w:val="nil"/>
              <w:left w:val="nil"/>
              <w:bottom w:val="single" w:sz="4" w:space="0" w:color="auto"/>
              <w:right w:val="single" w:sz="4" w:space="0" w:color="auto"/>
            </w:tcBorders>
            <w:vAlign w:val="center"/>
            <w:hideMark/>
          </w:tcPr>
          <w:p w14:paraId="4FFA085E"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74,647</w:t>
            </w:r>
          </w:p>
        </w:tc>
        <w:tc>
          <w:tcPr>
            <w:tcW w:w="1298" w:type="dxa"/>
            <w:tcBorders>
              <w:top w:val="nil"/>
              <w:left w:val="nil"/>
              <w:bottom w:val="single" w:sz="4" w:space="0" w:color="auto"/>
              <w:right w:val="single" w:sz="4" w:space="0" w:color="auto"/>
            </w:tcBorders>
            <w:vAlign w:val="center"/>
            <w:hideMark/>
          </w:tcPr>
          <w:p w14:paraId="461FDE22"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62,791</w:t>
            </w:r>
          </w:p>
        </w:tc>
        <w:tc>
          <w:tcPr>
            <w:tcW w:w="1097" w:type="dxa"/>
            <w:tcBorders>
              <w:top w:val="nil"/>
              <w:left w:val="nil"/>
              <w:bottom w:val="single" w:sz="4" w:space="0" w:color="auto"/>
              <w:right w:val="single" w:sz="4" w:space="0" w:color="auto"/>
            </w:tcBorders>
            <w:vAlign w:val="center"/>
            <w:hideMark/>
          </w:tcPr>
          <w:p w14:paraId="4F998BFA"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44,619</w:t>
            </w:r>
          </w:p>
        </w:tc>
        <w:tc>
          <w:tcPr>
            <w:tcW w:w="1098" w:type="dxa"/>
            <w:tcBorders>
              <w:top w:val="nil"/>
              <w:left w:val="nil"/>
              <w:bottom w:val="single" w:sz="4" w:space="0" w:color="auto"/>
              <w:right w:val="single" w:sz="4" w:space="0" w:color="auto"/>
            </w:tcBorders>
            <w:vAlign w:val="center"/>
            <w:hideMark/>
          </w:tcPr>
          <w:p w14:paraId="509BD68D"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34,207</w:t>
            </w:r>
          </w:p>
        </w:tc>
      </w:tr>
      <w:tr w:rsidR="00637BA7" w:rsidRPr="00637BA7" w14:paraId="01656B0F"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05DF6B83"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Intangible assets</w:t>
            </w:r>
          </w:p>
        </w:tc>
        <w:tc>
          <w:tcPr>
            <w:tcW w:w="1097" w:type="dxa"/>
            <w:tcBorders>
              <w:top w:val="nil"/>
              <w:left w:val="nil"/>
              <w:bottom w:val="single" w:sz="4" w:space="0" w:color="auto"/>
              <w:right w:val="single" w:sz="4" w:space="0" w:color="auto"/>
            </w:tcBorders>
            <w:vAlign w:val="center"/>
            <w:hideMark/>
          </w:tcPr>
          <w:p w14:paraId="672C248E"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19,710</w:t>
            </w:r>
          </w:p>
        </w:tc>
        <w:tc>
          <w:tcPr>
            <w:tcW w:w="1139" w:type="dxa"/>
            <w:tcBorders>
              <w:top w:val="nil"/>
              <w:left w:val="nil"/>
              <w:bottom w:val="single" w:sz="4" w:space="0" w:color="auto"/>
              <w:right w:val="single" w:sz="4" w:space="0" w:color="auto"/>
            </w:tcBorders>
            <w:vAlign w:val="center"/>
            <w:hideMark/>
          </w:tcPr>
          <w:p w14:paraId="23833C9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20,169</w:t>
            </w:r>
          </w:p>
        </w:tc>
        <w:tc>
          <w:tcPr>
            <w:tcW w:w="1298" w:type="dxa"/>
            <w:tcBorders>
              <w:top w:val="nil"/>
              <w:left w:val="nil"/>
              <w:bottom w:val="single" w:sz="4" w:space="0" w:color="auto"/>
              <w:right w:val="single" w:sz="4" w:space="0" w:color="auto"/>
            </w:tcBorders>
            <w:vAlign w:val="center"/>
            <w:hideMark/>
          </w:tcPr>
          <w:p w14:paraId="7CB95BDA"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24,470</w:t>
            </w:r>
          </w:p>
        </w:tc>
        <w:tc>
          <w:tcPr>
            <w:tcW w:w="1097" w:type="dxa"/>
            <w:tcBorders>
              <w:top w:val="nil"/>
              <w:left w:val="nil"/>
              <w:bottom w:val="single" w:sz="4" w:space="0" w:color="auto"/>
              <w:right w:val="single" w:sz="4" w:space="0" w:color="auto"/>
            </w:tcBorders>
            <w:vAlign w:val="center"/>
            <w:hideMark/>
          </w:tcPr>
          <w:p w14:paraId="6E05ADF5"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25,349</w:t>
            </w:r>
          </w:p>
        </w:tc>
        <w:tc>
          <w:tcPr>
            <w:tcW w:w="1098" w:type="dxa"/>
            <w:tcBorders>
              <w:top w:val="nil"/>
              <w:left w:val="nil"/>
              <w:bottom w:val="single" w:sz="4" w:space="0" w:color="auto"/>
              <w:right w:val="single" w:sz="4" w:space="0" w:color="auto"/>
            </w:tcBorders>
            <w:vAlign w:val="center"/>
            <w:hideMark/>
          </w:tcPr>
          <w:p w14:paraId="6AEF824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24,038</w:t>
            </w:r>
          </w:p>
        </w:tc>
      </w:tr>
      <w:tr w:rsidR="00637BA7" w:rsidRPr="00637BA7" w14:paraId="2ED73FF6"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2AC8D7C5"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Operating lease right-of-use assets</w:t>
            </w:r>
          </w:p>
        </w:tc>
        <w:tc>
          <w:tcPr>
            <w:tcW w:w="1097" w:type="dxa"/>
            <w:tcBorders>
              <w:top w:val="nil"/>
              <w:left w:val="nil"/>
              <w:bottom w:val="single" w:sz="4" w:space="0" w:color="auto"/>
              <w:right w:val="single" w:sz="4" w:space="0" w:color="auto"/>
            </w:tcBorders>
            <w:vAlign w:val="center"/>
            <w:hideMark/>
          </w:tcPr>
          <w:p w14:paraId="760A78AE"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19,522</w:t>
            </w:r>
          </w:p>
        </w:tc>
        <w:tc>
          <w:tcPr>
            <w:tcW w:w="1139" w:type="dxa"/>
            <w:tcBorders>
              <w:top w:val="nil"/>
              <w:left w:val="nil"/>
              <w:bottom w:val="single" w:sz="4" w:space="0" w:color="auto"/>
              <w:right w:val="single" w:sz="4" w:space="0" w:color="auto"/>
            </w:tcBorders>
            <w:vAlign w:val="center"/>
            <w:hideMark/>
          </w:tcPr>
          <w:p w14:paraId="0AC4A7E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19,847</w:t>
            </w:r>
          </w:p>
        </w:tc>
        <w:tc>
          <w:tcPr>
            <w:tcW w:w="1298" w:type="dxa"/>
            <w:tcBorders>
              <w:top w:val="nil"/>
              <w:left w:val="nil"/>
              <w:bottom w:val="single" w:sz="4" w:space="0" w:color="auto"/>
              <w:right w:val="single" w:sz="4" w:space="0" w:color="auto"/>
            </w:tcBorders>
            <w:vAlign w:val="center"/>
            <w:hideMark/>
          </w:tcPr>
          <w:p w14:paraId="356B294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21,599</w:t>
            </w:r>
          </w:p>
        </w:tc>
        <w:tc>
          <w:tcPr>
            <w:tcW w:w="1097" w:type="dxa"/>
            <w:tcBorders>
              <w:top w:val="nil"/>
              <w:left w:val="nil"/>
              <w:bottom w:val="single" w:sz="4" w:space="0" w:color="auto"/>
              <w:right w:val="single" w:sz="4" w:space="0" w:color="auto"/>
            </w:tcBorders>
            <w:vAlign w:val="center"/>
            <w:hideMark/>
          </w:tcPr>
          <w:p w14:paraId="6B1C78FD"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18,693</w:t>
            </w:r>
          </w:p>
        </w:tc>
        <w:tc>
          <w:tcPr>
            <w:tcW w:w="1098" w:type="dxa"/>
            <w:tcBorders>
              <w:top w:val="nil"/>
              <w:left w:val="nil"/>
              <w:bottom w:val="single" w:sz="4" w:space="0" w:color="auto"/>
              <w:right w:val="single" w:sz="4" w:space="0" w:color="auto"/>
            </w:tcBorders>
            <w:vAlign w:val="center"/>
            <w:hideMark/>
          </w:tcPr>
          <w:p w14:paraId="3E5A721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14,322</w:t>
            </w:r>
          </w:p>
        </w:tc>
      </w:tr>
      <w:tr w:rsidR="00637BA7" w:rsidRPr="00637BA7" w14:paraId="1D820EBE"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12BD79EA"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lastRenderedPageBreak/>
              <w:t>Deferred income taxes</w:t>
            </w:r>
          </w:p>
        </w:tc>
        <w:tc>
          <w:tcPr>
            <w:tcW w:w="1097" w:type="dxa"/>
            <w:tcBorders>
              <w:top w:val="nil"/>
              <w:left w:val="nil"/>
              <w:bottom w:val="single" w:sz="4" w:space="0" w:color="auto"/>
              <w:right w:val="single" w:sz="4" w:space="0" w:color="auto"/>
            </w:tcBorders>
            <w:vAlign w:val="center"/>
            <w:hideMark/>
          </w:tcPr>
          <w:p w14:paraId="09FACCAB"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5,564</w:t>
            </w:r>
          </w:p>
        </w:tc>
        <w:tc>
          <w:tcPr>
            <w:tcW w:w="1139" w:type="dxa"/>
            <w:tcBorders>
              <w:top w:val="nil"/>
              <w:left w:val="nil"/>
              <w:bottom w:val="single" w:sz="4" w:space="0" w:color="auto"/>
              <w:right w:val="single" w:sz="4" w:space="0" w:color="auto"/>
            </w:tcBorders>
            <w:vAlign w:val="center"/>
            <w:hideMark/>
          </w:tcPr>
          <w:p w14:paraId="758A7A9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7,729</w:t>
            </w:r>
          </w:p>
        </w:tc>
        <w:tc>
          <w:tcPr>
            <w:tcW w:w="1298" w:type="dxa"/>
            <w:tcBorders>
              <w:top w:val="nil"/>
              <w:left w:val="nil"/>
              <w:bottom w:val="single" w:sz="4" w:space="0" w:color="auto"/>
              <w:right w:val="single" w:sz="4" w:space="0" w:color="auto"/>
            </w:tcBorders>
            <w:vAlign w:val="center"/>
            <w:hideMark/>
          </w:tcPr>
          <w:p w14:paraId="5C8E9F3E"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6,242</w:t>
            </w:r>
          </w:p>
        </w:tc>
        <w:tc>
          <w:tcPr>
            <w:tcW w:w="1097" w:type="dxa"/>
            <w:tcBorders>
              <w:top w:val="nil"/>
              <w:left w:val="nil"/>
              <w:bottom w:val="single" w:sz="4" w:space="0" w:color="auto"/>
              <w:right w:val="single" w:sz="4" w:space="0" w:color="auto"/>
            </w:tcBorders>
            <w:vAlign w:val="center"/>
            <w:hideMark/>
          </w:tcPr>
          <w:p w14:paraId="667FEF01"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6,787</w:t>
            </w:r>
          </w:p>
        </w:tc>
        <w:tc>
          <w:tcPr>
            <w:tcW w:w="1098" w:type="dxa"/>
            <w:tcBorders>
              <w:top w:val="nil"/>
              <w:left w:val="nil"/>
              <w:bottom w:val="single" w:sz="4" w:space="0" w:color="auto"/>
              <w:right w:val="single" w:sz="4" w:space="0" w:color="auto"/>
            </w:tcBorders>
            <w:vAlign w:val="center"/>
            <w:hideMark/>
          </w:tcPr>
          <w:p w14:paraId="5500DF4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6,425</w:t>
            </w:r>
          </w:p>
        </w:tc>
      </w:tr>
      <w:tr w:rsidR="00637BA7" w:rsidRPr="00637BA7" w14:paraId="2149BD52"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217C5D1A"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Other assets</w:t>
            </w:r>
          </w:p>
        </w:tc>
        <w:tc>
          <w:tcPr>
            <w:tcW w:w="1097" w:type="dxa"/>
            <w:tcBorders>
              <w:top w:val="nil"/>
              <w:left w:val="nil"/>
              <w:bottom w:val="single" w:sz="4" w:space="0" w:color="auto"/>
              <w:right w:val="single" w:sz="4" w:space="0" w:color="auto"/>
            </w:tcBorders>
            <w:vAlign w:val="center"/>
            <w:hideMark/>
          </w:tcPr>
          <w:p w14:paraId="3B0C6C4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2,752</w:t>
            </w:r>
          </w:p>
        </w:tc>
        <w:tc>
          <w:tcPr>
            <w:tcW w:w="1139" w:type="dxa"/>
            <w:tcBorders>
              <w:top w:val="nil"/>
              <w:left w:val="nil"/>
              <w:bottom w:val="single" w:sz="4" w:space="0" w:color="auto"/>
              <w:right w:val="single" w:sz="4" w:space="0" w:color="auto"/>
            </w:tcBorders>
            <w:vAlign w:val="center"/>
            <w:hideMark/>
          </w:tcPr>
          <w:p w14:paraId="66A21A8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2,347</w:t>
            </w:r>
          </w:p>
        </w:tc>
        <w:tc>
          <w:tcPr>
            <w:tcW w:w="1298" w:type="dxa"/>
            <w:tcBorders>
              <w:top w:val="nil"/>
              <w:left w:val="nil"/>
              <w:bottom w:val="single" w:sz="4" w:space="0" w:color="auto"/>
              <w:right w:val="single" w:sz="4" w:space="0" w:color="auto"/>
            </w:tcBorders>
            <w:vAlign w:val="center"/>
            <w:hideMark/>
          </w:tcPr>
          <w:p w14:paraId="73E1C01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1,936</w:t>
            </w:r>
          </w:p>
        </w:tc>
        <w:tc>
          <w:tcPr>
            <w:tcW w:w="1097" w:type="dxa"/>
            <w:tcBorders>
              <w:top w:val="nil"/>
              <w:left w:val="nil"/>
              <w:bottom w:val="single" w:sz="4" w:space="0" w:color="auto"/>
              <w:right w:val="single" w:sz="4" w:space="0" w:color="auto"/>
            </w:tcBorders>
            <w:vAlign w:val="center"/>
            <w:hideMark/>
          </w:tcPr>
          <w:p w14:paraId="3692C131"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1,573</w:t>
            </w:r>
          </w:p>
        </w:tc>
        <w:tc>
          <w:tcPr>
            <w:tcW w:w="1098" w:type="dxa"/>
            <w:tcBorders>
              <w:top w:val="nil"/>
              <w:left w:val="nil"/>
              <w:bottom w:val="single" w:sz="4" w:space="0" w:color="auto"/>
              <w:right w:val="single" w:sz="4" w:space="0" w:color="auto"/>
            </w:tcBorders>
            <w:vAlign w:val="center"/>
            <w:hideMark/>
          </w:tcPr>
          <w:p w14:paraId="370A4D71"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1,868</w:t>
            </w:r>
          </w:p>
        </w:tc>
      </w:tr>
      <w:tr w:rsidR="00637BA7" w:rsidRPr="00637BA7" w14:paraId="6B191CAB"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24F0C164"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Total assets</w:t>
            </w:r>
          </w:p>
        </w:tc>
        <w:tc>
          <w:tcPr>
            <w:tcW w:w="1097" w:type="dxa"/>
            <w:tcBorders>
              <w:top w:val="nil"/>
              <w:left w:val="nil"/>
              <w:bottom w:val="single" w:sz="4" w:space="0" w:color="auto"/>
              <w:right w:val="single" w:sz="4" w:space="0" w:color="auto"/>
            </w:tcBorders>
            <w:vAlign w:val="center"/>
            <w:hideMark/>
          </w:tcPr>
          <w:p w14:paraId="4337E18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510,290</w:t>
            </w:r>
          </w:p>
        </w:tc>
        <w:tc>
          <w:tcPr>
            <w:tcW w:w="1139" w:type="dxa"/>
            <w:tcBorders>
              <w:top w:val="nil"/>
              <w:left w:val="nil"/>
              <w:bottom w:val="single" w:sz="4" w:space="0" w:color="auto"/>
              <w:right w:val="single" w:sz="4" w:space="0" w:color="auto"/>
            </w:tcBorders>
            <w:vAlign w:val="center"/>
            <w:hideMark/>
          </w:tcPr>
          <w:p w14:paraId="51D508A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510,348</w:t>
            </w:r>
          </w:p>
        </w:tc>
        <w:tc>
          <w:tcPr>
            <w:tcW w:w="1298" w:type="dxa"/>
            <w:tcBorders>
              <w:top w:val="nil"/>
              <w:left w:val="nil"/>
              <w:bottom w:val="single" w:sz="4" w:space="0" w:color="auto"/>
              <w:right w:val="single" w:sz="4" w:space="0" w:color="auto"/>
            </w:tcBorders>
            <w:vAlign w:val="center"/>
            <w:hideMark/>
          </w:tcPr>
          <w:p w14:paraId="74BB045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504,163</w:t>
            </w:r>
          </w:p>
        </w:tc>
        <w:tc>
          <w:tcPr>
            <w:tcW w:w="1097" w:type="dxa"/>
            <w:tcBorders>
              <w:top w:val="nil"/>
              <w:left w:val="nil"/>
              <w:bottom w:val="single" w:sz="4" w:space="0" w:color="auto"/>
              <w:right w:val="single" w:sz="4" w:space="0" w:color="auto"/>
            </w:tcBorders>
            <w:vAlign w:val="center"/>
            <w:hideMark/>
          </w:tcPr>
          <w:p w14:paraId="45A1F3CA"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355,872</w:t>
            </w:r>
          </w:p>
        </w:tc>
        <w:tc>
          <w:tcPr>
            <w:tcW w:w="1098" w:type="dxa"/>
            <w:tcBorders>
              <w:top w:val="nil"/>
              <w:left w:val="nil"/>
              <w:bottom w:val="single" w:sz="4" w:space="0" w:color="auto"/>
              <w:right w:val="single" w:sz="4" w:space="0" w:color="auto"/>
            </w:tcBorders>
            <w:vAlign w:val="center"/>
            <w:hideMark/>
          </w:tcPr>
          <w:p w14:paraId="71126E2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323,354</w:t>
            </w:r>
          </w:p>
        </w:tc>
      </w:tr>
      <w:tr w:rsidR="00637BA7" w:rsidRPr="00637BA7" w14:paraId="608B8FBF"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3D6DBD0A"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Liabilities and Equity</w:t>
            </w:r>
          </w:p>
        </w:tc>
        <w:tc>
          <w:tcPr>
            <w:tcW w:w="1097" w:type="dxa"/>
            <w:tcBorders>
              <w:top w:val="nil"/>
              <w:left w:val="nil"/>
              <w:bottom w:val="single" w:sz="4" w:space="0" w:color="auto"/>
              <w:right w:val="single" w:sz="4" w:space="0" w:color="auto"/>
            </w:tcBorders>
            <w:vAlign w:val="center"/>
            <w:hideMark/>
          </w:tcPr>
          <w:p w14:paraId="35F9F848"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139" w:type="dxa"/>
            <w:tcBorders>
              <w:top w:val="nil"/>
              <w:left w:val="nil"/>
              <w:bottom w:val="single" w:sz="4" w:space="0" w:color="auto"/>
              <w:right w:val="single" w:sz="4" w:space="0" w:color="auto"/>
            </w:tcBorders>
            <w:vAlign w:val="center"/>
            <w:hideMark/>
          </w:tcPr>
          <w:p w14:paraId="51B6BF3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298" w:type="dxa"/>
            <w:tcBorders>
              <w:top w:val="nil"/>
              <w:left w:val="nil"/>
              <w:bottom w:val="single" w:sz="4" w:space="0" w:color="auto"/>
              <w:right w:val="single" w:sz="4" w:space="0" w:color="auto"/>
            </w:tcBorders>
            <w:vAlign w:val="center"/>
            <w:hideMark/>
          </w:tcPr>
          <w:p w14:paraId="6AD291B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097" w:type="dxa"/>
            <w:tcBorders>
              <w:top w:val="nil"/>
              <w:left w:val="nil"/>
              <w:bottom w:val="single" w:sz="4" w:space="0" w:color="auto"/>
              <w:right w:val="single" w:sz="4" w:space="0" w:color="auto"/>
            </w:tcBorders>
            <w:vAlign w:val="center"/>
            <w:hideMark/>
          </w:tcPr>
          <w:p w14:paraId="2B2E346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098" w:type="dxa"/>
            <w:tcBorders>
              <w:top w:val="nil"/>
              <w:left w:val="nil"/>
              <w:bottom w:val="single" w:sz="4" w:space="0" w:color="auto"/>
              <w:right w:val="single" w:sz="4" w:space="0" w:color="auto"/>
            </w:tcBorders>
            <w:vAlign w:val="center"/>
            <w:hideMark/>
          </w:tcPr>
          <w:p w14:paraId="269C984D"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r>
      <w:tr w:rsidR="00637BA7" w:rsidRPr="00637BA7" w14:paraId="5D9D64D9"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6516810E"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Current Liabilities</w:t>
            </w:r>
          </w:p>
        </w:tc>
        <w:tc>
          <w:tcPr>
            <w:tcW w:w="1097" w:type="dxa"/>
            <w:tcBorders>
              <w:top w:val="nil"/>
              <w:left w:val="nil"/>
              <w:bottom w:val="single" w:sz="4" w:space="0" w:color="auto"/>
              <w:right w:val="single" w:sz="4" w:space="0" w:color="auto"/>
            </w:tcBorders>
            <w:vAlign w:val="center"/>
            <w:hideMark/>
          </w:tcPr>
          <w:p w14:paraId="2B61DACB"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139" w:type="dxa"/>
            <w:tcBorders>
              <w:top w:val="nil"/>
              <w:left w:val="nil"/>
              <w:bottom w:val="single" w:sz="4" w:space="0" w:color="auto"/>
              <w:right w:val="single" w:sz="4" w:space="0" w:color="auto"/>
            </w:tcBorders>
            <w:vAlign w:val="center"/>
            <w:hideMark/>
          </w:tcPr>
          <w:p w14:paraId="6413560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298" w:type="dxa"/>
            <w:tcBorders>
              <w:top w:val="nil"/>
              <w:left w:val="nil"/>
              <w:bottom w:val="single" w:sz="4" w:space="0" w:color="auto"/>
              <w:right w:val="single" w:sz="4" w:space="0" w:color="auto"/>
            </w:tcBorders>
            <w:vAlign w:val="center"/>
            <w:hideMark/>
          </w:tcPr>
          <w:p w14:paraId="54D7C11A"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097" w:type="dxa"/>
            <w:tcBorders>
              <w:top w:val="nil"/>
              <w:left w:val="nil"/>
              <w:bottom w:val="single" w:sz="4" w:space="0" w:color="auto"/>
              <w:right w:val="single" w:sz="4" w:space="0" w:color="auto"/>
            </w:tcBorders>
            <w:vAlign w:val="center"/>
            <w:hideMark/>
          </w:tcPr>
          <w:p w14:paraId="7417E0A1"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098" w:type="dxa"/>
            <w:tcBorders>
              <w:top w:val="nil"/>
              <w:left w:val="nil"/>
              <w:bottom w:val="single" w:sz="4" w:space="0" w:color="auto"/>
              <w:right w:val="single" w:sz="4" w:space="0" w:color="auto"/>
            </w:tcBorders>
            <w:vAlign w:val="center"/>
            <w:hideMark/>
          </w:tcPr>
          <w:p w14:paraId="531166B1"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r>
      <w:tr w:rsidR="00637BA7" w:rsidRPr="00637BA7" w14:paraId="1DE06745"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7A32BCC8"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Accounts payable</w:t>
            </w:r>
          </w:p>
        </w:tc>
        <w:tc>
          <w:tcPr>
            <w:tcW w:w="1097" w:type="dxa"/>
            <w:tcBorders>
              <w:top w:val="nil"/>
              <w:left w:val="nil"/>
              <w:bottom w:val="single" w:sz="4" w:space="0" w:color="auto"/>
              <w:right w:val="single" w:sz="4" w:space="0" w:color="auto"/>
            </w:tcBorders>
            <w:vAlign w:val="center"/>
            <w:hideMark/>
          </w:tcPr>
          <w:p w14:paraId="078150B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83,229</w:t>
            </w:r>
          </w:p>
        </w:tc>
        <w:tc>
          <w:tcPr>
            <w:tcW w:w="1139" w:type="dxa"/>
            <w:tcBorders>
              <w:top w:val="nil"/>
              <w:left w:val="nil"/>
              <w:bottom w:val="single" w:sz="4" w:space="0" w:color="auto"/>
              <w:right w:val="single" w:sz="4" w:space="0" w:color="auto"/>
            </w:tcBorders>
            <w:vAlign w:val="center"/>
            <w:hideMark/>
          </w:tcPr>
          <w:p w14:paraId="0701A93D"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92,707</w:t>
            </w:r>
          </w:p>
        </w:tc>
        <w:tc>
          <w:tcPr>
            <w:tcW w:w="1298" w:type="dxa"/>
            <w:tcBorders>
              <w:top w:val="nil"/>
              <w:left w:val="nil"/>
              <w:bottom w:val="single" w:sz="4" w:space="0" w:color="auto"/>
              <w:right w:val="single" w:sz="4" w:space="0" w:color="auto"/>
            </w:tcBorders>
            <w:vAlign w:val="center"/>
            <w:hideMark/>
          </w:tcPr>
          <w:p w14:paraId="65C6443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71,373</w:t>
            </w:r>
          </w:p>
        </w:tc>
        <w:tc>
          <w:tcPr>
            <w:tcW w:w="1097" w:type="dxa"/>
            <w:tcBorders>
              <w:top w:val="nil"/>
              <w:left w:val="nil"/>
              <w:bottom w:val="single" w:sz="4" w:space="0" w:color="auto"/>
              <w:right w:val="single" w:sz="4" w:space="0" w:color="auto"/>
            </w:tcBorders>
            <w:vAlign w:val="center"/>
            <w:hideMark/>
          </w:tcPr>
          <w:p w14:paraId="02335DD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57,033</w:t>
            </w:r>
          </w:p>
        </w:tc>
        <w:tc>
          <w:tcPr>
            <w:tcW w:w="1098" w:type="dxa"/>
            <w:tcBorders>
              <w:top w:val="nil"/>
              <w:left w:val="nil"/>
              <w:bottom w:val="single" w:sz="4" w:space="0" w:color="auto"/>
              <w:right w:val="single" w:sz="4" w:space="0" w:color="auto"/>
            </w:tcBorders>
            <w:vAlign w:val="center"/>
            <w:hideMark/>
          </w:tcPr>
          <w:p w14:paraId="07A346D1"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72,031</w:t>
            </w:r>
          </w:p>
        </w:tc>
      </w:tr>
      <w:tr w:rsidR="00637BA7" w:rsidRPr="00637BA7" w14:paraId="3A680BC3"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44E67409"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Lines of credit</w:t>
            </w:r>
          </w:p>
        </w:tc>
        <w:tc>
          <w:tcPr>
            <w:tcW w:w="1097" w:type="dxa"/>
            <w:tcBorders>
              <w:top w:val="nil"/>
              <w:left w:val="nil"/>
              <w:bottom w:val="single" w:sz="4" w:space="0" w:color="auto"/>
              <w:right w:val="single" w:sz="4" w:space="0" w:color="auto"/>
            </w:tcBorders>
            <w:vAlign w:val="center"/>
            <w:hideMark/>
          </w:tcPr>
          <w:p w14:paraId="57FE4DC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20,000</w:t>
            </w:r>
          </w:p>
        </w:tc>
        <w:tc>
          <w:tcPr>
            <w:tcW w:w="1139" w:type="dxa"/>
            <w:tcBorders>
              <w:top w:val="nil"/>
              <w:left w:val="nil"/>
              <w:bottom w:val="single" w:sz="4" w:space="0" w:color="auto"/>
              <w:right w:val="single" w:sz="4" w:space="0" w:color="auto"/>
            </w:tcBorders>
            <w:vAlign w:val="center"/>
            <w:hideMark/>
          </w:tcPr>
          <w:p w14:paraId="51FABEFB"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56,000</w:t>
            </w:r>
          </w:p>
        </w:tc>
        <w:tc>
          <w:tcPr>
            <w:tcW w:w="1298" w:type="dxa"/>
            <w:tcBorders>
              <w:top w:val="nil"/>
              <w:left w:val="nil"/>
              <w:bottom w:val="single" w:sz="4" w:space="0" w:color="auto"/>
              <w:right w:val="single" w:sz="4" w:space="0" w:color="auto"/>
            </w:tcBorders>
            <w:vAlign w:val="center"/>
            <w:hideMark/>
          </w:tcPr>
          <w:p w14:paraId="1B7D8E6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88,000</w:t>
            </w:r>
          </w:p>
        </w:tc>
        <w:tc>
          <w:tcPr>
            <w:tcW w:w="1097" w:type="dxa"/>
            <w:tcBorders>
              <w:top w:val="nil"/>
              <w:left w:val="nil"/>
              <w:bottom w:val="single" w:sz="4" w:space="0" w:color="auto"/>
              <w:right w:val="single" w:sz="4" w:space="0" w:color="auto"/>
            </w:tcBorders>
            <w:vAlign w:val="center"/>
            <w:hideMark/>
          </w:tcPr>
          <w:p w14:paraId="3ACD02D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55,000</w:t>
            </w:r>
          </w:p>
        </w:tc>
        <w:tc>
          <w:tcPr>
            <w:tcW w:w="1098" w:type="dxa"/>
            <w:tcBorders>
              <w:top w:val="nil"/>
              <w:left w:val="nil"/>
              <w:bottom w:val="single" w:sz="4" w:space="0" w:color="auto"/>
              <w:right w:val="single" w:sz="4" w:space="0" w:color="auto"/>
            </w:tcBorders>
            <w:vAlign w:val="center"/>
            <w:hideMark/>
          </w:tcPr>
          <w:p w14:paraId="65F31B3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36,960</w:t>
            </w:r>
          </w:p>
        </w:tc>
      </w:tr>
      <w:tr w:rsidR="00637BA7" w:rsidRPr="00637BA7" w14:paraId="4CE0EDB9"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4497F834"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Accrued compensation</w:t>
            </w:r>
          </w:p>
        </w:tc>
        <w:tc>
          <w:tcPr>
            <w:tcW w:w="1097" w:type="dxa"/>
            <w:tcBorders>
              <w:top w:val="nil"/>
              <w:left w:val="nil"/>
              <w:bottom w:val="single" w:sz="4" w:space="0" w:color="auto"/>
              <w:right w:val="single" w:sz="4" w:space="0" w:color="auto"/>
            </w:tcBorders>
            <w:vAlign w:val="center"/>
            <w:hideMark/>
          </w:tcPr>
          <w:p w14:paraId="1519BDDB"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28,931</w:t>
            </w:r>
          </w:p>
        </w:tc>
        <w:tc>
          <w:tcPr>
            <w:tcW w:w="1139" w:type="dxa"/>
            <w:tcBorders>
              <w:top w:val="nil"/>
              <w:left w:val="nil"/>
              <w:bottom w:val="single" w:sz="4" w:space="0" w:color="auto"/>
              <w:right w:val="single" w:sz="4" w:space="0" w:color="auto"/>
            </w:tcBorders>
            <w:vAlign w:val="center"/>
            <w:hideMark/>
          </w:tcPr>
          <w:p w14:paraId="179541AB"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24,217</w:t>
            </w:r>
          </w:p>
        </w:tc>
        <w:tc>
          <w:tcPr>
            <w:tcW w:w="1298" w:type="dxa"/>
            <w:tcBorders>
              <w:top w:val="nil"/>
              <w:left w:val="nil"/>
              <w:bottom w:val="single" w:sz="4" w:space="0" w:color="auto"/>
              <w:right w:val="single" w:sz="4" w:space="0" w:color="auto"/>
            </w:tcBorders>
            <w:vAlign w:val="center"/>
            <w:hideMark/>
          </w:tcPr>
          <w:p w14:paraId="5404FF0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20,904</w:t>
            </w:r>
          </w:p>
        </w:tc>
        <w:tc>
          <w:tcPr>
            <w:tcW w:w="1097" w:type="dxa"/>
            <w:tcBorders>
              <w:top w:val="nil"/>
              <w:left w:val="nil"/>
              <w:bottom w:val="single" w:sz="4" w:space="0" w:color="auto"/>
              <w:right w:val="single" w:sz="4" w:space="0" w:color="auto"/>
            </w:tcBorders>
            <w:vAlign w:val="center"/>
            <w:hideMark/>
          </w:tcPr>
          <w:p w14:paraId="5EB9B64B"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20,305</w:t>
            </w:r>
          </w:p>
        </w:tc>
        <w:tc>
          <w:tcPr>
            <w:tcW w:w="1098" w:type="dxa"/>
            <w:tcBorders>
              <w:top w:val="nil"/>
              <w:left w:val="nil"/>
              <w:bottom w:val="single" w:sz="4" w:space="0" w:color="auto"/>
              <w:right w:val="single" w:sz="4" w:space="0" w:color="auto"/>
            </w:tcBorders>
            <w:vAlign w:val="center"/>
            <w:hideMark/>
          </w:tcPr>
          <w:p w14:paraId="15933EE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20,927</w:t>
            </w:r>
          </w:p>
        </w:tc>
      </w:tr>
      <w:tr w:rsidR="00637BA7" w:rsidRPr="00637BA7" w14:paraId="513A2625"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6C0CA8D2"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Accrued sales discounts, rebates and royalties</w:t>
            </w:r>
          </w:p>
        </w:tc>
        <w:tc>
          <w:tcPr>
            <w:tcW w:w="1097" w:type="dxa"/>
            <w:tcBorders>
              <w:top w:val="nil"/>
              <w:left w:val="nil"/>
              <w:bottom w:val="single" w:sz="4" w:space="0" w:color="auto"/>
              <w:right w:val="single" w:sz="4" w:space="0" w:color="auto"/>
            </w:tcBorders>
            <w:vAlign w:val="center"/>
            <w:hideMark/>
          </w:tcPr>
          <w:p w14:paraId="3CB57F98"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10,758</w:t>
            </w:r>
          </w:p>
        </w:tc>
        <w:tc>
          <w:tcPr>
            <w:tcW w:w="1139" w:type="dxa"/>
            <w:tcBorders>
              <w:top w:val="nil"/>
              <w:left w:val="nil"/>
              <w:bottom w:val="single" w:sz="4" w:space="0" w:color="auto"/>
              <w:right w:val="single" w:sz="4" w:space="0" w:color="auto"/>
            </w:tcBorders>
            <w:vAlign w:val="center"/>
            <w:hideMark/>
          </w:tcPr>
          <w:p w14:paraId="19ECB51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9,286</w:t>
            </w:r>
          </w:p>
        </w:tc>
        <w:tc>
          <w:tcPr>
            <w:tcW w:w="1298" w:type="dxa"/>
            <w:tcBorders>
              <w:top w:val="nil"/>
              <w:left w:val="nil"/>
              <w:bottom w:val="single" w:sz="4" w:space="0" w:color="auto"/>
              <w:right w:val="single" w:sz="4" w:space="0" w:color="auto"/>
            </w:tcBorders>
            <w:vAlign w:val="center"/>
            <w:hideMark/>
          </w:tcPr>
          <w:p w14:paraId="28EB5EFD"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6,477</w:t>
            </w:r>
          </w:p>
        </w:tc>
        <w:tc>
          <w:tcPr>
            <w:tcW w:w="1097" w:type="dxa"/>
            <w:tcBorders>
              <w:top w:val="nil"/>
              <w:left w:val="nil"/>
              <w:bottom w:val="single" w:sz="4" w:space="0" w:color="auto"/>
              <w:right w:val="single" w:sz="4" w:space="0" w:color="auto"/>
            </w:tcBorders>
            <w:vAlign w:val="center"/>
            <w:hideMark/>
          </w:tcPr>
          <w:p w14:paraId="68A7D58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5,796</w:t>
            </w:r>
          </w:p>
        </w:tc>
        <w:tc>
          <w:tcPr>
            <w:tcW w:w="1098" w:type="dxa"/>
            <w:tcBorders>
              <w:top w:val="nil"/>
              <w:left w:val="nil"/>
              <w:bottom w:val="single" w:sz="4" w:space="0" w:color="auto"/>
              <w:right w:val="single" w:sz="4" w:space="0" w:color="auto"/>
            </w:tcBorders>
            <w:vAlign w:val="center"/>
            <w:hideMark/>
          </w:tcPr>
          <w:p w14:paraId="09B71F58"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5,204</w:t>
            </w:r>
          </w:p>
        </w:tc>
      </w:tr>
      <w:tr w:rsidR="00637BA7" w:rsidRPr="00637BA7" w14:paraId="44598ECE"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3ED6359B"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Other accrued liabilities</w:t>
            </w:r>
          </w:p>
        </w:tc>
        <w:tc>
          <w:tcPr>
            <w:tcW w:w="1097" w:type="dxa"/>
            <w:tcBorders>
              <w:top w:val="nil"/>
              <w:left w:val="nil"/>
              <w:bottom w:val="single" w:sz="4" w:space="0" w:color="auto"/>
              <w:right w:val="single" w:sz="4" w:space="0" w:color="auto"/>
            </w:tcBorders>
            <w:vAlign w:val="center"/>
            <w:hideMark/>
          </w:tcPr>
          <w:p w14:paraId="3AD33ED2"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33,057</w:t>
            </w:r>
          </w:p>
        </w:tc>
        <w:tc>
          <w:tcPr>
            <w:tcW w:w="1139" w:type="dxa"/>
            <w:tcBorders>
              <w:top w:val="nil"/>
              <w:left w:val="nil"/>
              <w:bottom w:val="single" w:sz="4" w:space="0" w:color="auto"/>
              <w:right w:val="single" w:sz="4" w:space="0" w:color="auto"/>
            </w:tcBorders>
            <w:vAlign w:val="center"/>
            <w:hideMark/>
          </w:tcPr>
          <w:p w14:paraId="551DCB0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30,840</w:t>
            </w:r>
          </w:p>
        </w:tc>
        <w:tc>
          <w:tcPr>
            <w:tcW w:w="1298" w:type="dxa"/>
            <w:tcBorders>
              <w:top w:val="nil"/>
              <w:left w:val="nil"/>
              <w:bottom w:val="single" w:sz="4" w:space="0" w:color="auto"/>
              <w:right w:val="single" w:sz="4" w:space="0" w:color="auto"/>
            </w:tcBorders>
            <w:vAlign w:val="center"/>
            <w:hideMark/>
          </w:tcPr>
          <w:p w14:paraId="7302324A"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24,134</w:t>
            </w:r>
          </w:p>
        </w:tc>
        <w:tc>
          <w:tcPr>
            <w:tcW w:w="1097" w:type="dxa"/>
            <w:tcBorders>
              <w:top w:val="nil"/>
              <w:left w:val="nil"/>
              <w:bottom w:val="single" w:sz="4" w:space="0" w:color="auto"/>
              <w:right w:val="single" w:sz="4" w:space="0" w:color="auto"/>
            </w:tcBorders>
            <w:vAlign w:val="center"/>
            <w:hideMark/>
          </w:tcPr>
          <w:p w14:paraId="365038EB"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21,181</w:t>
            </w:r>
          </w:p>
        </w:tc>
        <w:tc>
          <w:tcPr>
            <w:tcW w:w="1098" w:type="dxa"/>
            <w:tcBorders>
              <w:top w:val="nil"/>
              <w:left w:val="nil"/>
              <w:bottom w:val="single" w:sz="4" w:space="0" w:color="auto"/>
              <w:right w:val="single" w:sz="4" w:space="0" w:color="auto"/>
            </w:tcBorders>
            <w:vAlign w:val="center"/>
            <w:hideMark/>
          </w:tcPr>
          <w:p w14:paraId="3EA468E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21,008</w:t>
            </w:r>
          </w:p>
        </w:tc>
      </w:tr>
      <w:tr w:rsidR="00637BA7" w:rsidRPr="00637BA7" w14:paraId="4888E832"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3AC85EB6"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Total current liabilities</w:t>
            </w:r>
          </w:p>
        </w:tc>
        <w:tc>
          <w:tcPr>
            <w:tcW w:w="1097" w:type="dxa"/>
            <w:tcBorders>
              <w:top w:val="nil"/>
              <w:left w:val="nil"/>
              <w:bottom w:val="single" w:sz="4" w:space="0" w:color="auto"/>
              <w:right w:val="single" w:sz="4" w:space="0" w:color="auto"/>
            </w:tcBorders>
            <w:vAlign w:val="center"/>
            <w:hideMark/>
          </w:tcPr>
          <w:p w14:paraId="33E638D8"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179,510</w:t>
            </w:r>
          </w:p>
        </w:tc>
        <w:tc>
          <w:tcPr>
            <w:tcW w:w="1139" w:type="dxa"/>
            <w:tcBorders>
              <w:top w:val="nil"/>
              <w:left w:val="nil"/>
              <w:bottom w:val="single" w:sz="4" w:space="0" w:color="auto"/>
              <w:right w:val="single" w:sz="4" w:space="0" w:color="auto"/>
            </w:tcBorders>
            <w:vAlign w:val="center"/>
            <w:hideMark/>
          </w:tcPr>
          <w:p w14:paraId="221F904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216,787</w:t>
            </w:r>
          </w:p>
        </w:tc>
        <w:tc>
          <w:tcPr>
            <w:tcW w:w="1298" w:type="dxa"/>
            <w:tcBorders>
              <w:top w:val="nil"/>
              <w:left w:val="nil"/>
              <w:bottom w:val="single" w:sz="4" w:space="0" w:color="auto"/>
              <w:right w:val="single" w:sz="4" w:space="0" w:color="auto"/>
            </w:tcBorders>
            <w:vAlign w:val="center"/>
            <w:hideMark/>
          </w:tcPr>
          <w:p w14:paraId="2FEFF85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216,473</w:t>
            </w:r>
          </w:p>
        </w:tc>
        <w:tc>
          <w:tcPr>
            <w:tcW w:w="1097" w:type="dxa"/>
            <w:tcBorders>
              <w:top w:val="nil"/>
              <w:left w:val="nil"/>
              <w:bottom w:val="single" w:sz="4" w:space="0" w:color="auto"/>
              <w:right w:val="single" w:sz="4" w:space="0" w:color="auto"/>
            </w:tcBorders>
            <w:vAlign w:val="center"/>
            <w:hideMark/>
          </w:tcPr>
          <w:p w14:paraId="24182DE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161,148</w:t>
            </w:r>
          </w:p>
        </w:tc>
        <w:tc>
          <w:tcPr>
            <w:tcW w:w="1098" w:type="dxa"/>
            <w:tcBorders>
              <w:top w:val="nil"/>
              <w:left w:val="nil"/>
              <w:bottom w:val="single" w:sz="4" w:space="0" w:color="auto"/>
              <w:right w:val="single" w:sz="4" w:space="0" w:color="auto"/>
            </w:tcBorders>
            <w:vAlign w:val="center"/>
            <w:hideMark/>
          </w:tcPr>
          <w:p w14:paraId="4EA5C52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158,291</w:t>
            </w:r>
          </w:p>
        </w:tc>
      </w:tr>
      <w:tr w:rsidR="00637BA7" w:rsidRPr="00637BA7" w14:paraId="1DA99BC5"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47409224"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Long term Liabilities</w:t>
            </w:r>
          </w:p>
        </w:tc>
        <w:tc>
          <w:tcPr>
            <w:tcW w:w="1097" w:type="dxa"/>
            <w:tcBorders>
              <w:top w:val="nil"/>
              <w:left w:val="nil"/>
              <w:bottom w:val="single" w:sz="4" w:space="0" w:color="auto"/>
              <w:right w:val="single" w:sz="4" w:space="0" w:color="auto"/>
            </w:tcBorders>
            <w:vAlign w:val="center"/>
            <w:hideMark/>
          </w:tcPr>
          <w:p w14:paraId="13334FF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139" w:type="dxa"/>
            <w:tcBorders>
              <w:top w:val="nil"/>
              <w:left w:val="nil"/>
              <w:bottom w:val="single" w:sz="4" w:space="0" w:color="auto"/>
              <w:right w:val="single" w:sz="4" w:space="0" w:color="auto"/>
            </w:tcBorders>
            <w:vAlign w:val="center"/>
            <w:hideMark/>
          </w:tcPr>
          <w:p w14:paraId="328F64E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298" w:type="dxa"/>
            <w:tcBorders>
              <w:top w:val="nil"/>
              <w:left w:val="nil"/>
              <w:bottom w:val="single" w:sz="4" w:space="0" w:color="auto"/>
              <w:right w:val="single" w:sz="4" w:space="0" w:color="auto"/>
            </w:tcBorders>
            <w:vAlign w:val="center"/>
            <w:hideMark/>
          </w:tcPr>
          <w:p w14:paraId="421E2E1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097" w:type="dxa"/>
            <w:tcBorders>
              <w:top w:val="nil"/>
              <w:left w:val="nil"/>
              <w:bottom w:val="single" w:sz="4" w:space="0" w:color="auto"/>
              <w:right w:val="single" w:sz="4" w:space="0" w:color="auto"/>
            </w:tcBorders>
            <w:vAlign w:val="center"/>
            <w:hideMark/>
          </w:tcPr>
          <w:p w14:paraId="1ADBB341"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098" w:type="dxa"/>
            <w:tcBorders>
              <w:top w:val="nil"/>
              <w:left w:val="nil"/>
              <w:bottom w:val="single" w:sz="4" w:space="0" w:color="auto"/>
              <w:right w:val="single" w:sz="4" w:space="0" w:color="auto"/>
            </w:tcBorders>
            <w:vAlign w:val="center"/>
            <w:hideMark/>
          </w:tcPr>
          <w:p w14:paraId="7978783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r>
      <w:tr w:rsidR="00637BA7" w:rsidRPr="00637BA7" w14:paraId="31DA7E7C"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0EC9A5B8"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Operating lease obligations</w:t>
            </w:r>
          </w:p>
        </w:tc>
        <w:tc>
          <w:tcPr>
            <w:tcW w:w="1097" w:type="dxa"/>
            <w:tcBorders>
              <w:top w:val="nil"/>
              <w:left w:val="nil"/>
              <w:bottom w:val="single" w:sz="4" w:space="0" w:color="auto"/>
              <w:right w:val="single" w:sz="4" w:space="0" w:color="auto"/>
            </w:tcBorders>
            <w:vAlign w:val="center"/>
            <w:hideMark/>
          </w:tcPr>
          <w:p w14:paraId="68E72C7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13,681</w:t>
            </w:r>
          </w:p>
        </w:tc>
        <w:tc>
          <w:tcPr>
            <w:tcW w:w="1139" w:type="dxa"/>
            <w:tcBorders>
              <w:top w:val="nil"/>
              <w:left w:val="nil"/>
              <w:bottom w:val="single" w:sz="4" w:space="0" w:color="auto"/>
              <w:right w:val="single" w:sz="4" w:space="0" w:color="auto"/>
            </w:tcBorders>
            <w:vAlign w:val="center"/>
            <w:hideMark/>
          </w:tcPr>
          <w:p w14:paraId="07A14938"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14,266</w:t>
            </w:r>
          </w:p>
        </w:tc>
        <w:tc>
          <w:tcPr>
            <w:tcW w:w="1298" w:type="dxa"/>
            <w:tcBorders>
              <w:top w:val="nil"/>
              <w:left w:val="nil"/>
              <w:bottom w:val="single" w:sz="4" w:space="0" w:color="auto"/>
              <w:right w:val="single" w:sz="4" w:space="0" w:color="auto"/>
            </w:tcBorders>
            <w:vAlign w:val="center"/>
            <w:hideMark/>
          </w:tcPr>
          <w:p w14:paraId="51828C1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15,027</w:t>
            </w:r>
          </w:p>
        </w:tc>
        <w:tc>
          <w:tcPr>
            <w:tcW w:w="1097" w:type="dxa"/>
            <w:tcBorders>
              <w:top w:val="nil"/>
              <w:left w:val="nil"/>
              <w:bottom w:val="single" w:sz="4" w:space="0" w:color="auto"/>
              <w:right w:val="single" w:sz="4" w:space="0" w:color="auto"/>
            </w:tcBorders>
            <w:vAlign w:val="center"/>
            <w:hideMark/>
          </w:tcPr>
          <w:p w14:paraId="1845F2CE"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12,560</w:t>
            </w:r>
          </w:p>
        </w:tc>
        <w:tc>
          <w:tcPr>
            <w:tcW w:w="1098" w:type="dxa"/>
            <w:tcBorders>
              <w:top w:val="nil"/>
              <w:left w:val="nil"/>
              <w:bottom w:val="single" w:sz="4" w:space="0" w:color="auto"/>
              <w:right w:val="single" w:sz="4" w:space="0" w:color="auto"/>
            </w:tcBorders>
            <w:vAlign w:val="center"/>
            <w:hideMark/>
          </w:tcPr>
          <w:p w14:paraId="4E807A2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9,232</w:t>
            </w:r>
          </w:p>
        </w:tc>
      </w:tr>
      <w:tr w:rsidR="00637BA7" w:rsidRPr="00637BA7" w14:paraId="5B0678FC"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263338DC"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Deferred income taxes</w:t>
            </w:r>
          </w:p>
        </w:tc>
        <w:tc>
          <w:tcPr>
            <w:tcW w:w="1097" w:type="dxa"/>
            <w:tcBorders>
              <w:top w:val="nil"/>
              <w:left w:val="nil"/>
              <w:bottom w:val="single" w:sz="4" w:space="0" w:color="auto"/>
              <w:right w:val="single" w:sz="4" w:space="0" w:color="auto"/>
            </w:tcBorders>
            <w:vAlign w:val="center"/>
            <w:hideMark/>
          </w:tcPr>
          <w:p w14:paraId="1619134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1,913</w:t>
            </w:r>
          </w:p>
        </w:tc>
        <w:tc>
          <w:tcPr>
            <w:tcW w:w="1139" w:type="dxa"/>
            <w:tcBorders>
              <w:top w:val="nil"/>
              <w:left w:val="nil"/>
              <w:bottom w:val="single" w:sz="4" w:space="0" w:color="auto"/>
              <w:right w:val="single" w:sz="4" w:space="0" w:color="auto"/>
            </w:tcBorders>
            <w:vAlign w:val="center"/>
            <w:hideMark/>
          </w:tcPr>
          <w:p w14:paraId="5B05964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2,394</w:t>
            </w:r>
          </w:p>
        </w:tc>
        <w:tc>
          <w:tcPr>
            <w:tcW w:w="1298" w:type="dxa"/>
            <w:tcBorders>
              <w:top w:val="nil"/>
              <w:left w:val="nil"/>
              <w:bottom w:val="single" w:sz="4" w:space="0" w:color="auto"/>
              <w:right w:val="single" w:sz="4" w:space="0" w:color="auto"/>
            </w:tcBorders>
            <w:vAlign w:val="center"/>
            <w:hideMark/>
          </w:tcPr>
          <w:p w14:paraId="006436C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2,724</w:t>
            </w:r>
          </w:p>
        </w:tc>
        <w:tc>
          <w:tcPr>
            <w:tcW w:w="1097" w:type="dxa"/>
            <w:tcBorders>
              <w:top w:val="nil"/>
              <w:left w:val="nil"/>
              <w:bottom w:val="single" w:sz="4" w:space="0" w:color="auto"/>
              <w:right w:val="single" w:sz="4" w:space="0" w:color="auto"/>
            </w:tcBorders>
            <w:vAlign w:val="center"/>
            <w:hideMark/>
          </w:tcPr>
          <w:p w14:paraId="1F966795"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1,992</w:t>
            </w:r>
          </w:p>
        </w:tc>
        <w:tc>
          <w:tcPr>
            <w:tcW w:w="1098" w:type="dxa"/>
            <w:tcBorders>
              <w:top w:val="nil"/>
              <w:left w:val="nil"/>
              <w:bottom w:val="single" w:sz="4" w:space="0" w:color="auto"/>
              <w:right w:val="single" w:sz="4" w:space="0" w:color="auto"/>
            </w:tcBorders>
            <w:vAlign w:val="center"/>
            <w:hideMark/>
          </w:tcPr>
          <w:p w14:paraId="6810793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1,931</w:t>
            </w:r>
          </w:p>
        </w:tc>
      </w:tr>
      <w:tr w:rsidR="00637BA7" w:rsidRPr="00637BA7" w14:paraId="09A94F5A"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225C451F"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Income tax payable</w:t>
            </w:r>
          </w:p>
        </w:tc>
        <w:tc>
          <w:tcPr>
            <w:tcW w:w="1097" w:type="dxa"/>
            <w:tcBorders>
              <w:top w:val="nil"/>
              <w:left w:val="nil"/>
              <w:bottom w:val="single" w:sz="4" w:space="0" w:color="auto"/>
              <w:right w:val="single" w:sz="4" w:space="0" w:color="auto"/>
            </w:tcBorders>
            <w:vAlign w:val="center"/>
            <w:hideMark/>
          </w:tcPr>
          <w:p w14:paraId="48D48D7A"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1,054</w:t>
            </w:r>
          </w:p>
        </w:tc>
        <w:tc>
          <w:tcPr>
            <w:tcW w:w="1139" w:type="dxa"/>
            <w:tcBorders>
              <w:top w:val="nil"/>
              <w:left w:val="nil"/>
              <w:bottom w:val="single" w:sz="4" w:space="0" w:color="auto"/>
              <w:right w:val="single" w:sz="4" w:space="0" w:color="auto"/>
            </w:tcBorders>
            <w:vAlign w:val="center"/>
            <w:hideMark/>
          </w:tcPr>
          <w:p w14:paraId="1D446BA5"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939</w:t>
            </w:r>
          </w:p>
        </w:tc>
        <w:tc>
          <w:tcPr>
            <w:tcW w:w="1298" w:type="dxa"/>
            <w:tcBorders>
              <w:top w:val="nil"/>
              <w:left w:val="nil"/>
              <w:bottom w:val="single" w:sz="4" w:space="0" w:color="auto"/>
              <w:right w:val="single" w:sz="4" w:space="0" w:color="auto"/>
            </w:tcBorders>
            <w:vAlign w:val="center"/>
            <w:hideMark/>
          </w:tcPr>
          <w:p w14:paraId="64E2691D"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723</w:t>
            </w:r>
          </w:p>
        </w:tc>
        <w:tc>
          <w:tcPr>
            <w:tcW w:w="1097" w:type="dxa"/>
            <w:tcBorders>
              <w:top w:val="nil"/>
              <w:left w:val="nil"/>
              <w:bottom w:val="single" w:sz="4" w:space="0" w:color="auto"/>
              <w:right w:val="single" w:sz="4" w:space="0" w:color="auto"/>
            </w:tcBorders>
            <w:vAlign w:val="center"/>
            <w:hideMark/>
          </w:tcPr>
          <w:p w14:paraId="5CE76502"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435</w:t>
            </w:r>
          </w:p>
        </w:tc>
        <w:tc>
          <w:tcPr>
            <w:tcW w:w="1098" w:type="dxa"/>
            <w:tcBorders>
              <w:top w:val="nil"/>
              <w:left w:val="nil"/>
              <w:bottom w:val="single" w:sz="4" w:space="0" w:color="auto"/>
              <w:right w:val="single" w:sz="4" w:space="0" w:color="auto"/>
            </w:tcBorders>
            <w:vAlign w:val="center"/>
            <w:hideMark/>
          </w:tcPr>
          <w:p w14:paraId="341AF80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72</w:t>
            </w:r>
          </w:p>
        </w:tc>
      </w:tr>
      <w:tr w:rsidR="00637BA7" w:rsidRPr="00637BA7" w14:paraId="7C9EC6F6"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3F55F561"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Other long-term liabilities</w:t>
            </w:r>
          </w:p>
        </w:tc>
        <w:tc>
          <w:tcPr>
            <w:tcW w:w="1097" w:type="dxa"/>
            <w:tcBorders>
              <w:top w:val="nil"/>
              <w:left w:val="nil"/>
              <w:bottom w:val="single" w:sz="4" w:space="0" w:color="auto"/>
              <w:right w:val="single" w:sz="4" w:space="0" w:color="auto"/>
            </w:tcBorders>
            <w:vAlign w:val="center"/>
            <w:hideMark/>
          </w:tcPr>
          <w:p w14:paraId="5FB3613A"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539</w:t>
            </w:r>
          </w:p>
        </w:tc>
        <w:tc>
          <w:tcPr>
            <w:tcW w:w="1139" w:type="dxa"/>
            <w:tcBorders>
              <w:top w:val="nil"/>
              <w:left w:val="nil"/>
              <w:bottom w:val="single" w:sz="4" w:space="0" w:color="auto"/>
              <w:right w:val="single" w:sz="4" w:space="0" w:color="auto"/>
            </w:tcBorders>
            <w:vAlign w:val="center"/>
            <w:hideMark/>
          </w:tcPr>
          <w:p w14:paraId="7FA5E9D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13</w:t>
            </w:r>
          </w:p>
        </w:tc>
        <w:tc>
          <w:tcPr>
            <w:tcW w:w="1298" w:type="dxa"/>
            <w:tcBorders>
              <w:top w:val="nil"/>
              <w:left w:val="nil"/>
              <w:bottom w:val="single" w:sz="4" w:space="0" w:color="auto"/>
              <w:right w:val="single" w:sz="4" w:space="0" w:color="auto"/>
            </w:tcBorders>
            <w:vAlign w:val="center"/>
            <w:hideMark/>
          </w:tcPr>
          <w:p w14:paraId="1B092CB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810</w:t>
            </w:r>
          </w:p>
        </w:tc>
        <w:tc>
          <w:tcPr>
            <w:tcW w:w="1097" w:type="dxa"/>
            <w:tcBorders>
              <w:top w:val="nil"/>
              <w:left w:val="nil"/>
              <w:bottom w:val="single" w:sz="4" w:space="0" w:color="auto"/>
              <w:right w:val="single" w:sz="4" w:space="0" w:color="auto"/>
            </w:tcBorders>
            <w:vAlign w:val="center"/>
            <w:hideMark/>
          </w:tcPr>
          <w:p w14:paraId="4A05E85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817</w:t>
            </w:r>
          </w:p>
        </w:tc>
        <w:tc>
          <w:tcPr>
            <w:tcW w:w="1098" w:type="dxa"/>
            <w:tcBorders>
              <w:top w:val="nil"/>
              <w:left w:val="nil"/>
              <w:bottom w:val="single" w:sz="4" w:space="0" w:color="auto"/>
              <w:right w:val="single" w:sz="4" w:space="0" w:color="auto"/>
            </w:tcBorders>
            <w:vAlign w:val="center"/>
            <w:hideMark/>
          </w:tcPr>
          <w:p w14:paraId="5FAFF6E0"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723</w:t>
            </w:r>
          </w:p>
        </w:tc>
      </w:tr>
      <w:tr w:rsidR="00637BA7" w:rsidRPr="00637BA7" w14:paraId="38593B98"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7243D888"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Total liabilities</w:t>
            </w:r>
          </w:p>
        </w:tc>
        <w:tc>
          <w:tcPr>
            <w:tcW w:w="1097" w:type="dxa"/>
            <w:tcBorders>
              <w:top w:val="nil"/>
              <w:left w:val="nil"/>
              <w:bottom w:val="single" w:sz="4" w:space="0" w:color="auto"/>
              <w:right w:val="single" w:sz="4" w:space="0" w:color="auto"/>
            </w:tcBorders>
            <w:vAlign w:val="center"/>
            <w:hideMark/>
          </w:tcPr>
          <w:p w14:paraId="2FD6BB5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196,898</w:t>
            </w:r>
          </w:p>
        </w:tc>
        <w:tc>
          <w:tcPr>
            <w:tcW w:w="1139" w:type="dxa"/>
            <w:tcBorders>
              <w:top w:val="nil"/>
              <w:left w:val="nil"/>
              <w:bottom w:val="single" w:sz="4" w:space="0" w:color="auto"/>
              <w:right w:val="single" w:sz="4" w:space="0" w:color="auto"/>
            </w:tcBorders>
            <w:vAlign w:val="center"/>
            <w:hideMark/>
          </w:tcPr>
          <w:p w14:paraId="5BDDBBAA"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234,399</w:t>
            </w:r>
          </w:p>
        </w:tc>
        <w:tc>
          <w:tcPr>
            <w:tcW w:w="1298" w:type="dxa"/>
            <w:tcBorders>
              <w:top w:val="nil"/>
              <w:left w:val="nil"/>
              <w:bottom w:val="single" w:sz="4" w:space="0" w:color="auto"/>
              <w:right w:val="single" w:sz="4" w:space="0" w:color="auto"/>
            </w:tcBorders>
            <w:vAlign w:val="center"/>
            <w:hideMark/>
          </w:tcPr>
          <w:p w14:paraId="64755866"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235,757</w:t>
            </w:r>
          </w:p>
        </w:tc>
        <w:tc>
          <w:tcPr>
            <w:tcW w:w="1097" w:type="dxa"/>
            <w:tcBorders>
              <w:top w:val="nil"/>
              <w:left w:val="nil"/>
              <w:bottom w:val="single" w:sz="4" w:space="0" w:color="auto"/>
              <w:right w:val="single" w:sz="4" w:space="0" w:color="auto"/>
            </w:tcBorders>
            <w:vAlign w:val="center"/>
            <w:hideMark/>
          </w:tcPr>
          <w:p w14:paraId="04CD33A0"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176,952</w:t>
            </w:r>
          </w:p>
        </w:tc>
        <w:tc>
          <w:tcPr>
            <w:tcW w:w="1098" w:type="dxa"/>
            <w:tcBorders>
              <w:top w:val="nil"/>
              <w:left w:val="nil"/>
              <w:bottom w:val="single" w:sz="4" w:space="0" w:color="auto"/>
              <w:right w:val="single" w:sz="4" w:space="0" w:color="auto"/>
            </w:tcBorders>
            <w:vAlign w:val="center"/>
            <w:hideMark/>
          </w:tcPr>
          <w:p w14:paraId="4F422A2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170,249</w:t>
            </w:r>
          </w:p>
        </w:tc>
      </w:tr>
      <w:tr w:rsidR="00637BA7" w:rsidRPr="00637BA7" w14:paraId="58290374"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52500CFC" w14:textId="77777777" w:rsidR="00637BA7" w:rsidRPr="00637BA7" w:rsidRDefault="00637BA7" w:rsidP="00637BA7">
            <w:pPr>
              <w:spacing w:after="0" w:line="240" w:lineRule="auto"/>
              <w:rPr>
                <w:rFonts w:ascii="Calibri" w:eastAsia="Times New Roman" w:hAnsi="Calibri" w:cs="Calibri"/>
                <w:color w:val="000000"/>
              </w:rPr>
            </w:pPr>
            <w:proofErr w:type="spellStart"/>
            <w:r w:rsidRPr="00637BA7">
              <w:rPr>
                <w:rFonts w:ascii="Calibri" w:eastAsia="Times New Roman" w:hAnsi="Calibri" w:cs="Calibri"/>
                <w:color w:val="000000"/>
              </w:rPr>
              <w:t>Shareholders</w:t>
            </w:r>
            <w:proofErr w:type="spellEnd"/>
            <w:r w:rsidRPr="00637BA7">
              <w:rPr>
                <w:rFonts w:ascii="Calibri" w:eastAsia="Times New Roman" w:hAnsi="Calibri" w:cs="Calibri"/>
                <w:color w:val="000000"/>
              </w:rPr>
              <w:t xml:space="preserve"> equity</w:t>
            </w:r>
          </w:p>
        </w:tc>
        <w:tc>
          <w:tcPr>
            <w:tcW w:w="1097" w:type="dxa"/>
            <w:tcBorders>
              <w:top w:val="nil"/>
              <w:left w:val="nil"/>
              <w:bottom w:val="single" w:sz="4" w:space="0" w:color="auto"/>
              <w:right w:val="single" w:sz="4" w:space="0" w:color="auto"/>
            </w:tcBorders>
            <w:vAlign w:val="center"/>
            <w:hideMark/>
          </w:tcPr>
          <w:p w14:paraId="640F066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139" w:type="dxa"/>
            <w:tcBorders>
              <w:top w:val="nil"/>
              <w:left w:val="nil"/>
              <w:bottom w:val="single" w:sz="4" w:space="0" w:color="auto"/>
              <w:right w:val="single" w:sz="4" w:space="0" w:color="auto"/>
            </w:tcBorders>
            <w:vAlign w:val="center"/>
            <w:hideMark/>
          </w:tcPr>
          <w:p w14:paraId="2F76462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298" w:type="dxa"/>
            <w:tcBorders>
              <w:top w:val="nil"/>
              <w:left w:val="nil"/>
              <w:bottom w:val="single" w:sz="4" w:space="0" w:color="auto"/>
              <w:right w:val="single" w:sz="4" w:space="0" w:color="auto"/>
            </w:tcBorders>
            <w:vAlign w:val="center"/>
            <w:hideMark/>
          </w:tcPr>
          <w:p w14:paraId="676D6B9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097" w:type="dxa"/>
            <w:tcBorders>
              <w:top w:val="nil"/>
              <w:left w:val="nil"/>
              <w:bottom w:val="single" w:sz="4" w:space="0" w:color="auto"/>
              <w:right w:val="single" w:sz="4" w:space="0" w:color="auto"/>
            </w:tcBorders>
            <w:vAlign w:val="center"/>
            <w:hideMark/>
          </w:tcPr>
          <w:p w14:paraId="6BC4F5D0"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098" w:type="dxa"/>
            <w:tcBorders>
              <w:top w:val="nil"/>
              <w:left w:val="nil"/>
              <w:bottom w:val="single" w:sz="4" w:space="0" w:color="auto"/>
              <w:right w:val="single" w:sz="4" w:space="0" w:color="auto"/>
            </w:tcBorders>
            <w:vAlign w:val="center"/>
            <w:hideMark/>
          </w:tcPr>
          <w:p w14:paraId="7E171FB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r>
      <w:tr w:rsidR="00637BA7" w:rsidRPr="00637BA7" w14:paraId="4B8787F2"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38764DBC"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Preferred stock</w:t>
            </w:r>
          </w:p>
        </w:tc>
        <w:tc>
          <w:tcPr>
            <w:tcW w:w="1097" w:type="dxa"/>
            <w:tcBorders>
              <w:top w:val="nil"/>
              <w:left w:val="nil"/>
              <w:bottom w:val="single" w:sz="4" w:space="0" w:color="auto"/>
              <w:right w:val="single" w:sz="4" w:space="0" w:color="auto"/>
            </w:tcBorders>
            <w:vAlign w:val="center"/>
            <w:hideMark/>
          </w:tcPr>
          <w:p w14:paraId="2D9101E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139" w:type="dxa"/>
            <w:tcBorders>
              <w:top w:val="nil"/>
              <w:left w:val="nil"/>
              <w:bottom w:val="single" w:sz="4" w:space="0" w:color="auto"/>
              <w:right w:val="single" w:sz="4" w:space="0" w:color="auto"/>
            </w:tcBorders>
            <w:vAlign w:val="center"/>
            <w:hideMark/>
          </w:tcPr>
          <w:p w14:paraId="2F030E9A"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298" w:type="dxa"/>
            <w:tcBorders>
              <w:top w:val="nil"/>
              <w:left w:val="nil"/>
              <w:bottom w:val="single" w:sz="4" w:space="0" w:color="auto"/>
              <w:right w:val="single" w:sz="4" w:space="0" w:color="auto"/>
            </w:tcBorders>
            <w:vAlign w:val="center"/>
            <w:hideMark/>
          </w:tcPr>
          <w:p w14:paraId="23540450"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097" w:type="dxa"/>
            <w:tcBorders>
              <w:top w:val="nil"/>
              <w:left w:val="nil"/>
              <w:bottom w:val="single" w:sz="4" w:space="0" w:color="auto"/>
              <w:right w:val="single" w:sz="4" w:space="0" w:color="auto"/>
            </w:tcBorders>
            <w:vAlign w:val="center"/>
            <w:hideMark/>
          </w:tcPr>
          <w:p w14:paraId="693626C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c>
          <w:tcPr>
            <w:tcW w:w="1098" w:type="dxa"/>
            <w:tcBorders>
              <w:top w:val="nil"/>
              <w:left w:val="nil"/>
              <w:bottom w:val="single" w:sz="4" w:space="0" w:color="auto"/>
              <w:right w:val="single" w:sz="4" w:space="0" w:color="auto"/>
            </w:tcBorders>
            <w:vAlign w:val="center"/>
            <w:hideMark/>
          </w:tcPr>
          <w:p w14:paraId="5D7ACFE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 </w:t>
            </w:r>
          </w:p>
        </w:tc>
      </w:tr>
      <w:tr w:rsidR="00637BA7" w:rsidRPr="00637BA7" w14:paraId="1A701253"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29772861"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Common stock</w:t>
            </w:r>
          </w:p>
        </w:tc>
        <w:tc>
          <w:tcPr>
            <w:tcW w:w="1097" w:type="dxa"/>
            <w:tcBorders>
              <w:top w:val="nil"/>
              <w:left w:val="nil"/>
              <w:bottom w:val="single" w:sz="4" w:space="0" w:color="auto"/>
              <w:right w:val="single" w:sz="4" w:space="0" w:color="auto"/>
            </w:tcBorders>
            <w:vAlign w:val="center"/>
            <w:hideMark/>
          </w:tcPr>
          <w:p w14:paraId="5B54E66E"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244</w:t>
            </w:r>
          </w:p>
        </w:tc>
        <w:tc>
          <w:tcPr>
            <w:tcW w:w="1139" w:type="dxa"/>
            <w:tcBorders>
              <w:top w:val="nil"/>
              <w:left w:val="nil"/>
              <w:bottom w:val="single" w:sz="4" w:space="0" w:color="auto"/>
              <w:right w:val="single" w:sz="4" w:space="0" w:color="auto"/>
            </w:tcBorders>
            <w:vAlign w:val="center"/>
            <w:hideMark/>
          </w:tcPr>
          <w:p w14:paraId="6318F7F4"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247</w:t>
            </w:r>
          </w:p>
        </w:tc>
        <w:tc>
          <w:tcPr>
            <w:tcW w:w="1298" w:type="dxa"/>
            <w:tcBorders>
              <w:top w:val="nil"/>
              <w:left w:val="nil"/>
              <w:bottom w:val="single" w:sz="4" w:space="0" w:color="auto"/>
              <w:right w:val="single" w:sz="4" w:space="0" w:color="auto"/>
            </w:tcBorders>
            <w:vAlign w:val="center"/>
            <w:hideMark/>
          </w:tcPr>
          <w:p w14:paraId="4FED3E5B"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250</w:t>
            </w:r>
          </w:p>
        </w:tc>
        <w:tc>
          <w:tcPr>
            <w:tcW w:w="1097" w:type="dxa"/>
            <w:tcBorders>
              <w:top w:val="nil"/>
              <w:left w:val="nil"/>
              <w:bottom w:val="single" w:sz="4" w:space="0" w:color="auto"/>
              <w:right w:val="single" w:sz="4" w:space="0" w:color="auto"/>
            </w:tcBorders>
            <w:vAlign w:val="center"/>
            <w:hideMark/>
          </w:tcPr>
          <w:p w14:paraId="5B7E066B"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253</w:t>
            </w:r>
          </w:p>
        </w:tc>
        <w:tc>
          <w:tcPr>
            <w:tcW w:w="1098" w:type="dxa"/>
            <w:tcBorders>
              <w:top w:val="nil"/>
              <w:left w:val="nil"/>
              <w:bottom w:val="single" w:sz="4" w:space="0" w:color="auto"/>
              <w:right w:val="single" w:sz="4" w:space="0" w:color="auto"/>
            </w:tcBorders>
            <w:vAlign w:val="center"/>
            <w:hideMark/>
          </w:tcPr>
          <w:p w14:paraId="0CC91D2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257</w:t>
            </w:r>
          </w:p>
        </w:tc>
      </w:tr>
      <w:tr w:rsidR="00637BA7" w:rsidRPr="00637BA7" w14:paraId="441AD953"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587BB39F"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Paid-in capital</w:t>
            </w:r>
          </w:p>
        </w:tc>
        <w:tc>
          <w:tcPr>
            <w:tcW w:w="1097" w:type="dxa"/>
            <w:tcBorders>
              <w:top w:val="nil"/>
              <w:left w:val="nil"/>
              <w:bottom w:val="single" w:sz="4" w:space="0" w:color="auto"/>
              <w:right w:val="single" w:sz="4" w:space="0" w:color="auto"/>
            </w:tcBorders>
            <w:vAlign w:val="center"/>
            <w:hideMark/>
          </w:tcPr>
          <w:p w14:paraId="1CA6C0D1"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302,084</w:t>
            </w:r>
          </w:p>
        </w:tc>
        <w:tc>
          <w:tcPr>
            <w:tcW w:w="1139" w:type="dxa"/>
            <w:tcBorders>
              <w:top w:val="nil"/>
              <w:left w:val="nil"/>
              <w:bottom w:val="single" w:sz="4" w:space="0" w:color="auto"/>
              <w:right w:val="single" w:sz="4" w:space="0" w:color="auto"/>
            </w:tcBorders>
            <w:vAlign w:val="center"/>
            <w:hideMark/>
          </w:tcPr>
          <w:p w14:paraId="443FD48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314,094</w:t>
            </w:r>
          </w:p>
        </w:tc>
        <w:tc>
          <w:tcPr>
            <w:tcW w:w="1298" w:type="dxa"/>
            <w:tcBorders>
              <w:top w:val="nil"/>
              <w:left w:val="nil"/>
              <w:bottom w:val="single" w:sz="4" w:space="0" w:color="auto"/>
              <w:right w:val="single" w:sz="4" w:space="0" w:color="auto"/>
            </w:tcBorders>
            <w:vAlign w:val="center"/>
            <w:hideMark/>
          </w:tcPr>
          <w:p w14:paraId="5FC977F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326,839</w:t>
            </w:r>
          </w:p>
        </w:tc>
        <w:tc>
          <w:tcPr>
            <w:tcW w:w="1097" w:type="dxa"/>
            <w:tcBorders>
              <w:top w:val="nil"/>
              <w:left w:val="nil"/>
              <w:bottom w:val="single" w:sz="4" w:space="0" w:color="auto"/>
              <w:right w:val="single" w:sz="4" w:space="0" w:color="auto"/>
            </w:tcBorders>
            <w:vAlign w:val="center"/>
            <w:hideMark/>
          </w:tcPr>
          <w:p w14:paraId="4F0C23A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336,938</w:t>
            </w:r>
          </w:p>
        </w:tc>
        <w:tc>
          <w:tcPr>
            <w:tcW w:w="1098" w:type="dxa"/>
            <w:tcBorders>
              <w:top w:val="nil"/>
              <w:left w:val="nil"/>
              <w:bottom w:val="single" w:sz="4" w:space="0" w:color="auto"/>
              <w:right w:val="single" w:sz="4" w:space="0" w:color="auto"/>
            </w:tcBorders>
            <w:vAlign w:val="center"/>
            <w:hideMark/>
          </w:tcPr>
          <w:p w14:paraId="1FC0D79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344,697</w:t>
            </w:r>
          </w:p>
        </w:tc>
      </w:tr>
      <w:tr w:rsidR="00637BA7" w:rsidRPr="00637BA7" w14:paraId="2E753A54"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55102476"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Treasury stock</w:t>
            </w:r>
          </w:p>
        </w:tc>
        <w:tc>
          <w:tcPr>
            <w:tcW w:w="1097" w:type="dxa"/>
            <w:tcBorders>
              <w:top w:val="nil"/>
              <w:left w:val="nil"/>
              <w:bottom w:val="single" w:sz="4" w:space="0" w:color="auto"/>
              <w:right w:val="single" w:sz="4" w:space="0" w:color="auto"/>
            </w:tcBorders>
            <w:vAlign w:val="center"/>
            <w:hideMark/>
          </w:tcPr>
          <w:p w14:paraId="67539E81"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(295,495)</w:t>
            </w:r>
          </w:p>
        </w:tc>
        <w:tc>
          <w:tcPr>
            <w:tcW w:w="1139" w:type="dxa"/>
            <w:tcBorders>
              <w:top w:val="nil"/>
              <w:left w:val="nil"/>
              <w:bottom w:val="single" w:sz="4" w:space="0" w:color="auto"/>
              <w:right w:val="single" w:sz="4" w:space="0" w:color="auto"/>
            </w:tcBorders>
            <w:vAlign w:val="center"/>
            <w:hideMark/>
          </w:tcPr>
          <w:p w14:paraId="0DF49A5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(355,159)</w:t>
            </w:r>
          </w:p>
        </w:tc>
        <w:tc>
          <w:tcPr>
            <w:tcW w:w="1298" w:type="dxa"/>
            <w:tcBorders>
              <w:top w:val="nil"/>
              <w:left w:val="nil"/>
              <w:bottom w:val="single" w:sz="4" w:space="0" w:color="auto"/>
              <w:right w:val="single" w:sz="4" w:space="0" w:color="auto"/>
            </w:tcBorders>
            <w:vAlign w:val="center"/>
            <w:hideMark/>
          </w:tcPr>
          <w:p w14:paraId="7BD1255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(368,194)</w:t>
            </w:r>
          </w:p>
        </w:tc>
        <w:tc>
          <w:tcPr>
            <w:tcW w:w="1097" w:type="dxa"/>
            <w:tcBorders>
              <w:top w:val="nil"/>
              <w:left w:val="nil"/>
              <w:bottom w:val="single" w:sz="4" w:space="0" w:color="auto"/>
              <w:right w:val="single" w:sz="4" w:space="0" w:color="auto"/>
            </w:tcBorders>
            <w:vAlign w:val="center"/>
            <w:hideMark/>
          </w:tcPr>
          <w:p w14:paraId="21933801"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(369,973)</w:t>
            </w:r>
          </w:p>
        </w:tc>
        <w:tc>
          <w:tcPr>
            <w:tcW w:w="1098" w:type="dxa"/>
            <w:tcBorders>
              <w:top w:val="nil"/>
              <w:left w:val="nil"/>
              <w:bottom w:val="single" w:sz="4" w:space="0" w:color="auto"/>
              <w:right w:val="single" w:sz="4" w:space="0" w:color="auto"/>
            </w:tcBorders>
            <w:vAlign w:val="center"/>
            <w:hideMark/>
          </w:tcPr>
          <w:p w14:paraId="27D8425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(371,930)</w:t>
            </w:r>
          </w:p>
        </w:tc>
      </w:tr>
      <w:tr w:rsidR="00637BA7" w:rsidRPr="00637BA7" w14:paraId="7214FC98"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624B69A0"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Accumulated other comprehensive income (loss)</w:t>
            </w:r>
          </w:p>
        </w:tc>
        <w:tc>
          <w:tcPr>
            <w:tcW w:w="1097" w:type="dxa"/>
            <w:tcBorders>
              <w:top w:val="nil"/>
              <w:left w:val="nil"/>
              <w:bottom w:val="single" w:sz="4" w:space="0" w:color="auto"/>
              <w:right w:val="single" w:sz="4" w:space="0" w:color="auto"/>
            </w:tcBorders>
            <w:vAlign w:val="center"/>
            <w:hideMark/>
          </w:tcPr>
          <w:p w14:paraId="0220196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(18,522)</w:t>
            </w:r>
          </w:p>
        </w:tc>
        <w:tc>
          <w:tcPr>
            <w:tcW w:w="1139" w:type="dxa"/>
            <w:tcBorders>
              <w:top w:val="nil"/>
              <w:left w:val="nil"/>
              <w:bottom w:val="single" w:sz="4" w:space="0" w:color="auto"/>
              <w:right w:val="single" w:sz="4" w:space="0" w:color="auto"/>
            </w:tcBorders>
            <w:vAlign w:val="center"/>
            <w:hideMark/>
          </w:tcPr>
          <w:p w14:paraId="247B9568"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(13,524)</w:t>
            </w:r>
          </w:p>
        </w:tc>
        <w:tc>
          <w:tcPr>
            <w:tcW w:w="1298" w:type="dxa"/>
            <w:tcBorders>
              <w:top w:val="nil"/>
              <w:left w:val="nil"/>
              <w:bottom w:val="single" w:sz="4" w:space="0" w:color="auto"/>
              <w:right w:val="single" w:sz="4" w:space="0" w:color="auto"/>
            </w:tcBorders>
            <w:vAlign w:val="center"/>
            <w:hideMark/>
          </w:tcPr>
          <w:p w14:paraId="341F7C78"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(21,187)</w:t>
            </w:r>
          </w:p>
        </w:tc>
        <w:tc>
          <w:tcPr>
            <w:tcW w:w="1097" w:type="dxa"/>
            <w:tcBorders>
              <w:top w:val="nil"/>
              <w:left w:val="nil"/>
              <w:bottom w:val="single" w:sz="4" w:space="0" w:color="auto"/>
              <w:right w:val="single" w:sz="4" w:space="0" w:color="auto"/>
            </w:tcBorders>
            <w:vAlign w:val="center"/>
            <w:hideMark/>
          </w:tcPr>
          <w:p w14:paraId="36F6CF3A"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(20,758)</w:t>
            </w:r>
          </w:p>
        </w:tc>
        <w:tc>
          <w:tcPr>
            <w:tcW w:w="1098" w:type="dxa"/>
            <w:tcBorders>
              <w:top w:val="nil"/>
              <w:left w:val="nil"/>
              <w:bottom w:val="single" w:sz="4" w:space="0" w:color="auto"/>
              <w:right w:val="single" w:sz="4" w:space="0" w:color="auto"/>
            </w:tcBorders>
            <w:vAlign w:val="center"/>
            <w:hideMark/>
          </w:tcPr>
          <w:p w14:paraId="3578B06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(28,350)</w:t>
            </w:r>
          </w:p>
        </w:tc>
      </w:tr>
      <w:tr w:rsidR="00637BA7" w:rsidRPr="00637BA7" w14:paraId="534C7B42"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2A2B397F"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Retained earnings</w:t>
            </w:r>
          </w:p>
        </w:tc>
        <w:tc>
          <w:tcPr>
            <w:tcW w:w="1097" w:type="dxa"/>
            <w:tcBorders>
              <w:top w:val="nil"/>
              <w:left w:val="nil"/>
              <w:bottom w:val="single" w:sz="4" w:space="0" w:color="auto"/>
              <w:right w:val="single" w:sz="4" w:space="0" w:color="auto"/>
            </w:tcBorders>
            <w:vAlign w:val="center"/>
            <w:hideMark/>
          </w:tcPr>
          <w:p w14:paraId="574994BA"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324,990</w:t>
            </w:r>
          </w:p>
        </w:tc>
        <w:tc>
          <w:tcPr>
            <w:tcW w:w="1139" w:type="dxa"/>
            <w:tcBorders>
              <w:top w:val="nil"/>
              <w:left w:val="nil"/>
              <w:bottom w:val="single" w:sz="4" w:space="0" w:color="auto"/>
              <w:right w:val="single" w:sz="4" w:space="0" w:color="auto"/>
            </w:tcBorders>
            <w:vAlign w:val="center"/>
            <w:hideMark/>
          </w:tcPr>
          <w:p w14:paraId="3CDB8A5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330,291</w:t>
            </w:r>
          </w:p>
        </w:tc>
        <w:tc>
          <w:tcPr>
            <w:tcW w:w="1298" w:type="dxa"/>
            <w:tcBorders>
              <w:top w:val="nil"/>
              <w:left w:val="nil"/>
              <w:bottom w:val="single" w:sz="4" w:space="0" w:color="auto"/>
              <w:right w:val="single" w:sz="4" w:space="0" w:color="auto"/>
            </w:tcBorders>
            <w:vAlign w:val="center"/>
            <w:hideMark/>
          </w:tcPr>
          <w:p w14:paraId="4D584071"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330,698</w:t>
            </w:r>
          </w:p>
        </w:tc>
        <w:tc>
          <w:tcPr>
            <w:tcW w:w="1097" w:type="dxa"/>
            <w:tcBorders>
              <w:top w:val="nil"/>
              <w:left w:val="nil"/>
              <w:bottom w:val="single" w:sz="4" w:space="0" w:color="auto"/>
              <w:right w:val="single" w:sz="4" w:space="0" w:color="auto"/>
            </w:tcBorders>
            <w:vAlign w:val="center"/>
            <w:hideMark/>
          </w:tcPr>
          <w:p w14:paraId="4DAD1866"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232,460</w:t>
            </w:r>
          </w:p>
        </w:tc>
        <w:tc>
          <w:tcPr>
            <w:tcW w:w="1098" w:type="dxa"/>
            <w:tcBorders>
              <w:top w:val="nil"/>
              <w:left w:val="nil"/>
              <w:bottom w:val="single" w:sz="4" w:space="0" w:color="auto"/>
              <w:right w:val="single" w:sz="4" w:space="0" w:color="auto"/>
            </w:tcBorders>
            <w:vAlign w:val="center"/>
            <w:hideMark/>
          </w:tcPr>
          <w:p w14:paraId="048DE9B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208,431</w:t>
            </w:r>
          </w:p>
        </w:tc>
      </w:tr>
      <w:tr w:rsidR="00637BA7" w:rsidRPr="00637BA7" w14:paraId="2BB5B29E"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38216207"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Total shareholders' equity</w:t>
            </w:r>
          </w:p>
        </w:tc>
        <w:tc>
          <w:tcPr>
            <w:tcW w:w="1097" w:type="dxa"/>
            <w:tcBorders>
              <w:top w:val="nil"/>
              <w:left w:val="nil"/>
              <w:bottom w:val="single" w:sz="4" w:space="0" w:color="auto"/>
              <w:right w:val="single" w:sz="4" w:space="0" w:color="auto"/>
            </w:tcBorders>
            <w:vAlign w:val="center"/>
            <w:hideMark/>
          </w:tcPr>
          <w:p w14:paraId="73BA7238"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313,301</w:t>
            </w:r>
          </w:p>
        </w:tc>
        <w:tc>
          <w:tcPr>
            <w:tcW w:w="1139" w:type="dxa"/>
            <w:tcBorders>
              <w:top w:val="nil"/>
              <w:left w:val="nil"/>
              <w:bottom w:val="single" w:sz="4" w:space="0" w:color="auto"/>
              <w:right w:val="single" w:sz="4" w:space="0" w:color="auto"/>
            </w:tcBorders>
            <w:vAlign w:val="center"/>
            <w:hideMark/>
          </w:tcPr>
          <w:p w14:paraId="52BCB9B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275,949</w:t>
            </w:r>
          </w:p>
        </w:tc>
        <w:tc>
          <w:tcPr>
            <w:tcW w:w="1298" w:type="dxa"/>
            <w:tcBorders>
              <w:top w:val="nil"/>
              <w:left w:val="nil"/>
              <w:bottom w:val="single" w:sz="4" w:space="0" w:color="auto"/>
              <w:right w:val="single" w:sz="4" w:space="0" w:color="auto"/>
            </w:tcBorders>
            <w:vAlign w:val="center"/>
            <w:hideMark/>
          </w:tcPr>
          <w:p w14:paraId="2D2D868F"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268,406</w:t>
            </w:r>
          </w:p>
        </w:tc>
        <w:tc>
          <w:tcPr>
            <w:tcW w:w="1097" w:type="dxa"/>
            <w:tcBorders>
              <w:top w:val="nil"/>
              <w:left w:val="nil"/>
              <w:bottom w:val="single" w:sz="4" w:space="0" w:color="auto"/>
              <w:right w:val="single" w:sz="4" w:space="0" w:color="auto"/>
            </w:tcBorders>
            <w:vAlign w:val="center"/>
            <w:hideMark/>
          </w:tcPr>
          <w:p w14:paraId="468FF710"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178,920</w:t>
            </w:r>
          </w:p>
        </w:tc>
        <w:tc>
          <w:tcPr>
            <w:tcW w:w="1098" w:type="dxa"/>
            <w:tcBorders>
              <w:top w:val="nil"/>
              <w:left w:val="nil"/>
              <w:bottom w:val="single" w:sz="4" w:space="0" w:color="auto"/>
              <w:right w:val="single" w:sz="4" w:space="0" w:color="auto"/>
            </w:tcBorders>
            <w:vAlign w:val="center"/>
            <w:hideMark/>
          </w:tcPr>
          <w:p w14:paraId="1C05F5DC"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153,105</w:t>
            </w:r>
          </w:p>
        </w:tc>
      </w:tr>
      <w:tr w:rsidR="00637BA7" w:rsidRPr="00637BA7" w14:paraId="5F1FDC64" w14:textId="77777777" w:rsidTr="00A801AF">
        <w:trPr>
          <w:trHeight w:val="283"/>
        </w:trPr>
        <w:tc>
          <w:tcPr>
            <w:tcW w:w="4395" w:type="dxa"/>
            <w:tcBorders>
              <w:top w:val="nil"/>
              <w:left w:val="single" w:sz="4" w:space="0" w:color="auto"/>
              <w:bottom w:val="single" w:sz="4" w:space="0" w:color="auto"/>
              <w:right w:val="single" w:sz="4" w:space="0" w:color="auto"/>
            </w:tcBorders>
            <w:vAlign w:val="center"/>
            <w:hideMark/>
          </w:tcPr>
          <w:p w14:paraId="74922BFD" w14:textId="77777777" w:rsidR="00637BA7" w:rsidRPr="00637BA7" w:rsidRDefault="00637BA7" w:rsidP="00637BA7">
            <w:pPr>
              <w:spacing w:after="0" w:line="240" w:lineRule="auto"/>
              <w:rPr>
                <w:rFonts w:ascii="Calibri" w:eastAsia="Times New Roman" w:hAnsi="Calibri" w:cs="Calibri"/>
                <w:color w:val="000000"/>
              </w:rPr>
            </w:pPr>
            <w:r w:rsidRPr="00637BA7">
              <w:rPr>
                <w:rFonts w:ascii="Calibri" w:eastAsia="Times New Roman" w:hAnsi="Calibri" w:cs="Calibri"/>
                <w:color w:val="000000"/>
              </w:rPr>
              <w:t>Total liabilities and equity</w:t>
            </w:r>
          </w:p>
        </w:tc>
        <w:tc>
          <w:tcPr>
            <w:tcW w:w="1097" w:type="dxa"/>
            <w:tcBorders>
              <w:top w:val="nil"/>
              <w:left w:val="nil"/>
              <w:bottom w:val="single" w:sz="4" w:space="0" w:color="auto"/>
              <w:right w:val="single" w:sz="4" w:space="0" w:color="auto"/>
            </w:tcBorders>
            <w:vAlign w:val="center"/>
            <w:hideMark/>
          </w:tcPr>
          <w:p w14:paraId="26AE8BE3"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510,290</w:t>
            </w:r>
          </w:p>
        </w:tc>
        <w:tc>
          <w:tcPr>
            <w:tcW w:w="1139" w:type="dxa"/>
            <w:tcBorders>
              <w:top w:val="nil"/>
              <w:left w:val="nil"/>
              <w:bottom w:val="single" w:sz="4" w:space="0" w:color="auto"/>
              <w:right w:val="single" w:sz="4" w:space="0" w:color="auto"/>
            </w:tcBorders>
            <w:vAlign w:val="center"/>
            <w:hideMark/>
          </w:tcPr>
          <w:p w14:paraId="11394A6D"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510,348</w:t>
            </w:r>
          </w:p>
        </w:tc>
        <w:tc>
          <w:tcPr>
            <w:tcW w:w="1298" w:type="dxa"/>
            <w:tcBorders>
              <w:top w:val="nil"/>
              <w:left w:val="nil"/>
              <w:bottom w:val="single" w:sz="4" w:space="0" w:color="auto"/>
              <w:right w:val="single" w:sz="4" w:space="0" w:color="auto"/>
            </w:tcBorders>
            <w:vAlign w:val="center"/>
            <w:hideMark/>
          </w:tcPr>
          <w:p w14:paraId="5DE8EB99"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504,163</w:t>
            </w:r>
          </w:p>
        </w:tc>
        <w:tc>
          <w:tcPr>
            <w:tcW w:w="1097" w:type="dxa"/>
            <w:tcBorders>
              <w:top w:val="nil"/>
              <w:left w:val="nil"/>
              <w:bottom w:val="single" w:sz="4" w:space="0" w:color="auto"/>
              <w:right w:val="single" w:sz="4" w:space="0" w:color="auto"/>
            </w:tcBorders>
            <w:vAlign w:val="center"/>
            <w:hideMark/>
          </w:tcPr>
          <w:p w14:paraId="4BA328AB"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355,872</w:t>
            </w:r>
          </w:p>
        </w:tc>
        <w:tc>
          <w:tcPr>
            <w:tcW w:w="1098" w:type="dxa"/>
            <w:tcBorders>
              <w:top w:val="nil"/>
              <w:left w:val="nil"/>
              <w:bottom w:val="single" w:sz="4" w:space="0" w:color="auto"/>
              <w:right w:val="single" w:sz="4" w:space="0" w:color="auto"/>
            </w:tcBorders>
            <w:vAlign w:val="center"/>
            <w:hideMark/>
          </w:tcPr>
          <w:p w14:paraId="4D5C0B07" w14:textId="77777777" w:rsidR="00637BA7" w:rsidRPr="00637BA7" w:rsidRDefault="00637BA7" w:rsidP="00637BA7">
            <w:pPr>
              <w:spacing w:after="0" w:line="240" w:lineRule="auto"/>
              <w:jc w:val="center"/>
              <w:rPr>
                <w:rFonts w:ascii="Calibri" w:eastAsia="Times New Roman" w:hAnsi="Calibri" w:cs="Calibri"/>
                <w:color w:val="000000"/>
              </w:rPr>
            </w:pPr>
            <w:r w:rsidRPr="00637BA7">
              <w:rPr>
                <w:rFonts w:ascii="Calibri" w:eastAsia="Times New Roman" w:hAnsi="Calibri" w:cs="Calibri"/>
                <w:color w:val="000000"/>
              </w:rPr>
              <w:t>323,354</w:t>
            </w:r>
          </w:p>
        </w:tc>
      </w:tr>
    </w:tbl>
    <w:p w14:paraId="6FC54F5A" w14:textId="77777777" w:rsidR="00637BA7" w:rsidRDefault="00637BA7" w:rsidP="00FE4F98">
      <w:pPr>
        <w:pStyle w:val="Heading1"/>
      </w:pPr>
    </w:p>
    <w:tbl>
      <w:tblPr>
        <w:tblW w:w="10062" w:type="dxa"/>
        <w:tblLook w:val="04A0" w:firstRow="1" w:lastRow="0" w:firstColumn="1" w:lastColumn="0" w:noHBand="0" w:noVBand="1"/>
      </w:tblPr>
      <w:tblGrid>
        <w:gridCol w:w="5558"/>
        <w:gridCol w:w="792"/>
        <w:gridCol w:w="928"/>
        <w:gridCol w:w="928"/>
        <w:gridCol w:w="928"/>
        <w:gridCol w:w="928"/>
      </w:tblGrid>
      <w:tr w:rsidR="008B5FAE" w:rsidRPr="008B5FAE" w14:paraId="37D393E9" w14:textId="77777777" w:rsidTr="008B5FAE">
        <w:trPr>
          <w:trHeight w:val="312"/>
        </w:trPr>
        <w:tc>
          <w:tcPr>
            <w:tcW w:w="10062" w:type="dxa"/>
            <w:gridSpan w:val="6"/>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351D15A1" w14:textId="77777777" w:rsidR="008B5FAE" w:rsidRPr="008B5FAE" w:rsidRDefault="008B5FAE" w:rsidP="008B5FAE">
            <w:pPr>
              <w:spacing w:after="0" w:line="240" w:lineRule="auto"/>
              <w:jc w:val="center"/>
              <w:rPr>
                <w:rFonts w:ascii="Calibri" w:eastAsia="Times New Roman" w:hAnsi="Calibri" w:cs="Calibri"/>
                <w:b/>
                <w:bCs/>
                <w:color w:val="000000"/>
                <w:sz w:val="24"/>
                <w:szCs w:val="24"/>
              </w:rPr>
            </w:pPr>
            <w:r w:rsidRPr="008B5FAE">
              <w:rPr>
                <w:rFonts w:ascii="Calibri" w:eastAsia="Times New Roman" w:hAnsi="Calibri" w:cs="Calibri"/>
                <w:b/>
                <w:bCs/>
                <w:color w:val="000000"/>
                <w:sz w:val="24"/>
                <w:szCs w:val="24"/>
              </w:rPr>
              <w:t>Consolidated Cash Flow Statement (Em)</w:t>
            </w:r>
          </w:p>
        </w:tc>
      </w:tr>
      <w:tr w:rsidR="008B5FAE" w:rsidRPr="008B5FAE" w14:paraId="522AF7E9" w14:textId="77777777" w:rsidTr="008B5FAE">
        <w:trPr>
          <w:trHeight w:val="288"/>
        </w:trPr>
        <w:tc>
          <w:tcPr>
            <w:tcW w:w="5558" w:type="dxa"/>
            <w:tcBorders>
              <w:top w:val="nil"/>
              <w:left w:val="single" w:sz="4" w:space="0" w:color="auto"/>
              <w:bottom w:val="single" w:sz="4" w:space="0" w:color="auto"/>
              <w:right w:val="single" w:sz="4" w:space="0" w:color="auto"/>
            </w:tcBorders>
            <w:noWrap/>
            <w:hideMark/>
          </w:tcPr>
          <w:p w14:paraId="4ADE23FE" w14:textId="77777777" w:rsidR="008B5FAE" w:rsidRPr="008B5FAE" w:rsidRDefault="008B5FAE" w:rsidP="008B5FAE">
            <w:pPr>
              <w:spacing w:after="0" w:line="240" w:lineRule="auto"/>
              <w:jc w:val="center"/>
              <w:rPr>
                <w:rFonts w:ascii="Calibri" w:eastAsia="Times New Roman" w:hAnsi="Calibri" w:cs="Calibri"/>
                <w:b/>
                <w:bCs/>
              </w:rPr>
            </w:pPr>
            <w:r w:rsidRPr="008B5FAE">
              <w:rPr>
                <w:rFonts w:ascii="Calibri" w:eastAsia="Times New Roman" w:hAnsi="Calibri" w:cs="Calibri"/>
                <w:b/>
                <w:bCs/>
              </w:rPr>
              <w:t> </w:t>
            </w:r>
          </w:p>
        </w:tc>
        <w:tc>
          <w:tcPr>
            <w:tcW w:w="792" w:type="dxa"/>
            <w:tcBorders>
              <w:top w:val="nil"/>
              <w:left w:val="nil"/>
              <w:bottom w:val="single" w:sz="4" w:space="0" w:color="auto"/>
              <w:right w:val="single" w:sz="4" w:space="0" w:color="auto"/>
            </w:tcBorders>
            <w:noWrap/>
            <w:hideMark/>
          </w:tcPr>
          <w:p w14:paraId="471792A7" w14:textId="77777777" w:rsidR="008B5FAE" w:rsidRPr="008B5FAE" w:rsidRDefault="008B5FAE" w:rsidP="008B5FAE">
            <w:pPr>
              <w:spacing w:after="0" w:line="240" w:lineRule="auto"/>
              <w:jc w:val="center"/>
              <w:rPr>
                <w:rFonts w:ascii="Calibri" w:eastAsia="Times New Roman" w:hAnsi="Calibri" w:cs="Calibri"/>
                <w:b/>
                <w:bCs/>
              </w:rPr>
            </w:pPr>
            <w:r w:rsidRPr="008B5FAE">
              <w:rPr>
                <w:rFonts w:ascii="Calibri" w:eastAsia="Times New Roman" w:hAnsi="Calibri" w:cs="Calibri"/>
                <w:b/>
                <w:bCs/>
              </w:rPr>
              <w:t>2020</w:t>
            </w:r>
          </w:p>
        </w:tc>
        <w:tc>
          <w:tcPr>
            <w:tcW w:w="928" w:type="dxa"/>
            <w:tcBorders>
              <w:top w:val="nil"/>
              <w:left w:val="nil"/>
              <w:bottom w:val="single" w:sz="4" w:space="0" w:color="auto"/>
              <w:right w:val="single" w:sz="4" w:space="0" w:color="auto"/>
            </w:tcBorders>
            <w:noWrap/>
            <w:hideMark/>
          </w:tcPr>
          <w:p w14:paraId="6E61E02A" w14:textId="77777777" w:rsidR="008B5FAE" w:rsidRPr="008B5FAE" w:rsidRDefault="008B5FAE" w:rsidP="008B5FAE">
            <w:pPr>
              <w:spacing w:after="0" w:line="240" w:lineRule="auto"/>
              <w:jc w:val="center"/>
              <w:rPr>
                <w:rFonts w:ascii="Calibri" w:eastAsia="Times New Roman" w:hAnsi="Calibri" w:cs="Calibri"/>
                <w:b/>
                <w:bCs/>
              </w:rPr>
            </w:pPr>
            <w:r w:rsidRPr="008B5FAE">
              <w:rPr>
                <w:rFonts w:ascii="Calibri" w:eastAsia="Times New Roman" w:hAnsi="Calibri" w:cs="Calibri"/>
                <w:b/>
                <w:bCs/>
              </w:rPr>
              <w:t>2021</w:t>
            </w:r>
          </w:p>
        </w:tc>
        <w:tc>
          <w:tcPr>
            <w:tcW w:w="928" w:type="dxa"/>
            <w:tcBorders>
              <w:top w:val="nil"/>
              <w:left w:val="nil"/>
              <w:bottom w:val="single" w:sz="4" w:space="0" w:color="auto"/>
              <w:right w:val="single" w:sz="4" w:space="0" w:color="auto"/>
            </w:tcBorders>
            <w:noWrap/>
            <w:hideMark/>
          </w:tcPr>
          <w:p w14:paraId="3BE1A0BF" w14:textId="77777777" w:rsidR="008B5FAE" w:rsidRPr="008B5FAE" w:rsidRDefault="008B5FAE" w:rsidP="008B5FAE">
            <w:pPr>
              <w:spacing w:after="0" w:line="240" w:lineRule="auto"/>
              <w:jc w:val="center"/>
              <w:rPr>
                <w:rFonts w:ascii="Calibri" w:eastAsia="Times New Roman" w:hAnsi="Calibri" w:cs="Calibri"/>
                <w:b/>
                <w:bCs/>
              </w:rPr>
            </w:pPr>
            <w:r w:rsidRPr="008B5FAE">
              <w:rPr>
                <w:rFonts w:ascii="Calibri" w:eastAsia="Times New Roman" w:hAnsi="Calibri" w:cs="Calibri"/>
                <w:b/>
                <w:bCs/>
              </w:rPr>
              <w:t>2022</w:t>
            </w:r>
          </w:p>
        </w:tc>
        <w:tc>
          <w:tcPr>
            <w:tcW w:w="928" w:type="dxa"/>
            <w:tcBorders>
              <w:top w:val="nil"/>
              <w:left w:val="nil"/>
              <w:bottom w:val="single" w:sz="4" w:space="0" w:color="auto"/>
              <w:right w:val="single" w:sz="4" w:space="0" w:color="auto"/>
            </w:tcBorders>
            <w:noWrap/>
            <w:hideMark/>
          </w:tcPr>
          <w:p w14:paraId="59E09208" w14:textId="77777777" w:rsidR="008B5FAE" w:rsidRPr="008B5FAE" w:rsidRDefault="008B5FAE" w:rsidP="008B5FAE">
            <w:pPr>
              <w:spacing w:after="0" w:line="240" w:lineRule="auto"/>
              <w:jc w:val="center"/>
              <w:rPr>
                <w:rFonts w:ascii="Calibri" w:eastAsia="Times New Roman" w:hAnsi="Calibri" w:cs="Calibri"/>
                <w:b/>
                <w:bCs/>
              </w:rPr>
            </w:pPr>
            <w:r w:rsidRPr="008B5FAE">
              <w:rPr>
                <w:rFonts w:ascii="Calibri" w:eastAsia="Times New Roman" w:hAnsi="Calibri" w:cs="Calibri"/>
                <w:b/>
                <w:bCs/>
              </w:rPr>
              <w:t>2023</w:t>
            </w:r>
          </w:p>
        </w:tc>
        <w:tc>
          <w:tcPr>
            <w:tcW w:w="928" w:type="dxa"/>
            <w:tcBorders>
              <w:top w:val="nil"/>
              <w:left w:val="nil"/>
              <w:bottom w:val="single" w:sz="4" w:space="0" w:color="auto"/>
              <w:right w:val="single" w:sz="4" w:space="0" w:color="auto"/>
            </w:tcBorders>
            <w:noWrap/>
            <w:hideMark/>
          </w:tcPr>
          <w:p w14:paraId="174F2429" w14:textId="77777777" w:rsidR="008B5FAE" w:rsidRPr="008B5FAE" w:rsidRDefault="008B5FAE" w:rsidP="008B5FAE">
            <w:pPr>
              <w:spacing w:after="0" w:line="240" w:lineRule="auto"/>
              <w:jc w:val="center"/>
              <w:rPr>
                <w:rFonts w:ascii="Calibri" w:eastAsia="Times New Roman" w:hAnsi="Calibri" w:cs="Calibri"/>
                <w:b/>
                <w:bCs/>
              </w:rPr>
            </w:pPr>
            <w:r w:rsidRPr="008B5FAE">
              <w:rPr>
                <w:rFonts w:ascii="Calibri" w:eastAsia="Times New Roman" w:hAnsi="Calibri" w:cs="Calibri"/>
                <w:b/>
                <w:bCs/>
              </w:rPr>
              <w:t>2024</w:t>
            </w:r>
          </w:p>
        </w:tc>
      </w:tr>
      <w:tr w:rsidR="008B5FAE" w:rsidRPr="008B5FAE" w14:paraId="6454E85B"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55757644"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Net income (loss)</w:t>
            </w:r>
          </w:p>
        </w:tc>
        <w:tc>
          <w:tcPr>
            <w:tcW w:w="792" w:type="dxa"/>
            <w:tcBorders>
              <w:top w:val="nil"/>
              <w:left w:val="nil"/>
              <w:bottom w:val="single" w:sz="4" w:space="0" w:color="auto"/>
              <w:right w:val="single" w:sz="4" w:space="0" w:color="auto"/>
            </w:tcBorders>
            <w:noWrap/>
            <w:vAlign w:val="bottom"/>
            <w:hideMark/>
          </w:tcPr>
          <w:p w14:paraId="1646F9A1"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38752</w:t>
            </w:r>
          </w:p>
        </w:tc>
        <w:tc>
          <w:tcPr>
            <w:tcW w:w="928" w:type="dxa"/>
            <w:tcBorders>
              <w:top w:val="nil"/>
              <w:left w:val="nil"/>
              <w:bottom w:val="single" w:sz="4" w:space="0" w:color="auto"/>
              <w:right w:val="single" w:sz="4" w:space="0" w:color="auto"/>
            </w:tcBorders>
            <w:noWrap/>
            <w:vAlign w:val="bottom"/>
            <w:hideMark/>
          </w:tcPr>
          <w:p w14:paraId="3BE350AF"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501</w:t>
            </w:r>
          </w:p>
        </w:tc>
        <w:tc>
          <w:tcPr>
            <w:tcW w:w="928" w:type="dxa"/>
            <w:tcBorders>
              <w:top w:val="nil"/>
              <w:left w:val="nil"/>
              <w:bottom w:val="single" w:sz="4" w:space="0" w:color="auto"/>
              <w:right w:val="single" w:sz="4" w:space="0" w:color="auto"/>
            </w:tcBorders>
            <w:noWrap/>
            <w:vAlign w:val="bottom"/>
            <w:hideMark/>
          </w:tcPr>
          <w:p w14:paraId="1A9B1016"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407</w:t>
            </w:r>
          </w:p>
        </w:tc>
        <w:tc>
          <w:tcPr>
            <w:tcW w:w="928" w:type="dxa"/>
            <w:tcBorders>
              <w:top w:val="nil"/>
              <w:left w:val="nil"/>
              <w:bottom w:val="single" w:sz="4" w:space="0" w:color="auto"/>
              <w:right w:val="single" w:sz="4" w:space="0" w:color="auto"/>
            </w:tcBorders>
            <w:noWrap/>
            <w:vAlign w:val="bottom"/>
            <w:hideMark/>
          </w:tcPr>
          <w:p w14:paraId="49C4CC8C"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-98328</w:t>
            </w:r>
          </w:p>
        </w:tc>
        <w:tc>
          <w:tcPr>
            <w:tcW w:w="928" w:type="dxa"/>
            <w:tcBorders>
              <w:top w:val="nil"/>
              <w:left w:val="nil"/>
              <w:bottom w:val="single" w:sz="4" w:space="0" w:color="auto"/>
              <w:right w:val="single" w:sz="4" w:space="0" w:color="auto"/>
            </w:tcBorders>
            <w:noWrap/>
            <w:vAlign w:val="bottom"/>
            <w:hideMark/>
          </w:tcPr>
          <w:p w14:paraId="1DE7E550"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-24029</w:t>
            </w:r>
          </w:p>
        </w:tc>
      </w:tr>
      <w:tr w:rsidR="008B5FAE" w:rsidRPr="008B5FAE" w14:paraId="5764CBAC"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2862D10A"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Depreciation and amortization</w:t>
            </w:r>
          </w:p>
        </w:tc>
        <w:tc>
          <w:tcPr>
            <w:tcW w:w="792" w:type="dxa"/>
            <w:tcBorders>
              <w:top w:val="nil"/>
              <w:left w:val="nil"/>
              <w:bottom w:val="single" w:sz="4" w:space="0" w:color="auto"/>
              <w:right w:val="single" w:sz="4" w:space="0" w:color="auto"/>
            </w:tcBorders>
            <w:noWrap/>
            <w:vAlign w:val="bottom"/>
            <w:hideMark/>
          </w:tcPr>
          <w:p w14:paraId="71FA2846"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20409</w:t>
            </w:r>
          </w:p>
        </w:tc>
        <w:tc>
          <w:tcPr>
            <w:tcW w:w="928" w:type="dxa"/>
            <w:tcBorders>
              <w:top w:val="nil"/>
              <w:left w:val="nil"/>
              <w:bottom w:val="single" w:sz="4" w:space="0" w:color="auto"/>
              <w:right w:val="single" w:sz="4" w:space="0" w:color="auto"/>
            </w:tcBorders>
            <w:noWrap/>
            <w:vAlign w:val="bottom"/>
            <w:hideMark/>
          </w:tcPr>
          <w:p w14:paraId="24E7F5C0"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21811</w:t>
            </w:r>
          </w:p>
        </w:tc>
        <w:tc>
          <w:tcPr>
            <w:tcW w:w="928" w:type="dxa"/>
            <w:tcBorders>
              <w:top w:val="nil"/>
              <w:left w:val="nil"/>
              <w:bottom w:val="single" w:sz="4" w:space="0" w:color="auto"/>
              <w:right w:val="single" w:sz="4" w:space="0" w:color="auto"/>
            </w:tcBorders>
            <w:noWrap/>
            <w:vAlign w:val="bottom"/>
            <w:hideMark/>
          </w:tcPr>
          <w:p w14:paraId="71CB8503"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24137</w:t>
            </w:r>
          </w:p>
        </w:tc>
        <w:tc>
          <w:tcPr>
            <w:tcW w:w="928" w:type="dxa"/>
            <w:tcBorders>
              <w:top w:val="nil"/>
              <w:left w:val="nil"/>
              <w:bottom w:val="single" w:sz="4" w:space="0" w:color="auto"/>
              <w:right w:val="single" w:sz="4" w:space="0" w:color="auto"/>
            </w:tcBorders>
            <w:noWrap/>
            <w:vAlign w:val="bottom"/>
            <w:hideMark/>
          </w:tcPr>
          <w:p w14:paraId="27BAC21F"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24203</w:t>
            </w:r>
          </w:p>
        </w:tc>
        <w:tc>
          <w:tcPr>
            <w:tcW w:w="928" w:type="dxa"/>
            <w:tcBorders>
              <w:top w:val="nil"/>
              <w:left w:val="nil"/>
              <w:bottom w:val="single" w:sz="4" w:space="0" w:color="auto"/>
              <w:right w:val="single" w:sz="4" w:space="0" w:color="auto"/>
            </w:tcBorders>
            <w:noWrap/>
            <w:vAlign w:val="bottom"/>
            <w:hideMark/>
          </w:tcPr>
          <w:p w14:paraId="42B5E6D2"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22227</w:t>
            </w:r>
          </w:p>
        </w:tc>
      </w:tr>
      <w:tr w:rsidR="008B5FAE" w:rsidRPr="008B5FAE" w14:paraId="7429571A"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50E666F7"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Provision for credit losses</w:t>
            </w:r>
          </w:p>
        </w:tc>
        <w:tc>
          <w:tcPr>
            <w:tcW w:w="792" w:type="dxa"/>
            <w:tcBorders>
              <w:top w:val="nil"/>
              <w:left w:val="nil"/>
              <w:bottom w:val="single" w:sz="4" w:space="0" w:color="auto"/>
              <w:right w:val="single" w:sz="4" w:space="0" w:color="auto"/>
            </w:tcBorders>
            <w:noWrap/>
            <w:vAlign w:val="bottom"/>
            <w:hideMark/>
          </w:tcPr>
          <w:p w14:paraId="3208F7A2"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1D10DCE4"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327</w:t>
            </w:r>
          </w:p>
        </w:tc>
        <w:tc>
          <w:tcPr>
            <w:tcW w:w="928" w:type="dxa"/>
            <w:tcBorders>
              <w:top w:val="nil"/>
              <w:left w:val="nil"/>
              <w:bottom w:val="single" w:sz="4" w:space="0" w:color="auto"/>
              <w:right w:val="single" w:sz="4" w:space="0" w:color="auto"/>
            </w:tcBorders>
            <w:noWrap/>
            <w:vAlign w:val="bottom"/>
            <w:hideMark/>
          </w:tcPr>
          <w:p w14:paraId="2AF6E4E8"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-1827</w:t>
            </w:r>
          </w:p>
        </w:tc>
        <w:tc>
          <w:tcPr>
            <w:tcW w:w="928" w:type="dxa"/>
            <w:tcBorders>
              <w:top w:val="nil"/>
              <w:left w:val="nil"/>
              <w:bottom w:val="single" w:sz="4" w:space="0" w:color="auto"/>
              <w:right w:val="single" w:sz="4" w:space="0" w:color="auto"/>
            </w:tcBorders>
            <w:noWrap/>
            <w:vAlign w:val="bottom"/>
            <w:hideMark/>
          </w:tcPr>
          <w:p w14:paraId="5CB85618"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26CBD14E"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710</w:t>
            </w:r>
          </w:p>
        </w:tc>
      </w:tr>
      <w:tr w:rsidR="008B5FAE" w:rsidRPr="008B5FAE" w14:paraId="11D61932"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70FF825E"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Deferred income taxes</w:t>
            </w:r>
          </w:p>
        </w:tc>
        <w:tc>
          <w:tcPr>
            <w:tcW w:w="792" w:type="dxa"/>
            <w:tcBorders>
              <w:top w:val="nil"/>
              <w:left w:val="nil"/>
              <w:bottom w:val="single" w:sz="4" w:space="0" w:color="auto"/>
              <w:right w:val="single" w:sz="4" w:space="0" w:color="auto"/>
            </w:tcBorders>
            <w:noWrap/>
            <w:vAlign w:val="bottom"/>
            <w:hideMark/>
          </w:tcPr>
          <w:p w14:paraId="15394F28"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-1301</w:t>
            </w:r>
          </w:p>
        </w:tc>
        <w:tc>
          <w:tcPr>
            <w:tcW w:w="928" w:type="dxa"/>
            <w:tcBorders>
              <w:top w:val="nil"/>
              <w:left w:val="nil"/>
              <w:bottom w:val="single" w:sz="4" w:space="0" w:color="auto"/>
              <w:right w:val="single" w:sz="4" w:space="0" w:color="auto"/>
            </w:tcBorders>
            <w:noWrap/>
            <w:vAlign w:val="bottom"/>
            <w:hideMark/>
          </w:tcPr>
          <w:p w14:paraId="529E6083"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-523</w:t>
            </w:r>
          </w:p>
        </w:tc>
        <w:tc>
          <w:tcPr>
            <w:tcW w:w="928" w:type="dxa"/>
            <w:tcBorders>
              <w:top w:val="nil"/>
              <w:left w:val="nil"/>
              <w:bottom w:val="single" w:sz="4" w:space="0" w:color="auto"/>
              <w:right w:val="single" w:sz="4" w:space="0" w:color="auto"/>
            </w:tcBorders>
            <w:noWrap/>
            <w:vAlign w:val="bottom"/>
            <w:hideMark/>
          </w:tcPr>
          <w:p w14:paraId="20E95729"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32C18401"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44F1F879"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-5067</w:t>
            </w:r>
          </w:p>
        </w:tc>
      </w:tr>
      <w:tr w:rsidR="008B5FAE" w:rsidRPr="008B5FAE" w14:paraId="0F04639B"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5D914178"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Shares issued for employee benefit plan</w:t>
            </w:r>
          </w:p>
        </w:tc>
        <w:tc>
          <w:tcPr>
            <w:tcW w:w="792" w:type="dxa"/>
            <w:tcBorders>
              <w:top w:val="nil"/>
              <w:left w:val="nil"/>
              <w:bottom w:val="single" w:sz="4" w:space="0" w:color="auto"/>
              <w:right w:val="single" w:sz="4" w:space="0" w:color="auto"/>
            </w:tcBorders>
            <w:noWrap/>
            <w:vAlign w:val="bottom"/>
            <w:hideMark/>
          </w:tcPr>
          <w:p w14:paraId="28897C2D"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3D6D8D2F"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1052</w:t>
            </w:r>
          </w:p>
        </w:tc>
        <w:tc>
          <w:tcPr>
            <w:tcW w:w="928" w:type="dxa"/>
            <w:tcBorders>
              <w:top w:val="nil"/>
              <w:left w:val="nil"/>
              <w:bottom w:val="single" w:sz="4" w:space="0" w:color="auto"/>
              <w:right w:val="single" w:sz="4" w:space="0" w:color="auto"/>
            </w:tcBorders>
            <w:noWrap/>
            <w:vAlign w:val="bottom"/>
            <w:hideMark/>
          </w:tcPr>
          <w:p w14:paraId="2ECE1ED0"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1199</w:t>
            </w:r>
          </w:p>
        </w:tc>
        <w:tc>
          <w:tcPr>
            <w:tcW w:w="928" w:type="dxa"/>
            <w:tcBorders>
              <w:top w:val="nil"/>
              <w:left w:val="nil"/>
              <w:bottom w:val="single" w:sz="4" w:space="0" w:color="auto"/>
              <w:right w:val="single" w:sz="4" w:space="0" w:color="auto"/>
            </w:tcBorders>
            <w:noWrap/>
            <w:vAlign w:val="bottom"/>
            <w:hideMark/>
          </w:tcPr>
          <w:p w14:paraId="3480EA21"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1193</w:t>
            </w:r>
          </w:p>
        </w:tc>
        <w:tc>
          <w:tcPr>
            <w:tcW w:w="928" w:type="dxa"/>
            <w:tcBorders>
              <w:top w:val="nil"/>
              <w:left w:val="nil"/>
              <w:bottom w:val="single" w:sz="4" w:space="0" w:color="auto"/>
              <w:right w:val="single" w:sz="4" w:space="0" w:color="auto"/>
            </w:tcBorders>
            <w:noWrap/>
            <w:vAlign w:val="bottom"/>
            <w:hideMark/>
          </w:tcPr>
          <w:p w14:paraId="50A2C24A"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1593</w:t>
            </w:r>
          </w:p>
        </w:tc>
      </w:tr>
      <w:tr w:rsidR="008B5FAE" w:rsidRPr="008B5FAE" w14:paraId="14EAD9E4"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366DF92A"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Employee and director stock</w:t>
            </w:r>
            <w:r w:rsidRPr="008B5FAE">
              <w:rPr>
                <w:rFonts w:ascii="Calibri" w:eastAsia="Times New Roman" w:hAnsi="Calibri" w:cs="Calibri"/>
                <w:color w:val="000000"/>
              </w:rPr>
              <w:noBreakHyphen/>
              <w:t>based compensation</w:t>
            </w:r>
          </w:p>
        </w:tc>
        <w:tc>
          <w:tcPr>
            <w:tcW w:w="792" w:type="dxa"/>
            <w:tcBorders>
              <w:top w:val="nil"/>
              <w:left w:val="nil"/>
              <w:bottom w:val="single" w:sz="4" w:space="0" w:color="auto"/>
              <w:right w:val="single" w:sz="4" w:space="0" w:color="auto"/>
            </w:tcBorders>
            <w:noWrap/>
            <w:vAlign w:val="bottom"/>
            <w:hideMark/>
          </w:tcPr>
          <w:p w14:paraId="33FCA184"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9122</w:t>
            </w:r>
          </w:p>
        </w:tc>
        <w:tc>
          <w:tcPr>
            <w:tcW w:w="928" w:type="dxa"/>
            <w:tcBorders>
              <w:top w:val="nil"/>
              <w:left w:val="nil"/>
              <w:bottom w:val="single" w:sz="4" w:space="0" w:color="auto"/>
              <w:right w:val="single" w:sz="4" w:space="0" w:color="auto"/>
            </w:tcBorders>
            <w:noWrap/>
            <w:vAlign w:val="bottom"/>
            <w:hideMark/>
          </w:tcPr>
          <w:p w14:paraId="7DCD15F2"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9669</w:t>
            </w:r>
          </w:p>
        </w:tc>
        <w:tc>
          <w:tcPr>
            <w:tcW w:w="928" w:type="dxa"/>
            <w:tcBorders>
              <w:top w:val="nil"/>
              <w:left w:val="nil"/>
              <w:bottom w:val="single" w:sz="4" w:space="0" w:color="auto"/>
              <w:right w:val="single" w:sz="4" w:space="0" w:color="auto"/>
            </w:tcBorders>
            <w:noWrap/>
            <w:vAlign w:val="bottom"/>
            <w:hideMark/>
          </w:tcPr>
          <w:p w14:paraId="3FCFF2AE"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10103</w:t>
            </w:r>
          </w:p>
        </w:tc>
        <w:tc>
          <w:tcPr>
            <w:tcW w:w="928" w:type="dxa"/>
            <w:tcBorders>
              <w:top w:val="nil"/>
              <w:left w:val="nil"/>
              <w:bottom w:val="single" w:sz="4" w:space="0" w:color="auto"/>
              <w:right w:val="single" w:sz="4" w:space="0" w:color="auto"/>
            </w:tcBorders>
            <w:noWrap/>
            <w:vAlign w:val="bottom"/>
            <w:hideMark/>
          </w:tcPr>
          <w:p w14:paraId="279DCA2A"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8800</w:t>
            </w:r>
          </w:p>
        </w:tc>
        <w:tc>
          <w:tcPr>
            <w:tcW w:w="928" w:type="dxa"/>
            <w:tcBorders>
              <w:top w:val="nil"/>
              <w:left w:val="nil"/>
              <w:bottom w:val="single" w:sz="4" w:space="0" w:color="auto"/>
              <w:right w:val="single" w:sz="4" w:space="0" w:color="auto"/>
            </w:tcBorders>
            <w:noWrap/>
            <w:vAlign w:val="bottom"/>
            <w:hideMark/>
          </w:tcPr>
          <w:p w14:paraId="6B6175A3"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6700</w:t>
            </w:r>
          </w:p>
        </w:tc>
      </w:tr>
      <w:tr w:rsidR="008B5FAE" w:rsidRPr="008B5FAE" w14:paraId="0D966C6A"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10B5B40E"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Impairment of goodwill</w:t>
            </w:r>
          </w:p>
        </w:tc>
        <w:tc>
          <w:tcPr>
            <w:tcW w:w="792" w:type="dxa"/>
            <w:tcBorders>
              <w:top w:val="nil"/>
              <w:left w:val="nil"/>
              <w:bottom w:val="single" w:sz="4" w:space="0" w:color="auto"/>
              <w:right w:val="single" w:sz="4" w:space="0" w:color="auto"/>
            </w:tcBorders>
            <w:noWrap/>
            <w:vAlign w:val="bottom"/>
            <w:hideMark/>
          </w:tcPr>
          <w:p w14:paraId="25C947B7"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35D10E06"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3013CE27"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949</w:t>
            </w:r>
          </w:p>
        </w:tc>
        <w:tc>
          <w:tcPr>
            <w:tcW w:w="928" w:type="dxa"/>
            <w:tcBorders>
              <w:top w:val="nil"/>
              <w:left w:val="nil"/>
              <w:bottom w:val="single" w:sz="4" w:space="0" w:color="auto"/>
              <w:right w:val="single" w:sz="4" w:space="0" w:color="auto"/>
            </w:tcBorders>
            <w:noWrap/>
            <w:vAlign w:val="bottom"/>
            <w:hideMark/>
          </w:tcPr>
          <w:p w14:paraId="02D87D12"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194</w:t>
            </w:r>
          </w:p>
        </w:tc>
        <w:tc>
          <w:tcPr>
            <w:tcW w:w="928" w:type="dxa"/>
            <w:tcBorders>
              <w:top w:val="nil"/>
              <w:left w:val="nil"/>
              <w:bottom w:val="single" w:sz="4" w:space="0" w:color="auto"/>
              <w:right w:val="single" w:sz="4" w:space="0" w:color="auto"/>
            </w:tcBorders>
            <w:noWrap/>
            <w:vAlign w:val="bottom"/>
            <w:hideMark/>
          </w:tcPr>
          <w:p w14:paraId="4642D948"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448</w:t>
            </w:r>
          </w:p>
        </w:tc>
      </w:tr>
      <w:tr w:rsidR="008B5FAE" w:rsidRPr="008B5FAE" w14:paraId="064A79C2"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5EC9CD09"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Impairment of long</w:t>
            </w:r>
            <w:r w:rsidRPr="008B5FAE">
              <w:rPr>
                <w:rFonts w:ascii="Calibri" w:eastAsia="Times New Roman" w:hAnsi="Calibri" w:cs="Calibri"/>
                <w:color w:val="000000"/>
              </w:rPr>
              <w:noBreakHyphen/>
              <w:t>lived assets</w:t>
            </w:r>
          </w:p>
        </w:tc>
        <w:tc>
          <w:tcPr>
            <w:tcW w:w="792" w:type="dxa"/>
            <w:tcBorders>
              <w:top w:val="nil"/>
              <w:left w:val="nil"/>
              <w:bottom w:val="single" w:sz="4" w:space="0" w:color="auto"/>
              <w:right w:val="single" w:sz="4" w:space="0" w:color="auto"/>
            </w:tcBorders>
            <w:noWrap/>
            <w:vAlign w:val="bottom"/>
            <w:hideMark/>
          </w:tcPr>
          <w:p w14:paraId="7ECBCAC0"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134</w:t>
            </w:r>
          </w:p>
        </w:tc>
        <w:tc>
          <w:tcPr>
            <w:tcW w:w="928" w:type="dxa"/>
            <w:tcBorders>
              <w:top w:val="nil"/>
              <w:left w:val="nil"/>
              <w:bottom w:val="single" w:sz="4" w:space="0" w:color="auto"/>
              <w:right w:val="single" w:sz="4" w:space="0" w:color="auto"/>
            </w:tcBorders>
            <w:noWrap/>
            <w:vAlign w:val="bottom"/>
            <w:hideMark/>
          </w:tcPr>
          <w:p w14:paraId="6B2E2AF2"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3338</w:t>
            </w:r>
          </w:p>
        </w:tc>
        <w:tc>
          <w:tcPr>
            <w:tcW w:w="928" w:type="dxa"/>
            <w:tcBorders>
              <w:top w:val="nil"/>
              <w:left w:val="nil"/>
              <w:bottom w:val="single" w:sz="4" w:space="0" w:color="auto"/>
              <w:right w:val="single" w:sz="4" w:space="0" w:color="auto"/>
            </w:tcBorders>
            <w:noWrap/>
            <w:vAlign w:val="bottom"/>
            <w:hideMark/>
          </w:tcPr>
          <w:p w14:paraId="65328836"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2888</w:t>
            </w:r>
          </w:p>
        </w:tc>
        <w:tc>
          <w:tcPr>
            <w:tcW w:w="928" w:type="dxa"/>
            <w:tcBorders>
              <w:top w:val="nil"/>
              <w:left w:val="nil"/>
              <w:bottom w:val="single" w:sz="4" w:space="0" w:color="auto"/>
              <w:right w:val="single" w:sz="4" w:space="0" w:color="auto"/>
            </w:tcBorders>
            <w:noWrap/>
            <w:vAlign w:val="bottom"/>
            <w:hideMark/>
          </w:tcPr>
          <w:p w14:paraId="5EA07B06"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7963</w:t>
            </w:r>
          </w:p>
        </w:tc>
        <w:tc>
          <w:tcPr>
            <w:tcW w:w="928" w:type="dxa"/>
            <w:tcBorders>
              <w:top w:val="nil"/>
              <w:left w:val="nil"/>
              <w:bottom w:val="single" w:sz="4" w:space="0" w:color="auto"/>
              <w:right w:val="single" w:sz="4" w:space="0" w:color="auto"/>
            </w:tcBorders>
            <w:noWrap/>
            <w:vAlign w:val="bottom"/>
            <w:hideMark/>
          </w:tcPr>
          <w:p w14:paraId="4D9C753D"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333</w:t>
            </w:r>
          </w:p>
        </w:tc>
      </w:tr>
      <w:tr w:rsidR="008B5FAE" w:rsidRPr="008B5FAE" w14:paraId="3821FAF1"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722DBDB9"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Accounts receivable and contract assets</w:t>
            </w:r>
          </w:p>
        </w:tc>
        <w:tc>
          <w:tcPr>
            <w:tcW w:w="792" w:type="dxa"/>
            <w:tcBorders>
              <w:top w:val="nil"/>
              <w:left w:val="nil"/>
              <w:bottom w:val="single" w:sz="4" w:space="0" w:color="auto"/>
              <w:right w:val="single" w:sz="4" w:space="0" w:color="auto"/>
            </w:tcBorders>
            <w:noWrap/>
            <w:vAlign w:val="bottom"/>
            <w:hideMark/>
          </w:tcPr>
          <w:p w14:paraId="5FD44F87"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14884</w:t>
            </w:r>
          </w:p>
        </w:tc>
        <w:tc>
          <w:tcPr>
            <w:tcW w:w="928" w:type="dxa"/>
            <w:tcBorders>
              <w:top w:val="nil"/>
              <w:left w:val="nil"/>
              <w:bottom w:val="single" w:sz="4" w:space="0" w:color="auto"/>
              <w:right w:val="single" w:sz="4" w:space="0" w:color="auto"/>
            </w:tcBorders>
            <w:noWrap/>
            <w:vAlign w:val="bottom"/>
            <w:hideMark/>
          </w:tcPr>
          <w:p w14:paraId="6EFBC87B"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2007</w:t>
            </w:r>
          </w:p>
        </w:tc>
        <w:tc>
          <w:tcPr>
            <w:tcW w:w="928" w:type="dxa"/>
            <w:tcBorders>
              <w:top w:val="nil"/>
              <w:left w:val="nil"/>
              <w:bottom w:val="single" w:sz="4" w:space="0" w:color="auto"/>
              <w:right w:val="single" w:sz="4" w:space="0" w:color="auto"/>
            </w:tcBorders>
            <w:noWrap/>
            <w:vAlign w:val="bottom"/>
            <w:hideMark/>
          </w:tcPr>
          <w:p w14:paraId="4C46F9BD"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12765</w:t>
            </w:r>
          </w:p>
        </w:tc>
        <w:tc>
          <w:tcPr>
            <w:tcW w:w="928" w:type="dxa"/>
            <w:tcBorders>
              <w:top w:val="nil"/>
              <w:left w:val="nil"/>
              <w:bottom w:val="single" w:sz="4" w:space="0" w:color="auto"/>
              <w:right w:val="single" w:sz="4" w:space="0" w:color="auto"/>
            </w:tcBorders>
            <w:noWrap/>
            <w:vAlign w:val="bottom"/>
            <w:hideMark/>
          </w:tcPr>
          <w:p w14:paraId="59E7A698"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5040</w:t>
            </w:r>
          </w:p>
        </w:tc>
        <w:tc>
          <w:tcPr>
            <w:tcW w:w="928" w:type="dxa"/>
            <w:tcBorders>
              <w:top w:val="nil"/>
              <w:left w:val="nil"/>
              <w:bottom w:val="single" w:sz="4" w:space="0" w:color="auto"/>
              <w:right w:val="single" w:sz="4" w:space="0" w:color="auto"/>
            </w:tcBorders>
            <w:noWrap/>
            <w:vAlign w:val="bottom"/>
            <w:hideMark/>
          </w:tcPr>
          <w:p w14:paraId="26EEF461"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-12174</w:t>
            </w:r>
          </w:p>
        </w:tc>
      </w:tr>
      <w:tr w:rsidR="008B5FAE" w:rsidRPr="008B5FAE" w14:paraId="399720E9"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0AA4B0E4"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Inventories</w:t>
            </w:r>
          </w:p>
        </w:tc>
        <w:tc>
          <w:tcPr>
            <w:tcW w:w="792" w:type="dxa"/>
            <w:tcBorders>
              <w:top w:val="nil"/>
              <w:left w:val="nil"/>
              <w:bottom w:val="single" w:sz="4" w:space="0" w:color="auto"/>
              <w:right w:val="single" w:sz="4" w:space="0" w:color="auto"/>
            </w:tcBorders>
            <w:noWrap/>
            <w:vAlign w:val="bottom"/>
            <w:hideMark/>
          </w:tcPr>
          <w:p w14:paraId="6B22DD4A"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-215</w:t>
            </w:r>
          </w:p>
        </w:tc>
        <w:tc>
          <w:tcPr>
            <w:tcW w:w="928" w:type="dxa"/>
            <w:tcBorders>
              <w:top w:val="nil"/>
              <w:left w:val="nil"/>
              <w:bottom w:val="single" w:sz="4" w:space="0" w:color="auto"/>
              <w:right w:val="single" w:sz="4" w:space="0" w:color="auto"/>
            </w:tcBorders>
            <w:noWrap/>
            <w:vAlign w:val="bottom"/>
            <w:hideMark/>
          </w:tcPr>
          <w:p w14:paraId="33903E25"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8143</w:t>
            </w:r>
          </w:p>
        </w:tc>
        <w:tc>
          <w:tcPr>
            <w:tcW w:w="928" w:type="dxa"/>
            <w:tcBorders>
              <w:top w:val="nil"/>
              <w:left w:val="nil"/>
              <w:bottom w:val="single" w:sz="4" w:space="0" w:color="auto"/>
              <w:right w:val="single" w:sz="4" w:space="0" w:color="auto"/>
            </w:tcBorders>
            <w:noWrap/>
            <w:vAlign w:val="bottom"/>
            <w:hideMark/>
          </w:tcPr>
          <w:p w14:paraId="3FACD866"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913</w:t>
            </w:r>
          </w:p>
        </w:tc>
        <w:tc>
          <w:tcPr>
            <w:tcW w:w="928" w:type="dxa"/>
            <w:tcBorders>
              <w:top w:val="nil"/>
              <w:left w:val="nil"/>
              <w:bottom w:val="single" w:sz="4" w:space="0" w:color="auto"/>
              <w:right w:val="single" w:sz="4" w:space="0" w:color="auto"/>
            </w:tcBorders>
            <w:noWrap/>
            <w:vAlign w:val="bottom"/>
            <w:hideMark/>
          </w:tcPr>
          <w:p w14:paraId="64F69B6B"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514858</w:t>
            </w:r>
          </w:p>
        </w:tc>
        <w:tc>
          <w:tcPr>
            <w:tcW w:w="928" w:type="dxa"/>
            <w:tcBorders>
              <w:top w:val="nil"/>
              <w:left w:val="nil"/>
              <w:bottom w:val="single" w:sz="4" w:space="0" w:color="auto"/>
              <w:right w:val="single" w:sz="4" w:space="0" w:color="auto"/>
            </w:tcBorders>
            <w:noWrap/>
            <w:vAlign w:val="bottom"/>
            <w:hideMark/>
          </w:tcPr>
          <w:p w14:paraId="63B533F5"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2304</w:t>
            </w:r>
          </w:p>
        </w:tc>
      </w:tr>
      <w:tr w:rsidR="008B5FAE" w:rsidRPr="008B5FAE" w14:paraId="3F5B348F"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75D65B7D"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Prepaid expenses and other assets</w:t>
            </w:r>
          </w:p>
        </w:tc>
        <w:tc>
          <w:tcPr>
            <w:tcW w:w="792" w:type="dxa"/>
            <w:tcBorders>
              <w:top w:val="nil"/>
              <w:left w:val="nil"/>
              <w:bottom w:val="single" w:sz="4" w:space="0" w:color="auto"/>
              <w:right w:val="single" w:sz="4" w:space="0" w:color="auto"/>
            </w:tcBorders>
            <w:noWrap/>
            <w:vAlign w:val="bottom"/>
            <w:hideMark/>
          </w:tcPr>
          <w:p w14:paraId="3B80CA3D"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-27719</w:t>
            </w:r>
          </w:p>
        </w:tc>
        <w:tc>
          <w:tcPr>
            <w:tcW w:w="928" w:type="dxa"/>
            <w:tcBorders>
              <w:top w:val="nil"/>
              <w:left w:val="nil"/>
              <w:bottom w:val="single" w:sz="4" w:space="0" w:color="auto"/>
              <w:right w:val="single" w:sz="4" w:space="0" w:color="auto"/>
            </w:tcBorders>
            <w:noWrap/>
            <w:vAlign w:val="bottom"/>
            <w:hideMark/>
          </w:tcPr>
          <w:p w14:paraId="56DB5B81"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-26039</w:t>
            </w:r>
          </w:p>
        </w:tc>
        <w:tc>
          <w:tcPr>
            <w:tcW w:w="928" w:type="dxa"/>
            <w:tcBorders>
              <w:top w:val="nil"/>
              <w:left w:val="nil"/>
              <w:bottom w:val="single" w:sz="4" w:space="0" w:color="auto"/>
              <w:right w:val="single" w:sz="4" w:space="0" w:color="auto"/>
            </w:tcBorders>
            <w:noWrap/>
            <w:vAlign w:val="bottom"/>
            <w:hideMark/>
          </w:tcPr>
          <w:p w14:paraId="3852396F"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-9717</w:t>
            </w:r>
          </w:p>
        </w:tc>
        <w:tc>
          <w:tcPr>
            <w:tcW w:w="928" w:type="dxa"/>
            <w:tcBorders>
              <w:top w:val="nil"/>
              <w:left w:val="nil"/>
              <w:bottom w:val="single" w:sz="4" w:space="0" w:color="auto"/>
              <w:right w:val="single" w:sz="4" w:space="0" w:color="auto"/>
            </w:tcBorders>
            <w:noWrap/>
            <w:vAlign w:val="bottom"/>
            <w:hideMark/>
          </w:tcPr>
          <w:p w14:paraId="45721B6F"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-22435</w:t>
            </w:r>
          </w:p>
        </w:tc>
        <w:tc>
          <w:tcPr>
            <w:tcW w:w="928" w:type="dxa"/>
            <w:tcBorders>
              <w:top w:val="nil"/>
              <w:left w:val="nil"/>
              <w:bottom w:val="single" w:sz="4" w:space="0" w:color="auto"/>
              <w:right w:val="single" w:sz="4" w:space="0" w:color="auto"/>
            </w:tcBorders>
            <w:noWrap/>
            <w:vAlign w:val="bottom"/>
            <w:hideMark/>
          </w:tcPr>
          <w:p w14:paraId="45934F6F"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-18803</w:t>
            </w:r>
          </w:p>
        </w:tc>
      </w:tr>
      <w:tr w:rsidR="008B5FAE" w:rsidRPr="008B5FAE" w14:paraId="1B61A451"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28FC269F"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lastRenderedPageBreak/>
              <w:t>Accounts payable and accrued liabilities</w:t>
            </w:r>
          </w:p>
        </w:tc>
        <w:tc>
          <w:tcPr>
            <w:tcW w:w="792" w:type="dxa"/>
            <w:tcBorders>
              <w:top w:val="nil"/>
              <w:left w:val="nil"/>
              <w:bottom w:val="single" w:sz="4" w:space="0" w:color="auto"/>
              <w:right w:val="single" w:sz="4" w:space="0" w:color="auto"/>
            </w:tcBorders>
            <w:noWrap/>
            <w:vAlign w:val="bottom"/>
            <w:hideMark/>
          </w:tcPr>
          <w:p w14:paraId="6C625EFA"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4890</w:t>
            </w:r>
          </w:p>
        </w:tc>
        <w:tc>
          <w:tcPr>
            <w:tcW w:w="928" w:type="dxa"/>
            <w:tcBorders>
              <w:top w:val="nil"/>
              <w:left w:val="nil"/>
              <w:bottom w:val="single" w:sz="4" w:space="0" w:color="auto"/>
              <w:right w:val="single" w:sz="4" w:space="0" w:color="auto"/>
            </w:tcBorders>
            <w:noWrap/>
            <w:vAlign w:val="bottom"/>
            <w:hideMark/>
          </w:tcPr>
          <w:p w14:paraId="14E28606"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8760</w:t>
            </w:r>
          </w:p>
        </w:tc>
        <w:tc>
          <w:tcPr>
            <w:tcW w:w="928" w:type="dxa"/>
            <w:tcBorders>
              <w:top w:val="nil"/>
              <w:left w:val="nil"/>
              <w:bottom w:val="single" w:sz="4" w:space="0" w:color="auto"/>
              <w:right w:val="single" w:sz="4" w:space="0" w:color="auto"/>
            </w:tcBorders>
            <w:noWrap/>
            <w:vAlign w:val="bottom"/>
            <w:hideMark/>
          </w:tcPr>
          <w:p w14:paraId="513C488E"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-28670</w:t>
            </w:r>
          </w:p>
        </w:tc>
        <w:tc>
          <w:tcPr>
            <w:tcW w:w="928" w:type="dxa"/>
            <w:tcBorders>
              <w:top w:val="nil"/>
              <w:left w:val="nil"/>
              <w:bottom w:val="single" w:sz="4" w:space="0" w:color="auto"/>
              <w:right w:val="single" w:sz="4" w:space="0" w:color="auto"/>
            </w:tcBorders>
            <w:noWrap/>
            <w:vAlign w:val="bottom"/>
            <w:hideMark/>
          </w:tcPr>
          <w:p w14:paraId="10B84828"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21379</w:t>
            </w:r>
          </w:p>
        </w:tc>
        <w:tc>
          <w:tcPr>
            <w:tcW w:w="928" w:type="dxa"/>
            <w:tcBorders>
              <w:top w:val="nil"/>
              <w:left w:val="nil"/>
              <w:bottom w:val="single" w:sz="4" w:space="0" w:color="auto"/>
              <w:right w:val="single" w:sz="4" w:space="0" w:color="auto"/>
            </w:tcBorders>
            <w:noWrap/>
            <w:vAlign w:val="bottom"/>
            <w:hideMark/>
          </w:tcPr>
          <w:p w14:paraId="08B4CE79"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15733</w:t>
            </w:r>
          </w:p>
        </w:tc>
      </w:tr>
      <w:tr w:rsidR="008B5FAE" w:rsidRPr="008B5FAE" w14:paraId="608952D1"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0BE97F49"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Accrued income taxes</w:t>
            </w:r>
          </w:p>
        </w:tc>
        <w:tc>
          <w:tcPr>
            <w:tcW w:w="792" w:type="dxa"/>
            <w:tcBorders>
              <w:top w:val="nil"/>
              <w:left w:val="nil"/>
              <w:bottom w:val="single" w:sz="4" w:space="0" w:color="auto"/>
              <w:right w:val="single" w:sz="4" w:space="0" w:color="auto"/>
            </w:tcBorders>
            <w:noWrap/>
            <w:vAlign w:val="bottom"/>
            <w:hideMark/>
          </w:tcPr>
          <w:p w14:paraId="17C4CE6A"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-7</w:t>
            </w:r>
          </w:p>
        </w:tc>
        <w:tc>
          <w:tcPr>
            <w:tcW w:w="928" w:type="dxa"/>
            <w:tcBorders>
              <w:top w:val="nil"/>
              <w:left w:val="nil"/>
              <w:bottom w:val="single" w:sz="4" w:space="0" w:color="auto"/>
              <w:right w:val="single" w:sz="4" w:space="0" w:color="auto"/>
            </w:tcBorders>
            <w:noWrap/>
            <w:vAlign w:val="bottom"/>
            <w:hideMark/>
          </w:tcPr>
          <w:p w14:paraId="742F8981"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w:t>
            </w:r>
          </w:p>
        </w:tc>
        <w:tc>
          <w:tcPr>
            <w:tcW w:w="928" w:type="dxa"/>
            <w:tcBorders>
              <w:top w:val="nil"/>
              <w:left w:val="nil"/>
              <w:bottom w:val="single" w:sz="4" w:space="0" w:color="auto"/>
              <w:right w:val="single" w:sz="4" w:space="0" w:color="auto"/>
            </w:tcBorders>
            <w:noWrap/>
            <w:vAlign w:val="bottom"/>
            <w:hideMark/>
          </w:tcPr>
          <w:p w14:paraId="5EBB0143"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14</w:t>
            </w:r>
          </w:p>
        </w:tc>
        <w:tc>
          <w:tcPr>
            <w:tcW w:w="928" w:type="dxa"/>
            <w:tcBorders>
              <w:top w:val="nil"/>
              <w:left w:val="nil"/>
              <w:bottom w:val="single" w:sz="4" w:space="0" w:color="auto"/>
              <w:right w:val="single" w:sz="4" w:space="0" w:color="auto"/>
            </w:tcBorders>
            <w:noWrap/>
            <w:vAlign w:val="bottom"/>
            <w:hideMark/>
          </w:tcPr>
          <w:p w14:paraId="472C5AA8"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179</w:t>
            </w:r>
          </w:p>
        </w:tc>
        <w:tc>
          <w:tcPr>
            <w:tcW w:w="928" w:type="dxa"/>
            <w:tcBorders>
              <w:top w:val="nil"/>
              <w:left w:val="nil"/>
              <w:bottom w:val="single" w:sz="4" w:space="0" w:color="auto"/>
              <w:right w:val="single" w:sz="4" w:space="0" w:color="auto"/>
            </w:tcBorders>
            <w:noWrap/>
            <w:vAlign w:val="bottom"/>
            <w:hideMark/>
          </w:tcPr>
          <w:p w14:paraId="0B9EA76A"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823</w:t>
            </w:r>
          </w:p>
        </w:tc>
      </w:tr>
      <w:tr w:rsidR="008B5FAE" w:rsidRPr="008B5FAE" w14:paraId="42D309DA"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0F3AF671"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Net cash provided by (used for) operating activities</w:t>
            </w:r>
          </w:p>
        </w:tc>
        <w:tc>
          <w:tcPr>
            <w:tcW w:w="792" w:type="dxa"/>
            <w:tcBorders>
              <w:top w:val="nil"/>
              <w:left w:val="nil"/>
              <w:bottom w:val="single" w:sz="4" w:space="0" w:color="auto"/>
              <w:right w:val="single" w:sz="4" w:space="0" w:color="auto"/>
            </w:tcBorders>
            <w:noWrap/>
            <w:vAlign w:val="bottom"/>
            <w:hideMark/>
          </w:tcPr>
          <w:p w14:paraId="640D10B6"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77352</w:t>
            </w:r>
          </w:p>
        </w:tc>
        <w:tc>
          <w:tcPr>
            <w:tcW w:w="928" w:type="dxa"/>
            <w:tcBorders>
              <w:top w:val="nil"/>
              <w:left w:val="nil"/>
              <w:bottom w:val="single" w:sz="4" w:space="0" w:color="auto"/>
              <w:right w:val="single" w:sz="4" w:space="0" w:color="auto"/>
            </w:tcBorders>
            <w:noWrap/>
            <w:vAlign w:val="bottom"/>
            <w:hideMark/>
          </w:tcPr>
          <w:p w14:paraId="6446F0C7"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26833</w:t>
            </w:r>
          </w:p>
        </w:tc>
        <w:tc>
          <w:tcPr>
            <w:tcW w:w="928" w:type="dxa"/>
            <w:tcBorders>
              <w:top w:val="nil"/>
              <w:left w:val="nil"/>
              <w:bottom w:val="single" w:sz="4" w:space="0" w:color="auto"/>
              <w:right w:val="single" w:sz="4" w:space="0" w:color="auto"/>
            </w:tcBorders>
            <w:noWrap/>
            <w:vAlign w:val="bottom"/>
            <w:hideMark/>
          </w:tcPr>
          <w:p w14:paraId="108FFA42"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10406</w:t>
            </w:r>
          </w:p>
        </w:tc>
        <w:tc>
          <w:tcPr>
            <w:tcW w:w="928" w:type="dxa"/>
            <w:tcBorders>
              <w:top w:val="nil"/>
              <w:left w:val="nil"/>
              <w:bottom w:val="single" w:sz="4" w:space="0" w:color="auto"/>
              <w:right w:val="single" w:sz="4" w:space="0" w:color="auto"/>
            </w:tcBorders>
            <w:noWrap/>
            <w:vAlign w:val="bottom"/>
            <w:hideMark/>
          </w:tcPr>
          <w:p w14:paraId="7E806208"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25190</w:t>
            </w:r>
          </w:p>
        </w:tc>
        <w:tc>
          <w:tcPr>
            <w:tcW w:w="928" w:type="dxa"/>
            <w:tcBorders>
              <w:top w:val="nil"/>
              <w:left w:val="nil"/>
              <w:bottom w:val="single" w:sz="4" w:space="0" w:color="auto"/>
              <w:right w:val="single" w:sz="4" w:space="0" w:color="auto"/>
            </w:tcBorders>
            <w:noWrap/>
            <w:vAlign w:val="bottom"/>
            <w:hideMark/>
          </w:tcPr>
          <w:p w14:paraId="1E3DC59E"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14822</w:t>
            </w:r>
          </w:p>
        </w:tc>
      </w:tr>
      <w:tr w:rsidR="008B5FAE" w:rsidRPr="008B5FAE" w14:paraId="7FC0CD10"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352DC6AA"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Purchase of term deposit</w:t>
            </w:r>
          </w:p>
        </w:tc>
        <w:tc>
          <w:tcPr>
            <w:tcW w:w="792" w:type="dxa"/>
            <w:tcBorders>
              <w:top w:val="nil"/>
              <w:left w:val="nil"/>
              <w:bottom w:val="single" w:sz="4" w:space="0" w:color="auto"/>
              <w:right w:val="single" w:sz="4" w:space="0" w:color="auto"/>
            </w:tcBorders>
            <w:noWrap/>
            <w:vAlign w:val="bottom"/>
            <w:hideMark/>
          </w:tcPr>
          <w:p w14:paraId="382B32C3"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6C4735DC"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02EA1CA8"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6A5A0383"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-7487</w:t>
            </w:r>
          </w:p>
        </w:tc>
        <w:tc>
          <w:tcPr>
            <w:tcW w:w="928" w:type="dxa"/>
            <w:tcBorders>
              <w:top w:val="nil"/>
              <w:left w:val="nil"/>
              <w:bottom w:val="single" w:sz="4" w:space="0" w:color="auto"/>
              <w:right w:val="single" w:sz="4" w:space="0" w:color="auto"/>
            </w:tcBorders>
            <w:noWrap/>
            <w:vAlign w:val="bottom"/>
            <w:hideMark/>
          </w:tcPr>
          <w:p w14:paraId="1A45B86C"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r>
      <w:tr w:rsidR="008B5FAE" w:rsidRPr="008B5FAE" w14:paraId="5C0DB32A"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2287EA1B"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Redemption of term deposit</w:t>
            </w:r>
          </w:p>
        </w:tc>
        <w:tc>
          <w:tcPr>
            <w:tcW w:w="792" w:type="dxa"/>
            <w:tcBorders>
              <w:top w:val="nil"/>
              <w:left w:val="nil"/>
              <w:bottom w:val="single" w:sz="4" w:space="0" w:color="auto"/>
              <w:right w:val="single" w:sz="4" w:space="0" w:color="auto"/>
            </w:tcBorders>
            <w:noWrap/>
            <w:vAlign w:val="bottom"/>
            <w:hideMark/>
          </w:tcPr>
          <w:p w14:paraId="532CDB0F"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7ADCB2B3"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7FC07E93"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16C4CFDB"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1766C12E"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7803</w:t>
            </w:r>
          </w:p>
        </w:tc>
      </w:tr>
      <w:tr w:rsidR="008B5FAE" w:rsidRPr="008B5FAE" w14:paraId="7F529D6A"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149F279B"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Acquisition of net assets</w:t>
            </w:r>
          </w:p>
        </w:tc>
        <w:tc>
          <w:tcPr>
            <w:tcW w:w="792" w:type="dxa"/>
            <w:tcBorders>
              <w:top w:val="nil"/>
              <w:left w:val="nil"/>
              <w:bottom w:val="single" w:sz="4" w:space="0" w:color="auto"/>
              <w:right w:val="single" w:sz="4" w:space="0" w:color="auto"/>
            </w:tcBorders>
            <w:noWrap/>
            <w:vAlign w:val="bottom"/>
            <w:hideMark/>
          </w:tcPr>
          <w:p w14:paraId="38BF1484"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1582D011"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5674D3EC"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5AF2E3F8"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332075C4"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r>
      <w:tr w:rsidR="008B5FAE" w:rsidRPr="008B5FAE" w14:paraId="1A3ECCAF"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1F6DFB13"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Acquisition of property, plant and equipment</w:t>
            </w:r>
          </w:p>
        </w:tc>
        <w:tc>
          <w:tcPr>
            <w:tcW w:w="792" w:type="dxa"/>
            <w:tcBorders>
              <w:top w:val="nil"/>
              <w:left w:val="nil"/>
              <w:bottom w:val="single" w:sz="4" w:space="0" w:color="auto"/>
              <w:right w:val="single" w:sz="4" w:space="0" w:color="auto"/>
            </w:tcBorders>
            <w:noWrap/>
            <w:vAlign w:val="bottom"/>
            <w:hideMark/>
          </w:tcPr>
          <w:p w14:paraId="5945BC47"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-16862</w:t>
            </w:r>
          </w:p>
        </w:tc>
        <w:tc>
          <w:tcPr>
            <w:tcW w:w="928" w:type="dxa"/>
            <w:tcBorders>
              <w:top w:val="nil"/>
              <w:left w:val="nil"/>
              <w:bottom w:val="single" w:sz="4" w:space="0" w:color="auto"/>
              <w:right w:val="single" w:sz="4" w:space="0" w:color="auto"/>
            </w:tcBorders>
            <w:noWrap/>
            <w:vAlign w:val="bottom"/>
            <w:hideMark/>
          </w:tcPr>
          <w:p w14:paraId="6354C85B"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-42546</w:t>
            </w:r>
          </w:p>
        </w:tc>
        <w:tc>
          <w:tcPr>
            <w:tcW w:w="928" w:type="dxa"/>
            <w:tcBorders>
              <w:top w:val="nil"/>
              <w:left w:val="nil"/>
              <w:bottom w:val="single" w:sz="4" w:space="0" w:color="auto"/>
              <w:right w:val="single" w:sz="4" w:space="0" w:color="auto"/>
            </w:tcBorders>
            <w:noWrap/>
            <w:vAlign w:val="bottom"/>
            <w:hideMark/>
          </w:tcPr>
          <w:p w14:paraId="46973FB9"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-41902</w:t>
            </w:r>
          </w:p>
        </w:tc>
        <w:tc>
          <w:tcPr>
            <w:tcW w:w="928" w:type="dxa"/>
            <w:tcBorders>
              <w:top w:val="nil"/>
              <w:left w:val="nil"/>
              <w:bottom w:val="single" w:sz="4" w:space="0" w:color="auto"/>
              <w:right w:val="single" w:sz="4" w:space="0" w:color="auto"/>
            </w:tcBorders>
            <w:noWrap/>
            <w:vAlign w:val="bottom"/>
            <w:hideMark/>
          </w:tcPr>
          <w:p w14:paraId="33746EEE"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-61104</w:t>
            </w:r>
          </w:p>
        </w:tc>
        <w:tc>
          <w:tcPr>
            <w:tcW w:w="928" w:type="dxa"/>
            <w:tcBorders>
              <w:top w:val="nil"/>
              <w:left w:val="nil"/>
              <w:bottom w:val="single" w:sz="4" w:space="0" w:color="auto"/>
              <w:right w:val="single" w:sz="4" w:space="0" w:color="auto"/>
            </w:tcBorders>
            <w:noWrap/>
            <w:vAlign w:val="bottom"/>
            <w:hideMark/>
          </w:tcPr>
          <w:p w14:paraId="14D06852"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-45728</w:t>
            </w:r>
          </w:p>
        </w:tc>
      </w:tr>
      <w:tr w:rsidR="008B5FAE" w:rsidRPr="008B5FAE" w14:paraId="5E98F177"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763F2692"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Acquisition of intangible assets</w:t>
            </w:r>
          </w:p>
        </w:tc>
        <w:tc>
          <w:tcPr>
            <w:tcW w:w="792" w:type="dxa"/>
            <w:tcBorders>
              <w:top w:val="nil"/>
              <w:left w:val="nil"/>
              <w:bottom w:val="single" w:sz="4" w:space="0" w:color="auto"/>
              <w:right w:val="single" w:sz="4" w:space="0" w:color="auto"/>
            </w:tcBorders>
            <w:noWrap/>
            <w:vAlign w:val="bottom"/>
            <w:hideMark/>
          </w:tcPr>
          <w:p w14:paraId="6FB79670"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-629</w:t>
            </w:r>
          </w:p>
        </w:tc>
        <w:tc>
          <w:tcPr>
            <w:tcW w:w="928" w:type="dxa"/>
            <w:tcBorders>
              <w:top w:val="nil"/>
              <w:left w:val="nil"/>
              <w:bottom w:val="single" w:sz="4" w:space="0" w:color="auto"/>
              <w:right w:val="single" w:sz="4" w:space="0" w:color="auto"/>
            </w:tcBorders>
            <w:noWrap/>
            <w:vAlign w:val="bottom"/>
            <w:hideMark/>
          </w:tcPr>
          <w:p w14:paraId="71133A00"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-4557</w:t>
            </w:r>
          </w:p>
        </w:tc>
        <w:tc>
          <w:tcPr>
            <w:tcW w:w="928" w:type="dxa"/>
            <w:tcBorders>
              <w:top w:val="nil"/>
              <w:left w:val="nil"/>
              <w:bottom w:val="single" w:sz="4" w:space="0" w:color="auto"/>
              <w:right w:val="single" w:sz="4" w:space="0" w:color="auto"/>
            </w:tcBorders>
            <w:noWrap/>
            <w:vAlign w:val="bottom"/>
            <w:hideMark/>
          </w:tcPr>
          <w:p w14:paraId="09A500D3"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-6749</w:t>
            </w:r>
          </w:p>
        </w:tc>
        <w:tc>
          <w:tcPr>
            <w:tcW w:w="928" w:type="dxa"/>
            <w:tcBorders>
              <w:top w:val="nil"/>
              <w:left w:val="nil"/>
              <w:bottom w:val="single" w:sz="4" w:space="0" w:color="auto"/>
              <w:right w:val="single" w:sz="4" w:space="0" w:color="auto"/>
            </w:tcBorders>
            <w:noWrap/>
            <w:vAlign w:val="bottom"/>
            <w:hideMark/>
          </w:tcPr>
          <w:p w14:paraId="1A1D44A5"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-7651</w:t>
            </w:r>
          </w:p>
        </w:tc>
        <w:tc>
          <w:tcPr>
            <w:tcW w:w="928" w:type="dxa"/>
            <w:tcBorders>
              <w:top w:val="nil"/>
              <w:left w:val="nil"/>
              <w:bottom w:val="single" w:sz="4" w:space="0" w:color="auto"/>
              <w:right w:val="single" w:sz="4" w:space="0" w:color="auto"/>
            </w:tcBorders>
            <w:noWrap/>
            <w:vAlign w:val="bottom"/>
            <w:hideMark/>
          </w:tcPr>
          <w:p w14:paraId="6FDF24F0"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-835</w:t>
            </w:r>
          </w:p>
        </w:tc>
      </w:tr>
      <w:tr w:rsidR="008B5FAE" w:rsidRPr="008B5FAE" w14:paraId="5357FDCD"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2C7439D3"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Net cash provided by (used for) investing activities</w:t>
            </w:r>
          </w:p>
        </w:tc>
        <w:tc>
          <w:tcPr>
            <w:tcW w:w="792" w:type="dxa"/>
            <w:tcBorders>
              <w:top w:val="nil"/>
              <w:left w:val="nil"/>
              <w:bottom w:val="single" w:sz="4" w:space="0" w:color="auto"/>
              <w:right w:val="single" w:sz="4" w:space="0" w:color="auto"/>
            </w:tcBorders>
            <w:noWrap/>
            <w:vAlign w:val="bottom"/>
            <w:hideMark/>
          </w:tcPr>
          <w:p w14:paraId="01DB1418"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-17565</w:t>
            </w:r>
          </w:p>
        </w:tc>
        <w:tc>
          <w:tcPr>
            <w:tcW w:w="928" w:type="dxa"/>
            <w:tcBorders>
              <w:top w:val="nil"/>
              <w:left w:val="nil"/>
              <w:bottom w:val="single" w:sz="4" w:space="0" w:color="auto"/>
              <w:right w:val="single" w:sz="4" w:space="0" w:color="auto"/>
            </w:tcBorders>
            <w:noWrap/>
            <w:vAlign w:val="bottom"/>
            <w:hideMark/>
          </w:tcPr>
          <w:p w14:paraId="4C9E9849"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-10747</w:t>
            </w:r>
          </w:p>
        </w:tc>
        <w:tc>
          <w:tcPr>
            <w:tcW w:w="928" w:type="dxa"/>
            <w:tcBorders>
              <w:top w:val="nil"/>
              <w:left w:val="nil"/>
              <w:bottom w:val="single" w:sz="4" w:space="0" w:color="auto"/>
              <w:right w:val="single" w:sz="4" w:space="0" w:color="auto"/>
            </w:tcBorders>
            <w:noWrap/>
            <w:vAlign w:val="bottom"/>
            <w:hideMark/>
          </w:tcPr>
          <w:p w14:paraId="7B4511DE"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-21201</w:t>
            </w:r>
          </w:p>
        </w:tc>
        <w:tc>
          <w:tcPr>
            <w:tcW w:w="928" w:type="dxa"/>
            <w:tcBorders>
              <w:top w:val="nil"/>
              <w:left w:val="nil"/>
              <w:bottom w:val="single" w:sz="4" w:space="0" w:color="auto"/>
              <w:right w:val="single" w:sz="4" w:space="0" w:color="auto"/>
            </w:tcBorders>
            <w:noWrap/>
            <w:vAlign w:val="bottom"/>
            <w:hideMark/>
          </w:tcPr>
          <w:p w14:paraId="23CB7154"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-113877</w:t>
            </w:r>
          </w:p>
        </w:tc>
        <w:tc>
          <w:tcPr>
            <w:tcW w:w="928" w:type="dxa"/>
            <w:tcBorders>
              <w:top w:val="nil"/>
              <w:left w:val="nil"/>
              <w:bottom w:val="single" w:sz="4" w:space="0" w:color="auto"/>
              <w:right w:val="single" w:sz="4" w:space="0" w:color="auto"/>
            </w:tcBorders>
            <w:noWrap/>
            <w:vAlign w:val="bottom"/>
            <w:hideMark/>
          </w:tcPr>
          <w:p w14:paraId="4EC76AC6"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-84825</w:t>
            </w:r>
          </w:p>
        </w:tc>
      </w:tr>
      <w:tr w:rsidR="008B5FAE" w:rsidRPr="008B5FAE" w14:paraId="4AECA4AA"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71B09370"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Borrowings under lines of credit</w:t>
            </w:r>
          </w:p>
        </w:tc>
        <w:tc>
          <w:tcPr>
            <w:tcW w:w="792" w:type="dxa"/>
            <w:tcBorders>
              <w:top w:val="nil"/>
              <w:left w:val="nil"/>
              <w:bottom w:val="single" w:sz="4" w:space="0" w:color="auto"/>
              <w:right w:val="single" w:sz="4" w:space="0" w:color="auto"/>
            </w:tcBorders>
            <w:noWrap/>
            <w:vAlign w:val="bottom"/>
            <w:hideMark/>
          </w:tcPr>
          <w:p w14:paraId="1E151418"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29B09F7B"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113000</w:t>
            </w:r>
          </w:p>
        </w:tc>
        <w:tc>
          <w:tcPr>
            <w:tcW w:w="928" w:type="dxa"/>
            <w:tcBorders>
              <w:top w:val="nil"/>
              <w:left w:val="nil"/>
              <w:bottom w:val="single" w:sz="4" w:space="0" w:color="auto"/>
              <w:right w:val="single" w:sz="4" w:space="0" w:color="auto"/>
            </w:tcBorders>
            <w:noWrap/>
            <w:vAlign w:val="bottom"/>
            <w:hideMark/>
          </w:tcPr>
          <w:p w14:paraId="77E30573"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132000</w:t>
            </w:r>
          </w:p>
        </w:tc>
        <w:tc>
          <w:tcPr>
            <w:tcW w:w="928" w:type="dxa"/>
            <w:tcBorders>
              <w:top w:val="nil"/>
              <w:left w:val="nil"/>
              <w:bottom w:val="single" w:sz="4" w:space="0" w:color="auto"/>
              <w:right w:val="single" w:sz="4" w:space="0" w:color="auto"/>
            </w:tcBorders>
            <w:noWrap/>
            <w:vAlign w:val="bottom"/>
            <w:hideMark/>
          </w:tcPr>
          <w:p w14:paraId="5B550FD3"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113000</w:t>
            </w:r>
          </w:p>
        </w:tc>
        <w:tc>
          <w:tcPr>
            <w:tcW w:w="928" w:type="dxa"/>
            <w:tcBorders>
              <w:top w:val="nil"/>
              <w:left w:val="nil"/>
              <w:bottom w:val="single" w:sz="4" w:space="0" w:color="auto"/>
              <w:right w:val="single" w:sz="4" w:space="0" w:color="auto"/>
            </w:tcBorders>
            <w:noWrap/>
            <w:vAlign w:val="bottom"/>
            <w:hideMark/>
          </w:tcPr>
          <w:p w14:paraId="694D0604"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102193</w:t>
            </w:r>
          </w:p>
        </w:tc>
      </w:tr>
      <w:tr w:rsidR="008B5FAE" w:rsidRPr="008B5FAE" w14:paraId="6CA2AD4C"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7375E618"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Repayments on lines of credit</w:t>
            </w:r>
          </w:p>
        </w:tc>
        <w:tc>
          <w:tcPr>
            <w:tcW w:w="792" w:type="dxa"/>
            <w:tcBorders>
              <w:top w:val="nil"/>
              <w:left w:val="nil"/>
              <w:bottom w:val="single" w:sz="4" w:space="0" w:color="auto"/>
              <w:right w:val="single" w:sz="4" w:space="0" w:color="auto"/>
            </w:tcBorders>
            <w:noWrap/>
            <w:vAlign w:val="bottom"/>
            <w:hideMark/>
          </w:tcPr>
          <w:p w14:paraId="0D092CD8"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340A1357"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-113000</w:t>
            </w:r>
          </w:p>
        </w:tc>
        <w:tc>
          <w:tcPr>
            <w:tcW w:w="928" w:type="dxa"/>
            <w:tcBorders>
              <w:top w:val="nil"/>
              <w:left w:val="nil"/>
              <w:bottom w:val="single" w:sz="4" w:space="0" w:color="auto"/>
              <w:right w:val="single" w:sz="4" w:space="0" w:color="auto"/>
            </w:tcBorders>
            <w:noWrap/>
            <w:vAlign w:val="bottom"/>
            <w:hideMark/>
          </w:tcPr>
          <w:p w14:paraId="0194C547"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-132000</w:t>
            </w:r>
          </w:p>
        </w:tc>
        <w:tc>
          <w:tcPr>
            <w:tcW w:w="928" w:type="dxa"/>
            <w:tcBorders>
              <w:top w:val="nil"/>
              <w:left w:val="nil"/>
              <w:bottom w:val="single" w:sz="4" w:space="0" w:color="auto"/>
              <w:right w:val="single" w:sz="4" w:space="0" w:color="auto"/>
            </w:tcBorders>
            <w:noWrap/>
            <w:vAlign w:val="bottom"/>
            <w:hideMark/>
          </w:tcPr>
          <w:p w14:paraId="4360F202"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-113000</w:t>
            </w:r>
          </w:p>
        </w:tc>
        <w:tc>
          <w:tcPr>
            <w:tcW w:w="928" w:type="dxa"/>
            <w:tcBorders>
              <w:top w:val="nil"/>
              <w:left w:val="nil"/>
              <w:bottom w:val="single" w:sz="4" w:space="0" w:color="auto"/>
              <w:right w:val="single" w:sz="4" w:space="0" w:color="auto"/>
            </w:tcBorders>
            <w:noWrap/>
            <w:vAlign w:val="bottom"/>
            <w:hideMark/>
          </w:tcPr>
          <w:p w14:paraId="79311FED"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-102193</w:t>
            </w:r>
          </w:p>
        </w:tc>
      </w:tr>
      <w:tr w:rsidR="008B5FAE" w:rsidRPr="008B5FAE" w14:paraId="04722851"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37DF3385"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Proceeds from stock option exercised</w:t>
            </w:r>
          </w:p>
        </w:tc>
        <w:tc>
          <w:tcPr>
            <w:tcW w:w="792" w:type="dxa"/>
            <w:tcBorders>
              <w:top w:val="nil"/>
              <w:left w:val="nil"/>
              <w:bottom w:val="single" w:sz="4" w:space="0" w:color="auto"/>
              <w:right w:val="single" w:sz="4" w:space="0" w:color="auto"/>
            </w:tcBorders>
            <w:noWrap/>
            <w:vAlign w:val="bottom"/>
            <w:hideMark/>
          </w:tcPr>
          <w:p w14:paraId="08C85959"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0918719E"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2695</w:t>
            </w:r>
          </w:p>
        </w:tc>
        <w:tc>
          <w:tcPr>
            <w:tcW w:w="928" w:type="dxa"/>
            <w:tcBorders>
              <w:top w:val="nil"/>
              <w:left w:val="nil"/>
              <w:bottom w:val="single" w:sz="4" w:space="0" w:color="auto"/>
              <w:right w:val="single" w:sz="4" w:space="0" w:color="auto"/>
            </w:tcBorders>
            <w:noWrap/>
            <w:vAlign w:val="bottom"/>
            <w:hideMark/>
          </w:tcPr>
          <w:p w14:paraId="09CB7C6A"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1640</w:t>
            </w:r>
          </w:p>
        </w:tc>
        <w:tc>
          <w:tcPr>
            <w:tcW w:w="928" w:type="dxa"/>
            <w:tcBorders>
              <w:top w:val="nil"/>
              <w:left w:val="nil"/>
              <w:bottom w:val="single" w:sz="4" w:space="0" w:color="auto"/>
              <w:right w:val="single" w:sz="4" w:space="0" w:color="auto"/>
            </w:tcBorders>
            <w:noWrap/>
            <w:vAlign w:val="bottom"/>
            <w:hideMark/>
          </w:tcPr>
          <w:p w14:paraId="5E70A2F5"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1713</w:t>
            </w:r>
          </w:p>
        </w:tc>
        <w:tc>
          <w:tcPr>
            <w:tcW w:w="928" w:type="dxa"/>
            <w:tcBorders>
              <w:top w:val="nil"/>
              <w:left w:val="nil"/>
              <w:bottom w:val="single" w:sz="4" w:space="0" w:color="auto"/>
              <w:right w:val="single" w:sz="4" w:space="0" w:color="auto"/>
            </w:tcBorders>
            <w:noWrap/>
            <w:vAlign w:val="bottom"/>
            <w:hideMark/>
          </w:tcPr>
          <w:p w14:paraId="2228708A"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52</w:t>
            </w:r>
          </w:p>
        </w:tc>
      </w:tr>
      <w:tr w:rsidR="008B5FAE" w:rsidRPr="008B5FAE" w14:paraId="0C486EE8"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2A815829"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Treasury stock purchased</w:t>
            </w:r>
          </w:p>
        </w:tc>
        <w:tc>
          <w:tcPr>
            <w:tcW w:w="792" w:type="dxa"/>
            <w:tcBorders>
              <w:top w:val="nil"/>
              <w:left w:val="nil"/>
              <w:bottom w:val="single" w:sz="4" w:space="0" w:color="auto"/>
              <w:right w:val="single" w:sz="4" w:space="0" w:color="auto"/>
            </w:tcBorders>
            <w:noWrap/>
            <w:vAlign w:val="bottom"/>
            <w:hideMark/>
          </w:tcPr>
          <w:p w14:paraId="3F1FE13B"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45106116"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-256</w:t>
            </w:r>
          </w:p>
        </w:tc>
        <w:tc>
          <w:tcPr>
            <w:tcW w:w="928" w:type="dxa"/>
            <w:tcBorders>
              <w:top w:val="nil"/>
              <w:left w:val="nil"/>
              <w:bottom w:val="single" w:sz="4" w:space="0" w:color="auto"/>
              <w:right w:val="single" w:sz="4" w:space="0" w:color="auto"/>
            </w:tcBorders>
            <w:noWrap/>
            <w:vAlign w:val="bottom"/>
            <w:hideMark/>
          </w:tcPr>
          <w:p w14:paraId="20695BDD"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-1901</w:t>
            </w:r>
          </w:p>
        </w:tc>
        <w:tc>
          <w:tcPr>
            <w:tcW w:w="928" w:type="dxa"/>
            <w:tcBorders>
              <w:top w:val="nil"/>
              <w:left w:val="nil"/>
              <w:bottom w:val="single" w:sz="4" w:space="0" w:color="auto"/>
              <w:right w:val="single" w:sz="4" w:space="0" w:color="auto"/>
            </w:tcBorders>
            <w:noWrap/>
            <w:vAlign w:val="bottom"/>
            <w:hideMark/>
          </w:tcPr>
          <w:p w14:paraId="04F60315"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-1353</w:t>
            </w:r>
          </w:p>
        </w:tc>
        <w:tc>
          <w:tcPr>
            <w:tcW w:w="928" w:type="dxa"/>
            <w:tcBorders>
              <w:top w:val="nil"/>
              <w:left w:val="nil"/>
              <w:bottom w:val="single" w:sz="4" w:space="0" w:color="auto"/>
              <w:right w:val="single" w:sz="4" w:space="0" w:color="auto"/>
            </w:tcBorders>
            <w:noWrap/>
            <w:vAlign w:val="bottom"/>
            <w:hideMark/>
          </w:tcPr>
          <w:p w14:paraId="6CE0EF47"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-1779</w:t>
            </w:r>
          </w:p>
        </w:tc>
      </w:tr>
      <w:tr w:rsidR="008B5FAE" w:rsidRPr="008B5FAE" w14:paraId="5F926DC8"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51D3745A"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Net cash provided by (used for) financing activities</w:t>
            </w:r>
          </w:p>
        </w:tc>
        <w:tc>
          <w:tcPr>
            <w:tcW w:w="792" w:type="dxa"/>
            <w:tcBorders>
              <w:top w:val="nil"/>
              <w:left w:val="nil"/>
              <w:bottom w:val="single" w:sz="4" w:space="0" w:color="auto"/>
              <w:right w:val="single" w:sz="4" w:space="0" w:color="auto"/>
            </w:tcBorders>
            <w:noWrap/>
            <w:vAlign w:val="bottom"/>
            <w:hideMark/>
          </w:tcPr>
          <w:p w14:paraId="382371C5"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0</w:t>
            </w:r>
          </w:p>
        </w:tc>
        <w:tc>
          <w:tcPr>
            <w:tcW w:w="928" w:type="dxa"/>
            <w:tcBorders>
              <w:top w:val="nil"/>
              <w:left w:val="nil"/>
              <w:bottom w:val="single" w:sz="4" w:space="0" w:color="auto"/>
              <w:right w:val="single" w:sz="4" w:space="0" w:color="auto"/>
            </w:tcBorders>
            <w:noWrap/>
            <w:vAlign w:val="bottom"/>
            <w:hideMark/>
          </w:tcPr>
          <w:p w14:paraId="42D05A93"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2439</w:t>
            </w:r>
          </w:p>
        </w:tc>
        <w:tc>
          <w:tcPr>
            <w:tcW w:w="928" w:type="dxa"/>
            <w:tcBorders>
              <w:top w:val="nil"/>
              <w:left w:val="nil"/>
              <w:bottom w:val="single" w:sz="4" w:space="0" w:color="auto"/>
              <w:right w:val="single" w:sz="4" w:space="0" w:color="auto"/>
            </w:tcBorders>
            <w:noWrap/>
            <w:vAlign w:val="bottom"/>
            <w:hideMark/>
          </w:tcPr>
          <w:p w14:paraId="4E2F823B"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263</w:t>
            </w:r>
          </w:p>
        </w:tc>
        <w:tc>
          <w:tcPr>
            <w:tcW w:w="928" w:type="dxa"/>
            <w:tcBorders>
              <w:top w:val="nil"/>
              <w:left w:val="nil"/>
              <w:bottom w:val="single" w:sz="4" w:space="0" w:color="auto"/>
              <w:right w:val="single" w:sz="4" w:space="0" w:color="auto"/>
            </w:tcBorders>
            <w:noWrap/>
            <w:vAlign w:val="bottom"/>
            <w:hideMark/>
          </w:tcPr>
          <w:p w14:paraId="0FA4008E"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20021</w:t>
            </w:r>
          </w:p>
        </w:tc>
        <w:tc>
          <w:tcPr>
            <w:tcW w:w="928" w:type="dxa"/>
            <w:tcBorders>
              <w:top w:val="nil"/>
              <w:left w:val="nil"/>
              <w:bottom w:val="single" w:sz="4" w:space="0" w:color="auto"/>
              <w:right w:val="single" w:sz="4" w:space="0" w:color="auto"/>
            </w:tcBorders>
            <w:noWrap/>
            <w:vAlign w:val="bottom"/>
            <w:hideMark/>
          </w:tcPr>
          <w:p w14:paraId="21B60960"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-1727</w:t>
            </w:r>
          </w:p>
        </w:tc>
      </w:tr>
      <w:tr w:rsidR="008B5FAE" w:rsidRPr="008B5FAE" w14:paraId="13329CE0"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0F8A7D8E"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Effect of foreign currency exchange-rate changes</w:t>
            </w:r>
          </w:p>
        </w:tc>
        <w:tc>
          <w:tcPr>
            <w:tcW w:w="792" w:type="dxa"/>
            <w:tcBorders>
              <w:top w:val="nil"/>
              <w:left w:val="nil"/>
              <w:bottom w:val="single" w:sz="4" w:space="0" w:color="auto"/>
              <w:right w:val="single" w:sz="4" w:space="0" w:color="auto"/>
            </w:tcBorders>
            <w:noWrap/>
            <w:vAlign w:val="bottom"/>
            <w:hideMark/>
          </w:tcPr>
          <w:p w14:paraId="4EFF79A4"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843</w:t>
            </w:r>
          </w:p>
        </w:tc>
        <w:tc>
          <w:tcPr>
            <w:tcW w:w="928" w:type="dxa"/>
            <w:tcBorders>
              <w:top w:val="nil"/>
              <w:left w:val="nil"/>
              <w:bottom w:val="single" w:sz="4" w:space="0" w:color="auto"/>
              <w:right w:val="single" w:sz="4" w:space="0" w:color="auto"/>
            </w:tcBorders>
            <w:noWrap/>
            <w:vAlign w:val="bottom"/>
            <w:hideMark/>
          </w:tcPr>
          <w:p w14:paraId="39EA663D"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-844</w:t>
            </w:r>
          </w:p>
        </w:tc>
        <w:tc>
          <w:tcPr>
            <w:tcW w:w="928" w:type="dxa"/>
            <w:tcBorders>
              <w:top w:val="nil"/>
              <w:left w:val="nil"/>
              <w:bottom w:val="single" w:sz="4" w:space="0" w:color="auto"/>
              <w:right w:val="single" w:sz="4" w:space="0" w:color="auto"/>
            </w:tcBorders>
            <w:noWrap/>
            <w:vAlign w:val="bottom"/>
            <w:hideMark/>
          </w:tcPr>
          <w:p w14:paraId="70610DF2"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2444</w:t>
            </w:r>
          </w:p>
        </w:tc>
        <w:tc>
          <w:tcPr>
            <w:tcW w:w="928" w:type="dxa"/>
            <w:tcBorders>
              <w:top w:val="nil"/>
              <w:left w:val="nil"/>
              <w:bottom w:val="single" w:sz="4" w:space="0" w:color="auto"/>
              <w:right w:val="single" w:sz="4" w:space="0" w:color="auto"/>
            </w:tcBorders>
            <w:noWrap/>
            <w:vAlign w:val="bottom"/>
            <w:hideMark/>
          </w:tcPr>
          <w:p w14:paraId="5660EA4F"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-492</w:t>
            </w:r>
          </w:p>
        </w:tc>
        <w:tc>
          <w:tcPr>
            <w:tcW w:w="928" w:type="dxa"/>
            <w:tcBorders>
              <w:top w:val="nil"/>
              <w:left w:val="nil"/>
              <w:bottom w:val="single" w:sz="4" w:space="0" w:color="auto"/>
              <w:right w:val="single" w:sz="4" w:space="0" w:color="auto"/>
            </w:tcBorders>
            <w:noWrap/>
            <w:vAlign w:val="bottom"/>
            <w:hideMark/>
          </w:tcPr>
          <w:p w14:paraId="5F09BA08"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-155</w:t>
            </w:r>
          </w:p>
        </w:tc>
      </w:tr>
      <w:tr w:rsidR="008B5FAE" w:rsidRPr="008B5FAE" w14:paraId="2E0C40FF"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17B8FA4B"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Net increase (decrease) in cash and equivalents</w:t>
            </w:r>
          </w:p>
        </w:tc>
        <w:tc>
          <w:tcPr>
            <w:tcW w:w="792" w:type="dxa"/>
            <w:tcBorders>
              <w:top w:val="nil"/>
              <w:left w:val="nil"/>
              <w:bottom w:val="single" w:sz="4" w:space="0" w:color="auto"/>
              <w:right w:val="single" w:sz="4" w:space="0" w:color="auto"/>
            </w:tcBorders>
            <w:noWrap/>
            <w:vAlign w:val="bottom"/>
            <w:hideMark/>
          </w:tcPr>
          <w:p w14:paraId="2E66DC93"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-19745</w:t>
            </w:r>
          </w:p>
        </w:tc>
        <w:tc>
          <w:tcPr>
            <w:tcW w:w="928" w:type="dxa"/>
            <w:tcBorders>
              <w:top w:val="nil"/>
              <w:left w:val="nil"/>
              <w:bottom w:val="single" w:sz="4" w:space="0" w:color="auto"/>
              <w:right w:val="single" w:sz="4" w:space="0" w:color="auto"/>
            </w:tcBorders>
            <w:noWrap/>
            <w:vAlign w:val="bottom"/>
            <w:hideMark/>
          </w:tcPr>
          <w:p w14:paraId="3B28B843"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61670</w:t>
            </w:r>
          </w:p>
        </w:tc>
        <w:tc>
          <w:tcPr>
            <w:tcW w:w="928" w:type="dxa"/>
            <w:tcBorders>
              <w:top w:val="nil"/>
              <w:left w:val="nil"/>
              <w:bottom w:val="single" w:sz="4" w:space="0" w:color="auto"/>
              <w:right w:val="single" w:sz="4" w:space="0" w:color="auto"/>
            </w:tcBorders>
            <w:noWrap/>
            <w:vAlign w:val="bottom"/>
            <w:hideMark/>
          </w:tcPr>
          <w:p w14:paraId="2431B969"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5927</w:t>
            </w:r>
          </w:p>
        </w:tc>
        <w:tc>
          <w:tcPr>
            <w:tcW w:w="928" w:type="dxa"/>
            <w:tcBorders>
              <w:top w:val="nil"/>
              <w:left w:val="nil"/>
              <w:bottom w:val="single" w:sz="4" w:space="0" w:color="auto"/>
              <w:right w:val="single" w:sz="4" w:space="0" w:color="auto"/>
            </w:tcBorders>
            <w:noWrap/>
            <w:vAlign w:val="bottom"/>
            <w:hideMark/>
          </w:tcPr>
          <w:p w14:paraId="22A2A72C"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-980</w:t>
            </w:r>
          </w:p>
        </w:tc>
        <w:tc>
          <w:tcPr>
            <w:tcW w:w="928" w:type="dxa"/>
            <w:tcBorders>
              <w:top w:val="nil"/>
              <w:left w:val="nil"/>
              <w:bottom w:val="single" w:sz="4" w:space="0" w:color="auto"/>
              <w:right w:val="single" w:sz="4" w:space="0" w:color="auto"/>
            </w:tcBorders>
            <w:noWrap/>
            <w:vAlign w:val="bottom"/>
            <w:hideMark/>
          </w:tcPr>
          <w:p w14:paraId="54F3F509"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-28385</w:t>
            </w:r>
          </w:p>
        </w:tc>
      </w:tr>
      <w:tr w:rsidR="008B5FAE" w:rsidRPr="008B5FAE" w14:paraId="5D8D467A"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2726519A"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Cash &amp; cash equivalents at beginning</w:t>
            </w:r>
          </w:p>
        </w:tc>
        <w:tc>
          <w:tcPr>
            <w:tcW w:w="792" w:type="dxa"/>
            <w:tcBorders>
              <w:top w:val="nil"/>
              <w:left w:val="nil"/>
              <w:bottom w:val="single" w:sz="4" w:space="0" w:color="auto"/>
              <w:right w:val="single" w:sz="4" w:space="0" w:color="auto"/>
            </w:tcBorders>
            <w:noWrap/>
            <w:vAlign w:val="bottom"/>
            <w:hideMark/>
          </w:tcPr>
          <w:p w14:paraId="0415480E"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74302</w:t>
            </w:r>
          </w:p>
        </w:tc>
        <w:tc>
          <w:tcPr>
            <w:tcW w:w="928" w:type="dxa"/>
            <w:tcBorders>
              <w:top w:val="nil"/>
              <w:left w:val="nil"/>
              <w:bottom w:val="single" w:sz="4" w:space="0" w:color="auto"/>
              <w:right w:val="single" w:sz="4" w:space="0" w:color="auto"/>
            </w:tcBorders>
            <w:noWrap/>
            <w:vAlign w:val="bottom"/>
            <w:hideMark/>
          </w:tcPr>
          <w:p w14:paraId="3F7A0306"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57153</w:t>
            </w:r>
          </w:p>
        </w:tc>
        <w:tc>
          <w:tcPr>
            <w:tcW w:w="928" w:type="dxa"/>
            <w:tcBorders>
              <w:top w:val="nil"/>
              <w:left w:val="nil"/>
              <w:bottom w:val="single" w:sz="4" w:space="0" w:color="auto"/>
              <w:right w:val="single" w:sz="4" w:space="0" w:color="auto"/>
            </w:tcBorders>
            <w:noWrap/>
            <w:vAlign w:val="bottom"/>
            <w:hideMark/>
          </w:tcPr>
          <w:p w14:paraId="46D2D106"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60813</w:t>
            </w:r>
          </w:p>
        </w:tc>
        <w:tc>
          <w:tcPr>
            <w:tcW w:w="928" w:type="dxa"/>
            <w:tcBorders>
              <w:top w:val="nil"/>
              <w:left w:val="nil"/>
              <w:bottom w:val="single" w:sz="4" w:space="0" w:color="auto"/>
              <w:right w:val="single" w:sz="4" w:space="0" w:color="auto"/>
            </w:tcBorders>
            <w:noWrap/>
            <w:vAlign w:val="bottom"/>
            <w:hideMark/>
          </w:tcPr>
          <w:p w14:paraId="20A9B6D6"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66040</w:t>
            </w:r>
          </w:p>
        </w:tc>
        <w:tc>
          <w:tcPr>
            <w:tcW w:w="928" w:type="dxa"/>
            <w:tcBorders>
              <w:top w:val="nil"/>
              <w:left w:val="nil"/>
              <w:bottom w:val="single" w:sz="4" w:space="0" w:color="auto"/>
              <w:right w:val="single" w:sz="4" w:space="0" w:color="auto"/>
            </w:tcBorders>
            <w:noWrap/>
            <w:vAlign w:val="bottom"/>
            <w:hideMark/>
          </w:tcPr>
          <w:p w14:paraId="29D7F98C"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42751</w:t>
            </w:r>
          </w:p>
        </w:tc>
      </w:tr>
      <w:tr w:rsidR="008B5FAE" w:rsidRPr="008B5FAE" w14:paraId="09236A66" w14:textId="77777777" w:rsidTr="008B5FAE">
        <w:trPr>
          <w:trHeight w:val="288"/>
        </w:trPr>
        <w:tc>
          <w:tcPr>
            <w:tcW w:w="5558" w:type="dxa"/>
            <w:tcBorders>
              <w:top w:val="nil"/>
              <w:left w:val="single" w:sz="4" w:space="0" w:color="auto"/>
              <w:bottom w:val="single" w:sz="4" w:space="0" w:color="auto"/>
              <w:right w:val="single" w:sz="4" w:space="0" w:color="auto"/>
            </w:tcBorders>
            <w:noWrap/>
            <w:vAlign w:val="bottom"/>
            <w:hideMark/>
          </w:tcPr>
          <w:p w14:paraId="0FD58F43" w14:textId="77777777" w:rsidR="008B5FAE" w:rsidRPr="008B5FAE" w:rsidRDefault="008B5FAE" w:rsidP="008B5FAE">
            <w:pPr>
              <w:spacing w:after="0" w:line="240" w:lineRule="auto"/>
              <w:rPr>
                <w:rFonts w:ascii="Calibri" w:eastAsia="Times New Roman" w:hAnsi="Calibri" w:cs="Calibri"/>
                <w:color w:val="000000"/>
              </w:rPr>
            </w:pPr>
            <w:r w:rsidRPr="008B5FAE">
              <w:rPr>
                <w:rFonts w:ascii="Calibri" w:eastAsia="Times New Roman" w:hAnsi="Calibri" w:cs="Calibri"/>
                <w:color w:val="000000"/>
              </w:rPr>
              <w:t>Cash &amp; cash equivalents at end</w:t>
            </w:r>
          </w:p>
        </w:tc>
        <w:tc>
          <w:tcPr>
            <w:tcW w:w="792" w:type="dxa"/>
            <w:tcBorders>
              <w:top w:val="nil"/>
              <w:left w:val="nil"/>
              <w:bottom w:val="single" w:sz="4" w:space="0" w:color="auto"/>
              <w:right w:val="single" w:sz="4" w:space="0" w:color="auto"/>
            </w:tcBorders>
            <w:noWrap/>
            <w:vAlign w:val="bottom"/>
            <w:hideMark/>
          </w:tcPr>
          <w:p w14:paraId="0EE5C81F"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57153</w:t>
            </w:r>
          </w:p>
        </w:tc>
        <w:tc>
          <w:tcPr>
            <w:tcW w:w="928" w:type="dxa"/>
            <w:tcBorders>
              <w:top w:val="nil"/>
              <w:left w:val="nil"/>
              <w:bottom w:val="single" w:sz="4" w:space="0" w:color="auto"/>
              <w:right w:val="single" w:sz="4" w:space="0" w:color="auto"/>
            </w:tcBorders>
            <w:noWrap/>
            <w:vAlign w:val="bottom"/>
            <w:hideMark/>
          </w:tcPr>
          <w:p w14:paraId="203B0B61"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60813</w:t>
            </w:r>
          </w:p>
        </w:tc>
        <w:tc>
          <w:tcPr>
            <w:tcW w:w="928" w:type="dxa"/>
            <w:tcBorders>
              <w:top w:val="nil"/>
              <w:left w:val="nil"/>
              <w:bottom w:val="single" w:sz="4" w:space="0" w:color="auto"/>
              <w:right w:val="single" w:sz="4" w:space="0" w:color="auto"/>
            </w:tcBorders>
            <w:noWrap/>
            <w:vAlign w:val="bottom"/>
            <w:hideMark/>
          </w:tcPr>
          <w:p w14:paraId="143051F9"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66040</w:t>
            </w:r>
          </w:p>
        </w:tc>
        <w:tc>
          <w:tcPr>
            <w:tcW w:w="928" w:type="dxa"/>
            <w:tcBorders>
              <w:top w:val="nil"/>
              <w:left w:val="nil"/>
              <w:bottom w:val="single" w:sz="4" w:space="0" w:color="auto"/>
              <w:right w:val="single" w:sz="4" w:space="0" w:color="auto"/>
            </w:tcBorders>
            <w:noWrap/>
            <w:vAlign w:val="bottom"/>
            <w:hideMark/>
          </w:tcPr>
          <w:p w14:paraId="1CC566BF"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42751</w:t>
            </w:r>
          </w:p>
        </w:tc>
        <w:tc>
          <w:tcPr>
            <w:tcW w:w="928" w:type="dxa"/>
            <w:tcBorders>
              <w:top w:val="nil"/>
              <w:left w:val="nil"/>
              <w:bottom w:val="single" w:sz="4" w:space="0" w:color="auto"/>
              <w:right w:val="single" w:sz="4" w:space="0" w:color="auto"/>
            </w:tcBorders>
            <w:noWrap/>
            <w:vAlign w:val="bottom"/>
            <w:hideMark/>
          </w:tcPr>
          <w:p w14:paraId="5C036415" w14:textId="77777777" w:rsidR="008B5FAE" w:rsidRPr="008B5FAE" w:rsidRDefault="008B5FAE" w:rsidP="008B5FAE">
            <w:pPr>
              <w:spacing w:after="0" w:line="240" w:lineRule="auto"/>
              <w:jc w:val="center"/>
              <w:rPr>
                <w:rFonts w:ascii="Calibri" w:eastAsia="Times New Roman" w:hAnsi="Calibri" w:cs="Calibri"/>
                <w:color w:val="000000"/>
              </w:rPr>
            </w:pPr>
            <w:r w:rsidRPr="008B5FAE">
              <w:rPr>
                <w:rFonts w:ascii="Calibri" w:eastAsia="Times New Roman" w:hAnsi="Calibri" w:cs="Calibri"/>
                <w:color w:val="000000"/>
              </w:rPr>
              <w:t>26783</w:t>
            </w:r>
          </w:p>
        </w:tc>
      </w:tr>
    </w:tbl>
    <w:p w14:paraId="24CCE239" w14:textId="77777777" w:rsidR="008B5FAE" w:rsidRPr="00FE4F98" w:rsidRDefault="008B5FAE" w:rsidP="00FE4F98">
      <w:pPr>
        <w:pStyle w:val="Heading1"/>
      </w:pPr>
    </w:p>
    <w:p w14:paraId="30023737" w14:textId="77777777" w:rsidR="009E56B5" w:rsidRPr="00FE4F98" w:rsidRDefault="009E56B5" w:rsidP="00FE4F98">
      <w:pPr>
        <w:spacing w:before="100" w:beforeAutospacing="1" w:after="100" w:afterAutospacing="1" w:line="360" w:lineRule="auto"/>
        <w:outlineLvl w:val="1"/>
        <w:rPr>
          <w:rFonts w:ascii="Arial" w:eastAsia="Times New Roman" w:hAnsi="Arial" w:cs="Arial"/>
          <w:b/>
          <w:bCs/>
          <w:sz w:val="24"/>
          <w:szCs w:val="24"/>
        </w:rPr>
      </w:pPr>
      <w:bookmarkStart w:id="40" w:name="_Toc217082171"/>
      <w:r w:rsidRPr="00FE4F98">
        <w:rPr>
          <w:rFonts w:ascii="Arial" w:eastAsia="Times New Roman" w:hAnsi="Arial" w:cs="Arial"/>
          <w:b/>
          <w:bCs/>
          <w:sz w:val="24"/>
          <w:szCs w:val="24"/>
        </w:rPr>
        <w:t>Table A1: Profitability Ratios (2020–2024)</w:t>
      </w:r>
      <w:bookmarkEnd w:id="40"/>
    </w:p>
    <w:p w14:paraId="600CF2F9" w14:textId="77777777" w:rsidR="009E56B5" w:rsidRPr="00FE4F98" w:rsidRDefault="009E56B5" w:rsidP="00FE4F98">
      <w:p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b/>
          <w:bCs/>
          <w:sz w:val="24"/>
          <w:szCs w:val="24"/>
        </w:rPr>
        <w:t>Formulas</w:t>
      </w:r>
    </w:p>
    <w:p w14:paraId="6BD22AEC" w14:textId="77777777" w:rsidR="009E56B5" w:rsidRPr="00FE4F98" w:rsidRDefault="009E56B5" w:rsidP="00FE4F98">
      <w:pPr>
        <w:numPr>
          <w:ilvl w:val="0"/>
          <w:numId w:val="1"/>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Gross Profit Margin = Gross Profit ÷ Net Sales</w:t>
      </w:r>
    </w:p>
    <w:p w14:paraId="78C59239" w14:textId="77777777" w:rsidR="009E56B5" w:rsidRPr="00FE4F98" w:rsidRDefault="009E56B5" w:rsidP="00FE4F98">
      <w:pPr>
        <w:numPr>
          <w:ilvl w:val="0"/>
          <w:numId w:val="1"/>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Operating Profit Margin = Operating Income ÷ Net Sales</w:t>
      </w:r>
    </w:p>
    <w:p w14:paraId="4E878387" w14:textId="77777777" w:rsidR="009E56B5" w:rsidRPr="00FE4F98" w:rsidRDefault="009E56B5" w:rsidP="00FE4F98">
      <w:pPr>
        <w:numPr>
          <w:ilvl w:val="0"/>
          <w:numId w:val="1"/>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Net Profit Margin = Net Income ÷ Net Sales</w:t>
      </w:r>
    </w:p>
    <w:p w14:paraId="3FCD9E65" w14:textId="77777777" w:rsidR="009E56B5" w:rsidRPr="00FE4F98" w:rsidRDefault="009E56B5" w:rsidP="00FE4F98">
      <w:pPr>
        <w:numPr>
          <w:ilvl w:val="0"/>
          <w:numId w:val="1"/>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Return on Capital Employed (ROCE) = EBIT ÷ (Total Assets − Current Liabilities)</w:t>
      </w:r>
    </w:p>
    <w:tbl>
      <w:tblPr>
        <w:tblStyle w:val="TableGrid"/>
        <w:tblW w:w="0" w:type="auto"/>
        <w:tblLook w:val="04A0" w:firstRow="1" w:lastRow="0" w:firstColumn="1" w:lastColumn="0" w:noHBand="0" w:noVBand="1"/>
      </w:tblPr>
      <w:tblGrid>
        <w:gridCol w:w="1725"/>
        <w:gridCol w:w="2327"/>
        <w:gridCol w:w="1030"/>
        <w:gridCol w:w="1030"/>
        <w:gridCol w:w="1030"/>
        <w:gridCol w:w="1171"/>
        <w:gridCol w:w="1037"/>
      </w:tblGrid>
      <w:tr w:rsidR="009E56B5" w:rsidRPr="00FE4F98" w14:paraId="7237CDBA" w14:textId="77777777" w:rsidTr="009E56B5">
        <w:tc>
          <w:tcPr>
            <w:tcW w:w="0" w:type="auto"/>
            <w:hideMark/>
          </w:tcPr>
          <w:p w14:paraId="4E42660D"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Ratio</w:t>
            </w:r>
          </w:p>
        </w:tc>
        <w:tc>
          <w:tcPr>
            <w:tcW w:w="0" w:type="auto"/>
            <w:hideMark/>
          </w:tcPr>
          <w:p w14:paraId="6451E6FF"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Formula</w:t>
            </w:r>
          </w:p>
        </w:tc>
        <w:tc>
          <w:tcPr>
            <w:tcW w:w="0" w:type="auto"/>
            <w:hideMark/>
          </w:tcPr>
          <w:p w14:paraId="3517C284"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2020</w:t>
            </w:r>
          </w:p>
        </w:tc>
        <w:tc>
          <w:tcPr>
            <w:tcW w:w="0" w:type="auto"/>
            <w:hideMark/>
          </w:tcPr>
          <w:p w14:paraId="6B8E21C9"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2021</w:t>
            </w:r>
          </w:p>
        </w:tc>
        <w:tc>
          <w:tcPr>
            <w:tcW w:w="0" w:type="auto"/>
            <w:hideMark/>
          </w:tcPr>
          <w:p w14:paraId="46B30212"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2022</w:t>
            </w:r>
          </w:p>
        </w:tc>
        <w:tc>
          <w:tcPr>
            <w:tcW w:w="0" w:type="auto"/>
            <w:hideMark/>
          </w:tcPr>
          <w:p w14:paraId="5C6355A9"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2023</w:t>
            </w:r>
          </w:p>
        </w:tc>
        <w:tc>
          <w:tcPr>
            <w:tcW w:w="0" w:type="auto"/>
            <w:hideMark/>
          </w:tcPr>
          <w:p w14:paraId="69DA2E87"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2024</w:t>
            </w:r>
          </w:p>
        </w:tc>
      </w:tr>
      <w:tr w:rsidR="009E56B5" w:rsidRPr="00FE4F98" w14:paraId="5DF87927" w14:textId="77777777" w:rsidTr="009E56B5">
        <w:tc>
          <w:tcPr>
            <w:tcW w:w="0" w:type="auto"/>
            <w:hideMark/>
          </w:tcPr>
          <w:p w14:paraId="61DC4CDB"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Gross Profit Margin</w:t>
            </w:r>
          </w:p>
        </w:tc>
        <w:tc>
          <w:tcPr>
            <w:tcW w:w="0" w:type="auto"/>
            <w:hideMark/>
          </w:tcPr>
          <w:p w14:paraId="5B7D6A2A"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Gross Profit / Net Sales</w:t>
            </w:r>
          </w:p>
        </w:tc>
        <w:tc>
          <w:tcPr>
            <w:tcW w:w="0" w:type="auto"/>
            <w:hideMark/>
          </w:tcPr>
          <w:p w14:paraId="755EA9B7"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28.67%</w:t>
            </w:r>
          </w:p>
        </w:tc>
        <w:tc>
          <w:tcPr>
            <w:tcW w:w="0" w:type="auto"/>
            <w:hideMark/>
          </w:tcPr>
          <w:p w14:paraId="4BA1D73A"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28.76%</w:t>
            </w:r>
          </w:p>
        </w:tc>
        <w:tc>
          <w:tcPr>
            <w:tcW w:w="0" w:type="auto"/>
            <w:hideMark/>
          </w:tcPr>
          <w:p w14:paraId="1ACAAEC1"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28.06%</w:t>
            </w:r>
          </w:p>
        </w:tc>
        <w:tc>
          <w:tcPr>
            <w:tcW w:w="0" w:type="auto"/>
            <w:hideMark/>
          </w:tcPr>
          <w:p w14:paraId="6C9EDE0E"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23.20%</w:t>
            </w:r>
          </w:p>
        </w:tc>
        <w:tc>
          <w:tcPr>
            <w:tcW w:w="0" w:type="auto"/>
            <w:hideMark/>
          </w:tcPr>
          <w:p w14:paraId="25B9A4EA"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28.87%</w:t>
            </w:r>
          </w:p>
        </w:tc>
      </w:tr>
      <w:tr w:rsidR="009E56B5" w:rsidRPr="00FE4F98" w14:paraId="33C33E0B" w14:textId="77777777" w:rsidTr="009E56B5">
        <w:tc>
          <w:tcPr>
            <w:tcW w:w="0" w:type="auto"/>
            <w:hideMark/>
          </w:tcPr>
          <w:p w14:paraId="204CA656"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Operating Profit Margin</w:t>
            </w:r>
          </w:p>
        </w:tc>
        <w:tc>
          <w:tcPr>
            <w:tcW w:w="0" w:type="auto"/>
            <w:hideMark/>
          </w:tcPr>
          <w:p w14:paraId="3795EA90"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Operating Income / Net Sales</w:t>
            </w:r>
          </w:p>
        </w:tc>
        <w:tc>
          <w:tcPr>
            <w:tcW w:w="0" w:type="auto"/>
            <w:hideMark/>
          </w:tcPr>
          <w:p w14:paraId="0D546E6E"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6.06%</w:t>
            </w:r>
          </w:p>
        </w:tc>
        <w:tc>
          <w:tcPr>
            <w:tcW w:w="0" w:type="auto"/>
            <w:hideMark/>
          </w:tcPr>
          <w:p w14:paraId="7B1D3CD0"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3.87%</w:t>
            </w:r>
          </w:p>
        </w:tc>
        <w:tc>
          <w:tcPr>
            <w:tcW w:w="0" w:type="auto"/>
            <w:hideMark/>
          </w:tcPr>
          <w:p w14:paraId="2BB2E303"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2.68%</w:t>
            </w:r>
          </w:p>
        </w:tc>
        <w:tc>
          <w:tcPr>
            <w:tcW w:w="0" w:type="auto"/>
            <w:hideMark/>
          </w:tcPr>
          <w:p w14:paraId="08BBAFDA"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−20.29%</w:t>
            </w:r>
          </w:p>
        </w:tc>
        <w:tc>
          <w:tcPr>
            <w:tcW w:w="0" w:type="auto"/>
            <w:hideMark/>
          </w:tcPr>
          <w:p w14:paraId="2355F5CB"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−3.87%</w:t>
            </w:r>
          </w:p>
        </w:tc>
      </w:tr>
      <w:tr w:rsidR="009E56B5" w:rsidRPr="00FE4F98" w14:paraId="1A3063CF" w14:textId="77777777" w:rsidTr="009E56B5">
        <w:tc>
          <w:tcPr>
            <w:tcW w:w="0" w:type="auto"/>
            <w:hideMark/>
          </w:tcPr>
          <w:p w14:paraId="643008E8"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lastRenderedPageBreak/>
              <w:t>Net Profit Margin</w:t>
            </w:r>
          </w:p>
        </w:tc>
        <w:tc>
          <w:tcPr>
            <w:tcW w:w="0" w:type="auto"/>
            <w:hideMark/>
          </w:tcPr>
          <w:p w14:paraId="21D28F1D"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Net Income / Net Sales</w:t>
            </w:r>
          </w:p>
        </w:tc>
        <w:tc>
          <w:tcPr>
            <w:tcW w:w="0" w:type="auto"/>
            <w:hideMark/>
          </w:tcPr>
          <w:p w14:paraId="25C9156B"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6.28%</w:t>
            </w:r>
          </w:p>
        </w:tc>
        <w:tc>
          <w:tcPr>
            <w:tcW w:w="0" w:type="auto"/>
            <w:hideMark/>
          </w:tcPr>
          <w:p w14:paraId="2E476118"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0.88%</w:t>
            </w:r>
          </w:p>
        </w:tc>
        <w:tc>
          <w:tcPr>
            <w:tcW w:w="0" w:type="auto"/>
            <w:hideMark/>
          </w:tcPr>
          <w:p w14:paraId="0364AA8B"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0.08%</w:t>
            </w:r>
          </w:p>
        </w:tc>
        <w:tc>
          <w:tcPr>
            <w:tcW w:w="0" w:type="auto"/>
            <w:hideMark/>
          </w:tcPr>
          <w:p w14:paraId="47EF3B49"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−23.36%</w:t>
            </w:r>
          </w:p>
        </w:tc>
        <w:tc>
          <w:tcPr>
            <w:tcW w:w="0" w:type="auto"/>
            <w:hideMark/>
          </w:tcPr>
          <w:p w14:paraId="3FC2407A"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−6.09%</w:t>
            </w:r>
          </w:p>
        </w:tc>
      </w:tr>
      <w:tr w:rsidR="009E56B5" w:rsidRPr="00FE4F98" w14:paraId="688AB7A1" w14:textId="77777777" w:rsidTr="009E56B5">
        <w:tc>
          <w:tcPr>
            <w:tcW w:w="0" w:type="auto"/>
            <w:hideMark/>
          </w:tcPr>
          <w:p w14:paraId="4D71CDB9"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ROCE</w:t>
            </w:r>
          </w:p>
        </w:tc>
        <w:tc>
          <w:tcPr>
            <w:tcW w:w="0" w:type="auto"/>
            <w:hideMark/>
          </w:tcPr>
          <w:p w14:paraId="21EDFDA9"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EBIT / (Total Assets − Current Liabilities)</w:t>
            </w:r>
          </w:p>
        </w:tc>
        <w:tc>
          <w:tcPr>
            <w:tcW w:w="0" w:type="auto"/>
            <w:hideMark/>
          </w:tcPr>
          <w:p w14:paraId="422912DD"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11.23%</w:t>
            </w:r>
          </w:p>
        </w:tc>
        <w:tc>
          <w:tcPr>
            <w:tcW w:w="0" w:type="auto"/>
            <w:hideMark/>
          </w:tcPr>
          <w:p w14:paraId="3CC5734A"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7.95%</w:t>
            </w:r>
          </w:p>
        </w:tc>
        <w:tc>
          <w:tcPr>
            <w:tcW w:w="0" w:type="auto"/>
            <w:hideMark/>
          </w:tcPr>
          <w:p w14:paraId="7DE4B0E6"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4.38%</w:t>
            </w:r>
          </w:p>
        </w:tc>
        <w:tc>
          <w:tcPr>
            <w:tcW w:w="0" w:type="auto"/>
            <w:hideMark/>
          </w:tcPr>
          <w:p w14:paraId="496371A6"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−28.11%</w:t>
            </w:r>
          </w:p>
        </w:tc>
        <w:tc>
          <w:tcPr>
            <w:tcW w:w="0" w:type="auto"/>
            <w:hideMark/>
          </w:tcPr>
          <w:p w14:paraId="070BBE28"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−6.48%</w:t>
            </w:r>
          </w:p>
        </w:tc>
      </w:tr>
    </w:tbl>
    <w:p w14:paraId="73B9DC80" w14:textId="77777777" w:rsidR="008E4623" w:rsidRPr="00FE4F98" w:rsidRDefault="009E56B5" w:rsidP="00FE4F98">
      <w:pPr>
        <w:spacing w:before="100" w:beforeAutospacing="1" w:after="100" w:afterAutospacing="1"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Table A1: Profitability Ratios (Self-Prepared)</w:t>
      </w:r>
    </w:p>
    <w:p w14:paraId="00B66EFF" w14:textId="0A8A7EA2" w:rsidR="009E56B5" w:rsidRPr="00FE4F98" w:rsidRDefault="008E4623" w:rsidP="00FE4F98">
      <w:pPr>
        <w:spacing w:before="100" w:beforeAutospacing="1" w:after="100" w:afterAutospacing="1" w:line="360" w:lineRule="auto"/>
        <w:jc w:val="center"/>
        <w:rPr>
          <w:rFonts w:ascii="Arial" w:eastAsia="Times New Roman" w:hAnsi="Arial" w:cs="Arial"/>
          <w:sz w:val="24"/>
          <w:szCs w:val="24"/>
        </w:rPr>
      </w:pPr>
      <w:r w:rsidRPr="00FE4F98">
        <w:rPr>
          <w:rFonts w:ascii="Arial" w:hAnsi="Arial" w:cs="Arial"/>
          <w:noProof/>
        </w:rPr>
        <w:drawing>
          <wp:inline distT="0" distB="0" distL="0" distR="0" wp14:anchorId="7E28BB3B" wp14:editId="63C1D03E">
            <wp:extent cx="5999147" cy="3018790"/>
            <wp:effectExtent l="0" t="0" r="1905" b="10160"/>
            <wp:docPr id="9" name="Chart 9">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9E56B5" w:rsidRPr="00FE4F98">
        <w:rPr>
          <w:rFonts w:ascii="Arial" w:eastAsia="Times New Roman" w:hAnsi="Arial" w:cs="Arial"/>
          <w:sz w:val="24"/>
          <w:szCs w:val="24"/>
        </w:rPr>
        <w:br/>
      </w:r>
      <w:r w:rsidR="009E56B5" w:rsidRPr="00FE4F98">
        <w:rPr>
          <w:rFonts w:ascii="Arial" w:eastAsia="Times New Roman" w:hAnsi="Arial" w:cs="Arial"/>
          <w:b/>
          <w:bCs/>
          <w:sz w:val="24"/>
          <w:szCs w:val="24"/>
        </w:rPr>
        <w:t>Figure A1: Profitability Ratio Comparison (Self-Prepared)</w:t>
      </w:r>
    </w:p>
    <w:p w14:paraId="71CCD29F" w14:textId="33519DD6" w:rsidR="009E56B5" w:rsidRPr="00FE4F98" w:rsidRDefault="009E56B5" w:rsidP="00FE4F98">
      <w:pPr>
        <w:spacing w:before="100" w:beforeAutospacing="1" w:after="100" w:afterAutospacing="1" w:line="360" w:lineRule="auto"/>
        <w:outlineLvl w:val="1"/>
        <w:rPr>
          <w:rFonts w:ascii="Arial" w:eastAsia="Times New Roman" w:hAnsi="Arial" w:cs="Arial"/>
          <w:b/>
          <w:bCs/>
          <w:sz w:val="24"/>
          <w:szCs w:val="24"/>
        </w:rPr>
      </w:pPr>
      <w:bookmarkStart w:id="41" w:name="_Toc217082172"/>
      <w:r w:rsidRPr="00FE4F98">
        <w:rPr>
          <w:rFonts w:ascii="Arial" w:eastAsia="Times New Roman" w:hAnsi="Arial" w:cs="Arial"/>
          <w:b/>
          <w:bCs/>
          <w:sz w:val="24"/>
          <w:szCs w:val="24"/>
        </w:rPr>
        <w:t>Table A2: Liquidity Ratios (2020–2024)</w:t>
      </w:r>
      <w:bookmarkEnd w:id="41"/>
      <w:r w:rsidR="008E4623" w:rsidRPr="00FE4F98">
        <w:rPr>
          <w:rFonts w:ascii="Arial" w:eastAsia="Times New Roman" w:hAnsi="Arial" w:cs="Arial"/>
          <w:b/>
          <w:bCs/>
          <w:sz w:val="24"/>
          <w:szCs w:val="24"/>
        </w:rPr>
        <w:t xml:space="preserve"> </w:t>
      </w:r>
    </w:p>
    <w:p w14:paraId="59B9217C" w14:textId="77777777" w:rsidR="009E56B5" w:rsidRPr="00FE4F98" w:rsidRDefault="009E56B5" w:rsidP="00FE4F98">
      <w:p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b/>
          <w:bCs/>
          <w:sz w:val="24"/>
          <w:szCs w:val="24"/>
        </w:rPr>
        <w:t>Formulas</w:t>
      </w:r>
    </w:p>
    <w:p w14:paraId="2E4683DD" w14:textId="77777777" w:rsidR="009E56B5" w:rsidRPr="00FE4F98" w:rsidRDefault="009E56B5" w:rsidP="00FE4F98">
      <w:pPr>
        <w:numPr>
          <w:ilvl w:val="0"/>
          <w:numId w:val="2"/>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Current Ratio = Current Assets ÷ Current Liabilities</w:t>
      </w:r>
    </w:p>
    <w:p w14:paraId="623D8BC0" w14:textId="77777777" w:rsidR="009E56B5" w:rsidRPr="00FE4F98" w:rsidRDefault="009E56B5" w:rsidP="00FE4F98">
      <w:pPr>
        <w:numPr>
          <w:ilvl w:val="0"/>
          <w:numId w:val="2"/>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Quick Ratio = (Current Assets − Inventories) ÷ Current Liabilities</w:t>
      </w:r>
    </w:p>
    <w:p w14:paraId="6E27361D" w14:textId="77777777" w:rsidR="009E56B5" w:rsidRPr="00FE4F98" w:rsidRDefault="009E56B5" w:rsidP="00FE4F98">
      <w:pPr>
        <w:numPr>
          <w:ilvl w:val="0"/>
          <w:numId w:val="2"/>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Cash Ratio = Cash and Cash Equivalents ÷ Current Liabilities</w:t>
      </w:r>
    </w:p>
    <w:tbl>
      <w:tblPr>
        <w:tblStyle w:val="TableGrid"/>
        <w:tblW w:w="0" w:type="auto"/>
        <w:tblLook w:val="04A0" w:firstRow="1" w:lastRow="0" w:firstColumn="1" w:lastColumn="0" w:noHBand="0" w:noVBand="1"/>
      </w:tblPr>
      <w:tblGrid>
        <w:gridCol w:w="1465"/>
        <w:gridCol w:w="4135"/>
        <w:gridCol w:w="750"/>
        <w:gridCol w:w="750"/>
        <w:gridCol w:w="750"/>
        <w:gridCol w:w="750"/>
        <w:gridCol w:w="750"/>
      </w:tblGrid>
      <w:tr w:rsidR="009E56B5" w:rsidRPr="00FE4F98" w14:paraId="4C4B88D0" w14:textId="77777777" w:rsidTr="009E56B5">
        <w:tc>
          <w:tcPr>
            <w:tcW w:w="0" w:type="auto"/>
            <w:hideMark/>
          </w:tcPr>
          <w:p w14:paraId="7153EFEB"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Ratio</w:t>
            </w:r>
          </w:p>
        </w:tc>
        <w:tc>
          <w:tcPr>
            <w:tcW w:w="0" w:type="auto"/>
            <w:hideMark/>
          </w:tcPr>
          <w:p w14:paraId="3C27EE1A"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Formula</w:t>
            </w:r>
          </w:p>
        </w:tc>
        <w:tc>
          <w:tcPr>
            <w:tcW w:w="0" w:type="auto"/>
            <w:hideMark/>
          </w:tcPr>
          <w:p w14:paraId="62E62C4B"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2020</w:t>
            </w:r>
          </w:p>
        </w:tc>
        <w:tc>
          <w:tcPr>
            <w:tcW w:w="0" w:type="auto"/>
            <w:hideMark/>
          </w:tcPr>
          <w:p w14:paraId="333E12B6"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2021</w:t>
            </w:r>
          </w:p>
        </w:tc>
        <w:tc>
          <w:tcPr>
            <w:tcW w:w="0" w:type="auto"/>
            <w:hideMark/>
          </w:tcPr>
          <w:p w14:paraId="6F60A54F"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2022</w:t>
            </w:r>
          </w:p>
        </w:tc>
        <w:tc>
          <w:tcPr>
            <w:tcW w:w="0" w:type="auto"/>
            <w:hideMark/>
          </w:tcPr>
          <w:p w14:paraId="69B2B5B1"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2023</w:t>
            </w:r>
          </w:p>
        </w:tc>
        <w:tc>
          <w:tcPr>
            <w:tcW w:w="0" w:type="auto"/>
            <w:hideMark/>
          </w:tcPr>
          <w:p w14:paraId="07F13A05"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2024</w:t>
            </w:r>
          </w:p>
        </w:tc>
      </w:tr>
      <w:tr w:rsidR="009E56B5" w:rsidRPr="00FE4F98" w14:paraId="07221118" w14:textId="77777777" w:rsidTr="009E56B5">
        <w:tc>
          <w:tcPr>
            <w:tcW w:w="0" w:type="auto"/>
            <w:hideMark/>
          </w:tcPr>
          <w:p w14:paraId="08CC79D8"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Current Ratio</w:t>
            </w:r>
          </w:p>
        </w:tc>
        <w:tc>
          <w:tcPr>
            <w:tcW w:w="0" w:type="auto"/>
            <w:hideMark/>
          </w:tcPr>
          <w:p w14:paraId="276B04A0"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Current Assets / Current Liabilities</w:t>
            </w:r>
          </w:p>
        </w:tc>
        <w:tc>
          <w:tcPr>
            <w:tcW w:w="0" w:type="auto"/>
            <w:hideMark/>
          </w:tcPr>
          <w:p w14:paraId="4F9D2798"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1.82</w:t>
            </w:r>
          </w:p>
        </w:tc>
        <w:tc>
          <w:tcPr>
            <w:tcW w:w="0" w:type="auto"/>
            <w:hideMark/>
          </w:tcPr>
          <w:p w14:paraId="5B04D845"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1.56</w:t>
            </w:r>
          </w:p>
        </w:tc>
        <w:tc>
          <w:tcPr>
            <w:tcW w:w="0" w:type="auto"/>
            <w:hideMark/>
          </w:tcPr>
          <w:p w14:paraId="63E9B80A"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1.56</w:t>
            </w:r>
          </w:p>
        </w:tc>
        <w:tc>
          <w:tcPr>
            <w:tcW w:w="0" w:type="auto"/>
            <w:hideMark/>
          </w:tcPr>
          <w:p w14:paraId="184643D5"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1.61</w:t>
            </w:r>
          </w:p>
        </w:tc>
        <w:tc>
          <w:tcPr>
            <w:tcW w:w="0" w:type="auto"/>
            <w:hideMark/>
          </w:tcPr>
          <w:p w14:paraId="5AA500F1"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1.53</w:t>
            </w:r>
          </w:p>
        </w:tc>
      </w:tr>
      <w:tr w:rsidR="009E56B5" w:rsidRPr="00FE4F98" w14:paraId="43A8E8BB" w14:textId="77777777" w:rsidTr="009E56B5">
        <w:tc>
          <w:tcPr>
            <w:tcW w:w="0" w:type="auto"/>
            <w:hideMark/>
          </w:tcPr>
          <w:p w14:paraId="40F67CA4"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lastRenderedPageBreak/>
              <w:t>Quick Ratio</w:t>
            </w:r>
          </w:p>
        </w:tc>
        <w:tc>
          <w:tcPr>
            <w:tcW w:w="0" w:type="auto"/>
            <w:hideMark/>
          </w:tcPr>
          <w:p w14:paraId="4B187EE3"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(Current Assets − Inventory) / Current Liabilities</w:t>
            </w:r>
          </w:p>
        </w:tc>
        <w:tc>
          <w:tcPr>
            <w:tcW w:w="0" w:type="auto"/>
            <w:hideMark/>
          </w:tcPr>
          <w:p w14:paraId="05C8A61B"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1.15</w:t>
            </w:r>
          </w:p>
        </w:tc>
        <w:tc>
          <w:tcPr>
            <w:tcW w:w="0" w:type="auto"/>
            <w:hideMark/>
          </w:tcPr>
          <w:p w14:paraId="7D9912E7"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0.93</w:t>
            </w:r>
          </w:p>
        </w:tc>
        <w:tc>
          <w:tcPr>
            <w:tcW w:w="0" w:type="auto"/>
            <w:hideMark/>
          </w:tcPr>
          <w:p w14:paraId="7477117D"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0.91</w:t>
            </w:r>
          </w:p>
        </w:tc>
        <w:tc>
          <w:tcPr>
            <w:tcW w:w="0" w:type="auto"/>
            <w:hideMark/>
          </w:tcPr>
          <w:p w14:paraId="16E6E611"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1.06</w:t>
            </w:r>
          </w:p>
        </w:tc>
        <w:tc>
          <w:tcPr>
            <w:tcW w:w="0" w:type="auto"/>
            <w:hideMark/>
          </w:tcPr>
          <w:p w14:paraId="3314E52E"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1.03</w:t>
            </w:r>
          </w:p>
        </w:tc>
      </w:tr>
      <w:tr w:rsidR="009E56B5" w:rsidRPr="00FE4F98" w14:paraId="3E0B6BBD" w14:textId="77777777" w:rsidTr="009E56B5">
        <w:tc>
          <w:tcPr>
            <w:tcW w:w="0" w:type="auto"/>
            <w:hideMark/>
          </w:tcPr>
          <w:p w14:paraId="41F531AA"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Cash Ratio</w:t>
            </w:r>
          </w:p>
        </w:tc>
        <w:tc>
          <w:tcPr>
            <w:tcW w:w="0" w:type="auto"/>
            <w:hideMark/>
          </w:tcPr>
          <w:p w14:paraId="767F1787"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Cash / Current Liabilities</w:t>
            </w:r>
          </w:p>
        </w:tc>
        <w:tc>
          <w:tcPr>
            <w:tcW w:w="0" w:type="auto"/>
            <w:hideMark/>
          </w:tcPr>
          <w:p w14:paraId="04B68EE8"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0.32</w:t>
            </w:r>
          </w:p>
        </w:tc>
        <w:tc>
          <w:tcPr>
            <w:tcW w:w="0" w:type="auto"/>
            <w:hideMark/>
          </w:tcPr>
          <w:p w14:paraId="6A950D4E"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0.28</w:t>
            </w:r>
          </w:p>
        </w:tc>
        <w:tc>
          <w:tcPr>
            <w:tcW w:w="0" w:type="auto"/>
            <w:hideMark/>
          </w:tcPr>
          <w:p w14:paraId="732C5DEC"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0.31</w:t>
            </w:r>
          </w:p>
        </w:tc>
        <w:tc>
          <w:tcPr>
            <w:tcW w:w="0" w:type="auto"/>
            <w:hideMark/>
          </w:tcPr>
          <w:p w14:paraId="081C18DB"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0.27</w:t>
            </w:r>
          </w:p>
        </w:tc>
        <w:tc>
          <w:tcPr>
            <w:tcW w:w="0" w:type="auto"/>
            <w:hideMark/>
          </w:tcPr>
          <w:p w14:paraId="38F22F40"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0.17</w:t>
            </w:r>
          </w:p>
        </w:tc>
      </w:tr>
    </w:tbl>
    <w:p w14:paraId="24794CCE" w14:textId="77777777" w:rsidR="003A3417" w:rsidRPr="00FE4F98" w:rsidRDefault="009E56B5" w:rsidP="00FE4F98">
      <w:pPr>
        <w:spacing w:before="100" w:beforeAutospacing="1" w:after="100" w:afterAutospacing="1"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Table A2: Liquidity Ratios (Self-Prepared)</w:t>
      </w:r>
    </w:p>
    <w:p w14:paraId="0E28CF78" w14:textId="032BB345" w:rsidR="009E56B5" w:rsidRPr="00FE4F98" w:rsidRDefault="003A3417" w:rsidP="00FE4F98">
      <w:pPr>
        <w:spacing w:before="100" w:beforeAutospacing="1" w:after="100" w:afterAutospacing="1" w:line="360" w:lineRule="auto"/>
        <w:jc w:val="center"/>
        <w:rPr>
          <w:rFonts w:ascii="Arial" w:eastAsia="Times New Roman" w:hAnsi="Arial" w:cs="Arial"/>
          <w:sz w:val="24"/>
          <w:szCs w:val="24"/>
        </w:rPr>
      </w:pPr>
      <w:r w:rsidRPr="00FE4F98">
        <w:rPr>
          <w:rFonts w:ascii="Arial" w:hAnsi="Arial" w:cs="Arial"/>
          <w:noProof/>
        </w:rPr>
        <w:drawing>
          <wp:inline distT="0" distB="0" distL="0" distR="0" wp14:anchorId="3E8906E7" wp14:editId="29DAA589">
            <wp:extent cx="5400000" cy="2700000"/>
            <wp:effectExtent l="0" t="0" r="10795" b="5715"/>
            <wp:docPr id="8" name="Chart 8">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9E56B5" w:rsidRPr="00FE4F98">
        <w:rPr>
          <w:rFonts w:ascii="Arial" w:eastAsia="Times New Roman" w:hAnsi="Arial" w:cs="Arial"/>
          <w:sz w:val="24"/>
          <w:szCs w:val="24"/>
        </w:rPr>
        <w:br/>
      </w:r>
      <w:r w:rsidR="009E56B5" w:rsidRPr="00FE4F98">
        <w:rPr>
          <w:rFonts w:ascii="Arial" w:eastAsia="Times New Roman" w:hAnsi="Arial" w:cs="Arial"/>
          <w:b/>
          <w:bCs/>
          <w:sz w:val="24"/>
          <w:szCs w:val="24"/>
        </w:rPr>
        <w:t>Figure A2: Liquidity Ratio Comparison (Self-Prepared)</w:t>
      </w:r>
    </w:p>
    <w:p w14:paraId="4EABF626" w14:textId="77777777" w:rsidR="009E56B5" w:rsidRPr="00FE4F98" w:rsidRDefault="009E56B5" w:rsidP="00FE4F98">
      <w:pPr>
        <w:spacing w:before="100" w:beforeAutospacing="1" w:after="100" w:afterAutospacing="1" w:line="360" w:lineRule="auto"/>
        <w:outlineLvl w:val="1"/>
        <w:rPr>
          <w:rFonts w:ascii="Arial" w:eastAsia="Times New Roman" w:hAnsi="Arial" w:cs="Arial"/>
          <w:b/>
          <w:bCs/>
          <w:sz w:val="24"/>
          <w:szCs w:val="24"/>
        </w:rPr>
      </w:pPr>
      <w:bookmarkStart w:id="42" w:name="_Toc217082173"/>
      <w:r w:rsidRPr="00FE4F98">
        <w:rPr>
          <w:rFonts w:ascii="Arial" w:eastAsia="Times New Roman" w:hAnsi="Arial" w:cs="Arial"/>
          <w:b/>
          <w:bCs/>
          <w:sz w:val="24"/>
          <w:szCs w:val="24"/>
        </w:rPr>
        <w:t>Table A3: Efficiency Ratios (2020–2024)</w:t>
      </w:r>
      <w:bookmarkEnd w:id="42"/>
    </w:p>
    <w:p w14:paraId="360EFB8D" w14:textId="77777777" w:rsidR="009E56B5" w:rsidRPr="00FE4F98" w:rsidRDefault="009E56B5" w:rsidP="00FE4F98">
      <w:p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b/>
          <w:bCs/>
          <w:sz w:val="24"/>
          <w:szCs w:val="24"/>
        </w:rPr>
        <w:t>Formulas</w:t>
      </w:r>
    </w:p>
    <w:p w14:paraId="77D531B4" w14:textId="77777777" w:rsidR="009E56B5" w:rsidRPr="00FE4F98" w:rsidRDefault="009E56B5" w:rsidP="00FE4F98">
      <w:pPr>
        <w:numPr>
          <w:ilvl w:val="0"/>
          <w:numId w:val="3"/>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Asset Turnover = Net Sales ÷ Total Assets</w:t>
      </w:r>
    </w:p>
    <w:p w14:paraId="48E0AC4B" w14:textId="77777777" w:rsidR="009E56B5" w:rsidRPr="00FE4F98" w:rsidRDefault="009E56B5" w:rsidP="00FE4F98">
      <w:pPr>
        <w:numPr>
          <w:ilvl w:val="0"/>
          <w:numId w:val="3"/>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Fixed Asset Turnover = Net Sales ÷ Property, Plant and Equipment</w:t>
      </w:r>
    </w:p>
    <w:p w14:paraId="6E3E9448" w14:textId="77777777" w:rsidR="009E56B5" w:rsidRPr="00FE4F98" w:rsidRDefault="009E56B5" w:rsidP="00FE4F98">
      <w:pPr>
        <w:numPr>
          <w:ilvl w:val="0"/>
          <w:numId w:val="3"/>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Receivables Days = (Accounts Receivable ÷ Net Sales) × 365</w:t>
      </w:r>
    </w:p>
    <w:p w14:paraId="71CB8298" w14:textId="77777777" w:rsidR="009E56B5" w:rsidRPr="00FE4F98" w:rsidRDefault="009E56B5" w:rsidP="00FE4F98">
      <w:pPr>
        <w:numPr>
          <w:ilvl w:val="0"/>
          <w:numId w:val="3"/>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Inventory Days = (Inventories ÷ Cost of Sales) × 365</w:t>
      </w:r>
    </w:p>
    <w:tbl>
      <w:tblPr>
        <w:tblStyle w:val="TableGrid"/>
        <w:tblW w:w="0" w:type="auto"/>
        <w:tblLook w:val="04A0" w:firstRow="1" w:lastRow="0" w:firstColumn="1" w:lastColumn="0" w:noHBand="0" w:noVBand="1"/>
      </w:tblPr>
      <w:tblGrid>
        <w:gridCol w:w="2037"/>
        <w:gridCol w:w="2692"/>
        <w:gridCol w:w="951"/>
        <w:gridCol w:w="951"/>
        <w:gridCol w:w="951"/>
        <w:gridCol w:w="817"/>
        <w:gridCol w:w="951"/>
      </w:tblGrid>
      <w:tr w:rsidR="009E56B5" w:rsidRPr="00FE4F98" w14:paraId="0166F7E6" w14:textId="77777777" w:rsidTr="009E56B5">
        <w:tc>
          <w:tcPr>
            <w:tcW w:w="0" w:type="auto"/>
            <w:hideMark/>
          </w:tcPr>
          <w:p w14:paraId="275DE58D"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Ratio</w:t>
            </w:r>
          </w:p>
        </w:tc>
        <w:tc>
          <w:tcPr>
            <w:tcW w:w="0" w:type="auto"/>
            <w:hideMark/>
          </w:tcPr>
          <w:p w14:paraId="583C0E17"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Formula</w:t>
            </w:r>
          </w:p>
        </w:tc>
        <w:tc>
          <w:tcPr>
            <w:tcW w:w="0" w:type="auto"/>
            <w:hideMark/>
          </w:tcPr>
          <w:p w14:paraId="12F56738"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2020</w:t>
            </w:r>
          </w:p>
        </w:tc>
        <w:tc>
          <w:tcPr>
            <w:tcW w:w="0" w:type="auto"/>
            <w:hideMark/>
          </w:tcPr>
          <w:p w14:paraId="6B85812B"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2021</w:t>
            </w:r>
          </w:p>
        </w:tc>
        <w:tc>
          <w:tcPr>
            <w:tcW w:w="0" w:type="auto"/>
            <w:hideMark/>
          </w:tcPr>
          <w:p w14:paraId="7BB946CE"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2022</w:t>
            </w:r>
          </w:p>
        </w:tc>
        <w:tc>
          <w:tcPr>
            <w:tcW w:w="0" w:type="auto"/>
            <w:hideMark/>
          </w:tcPr>
          <w:p w14:paraId="0DDE342A"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2023</w:t>
            </w:r>
          </w:p>
        </w:tc>
        <w:tc>
          <w:tcPr>
            <w:tcW w:w="0" w:type="auto"/>
            <w:hideMark/>
          </w:tcPr>
          <w:p w14:paraId="2083F551"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2024</w:t>
            </w:r>
          </w:p>
        </w:tc>
      </w:tr>
      <w:tr w:rsidR="009E56B5" w:rsidRPr="00FE4F98" w14:paraId="09900D44" w14:textId="77777777" w:rsidTr="009E56B5">
        <w:tc>
          <w:tcPr>
            <w:tcW w:w="0" w:type="auto"/>
            <w:hideMark/>
          </w:tcPr>
          <w:p w14:paraId="6640F35E"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Asset Turnover</w:t>
            </w:r>
          </w:p>
        </w:tc>
        <w:tc>
          <w:tcPr>
            <w:tcW w:w="0" w:type="auto"/>
            <w:hideMark/>
          </w:tcPr>
          <w:p w14:paraId="64C53B8F"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Net Sales / Total Assets</w:t>
            </w:r>
          </w:p>
        </w:tc>
        <w:tc>
          <w:tcPr>
            <w:tcW w:w="0" w:type="auto"/>
            <w:hideMark/>
          </w:tcPr>
          <w:p w14:paraId="7D8ABD27"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1.20</w:t>
            </w:r>
          </w:p>
        </w:tc>
        <w:tc>
          <w:tcPr>
            <w:tcW w:w="0" w:type="auto"/>
            <w:hideMark/>
          </w:tcPr>
          <w:p w14:paraId="4E878A10"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1.18</w:t>
            </w:r>
          </w:p>
        </w:tc>
        <w:tc>
          <w:tcPr>
            <w:tcW w:w="0" w:type="auto"/>
            <w:hideMark/>
          </w:tcPr>
          <w:p w14:paraId="40C85C42"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1.08</w:t>
            </w:r>
          </w:p>
        </w:tc>
        <w:tc>
          <w:tcPr>
            <w:tcW w:w="0" w:type="auto"/>
            <w:hideMark/>
          </w:tcPr>
          <w:p w14:paraId="61881EA6"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1.18</w:t>
            </w:r>
          </w:p>
        </w:tc>
        <w:tc>
          <w:tcPr>
            <w:tcW w:w="0" w:type="auto"/>
            <w:hideMark/>
          </w:tcPr>
          <w:p w14:paraId="3E0CBBDE"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1.22</w:t>
            </w:r>
          </w:p>
        </w:tc>
      </w:tr>
      <w:tr w:rsidR="009E56B5" w:rsidRPr="00FE4F98" w14:paraId="5CD48961" w14:textId="77777777" w:rsidTr="009E56B5">
        <w:tc>
          <w:tcPr>
            <w:tcW w:w="0" w:type="auto"/>
            <w:hideMark/>
          </w:tcPr>
          <w:p w14:paraId="7659A678"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Fixed Asset Turnover</w:t>
            </w:r>
          </w:p>
        </w:tc>
        <w:tc>
          <w:tcPr>
            <w:tcW w:w="0" w:type="auto"/>
            <w:hideMark/>
          </w:tcPr>
          <w:p w14:paraId="68542F58"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Net Sales / PPE</w:t>
            </w:r>
          </w:p>
        </w:tc>
        <w:tc>
          <w:tcPr>
            <w:tcW w:w="0" w:type="auto"/>
            <w:hideMark/>
          </w:tcPr>
          <w:p w14:paraId="00A93696"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7.04</w:t>
            </w:r>
          </w:p>
        </w:tc>
        <w:tc>
          <w:tcPr>
            <w:tcW w:w="0" w:type="auto"/>
            <w:hideMark/>
          </w:tcPr>
          <w:p w14:paraId="769FD661"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8.06</w:t>
            </w:r>
          </w:p>
        </w:tc>
        <w:tc>
          <w:tcPr>
            <w:tcW w:w="0" w:type="auto"/>
            <w:hideMark/>
          </w:tcPr>
          <w:p w14:paraId="6CF048CA"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8.64</w:t>
            </w:r>
          </w:p>
        </w:tc>
        <w:tc>
          <w:tcPr>
            <w:tcW w:w="0" w:type="auto"/>
            <w:hideMark/>
          </w:tcPr>
          <w:p w14:paraId="59255502"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9.42</w:t>
            </w:r>
          </w:p>
        </w:tc>
        <w:tc>
          <w:tcPr>
            <w:tcW w:w="0" w:type="auto"/>
            <w:hideMark/>
          </w:tcPr>
          <w:p w14:paraId="083B0FA9"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11.54</w:t>
            </w:r>
          </w:p>
        </w:tc>
      </w:tr>
      <w:tr w:rsidR="009E56B5" w:rsidRPr="00FE4F98" w14:paraId="292461D3" w14:textId="77777777" w:rsidTr="009E56B5">
        <w:tc>
          <w:tcPr>
            <w:tcW w:w="0" w:type="auto"/>
            <w:hideMark/>
          </w:tcPr>
          <w:p w14:paraId="60A736E9"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lastRenderedPageBreak/>
              <w:t>Receivables Days</w:t>
            </w:r>
          </w:p>
        </w:tc>
        <w:tc>
          <w:tcPr>
            <w:tcW w:w="0" w:type="auto"/>
            <w:hideMark/>
          </w:tcPr>
          <w:p w14:paraId="09F27F56"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(Receivables / Net Sales) × 365</w:t>
            </w:r>
          </w:p>
        </w:tc>
        <w:tc>
          <w:tcPr>
            <w:tcW w:w="0" w:type="auto"/>
            <w:hideMark/>
          </w:tcPr>
          <w:p w14:paraId="370BAEEE"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76.86</w:t>
            </w:r>
          </w:p>
        </w:tc>
        <w:tc>
          <w:tcPr>
            <w:tcW w:w="0" w:type="auto"/>
            <w:hideMark/>
          </w:tcPr>
          <w:p w14:paraId="5642AC23"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78.40</w:t>
            </w:r>
          </w:p>
        </w:tc>
        <w:tc>
          <w:tcPr>
            <w:tcW w:w="0" w:type="auto"/>
            <w:hideMark/>
          </w:tcPr>
          <w:p w14:paraId="56D2A616"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75.55</w:t>
            </w:r>
          </w:p>
        </w:tc>
        <w:tc>
          <w:tcPr>
            <w:tcW w:w="0" w:type="auto"/>
            <w:hideMark/>
          </w:tcPr>
          <w:p w14:paraId="6A3A7EFE"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97.74</w:t>
            </w:r>
          </w:p>
        </w:tc>
        <w:tc>
          <w:tcPr>
            <w:tcW w:w="0" w:type="auto"/>
            <w:hideMark/>
          </w:tcPr>
          <w:p w14:paraId="6126D0C8"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105.54</w:t>
            </w:r>
          </w:p>
        </w:tc>
      </w:tr>
      <w:tr w:rsidR="009E56B5" w:rsidRPr="00FE4F98" w14:paraId="44EACA1D" w14:textId="77777777" w:rsidTr="009E56B5">
        <w:tc>
          <w:tcPr>
            <w:tcW w:w="0" w:type="auto"/>
            <w:hideMark/>
          </w:tcPr>
          <w:p w14:paraId="73C994F8"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Inventory Days</w:t>
            </w:r>
          </w:p>
        </w:tc>
        <w:tc>
          <w:tcPr>
            <w:tcW w:w="0" w:type="auto"/>
            <w:hideMark/>
          </w:tcPr>
          <w:p w14:paraId="1764EC93"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(Inventory / Cost of Sales) × 365</w:t>
            </w:r>
          </w:p>
        </w:tc>
        <w:tc>
          <w:tcPr>
            <w:tcW w:w="0" w:type="auto"/>
            <w:hideMark/>
          </w:tcPr>
          <w:p w14:paraId="15D48E42"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100.26</w:t>
            </w:r>
          </w:p>
        </w:tc>
        <w:tc>
          <w:tcPr>
            <w:tcW w:w="0" w:type="auto"/>
            <w:hideMark/>
          </w:tcPr>
          <w:p w14:paraId="16623F10"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114.52</w:t>
            </w:r>
          </w:p>
        </w:tc>
        <w:tc>
          <w:tcPr>
            <w:tcW w:w="0" w:type="auto"/>
            <w:hideMark/>
          </w:tcPr>
          <w:p w14:paraId="521A0E6C"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131.04</w:t>
            </w:r>
          </w:p>
        </w:tc>
        <w:tc>
          <w:tcPr>
            <w:tcW w:w="0" w:type="auto"/>
            <w:hideMark/>
          </w:tcPr>
          <w:p w14:paraId="4CA81542"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99.78</w:t>
            </w:r>
          </w:p>
        </w:tc>
        <w:tc>
          <w:tcPr>
            <w:tcW w:w="0" w:type="auto"/>
            <w:hideMark/>
          </w:tcPr>
          <w:p w14:paraId="67445E84"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103.12</w:t>
            </w:r>
          </w:p>
        </w:tc>
      </w:tr>
    </w:tbl>
    <w:p w14:paraId="30CA6563" w14:textId="77777777" w:rsidR="003A3417" w:rsidRPr="00FE4F98" w:rsidRDefault="009E56B5" w:rsidP="00FE4F98">
      <w:pPr>
        <w:spacing w:before="100" w:beforeAutospacing="1" w:after="100" w:afterAutospacing="1"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Table A3: Efficiency Ratios (Self-Prepared)</w:t>
      </w:r>
    </w:p>
    <w:p w14:paraId="29A81CDF" w14:textId="6E983991" w:rsidR="009E56B5" w:rsidRPr="00FE4F98" w:rsidRDefault="003A3417" w:rsidP="00FE4F98">
      <w:pPr>
        <w:spacing w:before="100" w:beforeAutospacing="1" w:after="100" w:afterAutospacing="1" w:line="360" w:lineRule="auto"/>
        <w:jc w:val="center"/>
        <w:rPr>
          <w:rFonts w:ascii="Arial" w:eastAsia="Times New Roman" w:hAnsi="Arial" w:cs="Arial"/>
          <w:sz w:val="24"/>
          <w:szCs w:val="24"/>
        </w:rPr>
      </w:pPr>
      <w:r w:rsidRPr="00FE4F98">
        <w:rPr>
          <w:rFonts w:ascii="Arial" w:hAnsi="Arial" w:cs="Arial"/>
          <w:noProof/>
        </w:rPr>
        <w:drawing>
          <wp:inline distT="0" distB="0" distL="0" distR="0" wp14:anchorId="60E54F48" wp14:editId="581F74AA">
            <wp:extent cx="5400000" cy="2700000"/>
            <wp:effectExtent l="0" t="0" r="10795" b="5715"/>
            <wp:docPr id="6" name="Chart 6">
              <a:extLst xmlns:a="http://schemas.openxmlformats.org/drawingml/2006/main">
                <a:ext uri="{FF2B5EF4-FFF2-40B4-BE49-F238E27FC236}">
                  <a16:creationId xmlns:a16="http://schemas.microsoft.com/office/drawing/2014/main" id="{00000000-0008-0000-02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9E56B5" w:rsidRPr="00FE4F98">
        <w:rPr>
          <w:rFonts w:ascii="Arial" w:eastAsia="Times New Roman" w:hAnsi="Arial" w:cs="Arial"/>
          <w:sz w:val="24"/>
          <w:szCs w:val="24"/>
        </w:rPr>
        <w:br/>
      </w:r>
      <w:r w:rsidR="009E56B5" w:rsidRPr="00FE4F98">
        <w:rPr>
          <w:rFonts w:ascii="Arial" w:eastAsia="Times New Roman" w:hAnsi="Arial" w:cs="Arial"/>
          <w:b/>
          <w:bCs/>
          <w:sz w:val="24"/>
          <w:szCs w:val="24"/>
        </w:rPr>
        <w:t>Figure A3: Efficiency Ratio Comparison (Self-Prepared)</w:t>
      </w:r>
    </w:p>
    <w:p w14:paraId="316870DA" w14:textId="77777777" w:rsidR="009E56B5" w:rsidRPr="00FE4F98" w:rsidRDefault="009E56B5" w:rsidP="00FE4F98">
      <w:pPr>
        <w:spacing w:before="100" w:beforeAutospacing="1" w:after="100" w:afterAutospacing="1" w:line="360" w:lineRule="auto"/>
        <w:outlineLvl w:val="1"/>
        <w:rPr>
          <w:rFonts w:ascii="Arial" w:eastAsia="Times New Roman" w:hAnsi="Arial" w:cs="Arial"/>
          <w:b/>
          <w:bCs/>
          <w:sz w:val="24"/>
          <w:szCs w:val="24"/>
        </w:rPr>
      </w:pPr>
      <w:bookmarkStart w:id="43" w:name="_Toc217082174"/>
      <w:r w:rsidRPr="00FE4F98">
        <w:rPr>
          <w:rFonts w:ascii="Arial" w:eastAsia="Times New Roman" w:hAnsi="Arial" w:cs="Arial"/>
          <w:b/>
          <w:bCs/>
          <w:sz w:val="24"/>
          <w:szCs w:val="24"/>
        </w:rPr>
        <w:t>Table A4: Gearing Ratios (2020–2024)</w:t>
      </w:r>
      <w:bookmarkEnd w:id="43"/>
    </w:p>
    <w:p w14:paraId="0EBE2CDF" w14:textId="77777777" w:rsidR="009E56B5" w:rsidRPr="00FE4F98" w:rsidRDefault="009E56B5" w:rsidP="00FE4F98">
      <w:p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b/>
          <w:bCs/>
          <w:sz w:val="24"/>
          <w:szCs w:val="24"/>
        </w:rPr>
        <w:t>Formulas</w:t>
      </w:r>
    </w:p>
    <w:p w14:paraId="30CC1A0A" w14:textId="77777777" w:rsidR="009E56B5" w:rsidRPr="00FE4F98" w:rsidRDefault="009E56B5" w:rsidP="00FE4F98">
      <w:pPr>
        <w:numPr>
          <w:ilvl w:val="0"/>
          <w:numId w:val="4"/>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Interest Coverage Ratio = EBIT ÷ Interest Expense</w:t>
      </w:r>
    </w:p>
    <w:p w14:paraId="210FBFDC" w14:textId="77777777" w:rsidR="009E56B5" w:rsidRPr="00FE4F98" w:rsidRDefault="009E56B5" w:rsidP="00FE4F98">
      <w:pPr>
        <w:numPr>
          <w:ilvl w:val="0"/>
          <w:numId w:val="4"/>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Debt to Equity Ratio = Total Liabilities ÷ Shareholders’ Equity</w:t>
      </w:r>
    </w:p>
    <w:p w14:paraId="744026AC" w14:textId="77777777" w:rsidR="009E56B5" w:rsidRPr="00FE4F98" w:rsidRDefault="009E56B5" w:rsidP="00FE4F98">
      <w:pPr>
        <w:numPr>
          <w:ilvl w:val="0"/>
          <w:numId w:val="4"/>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Debt to Capital Ratio = Total Liabilities ÷ (Total Liabilities + Equity)</w:t>
      </w:r>
    </w:p>
    <w:p w14:paraId="5C1886D3" w14:textId="77777777" w:rsidR="009E56B5" w:rsidRPr="00FE4F98" w:rsidRDefault="009E56B5" w:rsidP="00FE4F98">
      <w:pPr>
        <w:numPr>
          <w:ilvl w:val="0"/>
          <w:numId w:val="4"/>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Equity Multiplier = Total Assets ÷ Shareholders’ Equity</w:t>
      </w:r>
    </w:p>
    <w:tbl>
      <w:tblPr>
        <w:tblStyle w:val="TableGrid"/>
        <w:tblW w:w="0" w:type="auto"/>
        <w:tblLook w:val="04A0" w:firstRow="1" w:lastRow="0" w:firstColumn="1" w:lastColumn="0" w:noHBand="0" w:noVBand="1"/>
      </w:tblPr>
      <w:tblGrid>
        <w:gridCol w:w="2124"/>
        <w:gridCol w:w="3011"/>
        <w:gridCol w:w="817"/>
        <w:gridCol w:w="817"/>
        <w:gridCol w:w="750"/>
        <w:gridCol w:w="957"/>
        <w:gridCol w:w="824"/>
      </w:tblGrid>
      <w:tr w:rsidR="009E56B5" w:rsidRPr="00FE4F98" w14:paraId="19C2E7BB" w14:textId="77777777" w:rsidTr="009E56B5">
        <w:tc>
          <w:tcPr>
            <w:tcW w:w="0" w:type="auto"/>
            <w:hideMark/>
          </w:tcPr>
          <w:p w14:paraId="33F92DAF"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Ratio</w:t>
            </w:r>
          </w:p>
        </w:tc>
        <w:tc>
          <w:tcPr>
            <w:tcW w:w="0" w:type="auto"/>
            <w:hideMark/>
          </w:tcPr>
          <w:p w14:paraId="795A7507"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Formula</w:t>
            </w:r>
          </w:p>
        </w:tc>
        <w:tc>
          <w:tcPr>
            <w:tcW w:w="0" w:type="auto"/>
            <w:hideMark/>
          </w:tcPr>
          <w:p w14:paraId="1E48814F"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2020</w:t>
            </w:r>
          </w:p>
        </w:tc>
        <w:tc>
          <w:tcPr>
            <w:tcW w:w="0" w:type="auto"/>
            <w:hideMark/>
          </w:tcPr>
          <w:p w14:paraId="5E957F9A"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2021</w:t>
            </w:r>
          </w:p>
        </w:tc>
        <w:tc>
          <w:tcPr>
            <w:tcW w:w="0" w:type="auto"/>
            <w:hideMark/>
          </w:tcPr>
          <w:p w14:paraId="284D10DC"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2022</w:t>
            </w:r>
          </w:p>
        </w:tc>
        <w:tc>
          <w:tcPr>
            <w:tcW w:w="0" w:type="auto"/>
            <w:hideMark/>
          </w:tcPr>
          <w:p w14:paraId="2F8CA090"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2023</w:t>
            </w:r>
          </w:p>
        </w:tc>
        <w:tc>
          <w:tcPr>
            <w:tcW w:w="0" w:type="auto"/>
            <w:hideMark/>
          </w:tcPr>
          <w:p w14:paraId="40F88995"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2024</w:t>
            </w:r>
          </w:p>
        </w:tc>
      </w:tr>
      <w:tr w:rsidR="009E56B5" w:rsidRPr="00FE4F98" w14:paraId="65B1DB74" w14:textId="77777777" w:rsidTr="009E56B5">
        <w:tc>
          <w:tcPr>
            <w:tcW w:w="0" w:type="auto"/>
            <w:hideMark/>
          </w:tcPr>
          <w:p w14:paraId="6540B92A"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Interest Coverage</w:t>
            </w:r>
          </w:p>
        </w:tc>
        <w:tc>
          <w:tcPr>
            <w:tcW w:w="0" w:type="auto"/>
            <w:hideMark/>
          </w:tcPr>
          <w:p w14:paraId="7F0C5DFD"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EBIT / Interest Expense</w:t>
            </w:r>
          </w:p>
        </w:tc>
        <w:tc>
          <w:tcPr>
            <w:tcW w:w="0" w:type="auto"/>
            <w:hideMark/>
          </w:tcPr>
          <w:p w14:paraId="187EBC08"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26.21</w:t>
            </w:r>
          </w:p>
        </w:tc>
        <w:tc>
          <w:tcPr>
            <w:tcW w:w="0" w:type="auto"/>
            <w:hideMark/>
          </w:tcPr>
          <w:p w14:paraId="510041F7"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41.08</w:t>
            </w:r>
          </w:p>
        </w:tc>
        <w:tc>
          <w:tcPr>
            <w:tcW w:w="0" w:type="auto"/>
            <w:hideMark/>
          </w:tcPr>
          <w:p w14:paraId="11EF9060"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6.61</w:t>
            </w:r>
          </w:p>
        </w:tc>
        <w:tc>
          <w:tcPr>
            <w:tcW w:w="0" w:type="auto"/>
            <w:hideMark/>
          </w:tcPr>
          <w:p w14:paraId="2E827F14"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−19.70</w:t>
            </w:r>
          </w:p>
        </w:tc>
        <w:tc>
          <w:tcPr>
            <w:tcW w:w="0" w:type="auto"/>
            <w:hideMark/>
          </w:tcPr>
          <w:p w14:paraId="5F51F1B0"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−4.55</w:t>
            </w:r>
          </w:p>
        </w:tc>
      </w:tr>
      <w:tr w:rsidR="009E56B5" w:rsidRPr="00FE4F98" w14:paraId="234DB2B0" w14:textId="77777777" w:rsidTr="009E56B5">
        <w:tc>
          <w:tcPr>
            <w:tcW w:w="0" w:type="auto"/>
            <w:hideMark/>
          </w:tcPr>
          <w:p w14:paraId="733CEE45"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Debt to Equity</w:t>
            </w:r>
          </w:p>
        </w:tc>
        <w:tc>
          <w:tcPr>
            <w:tcW w:w="0" w:type="auto"/>
            <w:hideMark/>
          </w:tcPr>
          <w:p w14:paraId="038DB3F2"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Total Liabilities / Equity</w:t>
            </w:r>
          </w:p>
        </w:tc>
        <w:tc>
          <w:tcPr>
            <w:tcW w:w="0" w:type="auto"/>
            <w:hideMark/>
          </w:tcPr>
          <w:p w14:paraId="6E3D0D86"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0.63</w:t>
            </w:r>
          </w:p>
        </w:tc>
        <w:tc>
          <w:tcPr>
            <w:tcW w:w="0" w:type="auto"/>
            <w:hideMark/>
          </w:tcPr>
          <w:p w14:paraId="373CB9E1"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0.85</w:t>
            </w:r>
          </w:p>
        </w:tc>
        <w:tc>
          <w:tcPr>
            <w:tcW w:w="0" w:type="auto"/>
            <w:hideMark/>
          </w:tcPr>
          <w:p w14:paraId="2FB3AB4E"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0.88</w:t>
            </w:r>
          </w:p>
        </w:tc>
        <w:tc>
          <w:tcPr>
            <w:tcW w:w="0" w:type="auto"/>
            <w:hideMark/>
          </w:tcPr>
          <w:p w14:paraId="1ABF9C84"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0.99</w:t>
            </w:r>
          </w:p>
        </w:tc>
        <w:tc>
          <w:tcPr>
            <w:tcW w:w="0" w:type="auto"/>
            <w:hideMark/>
          </w:tcPr>
          <w:p w14:paraId="43E42AE0"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1.11</w:t>
            </w:r>
          </w:p>
        </w:tc>
      </w:tr>
      <w:tr w:rsidR="009E56B5" w:rsidRPr="00FE4F98" w14:paraId="1A7F41C6" w14:textId="77777777" w:rsidTr="009E56B5">
        <w:tc>
          <w:tcPr>
            <w:tcW w:w="0" w:type="auto"/>
            <w:hideMark/>
          </w:tcPr>
          <w:p w14:paraId="76CCBF35"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Debt to Capital</w:t>
            </w:r>
          </w:p>
        </w:tc>
        <w:tc>
          <w:tcPr>
            <w:tcW w:w="0" w:type="auto"/>
            <w:hideMark/>
          </w:tcPr>
          <w:p w14:paraId="27D05A14"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Liabilities / (Debt + Equity)</w:t>
            </w:r>
          </w:p>
        </w:tc>
        <w:tc>
          <w:tcPr>
            <w:tcW w:w="0" w:type="auto"/>
            <w:hideMark/>
          </w:tcPr>
          <w:p w14:paraId="7F1C749F"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0.39</w:t>
            </w:r>
          </w:p>
        </w:tc>
        <w:tc>
          <w:tcPr>
            <w:tcW w:w="0" w:type="auto"/>
            <w:hideMark/>
          </w:tcPr>
          <w:p w14:paraId="01B30348"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0.46</w:t>
            </w:r>
          </w:p>
        </w:tc>
        <w:tc>
          <w:tcPr>
            <w:tcW w:w="0" w:type="auto"/>
            <w:hideMark/>
          </w:tcPr>
          <w:p w14:paraId="4B919D06"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0.47</w:t>
            </w:r>
          </w:p>
        </w:tc>
        <w:tc>
          <w:tcPr>
            <w:tcW w:w="0" w:type="auto"/>
            <w:hideMark/>
          </w:tcPr>
          <w:p w14:paraId="2C41CE0B"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0.50</w:t>
            </w:r>
          </w:p>
        </w:tc>
        <w:tc>
          <w:tcPr>
            <w:tcW w:w="0" w:type="auto"/>
            <w:hideMark/>
          </w:tcPr>
          <w:p w14:paraId="738A44D3"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0.53</w:t>
            </w:r>
          </w:p>
        </w:tc>
      </w:tr>
      <w:tr w:rsidR="009E56B5" w:rsidRPr="00FE4F98" w14:paraId="717CAB3F" w14:textId="77777777" w:rsidTr="009E56B5">
        <w:tc>
          <w:tcPr>
            <w:tcW w:w="0" w:type="auto"/>
            <w:hideMark/>
          </w:tcPr>
          <w:p w14:paraId="1F0B0ACB"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lastRenderedPageBreak/>
              <w:t>Equity Multiplier</w:t>
            </w:r>
          </w:p>
        </w:tc>
        <w:tc>
          <w:tcPr>
            <w:tcW w:w="0" w:type="auto"/>
            <w:hideMark/>
          </w:tcPr>
          <w:p w14:paraId="05A9DAA0"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Total Assets / Equity</w:t>
            </w:r>
          </w:p>
        </w:tc>
        <w:tc>
          <w:tcPr>
            <w:tcW w:w="0" w:type="auto"/>
            <w:hideMark/>
          </w:tcPr>
          <w:p w14:paraId="6034ED89"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1.63</w:t>
            </w:r>
          </w:p>
        </w:tc>
        <w:tc>
          <w:tcPr>
            <w:tcW w:w="0" w:type="auto"/>
            <w:hideMark/>
          </w:tcPr>
          <w:p w14:paraId="6989908F"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1.85</w:t>
            </w:r>
          </w:p>
        </w:tc>
        <w:tc>
          <w:tcPr>
            <w:tcW w:w="0" w:type="auto"/>
            <w:hideMark/>
          </w:tcPr>
          <w:p w14:paraId="5D7BBE73"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1.88</w:t>
            </w:r>
          </w:p>
        </w:tc>
        <w:tc>
          <w:tcPr>
            <w:tcW w:w="0" w:type="auto"/>
            <w:hideMark/>
          </w:tcPr>
          <w:p w14:paraId="6F462F52"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1.99</w:t>
            </w:r>
          </w:p>
        </w:tc>
        <w:tc>
          <w:tcPr>
            <w:tcW w:w="0" w:type="auto"/>
            <w:hideMark/>
          </w:tcPr>
          <w:p w14:paraId="72924C0E"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2.11</w:t>
            </w:r>
          </w:p>
        </w:tc>
      </w:tr>
    </w:tbl>
    <w:p w14:paraId="270F9516" w14:textId="77777777" w:rsidR="003A3417" w:rsidRPr="00FE4F98" w:rsidRDefault="009E56B5" w:rsidP="00FE4F98">
      <w:pPr>
        <w:spacing w:before="100" w:beforeAutospacing="1" w:after="100" w:afterAutospacing="1"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Table A4: Gearing Ratios (Self-Prepared)</w:t>
      </w:r>
    </w:p>
    <w:p w14:paraId="7DF3F892" w14:textId="60635051" w:rsidR="009E56B5" w:rsidRPr="00FE4F98" w:rsidRDefault="003A3417" w:rsidP="00FE4F98">
      <w:pPr>
        <w:spacing w:before="100" w:beforeAutospacing="1" w:after="100" w:afterAutospacing="1" w:line="360" w:lineRule="auto"/>
        <w:jc w:val="center"/>
        <w:rPr>
          <w:rFonts w:ascii="Arial" w:eastAsia="Times New Roman" w:hAnsi="Arial" w:cs="Arial"/>
          <w:sz w:val="24"/>
          <w:szCs w:val="24"/>
        </w:rPr>
      </w:pPr>
      <w:r w:rsidRPr="00FE4F98">
        <w:rPr>
          <w:rFonts w:ascii="Arial" w:hAnsi="Arial" w:cs="Arial"/>
          <w:noProof/>
        </w:rPr>
        <w:drawing>
          <wp:inline distT="0" distB="0" distL="0" distR="0" wp14:anchorId="5D0D1116" wp14:editId="595554C7">
            <wp:extent cx="5400000" cy="2700000"/>
            <wp:effectExtent l="0" t="0" r="10795" b="5715"/>
            <wp:docPr id="7" name="Chart 7">
              <a:extLst xmlns:a="http://schemas.openxmlformats.org/drawingml/2006/main">
                <a:ext uri="{FF2B5EF4-FFF2-40B4-BE49-F238E27FC236}">
                  <a16:creationId xmlns:a16="http://schemas.microsoft.com/office/drawing/2014/main" id="{00000000-0008-0000-03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9E56B5" w:rsidRPr="00FE4F98">
        <w:rPr>
          <w:rFonts w:ascii="Arial" w:eastAsia="Times New Roman" w:hAnsi="Arial" w:cs="Arial"/>
          <w:sz w:val="24"/>
          <w:szCs w:val="24"/>
        </w:rPr>
        <w:br/>
      </w:r>
      <w:r w:rsidR="009E56B5" w:rsidRPr="00FE4F98">
        <w:rPr>
          <w:rFonts w:ascii="Arial" w:eastAsia="Times New Roman" w:hAnsi="Arial" w:cs="Arial"/>
          <w:b/>
          <w:bCs/>
          <w:sz w:val="24"/>
          <w:szCs w:val="24"/>
        </w:rPr>
        <w:t>Figure A4: Gearing Ratio Comparison (Self-Prepared)</w:t>
      </w:r>
    </w:p>
    <w:p w14:paraId="1393E4A4" w14:textId="77777777" w:rsidR="009E56B5" w:rsidRPr="00FE4F98" w:rsidRDefault="009E56B5" w:rsidP="00FE4F98">
      <w:pPr>
        <w:spacing w:before="100" w:beforeAutospacing="1" w:after="100" w:afterAutospacing="1" w:line="360" w:lineRule="auto"/>
        <w:outlineLvl w:val="1"/>
        <w:rPr>
          <w:rFonts w:ascii="Arial" w:eastAsia="Times New Roman" w:hAnsi="Arial" w:cs="Arial"/>
          <w:b/>
          <w:bCs/>
          <w:sz w:val="24"/>
          <w:szCs w:val="24"/>
        </w:rPr>
      </w:pPr>
      <w:bookmarkStart w:id="44" w:name="_Toc217082175"/>
      <w:r w:rsidRPr="00FE4F98">
        <w:rPr>
          <w:rFonts w:ascii="Arial" w:eastAsia="Times New Roman" w:hAnsi="Arial" w:cs="Arial"/>
          <w:b/>
          <w:bCs/>
          <w:sz w:val="24"/>
          <w:szCs w:val="24"/>
        </w:rPr>
        <w:t>Table A5: Investment Ratios (2020–2024)</w:t>
      </w:r>
      <w:bookmarkEnd w:id="44"/>
    </w:p>
    <w:p w14:paraId="2BB714C3" w14:textId="77777777" w:rsidR="009E56B5" w:rsidRPr="00FE4F98" w:rsidRDefault="009E56B5" w:rsidP="00FE4F98">
      <w:p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b/>
          <w:bCs/>
          <w:sz w:val="24"/>
          <w:szCs w:val="24"/>
        </w:rPr>
        <w:t>Formulas</w:t>
      </w:r>
    </w:p>
    <w:p w14:paraId="29A4449F" w14:textId="77777777" w:rsidR="009E56B5" w:rsidRPr="00FE4F98" w:rsidRDefault="009E56B5" w:rsidP="00FE4F98">
      <w:pPr>
        <w:numPr>
          <w:ilvl w:val="0"/>
          <w:numId w:val="5"/>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Earnings per Share (EPS) = Net Income ÷ Shares Outstanding</w:t>
      </w:r>
    </w:p>
    <w:p w14:paraId="1DE9620D" w14:textId="77777777" w:rsidR="009E56B5" w:rsidRPr="00FE4F98" w:rsidRDefault="009E56B5" w:rsidP="00FE4F98">
      <w:pPr>
        <w:numPr>
          <w:ilvl w:val="0"/>
          <w:numId w:val="5"/>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Price–Earnings Ratio = Market Price per Share ÷ EPS</w:t>
      </w:r>
    </w:p>
    <w:p w14:paraId="1D6361D8" w14:textId="77777777" w:rsidR="009E56B5" w:rsidRPr="00FE4F98" w:rsidRDefault="009E56B5" w:rsidP="00FE4F98">
      <w:pPr>
        <w:numPr>
          <w:ilvl w:val="0"/>
          <w:numId w:val="5"/>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Return on Equity (ROE) = Net Income ÷ Shareholders’ Equity</w:t>
      </w:r>
    </w:p>
    <w:p w14:paraId="08AD5C23" w14:textId="77777777" w:rsidR="009E56B5" w:rsidRPr="00FE4F98" w:rsidRDefault="009E56B5" w:rsidP="00FE4F98">
      <w:p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i/>
          <w:iCs/>
          <w:sz w:val="24"/>
          <w:szCs w:val="24"/>
        </w:rPr>
        <w:t>Assumed market price per share: £120 (as per appendix assumption)</w:t>
      </w:r>
    </w:p>
    <w:tbl>
      <w:tblPr>
        <w:tblStyle w:val="TableGrid"/>
        <w:tblW w:w="0" w:type="auto"/>
        <w:tblLook w:val="04A0" w:firstRow="1" w:lastRow="0" w:firstColumn="1" w:lastColumn="0" w:noHBand="0" w:noVBand="1"/>
      </w:tblPr>
      <w:tblGrid>
        <w:gridCol w:w="1054"/>
        <w:gridCol w:w="1876"/>
        <w:gridCol w:w="1030"/>
        <w:gridCol w:w="951"/>
        <w:gridCol w:w="1151"/>
        <w:gridCol w:w="1644"/>
        <w:gridCol w:w="1644"/>
      </w:tblGrid>
      <w:tr w:rsidR="009E56B5" w:rsidRPr="00FE4F98" w14:paraId="661199AF" w14:textId="77777777" w:rsidTr="009E56B5">
        <w:tc>
          <w:tcPr>
            <w:tcW w:w="0" w:type="auto"/>
            <w:hideMark/>
          </w:tcPr>
          <w:p w14:paraId="7DB454D2"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Ratio</w:t>
            </w:r>
          </w:p>
        </w:tc>
        <w:tc>
          <w:tcPr>
            <w:tcW w:w="0" w:type="auto"/>
            <w:hideMark/>
          </w:tcPr>
          <w:p w14:paraId="0A26FFA4"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Formula</w:t>
            </w:r>
          </w:p>
        </w:tc>
        <w:tc>
          <w:tcPr>
            <w:tcW w:w="0" w:type="auto"/>
            <w:hideMark/>
          </w:tcPr>
          <w:p w14:paraId="1529FA17"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2020</w:t>
            </w:r>
          </w:p>
        </w:tc>
        <w:tc>
          <w:tcPr>
            <w:tcW w:w="0" w:type="auto"/>
            <w:hideMark/>
          </w:tcPr>
          <w:p w14:paraId="066C1116"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2021</w:t>
            </w:r>
          </w:p>
        </w:tc>
        <w:tc>
          <w:tcPr>
            <w:tcW w:w="0" w:type="auto"/>
            <w:hideMark/>
          </w:tcPr>
          <w:p w14:paraId="7AD82C77"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2022</w:t>
            </w:r>
          </w:p>
        </w:tc>
        <w:tc>
          <w:tcPr>
            <w:tcW w:w="0" w:type="auto"/>
            <w:hideMark/>
          </w:tcPr>
          <w:p w14:paraId="522EC944"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2023</w:t>
            </w:r>
          </w:p>
        </w:tc>
        <w:tc>
          <w:tcPr>
            <w:tcW w:w="0" w:type="auto"/>
            <w:hideMark/>
          </w:tcPr>
          <w:p w14:paraId="67EC0F3E"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2024</w:t>
            </w:r>
          </w:p>
        </w:tc>
      </w:tr>
      <w:tr w:rsidR="009E56B5" w:rsidRPr="00FE4F98" w14:paraId="4C6641A5" w14:textId="77777777" w:rsidTr="009E56B5">
        <w:tc>
          <w:tcPr>
            <w:tcW w:w="0" w:type="auto"/>
            <w:hideMark/>
          </w:tcPr>
          <w:p w14:paraId="4C41B873"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EPS (£)</w:t>
            </w:r>
          </w:p>
        </w:tc>
        <w:tc>
          <w:tcPr>
            <w:tcW w:w="0" w:type="auto"/>
            <w:hideMark/>
          </w:tcPr>
          <w:p w14:paraId="104DE082"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Net Income / Shares</w:t>
            </w:r>
          </w:p>
        </w:tc>
        <w:tc>
          <w:tcPr>
            <w:tcW w:w="0" w:type="auto"/>
            <w:hideMark/>
          </w:tcPr>
          <w:p w14:paraId="16AA8EB5"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2.78</w:t>
            </w:r>
          </w:p>
        </w:tc>
        <w:tc>
          <w:tcPr>
            <w:tcW w:w="0" w:type="auto"/>
            <w:hideMark/>
          </w:tcPr>
          <w:p w14:paraId="28316110"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0.39</w:t>
            </w:r>
          </w:p>
        </w:tc>
        <w:tc>
          <w:tcPr>
            <w:tcW w:w="0" w:type="auto"/>
            <w:hideMark/>
          </w:tcPr>
          <w:p w14:paraId="09657C35"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0.03</w:t>
            </w:r>
          </w:p>
        </w:tc>
        <w:tc>
          <w:tcPr>
            <w:tcW w:w="0" w:type="auto"/>
            <w:hideMark/>
          </w:tcPr>
          <w:p w14:paraId="155AA51E"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−7.64</w:t>
            </w:r>
          </w:p>
        </w:tc>
        <w:tc>
          <w:tcPr>
            <w:tcW w:w="0" w:type="auto"/>
            <w:hideMark/>
          </w:tcPr>
          <w:p w14:paraId="517D3BA6"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−1.85</w:t>
            </w:r>
          </w:p>
        </w:tc>
      </w:tr>
      <w:tr w:rsidR="009E56B5" w:rsidRPr="00FE4F98" w14:paraId="4957CF97" w14:textId="77777777" w:rsidTr="009E56B5">
        <w:tc>
          <w:tcPr>
            <w:tcW w:w="0" w:type="auto"/>
            <w:hideMark/>
          </w:tcPr>
          <w:p w14:paraId="09F137D4"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P/E Ratio</w:t>
            </w:r>
          </w:p>
        </w:tc>
        <w:tc>
          <w:tcPr>
            <w:tcW w:w="0" w:type="auto"/>
            <w:hideMark/>
          </w:tcPr>
          <w:p w14:paraId="05F76E2D"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Market Price / EPS</w:t>
            </w:r>
          </w:p>
        </w:tc>
        <w:tc>
          <w:tcPr>
            <w:tcW w:w="0" w:type="auto"/>
            <w:hideMark/>
          </w:tcPr>
          <w:p w14:paraId="004A63A2"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43.17</w:t>
            </w:r>
          </w:p>
        </w:tc>
        <w:tc>
          <w:tcPr>
            <w:tcW w:w="0" w:type="auto"/>
            <w:hideMark/>
          </w:tcPr>
          <w:p w14:paraId="40DCE291"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304.81</w:t>
            </w:r>
          </w:p>
        </w:tc>
        <w:tc>
          <w:tcPr>
            <w:tcW w:w="0" w:type="auto"/>
            <w:hideMark/>
          </w:tcPr>
          <w:p w14:paraId="74ECAEAA"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3,745.36</w:t>
            </w:r>
          </w:p>
        </w:tc>
        <w:tc>
          <w:tcPr>
            <w:tcW w:w="0" w:type="auto"/>
            <w:hideMark/>
          </w:tcPr>
          <w:p w14:paraId="36F59DC1"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Not meaningful</w:t>
            </w:r>
          </w:p>
        </w:tc>
        <w:tc>
          <w:tcPr>
            <w:tcW w:w="0" w:type="auto"/>
            <w:hideMark/>
          </w:tcPr>
          <w:p w14:paraId="07B1C178"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Not meaningful</w:t>
            </w:r>
          </w:p>
        </w:tc>
      </w:tr>
      <w:tr w:rsidR="009E56B5" w:rsidRPr="00FE4F98" w14:paraId="7A3278AC" w14:textId="77777777" w:rsidTr="009E56B5">
        <w:tc>
          <w:tcPr>
            <w:tcW w:w="0" w:type="auto"/>
            <w:hideMark/>
          </w:tcPr>
          <w:p w14:paraId="48C3BA22"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lastRenderedPageBreak/>
              <w:t>ROE</w:t>
            </w:r>
          </w:p>
        </w:tc>
        <w:tc>
          <w:tcPr>
            <w:tcW w:w="0" w:type="auto"/>
            <w:hideMark/>
          </w:tcPr>
          <w:p w14:paraId="17C881DF"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Net Income / Equity</w:t>
            </w:r>
          </w:p>
        </w:tc>
        <w:tc>
          <w:tcPr>
            <w:tcW w:w="0" w:type="auto"/>
            <w:hideMark/>
          </w:tcPr>
          <w:p w14:paraId="022B017C"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12.31%</w:t>
            </w:r>
          </w:p>
        </w:tc>
        <w:tc>
          <w:tcPr>
            <w:tcW w:w="0" w:type="auto"/>
            <w:hideMark/>
          </w:tcPr>
          <w:p w14:paraId="46E4B1BC"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1.92%</w:t>
            </w:r>
          </w:p>
        </w:tc>
        <w:tc>
          <w:tcPr>
            <w:tcW w:w="0" w:type="auto"/>
            <w:hideMark/>
          </w:tcPr>
          <w:p w14:paraId="4E836246"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0.15%</w:t>
            </w:r>
          </w:p>
        </w:tc>
        <w:tc>
          <w:tcPr>
            <w:tcW w:w="0" w:type="auto"/>
            <w:hideMark/>
          </w:tcPr>
          <w:p w14:paraId="215DF445"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−54.91%</w:t>
            </w:r>
          </w:p>
        </w:tc>
        <w:tc>
          <w:tcPr>
            <w:tcW w:w="0" w:type="auto"/>
            <w:hideMark/>
          </w:tcPr>
          <w:p w14:paraId="2C70B091"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−15.69%</w:t>
            </w:r>
          </w:p>
        </w:tc>
      </w:tr>
    </w:tbl>
    <w:p w14:paraId="60D111BB" w14:textId="77777777" w:rsidR="003A3417" w:rsidRPr="00FE4F98" w:rsidRDefault="009E56B5" w:rsidP="00FE4F98">
      <w:pPr>
        <w:spacing w:before="100" w:beforeAutospacing="1" w:after="100" w:afterAutospacing="1"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Table A5: Investment Ratios (Self-Prepared)</w:t>
      </w:r>
    </w:p>
    <w:p w14:paraId="765AB1C9" w14:textId="299743F5" w:rsidR="009E56B5" w:rsidRPr="00FE4F98" w:rsidRDefault="009E56B5" w:rsidP="00FE4F98">
      <w:pPr>
        <w:spacing w:before="100" w:beforeAutospacing="1" w:after="100" w:afterAutospacing="1" w:line="360" w:lineRule="auto"/>
        <w:jc w:val="center"/>
        <w:rPr>
          <w:rFonts w:ascii="Arial" w:eastAsia="Times New Roman" w:hAnsi="Arial" w:cs="Arial"/>
          <w:sz w:val="24"/>
          <w:szCs w:val="24"/>
        </w:rPr>
      </w:pPr>
      <w:r w:rsidRPr="00FE4F98">
        <w:rPr>
          <w:rFonts w:ascii="Arial" w:eastAsia="Times New Roman" w:hAnsi="Arial" w:cs="Arial"/>
          <w:sz w:val="24"/>
          <w:szCs w:val="24"/>
        </w:rPr>
        <w:br/>
      </w:r>
      <w:r w:rsidRPr="00FE4F98">
        <w:rPr>
          <w:rFonts w:ascii="Arial" w:eastAsia="Times New Roman" w:hAnsi="Arial" w:cs="Arial"/>
          <w:b/>
          <w:bCs/>
          <w:sz w:val="24"/>
          <w:szCs w:val="24"/>
        </w:rPr>
        <w:t>Figure A5: Investment Ratio Comparison (Self-Prepared)</w:t>
      </w:r>
    </w:p>
    <w:p w14:paraId="10637238" w14:textId="77777777" w:rsidR="009E56B5" w:rsidRPr="00FE4F98" w:rsidRDefault="009E56B5" w:rsidP="00FE4F98">
      <w:pPr>
        <w:spacing w:before="100" w:beforeAutospacing="1" w:after="100" w:afterAutospacing="1" w:line="360" w:lineRule="auto"/>
        <w:outlineLvl w:val="1"/>
        <w:rPr>
          <w:rFonts w:ascii="Arial" w:eastAsia="Times New Roman" w:hAnsi="Arial" w:cs="Arial"/>
          <w:b/>
          <w:bCs/>
          <w:sz w:val="24"/>
          <w:szCs w:val="24"/>
        </w:rPr>
      </w:pPr>
      <w:bookmarkStart w:id="45" w:name="_Toc217082176"/>
      <w:r w:rsidRPr="00FE4F98">
        <w:rPr>
          <w:rFonts w:ascii="Arial" w:eastAsia="Times New Roman" w:hAnsi="Arial" w:cs="Arial"/>
          <w:b/>
          <w:bCs/>
          <w:sz w:val="24"/>
          <w:szCs w:val="24"/>
        </w:rPr>
        <w:t>Table A6: Cash Flow Ratios (2020–2024)</w:t>
      </w:r>
      <w:bookmarkEnd w:id="45"/>
    </w:p>
    <w:p w14:paraId="52218E1B" w14:textId="77777777" w:rsidR="009E56B5" w:rsidRPr="00FE4F98" w:rsidRDefault="009E56B5" w:rsidP="00FE4F98">
      <w:p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b/>
          <w:bCs/>
          <w:sz w:val="24"/>
          <w:szCs w:val="24"/>
        </w:rPr>
        <w:t>Formulas</w:t>
      </w:r>
    </w:p>
    <w:p w14:paraId="6C5591C0" w14:textId="77777777" w:rsidR="009E56B5" w:rsidRPr="00FE4F98" w:rsidRDefault="009E56B5" w:rsidP="00FE4F98">
      <w:pPr>
        <w:numPr>
          <w:ilvl w:val="0"/>
          <w:numId w:val="6"/>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Operating Cash Flow Ratio = Operating Cash Flow ÷ Current Liabilities</w:t>
      </w:r>
    </w:p>
    <w:p w14:paraId="29C55AD4" w14:textId="77777777" w:rsidR="009E56B5" w:rsidRPr="00FE4F98" w:rsidRDefault="009E56B5" w:rsidP="00FE4F98">
      <w:pPr>
        <w:numPr>
          <w:ilvl w:val="0"/>
          <w:numId w:val="6"/>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Cash Flow to Debt Ratio = Operating Cash Flow ÷ Total Liabilities</w:t>
      </w:r>
    </w:p>
    <w:p w14:paraId="133A3609" w14:textId="77777777" w:rsidR="009E56B5" w:rsidRPr="00FE4F98" w:rsidRDefault="009E56B5" w:rsidP="00FE4F98">
      <w:pPr>
        <w:numPr>
          <w:ilvl w:val="0"/>
          <w:numId w:val="6"/>
        </w:num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Cash Flow Margin = Operating Cash Flow ÷ Net Sales</w:t>
      </w:r>
    </w:p>
    <w:tbl>
      <w:tblPr>
        <w:tblStyle w:val="TableGrid"/>
        <w:tblW w:w="0" w:type="auto"/>
        <w:tblLook w:val="04A0" w:firstRow="1" w:lastRow="0" w:firstColumn="1" w:lastColumn="0" w:noHBand="0" w:noVBand="1"/>
      </w:tblPr>
      <w:tblGrid>
        <w:gridCol w:w="2484"/>
        <w:gridCol w:w="2248"/>
        <w:gridCol w:w="1030"/>
        <w:gridCol w:w="897"/>
        <w:gridCol w:w="897"/>
        <w:gridCol w:w="897"/>
        <w:gridCol w:w="897"/>
      </w:tblGrid>
      <w:tr w:rsidR="009E56B5" w:rsidRPr="00FE4F98" w14:paraId="492A0A88" w14:textId="77777777" w:rsidTr="009E56B5">
        <w:tc>
          <w:tcPr>
            <w:tcW w:w="0" w:type="auto"/>
            <w:hideMark/>
          </w:tcPr>
          <w:p w14:paraId="3B37A188"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Ratio</w:t>
            </w:r>
          </w:p>
        </w:tc>
        <w:tc>
          <w:tcPr>
            <w:tcW w:w="0" w:type="auto"/>
            <w:hideMark/>
          </w:tcPr>
          <w:p w14:paraId="603CA2F7"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Formula</w:t>
            </w:r>
          </w:p>
        </w:tc>
        <w:tc>
          <w:tcPr>
            <w:tcW w:w="0" w:type="auto"/>
            <w:hideMark/>
          </w:tcPr>
          <w:p w14:paraId="1144BF4A"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2020</w:t>
            </w:r>
          </w:p>
        </w:tc>
        <w:tc>
          <w:tcPr>
            <w:tcW w:w="0" w:type="auto"/>
            <w:hideMark/>
          </w:tcPr>
          <w:p w14:paraId="156B4065"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2021</w:t>
            </w:r>
          </w:p>
        </w:tc>
        <w:tc>
          <w:tcPr>
            <w:tcW w:w="0" w:type="auto"/>
            <w:hideMark/>
          </w:tcPr>
          <w:p w14:paraId="4E92133F"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2022</w:t>
            </w:r>
          </w:p>
        </w:tc>
        <w:tc>
          <w:tcPr>
            <w:tcW w:w="0" w:type="auto"/>
            <w:hideMark/>
          </w:tcPr>
          <w:p w14:paraId="54F92656"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2023</w:t>
            </w:r>
          </w:p>
        </w:tc>
        <w:tc>
          <w:tcPr>
            <w:tcW w:w="0" w:type="auto"/>
            <w:hideMark/>
          </w:tcPr>
          <w:p w14:paraId="754091E6"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2024</w:t>
            </w:r>
          </w:p>
        </w:tc>
      </w:tr>
      <w:tr w:rsidR="009E56B5" w:rsidRPr="00FE4F98" w14:paraId="06B12F2C" w14:textId="77777777" w:rsidTr="009E56B5">
        <w:tc>
          <w:tcPr>
            <w:tcW w:w="0" w:type="auto"/>
            <w:hideMark/>
          </w:tcPr>
          <w:p w14:paraId="6CE2E57C"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Operating Cash Flow Ratio</w:t>
            </w:r>
          </w:p>
        </w:tc>
        <w:tc>
          <w:tcPr>
            <w:tcW w:w="0" w:type="auto"/>
            <w:hideMark/>
          </w:tcPr>
          <w:p w14:paraId="578ABD55"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OCF / Current Liabilities</w:t>
            </w:r>
          </w:p>
        </w:tc>
        <w:tc>
          <w:tcPr>
            <w:tcW w:w="0" w:type="auto"/>
            <w:hideMark/>
          </w:tcPr>
          <w:p w14:paraId="008E4651"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0.41</w:t>
            </w:r>
          </w:p>
        </w:tc>
        <w:tc>
          <w:tcPr>
            <w:tcW w:w="0" w:type="auto"/>
            <w:hideMark/>
          </w:tcPr>
          <w:p w14:paraId="6D2C3C22"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0.19</w:t>
            </w:r>
          </w:p>
        </w:tc>
        <w:tc>
          <w:tcPr>
            <w:tcW w:w="0" w:type="auto"/>
            <w:hideMark/>
          </w:tcPr>
          <w:p w14:paraId="550BD2B9"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0.05</w:t>
            </w:r>
          </w:p>
        </w:tc>
        <w:tc>
          <w:tcPr>
            <w:tcW w:w="0" w:type="auto"/>
            <w:hideMark/>
          </w:tcPr>
          <w:p w14:paraId="419FD7A7"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0.16</w:t>
            </w:r>
          </w:p>
        </w:tc>
        <w:tc>
          <w:tcPr>
            <w:tcW w:w="0" w:type="auto"/>
            <w:hideMark/>
          </w:tcPr>
          <w:p w14:paraId="2C20F058"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0.09</w:t>
            </w:r>
          </w:p>
        </w:tc>
      </w:tr>
      <w:tr w:rsidR="009E56B5" w:rsidRPr="00FE4F98" w14:paraId="63444F41" w14:textId="77777777" w:rsidTr="009E56B5">
        <w:tc>
          <w:tcPr>
            <w:tcW w:w="0" w:type="auto"/>
            <w:hideMark/>
          </w:tcPr>
          <w:p w14:paraId="566B5E3C"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Cash Flow to Debt Ratio</w:t>
            </w:r>
          </w:p>
        </w:tc>
        <w:tc>
          <w:tcPr>
            <w:tcW w:w="0" w:type="auto"/>
            <w:hideMark/>
          </w:tcPr>
          <w:p w14:paraId="700B06ED"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OCF / Total Liabilities</w:t>
            </w:r>
          </w:p>
        </w:tc>
        <w:tc>
          <w:tcPr>
            <w:tcW w:w="0" w:type="auto"/>
            <w:hideMark/>
          </w:tcPr>
          <w:p w14:paraId="721597D9"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0.37</w:t>
            </w:r>
          </w:p>
        </w:tc>
        <w:tc>
          <w:tcPr>
            <w:tcW w:w="0" w:type="auto"/>
            <w:hideMark/>
          </w:tcPr>
          <w:p w14:paraId="416F5372"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0.17</w:t>
            </w:r>
          </w:p>
        </w:tc>
        <w:tc>
          <w:tcPr>
            <w:tcW w:w="0" w:type="auto"/>
            <w:hideMark/>
          </w:tcPr>
          <w:p w14:paraId="66E120BE"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0.05</w:t>
            </w:r>
          </w:p>
        </w:tc>
        <w:tc>
          <w:tcPr>
            <w:tcW w:w="0" w:type="auto"/>
            <w:hideMark/>
          </w:tcPr>
          <w:p w14:paraId="65B1FB2D"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0.14</w:t>
            </w:r>
          </w:p>
        </w:tc>
        <w:tc>
          <w:tcPr>
            <w:tcW w:w="0" w:type="auto"/>
            <w:hideMark/>
          </w:tcPr>
          <w:p w14:paraId="77FDEB99"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0.09</w:t>
            </w:r>
          </w:p>
        </w:tc>
      </w:tr>
      <w:tr w:rsidR="009E56B5" w:rsidRPr="00FE4F98" w14:paraId="29A905E8" w14:textId="77777777" w:rsidTr="009E56B5">
        <w:tc>
          <w:tcPr>
            <w:tcW w:w="0" w:type="auto"/>
            <w:hideMark/>
          </w:tcPr>
          <w:p w14:paraId="4EA1686C"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Cash Flow Margin</w:t>
            </w:r>
          </w:p>
        </w:tc>
        <w:tc>
          <w:tcPr>
            <w:tcW w:w="0" w:type="auto"/>
            <w:hideMark/>
          </w:tcPr>
          <w:p w14:paraId="212FE216"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OCF / Net Sales</w:t>
            </w:r>
          </w:p>
        </w:tc>
        <w:tc>
          <w:tcPr>
            <w:tcW w:w="0" w:type="auto"/>
            <w:hideMark/>
          </w:tcPr>
          <w:p w14:paraId="45011A38"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11.94%</w:t>
            </w:r>
          </w:p>
        </w:tc>
        <w:tc>
          <w:tcPr>
            <w:tcW w:w="0" w:type="auto"/>
            <w:hideMark/>
          </w:tcPr>
          <w:p w14:paraId="5657A0F9"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6.70%</w:t>
            </w:r>
          </w:p>
        </w:tc>
        <w:tc>
          <w:tcPr>
            <w:tcW w:w="0" w:type="auto"/>
            <w:hideMark/>
          </w:tcPr>
          <w:p w14:paraId="7AC746FF"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2.01%</w:t>
            </w:r>
          </w:p>
        </w:tc>
        <w:tc>
          <w:tcPr>
            <w:tcW w:w="0" w:type="auto"/>
            <w:hideMark/>
          </w:tcPr>
          <w:p w14:paraId="49FB9CF9"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5.99%</w:t>
            </w:r>
          </w:p>
        </w:tc>
        <w:tc>
          <w:tcPr>
            <w:tcW w:w="0" w:type="auto"/>
            <w:hideMark/>
          </w:tcPr>
          <w:p w14:paraId="54C1CB81"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3.75%</w:t>
            </w:r>
          </w:p>
        </w:tc>
      </w:tr>
    </w:tbl>
    <w:p w14:paraId="242FFEAD" w14:textId="77777777" w:rsidR="003A3417" w:rsidRPr="00FE4F98" w:rsidRDefault="009E56B5" w:rsidP="00FE4F98">
      <w:pPr>
        <w:spacing w:before="100" w:beforeAutospacing="1" w:after="100" w:afterAutospacing="1"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Table A6: Cash Flow Ratios (Self-Prepared)</w:t>
      </w:r>
    </w:p>
    <w:p w14:paraId="4318ADE3" w14:textId="4E8AC4DE" w:rsidR="009E56B5" w:rsidRPr="00FE4F98" w:rsidRDefault="003A3417" w:rsidP="00FE4F98">
      <w:pPr>
        <w:spacing w:before="100" w:beforeAutospacing="1" w:after="100" w:afterAutospacing="1" w:line="360" w:lineRule="auto"/>
        <w:jc w:val="center"/>
        <w:rPr>
          <w:rFonts w:ascii="Arial" w:eastAsia="Times New Roman" w:hAnsi="Arial" w:cs="Arial"/>
          <w:sz w:val="24"/>
          <w:szCs w:val="24"/>
        </w:rPr>
      </w:pPr>
      <w:r w:rsidRPr="00FE4F98">
        <w:rPr>
          <w:rFonts w:ascii="Arial" w:hAnsi="Arial" w:cs="Arial"/>
          <w:noProof/>
        </w:rPr>
        <w:lastRenderedPageBreak/>
        <w:drawing>
          <wp:inline distT="0" distB="0" distL="0" distR="0" wp14:anchorId="3CAF5FFA" wp14:editId="2F01BFCE">
            <wp:extent cx="5400000" cy="2700000"/>
            <wp:effectExtent l="0" t="0" r="10795" b="5715"/>
            <wp:docPr id="2" name="Chart 2">
              <a:extLst xmlns:a="http://schemas.openxmlformats.org/drawingml/2006/main">
                <a:ext uri="{FF2B5EF4-FFF2-40B4-BE49-F238E27FC236}">
                  <a16:creationId xmlns:a16="http://schemas.microsoft.com/office/drawing/2014/main" id="{00000000-0008-0000-04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9E56B5" w:rsidRPr="00FE4F98">
        <w:rPr>
          <w:rFonts w:ascii="Arial" w:eastAsia="Times New Roman" w:hAnsi="Arial" w:cs="Arial"/>
          <w:sz w:val="24"/>
          <w:szCs w:val="24"/>
        </w:rPr>
        <w:br/>
      </w:r>
      <w:r w:rsidR="009E56B5" w:rsidRPr="00FE4F98">
        <w:rPr>
          <w:rFonts w:ascii="Arial" w:eastAsia="Times New Roman" w:hAnsi="Arial" w:cs="Arial"/>
          <w:b/>
          <w:bCs/>
          <w:sz w:val="24"/>
          <w:szCs w:val="24"/>
        </w:rPr>
        <w:t>Figure A6: Cash Flow Ratio Comparison (Self-Prepared)</w:t>
      </w:r>
    </w:p>
    <w:p w14:paraId="7176E3CA" w14:textId="77777777" w:rsidR="00FE4F98" w:rsidRDefault="00FE4F98" w:rsidP="00FE4F98">
      <w:pPr>
        <w:spacing w:before="100" w:beforeAutospacing="1" w:after="100" w:afterAutospacing="1" w:line="360" w:lineRule="auto"/>
        <w:outlineLvl w:val="1"/>
        <w:rPr>
          <w:rFonts w:ascii="Arial" w:eastAsia="Times New Roman" w:hAnsi="Arial" w:cs="Arial"/>
          <w:b/>
          <w:bCs/>
          <w:sz w:val="24"/>
          <w:szCs w:val="24"/>
        </w:rPr>
      </w:pPr>
      <w:bookmarkStart w:id="46" w:name="_Toc217082177"/>
    </w:p>
    <w:p w14:paraId="24D3B19C" w14:textId="77A0DE23" w:rsidR="009E56B5" w:rsidRPr="00FE4F98" w:rsidRDefault="009E56B5" w:rsidP="00FE4F98">
      <w:pPr>
        <w:spacing w:before="100" w:beforeAutospacing="1" w:after="100" w:afterAutospacing="1" w:line="360" w:lineRule="auto"/>
        <w:outlineLvl w:val="1"/>
        <w:rPr>
          <w:rFonts w:ascii="Arial" w:eastAsia="Times New Roman" w:hAnsi="Arial" w:cs="Arial"/>
          <w:b/>
          <w:bCs/>
          <w:sz w:val="24"/>
          <w:szCs w:val="24"/>
        </w:rPr>
      </w:pPr>
      <w:r w:rsidRPr="00FE4F98">
        <w:rPr>
          <w:rFonts w:ascii="Arial" w:eastAsia="Times New Roman" w:hAnsi="Arial" w:cs="Arial"/>
          <w:b/>
          <w:bCs/>
          <w:sz w:val="24"/>
          <w:szCs w:val="24"/>
        </w:rPr>
        <w:t>Table A7: Altman Z-Score Calculation (2020–2024)</w:t>
      </w:r>
      <w:bookmarkEnd w:id="46"/>
    </w:p>
    <w:p w14:paraId="685186D6" w14:textId="77777777" w:rsidR="009E56B5" w:rsidRPr="00FE4F98" w:rsidRDefault="009E56B5" w:rsidP="00FE4F98">
      <w:p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b/>
          <w:bCs/>
          <w:sz w:val="24"/>
          <w:szCs w:val="24"/>
        </w:rPr>
        <w:t>Model</w:t>
      </w:r>
      <w:r w:rsidRPr="00FE4F98">
        <w:rPr>
          <w:rFonts w:ascii="Arial" w:eastAsia="Times New Roman" w:hAnsi="Arial" w:cs="Arial"/>
          <w:sz w:val="24"/>
          <w:szCs w:val="24"/>
        </w:rPr>
        <w:br/>
        <w:t>Z = 1.2X</w:t>
      </w:r>
      <w:r w:rsidRPr="00FE4F98">
        <w:rPr>
          <w:rFonts w:ascii="Cambria Math" w:eastAsia="Times New Roman" w:hAnsi="Cambria Math" w:cs="Cambria Math"/>
          <w:sz w:val="24"/>
          <w:szCs w:val="24"/>
        </w:rPr>
        <w:t>₁</w:t>
      </w:r>
      <w:r w:rsidRPr="00FE4F98">
        <w:rPr>
          <w:rFonts w:ascii="Arial" w:eastAsia="Times New Roman" w:hAnsi="Arial" w:cs="Arial"/>
          <w:sz w:val="24"/>
          <w:szCs w:val="24"/>
        </w:rPr>
        <w:t xml:space="preserve"> + 1.4X</w:t>
      </w:r>
      <w:r w:rsidRPr="00FE4F98">
        <w:rPr>
          <w:rFonts w:ascii="Cambria Math" w:eastAsia="Times New Roman" w:hAnsi="Cambria Math" w:cs="Cambria Math"/>
          <w:sz w:val="24"/>
          <w:szCs w:val="24"/>
        </w:rPr>
        <w:t>₂</w:t>
      </w:r>
      <w:r w:rsidRPr="00FE4F98">
        <w:rPr>
          <w:rFonts w:ascii="Arial" w:eastAsia="Times New Roman" w:hAnsi="Arial" w:cs="Arial"/>
          <w:sz w:val="24"/>
          <w:szCs w:val="24"/>
        </w:rPr>
        <w:t xml:space="preserve"> + 3.3X</w:t>
      </w:r>
      <w:r w:rsidRPr="00FE4F98">
        <w:rPr>
          <w:rFonts w:ascii="Cambria Math" w:eastAsia="Times New Roman" w:hAnsi="Cambria Math" w:cs="Cambria Math"/>
          <w:sz w:val="24"/>
          <w:szCs w:val="24"/>
        </w:rPr>
        <w:t>₃</w:t>
      </w:r>
      <w:r w:rsidRPr="00FE4F98">
        <w:rPr>
          <w:rFonts w:ascii="Arial" w:eastAsia="Times New Roman" w:hAnsi="Arial" w:cs="Arial"/>
          <w:sz w:val="24"/>
          <w:szCs w:val="24"/>
        </w:rPr>
        <w:t xml:space="preserve"> + 0.6X</w:t>
      </w:r>
      <w:r w:rsidRPr="00FE4F98">
        <w:rPr>
          <w:rFonts w:ascii="Cambria Math" w:eastAsia="Times New Roman" w:hAnsi="Cambria Math" w:cs="Cambria Math"/>
          <w:sz w:val="24"/>
          <w:szCs w:val="24"/>
        </w:rPr>
        <w:t>₄</w:t>
      </w:r>
      <w:r w:rsidRPr="00FE4F98">
        <w:rPr>
          <w:rFonts w:ascii="Arial" w:eastAsia="Times New Roman" w:hAnsi="Arial" w:cs="Arial"/>
          <w:sz w:val="24"/>
          <w:szCs w:val="24"/>
        </w:rPr>
        <w:t xml:space="preserve"> + 1.0X</w:t>
      </w:r>
      <w:r w:rsidRPr="00FE4F98">
        <w:rPr>
          <w:rFonts w:ascii="Cambria Math" w:eastAsia="Times New Roman" w:hAnsi="Cambria Math" w:cs="Cambria Math"/>
          <w:sz w:val="24"/>
          <w:szCs w:val="24"/>
        </w:rPr>
        <w:t>₅</w:t>
      </w:r>
    </w:p>
    <w:tbl>
      <w:tblPr>
        <w:tblStyle w:val="TableGrid"/>
        <w:tblW w:w="0" w:type="auto"/>
        <w:tblLook w:val="04A0" w:firstRow="1" w:lastRow="0" w:firstColumn="1" w:lastColumn="0" w:noHBand="0" w:noVBand="1"/>
      </w:tblPr>
      <w:tblGrid>
        <w:gridCol w:w="1792"/>
        <w:gridCol w:w="3660"/>
        <w:gridCol w:w="750"/>
        <w:gridCol w:w="750"/>
        <w:gridCol w:w="750"/>
        <w:gridCol w:w="824"/>
        <w:gridCol w:w="824"/>
      </w:tblGrid>
      <w:tr w:rsidR="009E56B5" w:rsidRPr="00FE4F98" w14:paraId="71EE71A1" w14:textId="77777777" w:rsidTr="009E56B5">
        <w:tc>
          <w:tcPr>
            <w:tcW w:w="0" w:type="auto"/>
            <w:hideMark/>
          </w:tcPr>
          <w:p w14:paraId="1AAE9F6E"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Component</w:t>
            </w:r>
          </w:p>
        </w:tc>
        <w:tc>
          <w:tcPr>
            <w:tcW w:w="0" w:type="auto"/>
            <w:hideMark/>
          </w:tcPr>
          <w:p w14:paraId="3826F0B7"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Formula</w:t>
            </w:r>
          </w:p>
        </w:tc>
        <w:tc>
          <w:tcPr>
            <w:tcW w:w="0" w:type="auto"/>
            <w:hideMark/>
          </w:tcPr>
          <w:p w14:paraId="48ED6755"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2020</w:t>
            </w:r>
          </w:p>
        </w:tc>
        <w:tc>
          <w:tcPr>
            <w:tcW w:w="0" w:type="auto"/>
            <w:hideMark/>
          </w:tcPr>
          <w:p w14:paraId="56A21353"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2021</w:t>
            </w:r>
          </w:p>
        </w:tc>
        <w:tc>
          <w:tcPr>
            <w:tcW w:w="0" w:type="auto"/>
            <w:hideMark/>
          </w:tcPr>
          <w:p w14:paraId="22CC4320"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2022</w:t>
            </w:r>
          </w:p>
        </w:tc>
        <w:tc>
          <w:tcPr>
            <w:tcW w:w="0" w:type="auto"/>
            <w:hideMark/>
          </w:tcPr>
          <w:p w14:paraId="1137F2A7"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2023</w:t>
            </w:r>
          </w:p>
        </w:tc>
        <w:tc>
          <w:tcPr>
            <w:tcW w:w="0" w:type="auto"/>
            <w:hideMark/>
          </w:tcPr>
          <w:p w14:paraId="2A64A3D8" w14:textId="77777777" w:rsidR="009E56B5" w:rsidRPr="00FE4F98" w:rsidRDefault="009E56B5" w:rsidP="00FE4F98">
            <w:pPr>
              <w:spacing w:line="360" w:lineRule="auto"/>
              <w:jc w:val="center"/>
              <w:rPr>
                <w:rFonts w:ascii="Arial" w:eastAsia="Times New Roman" w:hAnsi="Arial" w:cs="Arial"/>
                <w:b/>
                <w:bCs/>
                <w:sz w:val="24"/>
                <w:szCs w:val="24"/>
              </w:rPr>
            </w:pPr>
            <w:r w:rsidRPr="00FE4F98">
              <w:rPr>
                <w:rFonts w:ascii="Arial" w:eastAsia="Times New Roman" w:hAnsi="Arial" w:cs="Arial"/>
                <w:b/>
                <w:bCs/>
                <w:sz w:val="24"/>
                <w:szCs w:val="24"/>
              </w:rPr>
              <w:t>2024</w:t>
            </w:r>
          </w:p>
        </w:tc>
      </w:tr>
      <w:tr w:rsidR="009E56B5" w:rsidRPr="00FE4F98" w14:paraId="74B7E0DD" w14:textId="77777777" w:rsidTr="009E56B5">
        <w:tc>
          <w:tcPr>
            <w:tcW w:w="0" w:type="auto"/>
            <w:hideMark/>
          </w:tcPr>
          <w:p w14:paraId="638A175C"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X</w:t>
            </w:r>
            <w:r w:rsidRPr="00FE4F98">
              <w:rPr>
                <w:rFonts w:ascii="Cambria Math" w:eastAsia="Times New Roman" w:hAnsi="Cambria Math" w:cs="Cambria Math"/>
                <w:sz w:val="24"/>
                <w:szCs w:val="24"/>
              </w:rPr>
              <w:t>₁</w:t>
            </w:r>
          </w:p>
        </w:tc>
        <w:tc>
          <w:tcPr>
            <w:tcW w:w="0" w:type="auto"/>
            <w:hideMark/>
          </w:tcPr>
          <w:p w14:paraId="43AF1796"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(Current Assets − Current Liabilities) / Total Assets</w:t>
            </w:r>
          </w:p>
        </w:tc>
        <w:tc>
          <w:tcPr>
            <w:tcW w:w="0" w:type="auto"/>
            <w:hideMark/>
          </w:tcPr>
          <w:p w14:paraId="2F28B64D"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0.29</w:t>
            </w:r>
          </w:p>
        </w:tc>
        <w:tc>
          <w:tcPr>
            <w:tcW w:w="0" w:type="auto"/>
            <w:hideMark/>
          </w:tcPr>
          <w:p w14:paraId="47E67586"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0.24</w:t>
            </w:r>
          </w:p>
        </w:tc>
        <w:tc>
          <w:tcPr>
            <w:tcW w:w="0" w:type="auto"/>
            <w:hideMark/>
          </w:tcPr>
          <w:p w14:paraId="6F376F71"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0.24</w:t>
            </w:r>
          </w:p>
        </w:tc>
        <w:tc>
          <w:tcPr>
            <w:tcW w:w="0" w:type="auto"/>
            <w:hideMark/>
          </w:tcPr>
          <w:p w14:paraId="3CBB331E"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0.27</w:t>
            </w:r>
          </w:p>
        </w:tc>
        <w:tc>
          <w:tcPr>
            <w:tcW w:w="0" w:type="auto"/>
            <w:hideMark/>
          </w:tcPr>
          <w:p w14:paraId="74A4E37B"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0.26</w:t>
            </w:r>
          </w:p>
        </w:tc>
      </w:tr>
      <w:tr w:rsidR="009E56B5" w:rsidRPr="00FE4F98" w14:paraId="035C5BC3" w14:textId="77777777" w:rsidTr="009E56B5">
        <w:tc>
          <w:tcPr>
            <w:tcW w:w="0" w:type="auto"/>
            <w:hideMark/>
          </w:tcPr>
          <w:p w14:paraId="4D3A6FCD"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X</w:t>
            </w:r>
            <w:r w:rsidRPr="00FE4F98">
              <w:rPr>
                <w:rFonts w:ascii="Cambria Math" w:eastAsia="Times New Roman" w:hAnsi="Cambria Math" w:cs="Cambria Math"/>
                <w:sz w:val="24"/>
                <w:szCs w:val="24"/>
              </w:rPr>
              <w:t>₂</w:t>
            </w:r>
          </w:p>
        </w:tc>
        <w:tc>
          <w:tcPr>
            <w:tcW w:w="0" w:type="auto"/>
            <w:hideMark/>
          </w:tcPr>
          <w:p w14:paraId="55DFEC81"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Retained Earnings / Total Assets</w:t>
            </w:r>
          </w:p>
        </w:tc>
        <w:tc>
          <w:tcPr>
            <w:tcW w:w="0" w:type="auto"/>
            <w:hideMark/>
          </w:tcPr>
          <w:p w14:paraId="0A80F353"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0.64</w:t>
            </w:r>
          </w:p>
        </w:tc>
        <w:tc>
          <w:tcPr>
            <w:tcW w:w="0" w:type="auto"/>
            <w:hideMark/>
          </w:tcPr>
          <w:p w14:paraId="10035E31"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0.65</w:t>
            </w:r>
          </w:p>
        </w:tc>
        <w:tc>
          <w:tcPr>
            <w:tcW w:w="0" w:type="auto"/>
            <w:hideMark/>
          </w:tcPr>
          <w:p w14:paraId="6C4149A0"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0.66</w:t>
            </w:r>
          </w:p>
        </w:tc>
        <w:tc>
          <w:tcPr>
            <w:tcW w:w="0" w:type="auto"/>
            <w:hideMark/>
          </w:tcPr>
          <w:p w14:paraId="1FB27870"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0.65</w:t>
            </w:r>
          </w:p>
        </w:tc>
        <w:tc>
          <w:tcPr>
            <w:tcW w:w="0" w:type="auto"/>
            <w:hideMark/>
          </w:tcPr>
          <w:p w14:paraId="1CC3172A"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0.64</w:t>
            </w:r>
          </w:p>
        </w:tc>
      </w:tr>
      <w:tr w:rsidR="009E56B5" w:rsidRPr="00FE4F98" w14:paraId="6D447A17" w14:textId="77777777" w:rsidTr="009E56B5">
        <w:tc>
          <w:tcPr>
            <w:tcW w:w="0" w:type="auto"/>
            <w:hideMark/>
          </w:tcPr>
          <w:p w14:paraId="0938EF7B"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X</w:t>
            </w:r>
            <w:r w:rsidRPr="00FE4F98">
              <w:rPr>
                <w:rFonts w:ascii="Cambria Math" w:eastAsia="Times New Roman" w:hAnsi="Cambria Math" w:cs="Cambria Math"/>
                <w:sz w:val="24"/>
                <w:szCs w:val="24"/>
              </w:rPr>
              <w:t>₃</w:t>
            </w:r>
          </w:p>
        </w:tc>
        <w:tc>
          <w:tcPr>
            <w:tcW w:w="0" w:type="auto"/>
            <w:hideMark/>
          </w:tcPr>
          <w:p w14:paraId="6847F887"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EBIT / Total Assets</w:t>
            </w:r>
          </w:p>
        </w:tc>
        <w:tc>
          <w:tcPr>
            <w:tcW w:w="0" w:type="auto"/>
            <w:hideMark/>
          </w:tcPr>
          <w:p w14:paraId="2C1651C0"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0.07</w:t>
            </w:r>
          </w:p>
        </w:tc>
        <w:tc>
          <w:tcPr>
            <w:tcW w:w="0" w:type="auto"/>
            <w:hideMark/>
          </w:tcPr>
          <w:p w14:paraId="6F4AEC24"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0.05</w:t>
            </w:r>
          </w:p>
        </w:tc>
        <w:tc>
          <w:tcPr>
            <w:tcW w:w="0" w:type="auto"/>
            <w:hideMark/>
          </w:tcPr>
          <w:p w14:paraId="28522687"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0.03</w:t>
            </w:r>
          </w:p>
        </w:tc>
        <w:tc>
          <w:tcPr>
            <w:tcW w:w="0" w:type="auto"/>
            <w:hideMark/>
          </w:tcPr>
          <w:p w14:paraId="729CCFD9"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−0.24</w:t>
            </w:r>
          </w:p>
        </w:tc>
        <w:tc>
          <w:tcPr>
            <w:tcW w:w="0" w:type="auto"/>
            <w:hideMark/>
          </w:tcPr>
          <w:p w14:paraId="04DEAAA0"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−0.05</w:t>
            </w:r>
          </w:p>
        </w:tc>
      </w:tr>
      <w:tr w:rsidR="009E56B5" w:rsidRPr="00FE4F98" w14:paraId="6EBEF397" w14:textId="77777777" w:rsidTr="009E56B5">
        <w:tc>
          <w:tcPr>
            <w:tcW w:w="0" w:type="auto"/>
            <w:hideMark/>
          </w:tcPr>
          <w:p w14:paraId="770CA682"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X</w:t>
            </w:r>
            <w:r w:rsidRPr="00FE4F98">
              <w:rPr>
                <w:rFonts w:ascii="Cambria Math" w:eastAsia="Times New Roman" w:hAnsi="Cambria Math" w:cs="Cambria Math"/>
                <w:sz w:val="24"/>
                <w:szCs w:val="24"/>
              </w:rPr>
              <w:t>₄</w:t>
            </w:r>
          </w:p>
        </w:tc>
        <w:tc>
          <w:tcPr>
            <w:tcW w:w="0" w:type="auto"/>
            <w:hideMark/>
          </w:tcPr>
          <w:p w14:paraId="3B5CC7A2"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Market Value of Equity / Total Liabilities</w:t>
            </w:r>
          </w:p>
        </w:tc>
        <w:tc>
          <w:tcPr>
            <w:tcW w:w="0" w:type="auto"/>
            <w:hideMark/>
          </w:tcPr>
          <w:p w14:paraId="716355CF"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8.46</w:t>
            </w:r>
          </w:p>
        </w:tc>
        <w:tc>
          <w:tcPr>
            <w:tcW w:w="0" w:type="auto"/>
            <w:hideMark/>
          </w:tcPr>
          <w:p w14:paraId="0ADFDCBD"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6.89</w:t>
            </w:r>
          </w:p>
        </w:tc>
        <w:tc>
          <w:tcPr>
            <w:tcW w:w="0" w:type="auto"/>
            <w:hideMark/>
          </w:tcPr>
          <w:p w14:paraId="4923FFEC"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6.47</w:t>
            </w:r>
          </w:p>
        </w:tc>
        <w:tc>
          <w:tcPr>
            <w:tcW w:w="0" w:type="auto"/>
            <w:hideMark/>
          </w:tcPr>
          <w:p w14:paraId="051DE298"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8.72</w:t>
            </w:r>
          </w:p>
        </w:tc>
        <w:tc>
          <w:tcPr>
            <w:tcW w:w="0" w:type="auto"/>
            <w:hideMark/>
          </w:tcPr>
          <w:p w14:paraId="668A9D3C"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9.13</w:t>
            </w:r>
          </w:p>
        </w:tc>
      </w:tr>
      <w:tr w:rsidR="009E56B5" w:rsidRPr="00FE4F98" w14:paraId="6FFCF075" w14:textId="77777777" w:rsidTr="009E56B5">
        <w:tc>
          <w:tcPr>
            <w:tcW w:w="0" w:type="auto"/>
            <w:hideMark/>
          </w:tcPr>
          <w:p w14:paraId="2E93DE2B"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X</w:t>
            </w:r>
            <w:r w:rsidRPr="00FE4F98">
              <w:rPr>
                <w:rFonts w:ascii="Cambria Math" w:eastAsia="Times New Roman" w:hAnsi="Cambria Math" w:cs="Cambria Math"/>
                <w:sz w:val="24"/>
                <w:szCs w:val="24"/>
              </w:rPr>
              <w:t>₅</w:t>
            </w:r>
          </w:p>
        </w:tc>
        <w:tc>
          <w:tcPr>
            <w:tcW w:w="0" w:type="auto"/>
            <w:hideMark/>
          </w:tcPr>
          <w:p w14:paraId="79BEEA44"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Net Sales / Total Assets</w:t>
            </w:r>
          </w:p>
        </w:tc>
        <w:tc>
          <w:tcPr>
            <w:tcW w:w="0" w:type="auto"/>
            <w:hideMark/>
          </w:tcPr>
          <w:p w14:paraId="2C2E19F5"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1.20</w:t>
            </w:r>
          </w:p>
        </w:tc>
        <w:tc>
          <w:tcPr>
            <w:tcW w:w="0" w:type="auto"/>
            <w:hideMark/>
          </w:tcPr>
          <w:p w14:paraId="7FA68B2A"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1.18</w:t>
            </w:r>
          </w:p>
        </w:tc>
        <w:tc>
          <w:tcPr>
            <w:tcW w:w="0" w:type="auto"/>
            <w:hideMark/>
          </w:tcPr>
          <w:p w14:paraId="3335CF2F"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1.08</w:t>
            </w:r>
          </w:p>
        </w:tc>
        <w:tc>
          <w:tcPr>
            <w:tcW w:w="0" w:type="auto"/>
            <w:hideMark/>
          </w:tcPr>
          <w:p w14:paraId="3259FA8B"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1.18</w:t>
            </w:r>
          </w:p>
        </w:tc>
        <w:tc>
          <w:tcPr>
            <w:tcW w:w="0" w:type="auto"/>
            <w:hideMark/>
          </w:tcPr>
          <w:p w14:paraId="40ED7060"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1.22</w:t>
            </w:r>
          </w:p>
        </w:tc>
      </w:tr>
      <w:tr w:rsidR="009E56B5" w:rsidRPr="00FE4F98" w14:paraId="7DE63DAE" w14:textId="77777777" w:rsidTr="009E56B5">
        <w:tc>
          <w:tcPr>
            <w:tcW w:w="0" w:type="auto"/>
            <w:hideMark/>
          </w:tcPr>
          <w:p w14:paraId="55A1B3AF"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b/>
                <w:bCs/>
                <w:sz w:val="24"/>
                <w:szCs w:val="24"/>
              </w:rPr>
              <w:t>Altman Z-Score</w:t>
            </w:r>
          </w:p>
        </w:tc>
        <w:tc>
          <w:tcPr>
            <w:tcW w:w="0" w:type="auto"/>
            <w:hideMark/>
          </w:tcPr>
          <w:p w14:paraId="37773217"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sz w:val="24"/>
                <w:szCs w:val="24"/>
              </w:rPr>
              <w:t>Weighted Sum</w:t>
            </w:r>
          </w:p>
        </w:tc>
        <w:tc>
          <w:tcPr>
            <w:tcW w:w="0" w:type="auto"/>
            <w:hideMark/>
          </w:tcPr>
          <w:p w14:paraId="72C97D4F"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b/>
                <w:bCs/>
                <w:sz w:val="24"/>
                <w:szCs w:val="24"/>
              </w:rPr>
              <w:t>7.76</w:t>
            </w:r>
          </w:p>
        </w:tc>
        <w:tc>
          <w:tcPr>
            <w:tcW w:w="0" w:type="auto"/>
            <w:hideMark/>
          </w:tcPr>
          <w:p w14:paraId="36D9418D"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b/>
                <w:bCs/>
                <w:sz w:val="24"/>
                <w:szCs w:val="24"/>
              </w:rPr>
              <w:t>6.65</w:t>
            </w:r>
          </w:p>
        </w:tc>
        <w:tc>
          <w:tcPr>
            <w:tcW w:w="0" w:type="auto"/>
            <w:hideMark/>
          </w:tcPr>
          <w:p w14:paraId="47B48FD2"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b/>
                <w:bCs/>
                <w:sz w:val="24"/>
                <w:szCs w:val="24"/>
              </w:rPr>
              <w:t>6.26</w:t>
            </w:r>
          </w:p>
        </w:tc>
        <w:tc>
          <w:tcPr>
            <w:tcW w:w="0" w:type="auto"/>
            <w:hideMark/>
          </w:tcPr>
          <w:p w14:paraId="74FE3DB5"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b/>
                <w:bCs/>
                <w:sz w:val="24"/>
                <w:szCs w:val="24"/>
              </w:rPr>
              <w:t>6.87</w:t>
            </w:r>
          </w:p>
        </w:tc>
        <w:tc>
          <w:tcPr>
            <w:tcW w:w="0" w:type="auto"/>
            <w:hideMark/>
          </w:tcPr>
          <w:p w14:paraId="58924176" w14:textId="77777777" w:rsidR="009E56B5" w:rsidRPr="00FE4F98" w:rsidRDefault="009E56B5" w:rsidP="00FE4F98">
            <w:pPr>
              <w:spacing w:line="360" w:lineRule="auto"/>
              <w:rPr>
                <w:rFonts w:ascii="Arial" w:eastAsia="Times New Roman" w:hAnsi="Arial" w:cs="Arial"/>
                <w:sz w:val="24"/>
                <w:szCs w:val="24"/>
              </w:rPr>
            </w:pPr>
            <w:r w:rsidRPr="00FE4F98">
              <w:rPr>
                <w:rFonts w:ascii="Arial" w:eastAsia="Times New Roman" w:hAnsi="Arial" w:cs="Arial"/>
                <w:b/>
                <w:bCs/>
                <w:sz w:val="24"/>
                <w:szCs w:val="24"/>
              </w:rPr>
              <w:t>7.76</w:t>
            </w:r>
          </w:p>
        </w:tc>
      </w:tr>
    </w:tbl>
    <w:p w14:paraId="04D9390C" w14:textId="77777777" w:rsidR="009E56B5" w:rsidRPr="00FE4F98" w:rsidRDefault="009E56B5" w:rsidP="00FE4F98">
      <w:pPr>
        <w:spacing w:before="100" w:beforeAutospacing="1" w:after="100" w:afterAutospacing="1" w:line="360" w:lineRule="auto"/>
        <w:jc w:val="center"/>
        <w:rPr>
          <w:rFonts w:ascii="Arial" w:eastAsia="Times New Roman" w:hAnsi="Arial" w:cs="Arial"/>
          <w:sz w:val="24"/>
          <w:szCs w:val="24"/>
        </w:rPr>
      </w:pPr>
      <w:r w:rsidRPr="00FE4F98">
        <w:rPr>
          <w:rFonts w:ascii="Arial" w:eastAsia="Times New Roman" w:hAnsi="Arial" w:cs="Arial"/>
          <w:b/>
          <w:bCs/>
          <w:sz w:val="24"/>
          <w:szCs w:val="24"/>
        </w:rPr>
        <w:t>Table A7: Altman Z-Score (Self-Prepared)</w:t>
      </w:r>
    </w:p>
    <w:p w14:paraId="3A6FA5D6" w14:textId="4B46C3AC" w:rsidR="007D4700" w:rsidRPr="00FE4F98" w:rsidRDefault="009E56B5" w:rsidP="00FE4F98">
      <w:pPr>
        <w:spacing w:line="360" w:lineRule="auto"/>
        <w:jc w:val="center"/>
        <w:rPr>
          <w:rFonts w:ascii="Arial" w:hAnsi="Arial" w:cs="Arial"/>
        </w:rPr>
      </w:pPr>
      <w:r w:rsidRPr="00FE4F98">
        <w:rPr>
          <w:rFonts w:ascii="Arial" w:hAnsi="Arial" w:cs="Arial"/>
          <w:noProof/>
        </w:rPr>
        <w:lastRenderedPageBreak/>
        <w:drawing>
          <wp:inline distT="0" distB="0" distL="0" distR="0" wp14:anchorId="189D5E88" wp14:editId="684058C7">
            <wp:extent cx="5400000" cy="2700000"/>
            <wp:effectExtent l="0" t="0" r="10795" b="5715"/>
            <wp:docPr id="1" name="Chart 1">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4CD785F" w14:textId="74D0AE6B" w:rsidR="003A3417" w:rsidRPr="00FE4F98" w:rsidRDefault="003A3417" w:rsidP="00FE4F98">
      <w:pPr>
        <w:spacing w:line="360" w:lineRule="auto"/>
        <w:jc w:val="center"/>
        <w:rPr>
          <w:rFonts w:ascii="Arial" w:eastAsia="Times New Roman" w:hAnsi="Arial" w:cs="Arial"/>
          <w:b/>
          <w:bCs/>
          <w:sz w:val="16"/>
          <w:szCs w:val="16"/>
        </w:rPr>
      </w:pPr>
      <w:r w:rsidRPr="00FE4F98">
        <w:rPr>
          <w:rFonts w:ascii="Arial" w:eastAsia="Times New Roman" w:hAnsi="Arial" w:cs="Arial"/>
          <w:b/>
          <w:bCs/>
          <w:sz w:val="16"/>
          <w:szCs w:val="16"/>
        </w:rPr>
        <w:t>Figure 6: Altman Z-Score (2020–2024)</w:t>
      </w:r>
    </w:p>
    <w:p w14:paraId="4483FCC7" w14:textId="77777777" w:rsidR="00FE4F98" w:rsidRPr="00FE4F98" w:rsidRDefault="00FE4F98" w:rsidP="00FE4F98">
      <w:pPr>
        <w:pStyle w:val="Heading1"/>
      </w:pPr>
      <w:r w:rsidRPr="00FE4F98">
        <w:rPr>
          <w:rStyle w:val="Strong"/>
          <w:b/>
          <w:bCs/>
        </w:rPr>
        <w:t>Appendix B: Financial Evidence Supporting the Strategic Financial Restructuring Plan</w:t>
      </w:r>
    </w:p>
    <w:p w14:paraId="16854732" w14:textId="77777777" w:rsidR="00FE4F98" w:rsidRPr="00FE4F98" w:rsidRDefault="00FE4F98" w:rsidP="00FE4F98">
      <w:pPr>
        <w:pStyle w:val="Heading2"/>
        <w:spacing w:line="360" w:lineRule="auto"/>
        <w:rPr>
          <w:rFonts w:cs="Arial"/>
          <w:sz w:val="24"/>
          <w:szCs w:val="24"/>
        </w:rPr>
      </w:pPr>
      <w:r w:rsidRPr="00FE4F98">
        <w:rPr>
          <w:rStyle w:val="Strong"/>
          <w:rFonts w:cs="Arial"/>
          <w:b/>
          <w:bCs/>
          <w:sz w:val="24"/>
          <w:szCs w:val="24"/>
        </w:rPr>
        <w:t>Appendix B1: Profitability Deterioration and Shareholder Value Erosion</w:t>
      </w:r>
    </w:p>
    <w:p w14:paraId="12090808" w14:textId="77777777" w:rsidR="00FE4F98" w:rsidRPr="00FE4F98" w:rsidRDefault="00FE4F98" w:rsidP="00FE4F98">
      <w:pPr>
        <w:pStyle w:val="NormalWeb"/>
        <w:spacing w:line="360" w:lineRule="auto"/>
        <w:rPr>
          <w:rFonts w:ascii="Arial" w:hAnsi="Arial" w:cs="Arial"/>
        </w:rPr>
      </w:pPr>
      <w:r w:rsidRPr="00FE4F98">
        <w:rPr>
          <w:rStyle w:val="Strong"/>
          <w:rFonts w:ascii="Arial" w:hAnsi="Arial" w:cs="Arial"/>
        </w:rPr>
        <w:t>Purpose:</w:t>
      </w:r>
      <w:r w:rsidRPr="00FE4F98">
        <w:rPr>
          <w:rFonts w:ascii="Arial" w:hAnsi="Arial" w:cs="Arial"/>
        </w:rPr>
        <w:t xml:space="preserve"> Supports Sections 3.2 and 3.4.1 (need for restructuring; shareholder value impact)</w:t>
      </w:r>
    </w:p>
    <w:tbl>
      <w:tblPr>
        <w:tblStyle w:val="TableGrid"/>
        <w:tblW w:w="9355" w:type="dxa"/>
        <w:tblLook w:val="04A0" w:firstRow="1" w:lastRow="0" w:firstColumn="1" w:lastColumn="0" w:noHBand="0" w:noVBand="1"/>
      </w:tblPr>
      <w:tblGrid>
        <w:gridCol w:w="707"/>
        <w:gridCol w:w="1644"/>
        <w:gridCol w:w="1390"/>
        <w:gridCol w:w="887"/>
        <w:gridCol w:w="4727"/>
      </w:tblGrid>
      <w:tr w:rsidR="00FE4F98" w:rsidRPr="00FE4F98" w14:paraId="44CB5BF1" w14:textId="77777777" w:rsidTr="006C45C0">
        <w:tc>
          <w:tcPr>
            <w:tcW w:w="0" w:type="auto"/>
            <w:hideMark/>
          </w:tcPr>
          <w:p w14:paraId="7F85DD97"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Year</w:t>
            </w:r>
          </w:p>
        </w:tc>
        <w:tc>
          <w:tcPr>
            <w:tcW w:w="0" w:type="auto"/>
            <w:hideMark/>
          </w:tcPr>
          <w:p w14:paraId="4D92DD05"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Net Income (£m)</w:t>
            </w:r>
          </w:p>
        </w:tc>
        <w:tc>
          <w:tcPr>
            <w:tcW w:w="0" w:type="auto"/>
            <w:hideMark/>
          </w:tcPr>
          <w:p w14:paraId="1635E9B4"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Change (£m)</w:t>
            </w:r>
          </w:p>
        </w:tc>
        <w:tc>
          <w:tcPr>
            <w:tcW w:w="0" w:type="auto"/>
            <w:hideMark/>
          </w:tcPr>
          <w:p w14:paraId="2D534C8C"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EPS (£)</w:t>
            </w:r>
          </w:p>
        </w:tc>
        <w:tc>
          <w:tcPr>
            <w:tcW w:w="4727" w:type="dxa"/>
            <w:hideMark/>
          </w:tcPr>
          <w:p w14:paraId="6FAC6C80"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Retained Earnings (£m)</w:t>
            </w:r>
          </w:p>
        </w:tc>
      </w:tr>
      <w:tr w:rsidR="00FE4F98" w:rsidRPr="00FE4F98" w14:paraId="63BB5B35" w14:textId="77777777" w:rsidTr="006C45C0">
        <w:tc>
          <w:tcPr>
            <w:tcW w:w="0" w:type="auto"/>
            <w:hideMark/>
          </w:tcPr>
          <w:p w14:paraId="489306B0" w14:textId="77777777" w:rsidR="00FE4F98" w:rsidRPr="00FE4F98" w:rsidRDefault="00FE4F98" w:rsidP="00FE4F98">
            <w:pPr>
              <w:spacing w:line="360" w:lineRule="auto"/>
              <w:jc w:val="center"/>
              <w:rPr>
                <w:rFonts w:ascii="Arial" w:hAnsi="Arial" w:cs="Arial"/>
              </w:rPr>
            </w:pPr>
            <w:r w:rsidRPr="00FE4F98">
              <w:rPr>
                <w:rFonts w:ascii="Arial" w:hAnsi="Arial" w:cs="Arial"/>
              </w:rPr>
              <w:t>2020</w:t>
            </w:r>
          </w:p>
        </w:tc>
        <w:tc>
          <w:tcPr>
            <w:tcW w:w="0" w:type="auto"/>
            <w:hideMark/>
          </w:tcPr>
          <w:p w14:paraId="4B747B7B" w14:textId="77777777" w:rsidR="00FE4F98" w:rsidRPr="00FE4F98" w:rsidRDefault="00FE4F98" w:rsidP="00FE4F98">
            <w:pPr>
              <w:spacing w:line="360" w:lineRule="auto"/>
              <w:jc w:val="center"/>
              <w:rPr>
                <w:rFonts w:ascii="Arial" w:hAnsi="Arial" w:cs="Arial"/>
              </w:rPr>
            </w:pPr>
            <w:r w:rsidRPr="00FE4F98">
              <w:rPr>
                <w:rFonts w:ascii="Arial" w:hAnsi="Arial" w:cs="Arial"/>
              </w:rPr>
              <w:t>38,572</w:t>
            </w:r>
          </w:p>
        </w:tc>
        <w:tc>
          <w:tcPr>
            <w:tcW w:w="0" w:type="auto"/>
            <w:hideMark/>
          </w:tcPr>
          <w:p w14:paraId="4EB20CF4" w14:textId="77777777" w:rsidR="00FE4F98" w:rsidRPr="00FE4F98" w:rsidRDefault="00FE4F98" w:rsidP="00FE4F98">
            <w:pPr>
              <w:spacing w:line="360" w:lineRule="auto"/>
              <w:jc w:val="center"/>
              <w:rPr>
                <w:rFonts w:ascii="Arial" w:hAnsi="Arial" w:cs="Arial"/>
              </w:rPr>
            </w:pPr>
            <w:r w:rsidRPr="00FE4F98">
              <w:rPr>
                <w:rFonts w:ascii="Arial" w:hAnsi="Arial" w:cs="Arial"/>
              </w:rPr>
              <w:t>—</w:t>
            </w:r>
          </w:p>
        </w:tc>
        <w:tc>
          <w:tcPr>
            <w:tcW w:w="0" w:type="auto"/>
            <w:hideMark/>
          </w:tcPr>
          <w:p w14:paraId="1FA7BC5E" w14:textId="77777777" w:rsidR="00FE4F98" w:rsidRPr="00FE4F98" w:rsidRDefault="00FE4F98" w:rsidP="00FE4F98">
            <w:pPr>
              <w:spacing w:line="360" w:lineRule="auto"/>
              <w:jc w:val="center"/>
              <w:rPr>
                <w:rFonts w:ascii="Arial" w:hAnsi="Arial" w:cs="Arial"/>
              </w:rPr>
            </w:pPr>
            <w:r w:rsidRPr="00FE4F98">
              <w:rPr>
                <w:rFonts w:ascii="Arial" w:hAnsi="Arial" w:cs="Arial"/>
              </w:rPr>
              <w:t>2.93</w:t>
            </w:r>
          </w:p>
        </w:tc>
        <w:tc>
          <w:tcPr>
            <w:tcW w:w="4727" w:type="dxa"/>
            <w:hideMark/>
          </w:tcPr>
          <w:p w14:paraId="00F21FD2" w14:textId="77777777" w:rsidR="00FE4F98" w:rsidRPr="00FE4F98" w:rsidRDefault="00FE4F98" w:rsidP="00FE4F98">
            <w:pPr>
              <w:spacing w:line="360" w:lineRule="auto"/>
              <w:jc w:val="center"/>
              <w:rPr>
                <w:rFonts w:ascii="Arial" w:hAnsi="Arial" w:cs="Arial"/>
              </w:rPr>
            </w:pPr>
            <w:r w:rsidRPr="00FE4F98">
              <w:rPr>
                <w:rFonts w:ascii="Arial" w:hAnsi="Arial" w:cs="Arial"/>
              </w:rPr>
              <w:t>140,441</w:t>
            </w:r>
          </w:p>
        </w:tc>
      </w:tr>
      <w:tr w:rsidR="00FE4F98" w:rsidRPr="00FE4F98" w14:paraId="68ECE887" w14:textId="77777777" w:rsidTr="006C45C0">
        <w:tc>
          <w:tcPr>
            <w:tcW w:w="0" w:type="auto"/>
            <w:hideMark/>
          </w:tcPr>
          <w:p w14:paraId="25A6E8A2" w14:textId="77777777" w:rsidR="00FE4F98" w:rsidRPr="00FE4F98" w:rsidRDefault="00FE4F98" w:rsidP="00FE4F98">
            <w:pPr>
              <w:spacing w:line="360" w:lineRule="auto"/>
              <w:jc w:val="center"/>
              <w:rPr>
                <w:rFonts w:ascii="Arial" w:hAnsi="Arial" w:cs="Arial"/>
              </w:rPr>
            </w:pPr>
            <w:r w:rsidRPr="00FE4F98">
              <w:rPr>
                <w:rFonts w:ascii="Arial" w:hAnsi="Arial" w:cs="Arial"/>
              </w:rPr>
              <w:t>2021</w:t>
            </w:r>
          </w:p>
        </w:tc>
        <w:tc>
          <w:tcPr>
            <w:tcW w:w="0" w:type="auto"/>
            <w:hideMark/>
          </w:tcPr>
          <w:p w14:paraId="0F374EC5" w14:textId="77777777" w:rsidR="00FE4F98" w:rsidRPr="00FE4F98" w:rsidRDefault="00FE4F98" w:rsidP="00FE4F98">
            <w:pPr>
              <w:spacing w:line="360" w:lineRule="auto"/>
              <w:jc w:val="center"/>
              <w:rPr>
                <w:rFonts w:ascii="Arial" w:hAnsi="Arial" w:cs="Arial"/>
              </w:rPr>
            </w:pPr>
            <w:r w:rsidRPr="00FE4F98">
              <w:rPr>
                <w:rFonts w:ascii="Arial" w:hAnsi="Arial" w:cs="Arial"/>
              </w:rPr>
              <w:t>31,987</w:t>
            </w:r>
          </w:p>
        </w:tc>
        <w:tc>
          <w:tcPr>
            <w:tcW w:w="0" w:type="auto"/>
            <w:hideMark/>
          </w:tcPr>
          <w:p w14:paraId="57D58CB8" w14:textId="77777777" w:rsidR="00FE4F98" w:rsidRPr="00FE4F98" w:rsidRDefault="00FE4F98" w:rsidP="00FE4F98">
            <w:pPr>
              <w:spacing w:line="360" w:lineRule="auto"/>
              <w:jc w:val="center"/>
              <w:rPr>
                <w:rFonts w:ascii="Arial" w:hAnsi="Arial" w:cs="Arial"/>
              </w:rPr>
            </w:pPr>
            <w:r w:rsidRPr="00FE4F98">
              <w:rPr>
                <w:rFonts w:ascii="Arial" w:hAnsi="Arial" w:cs="Arial"/>
              </w:rPr>
              <w:t>–6,585</w:t>
            </w:r>
          </w:p>
        </w:tc>
        <w:tc>
          <w:tcPr>
            <w:tcW w:w="0" w:type="auto"/>
            <w:hideMark/>
          </w:tcPr>
          <w:p w14:paraId="36844EAE" w14:textId="77777777" w:rsidR="00FE4F98" w:rsidRPr="00FE4F98" w:rsidRDefault="00FE4F98" w:rsidP="00FE4F98">
            <w:pPr>
              <w:spacing w:line="360" w:lineRule="auto"/>
              <w:jc w:val="center"/>
              <w:rPr>
                <w:rFonts w:ascii="Arial" w:hAnsi="Arial" w:cs="Arial"/>
              </w:rPr>
            </w:pPr>
            <w:r w:rsidRPr="00FE4F98">
              <w:rPr>
                <w:rFonts w:ascii="Arial" w:hAnsi="Arial" w:cs="Arial"/>
              </w:rPr>
              <w:t>2.43</w:t>
            </w:r>
          </w:p>
        </w:tc>
        <w:tc>
          <w:tcPr>
            <w:tcW w:w="4727" w:type="dxa"/>
            <w:hideMark/>
          </w:tcPr>
          <w:p w14:paraId="0CCB28E7" w14:textId="77777777" w:rsidR="00FE4F98" w:rsidRPr="00FE4F98" w:rsidRDefault="00FE4F98" w:rsidP="00FE4F98">
            <w:pPr>
              <w:spacing w:line="360" w:lineRule="auto"/>
              <w:jc w:val="center"/>
              <w:rPr>
                <w:rFonts w:ascii="Arial" w:hAnsi="Arial" w:cs="Arial"/>
              </w:rPr>
            </w:pPr>
            <w:r w:rsidRPr="00FE4F98">
              <w:rPr>
                <w:rFonts w:ascii="Arial" w:hAnsi="Arial" w:cs="Arial"/>
              </w:rPr>
              <w:t>172,428</w:t>
            </w:r>
          </w:p>
        </w:tc>
      </w:tr>
      <w:tr w:rsidR="00FE4F98" w:rsidRPr="00FE4F98" w14:paraId="6771D22E" w14:textId="77777777" w:rsidTr="006C45C0">
        <w:tc>
          <w:tcPr>
            <w:tcW w:w="0" w:type="auto"/>
            <w:hideMark/>
          </w:tcPr>
          <w:p w14:paraId="63A16F3D" w14:textId="77777777" w:rsidR="00FE4F98" w:rsidRPr="00FE4F98" w:rsidRDefault="00FE4F98" w:rsidP="00FE4F98">
            <w:pPr>
              <w:spacing w:line="360" w:lineRule="auto"/>
              <w:jc w:val="center"/>
              <w:rPr>
                <w:rFonts w:ascii="Arial" w:hAnsi="Arial" w:cs="Arial"/>
              </w:rPr>
            </w:pPr>
            <w:r w:rsidRPr="00FE4F98">
              <w:rPr>
                <w:rFonts w:ascii="Arial" w:hAnsi="Arial" w:cs="Arial"/>
              </w:rPr>
              <w:t>2022</w:t>
            </w:r>
          </w:p>
        </w:tc>
        <w:tc>
          <w:tcPr>
            <w:tcW w:w="0" w:type="auto"/>
            <w:hideMark/>
          </w:tcPr>
          <w:p w14:paraId="43355C17" w14:textId="77777777" w:rsidR="00FE4F98" w:rsidRPr="00FE4F98" w:rsidRDefault="00FE4F98" w:rsidP="00FE4F98">
            <w:pPr>
              <w:spacing w:line="360" w:lineRule="auto"/>
              <w:jc w:val="center"/>
              <w:rPr>
                <w:rFonts w:ascii="Arial" w:hAnsi="Arial" w:cs="Arial"/>
              </w:rPr>
            </w:pPr>
            <w:r w:rsidRPr="00FE4F98">
              <w:rPr>
                <w:rFonts w:ascii="Arial" w:hAnsi="Arial" w:cs="Arial"/>
              </w:rPr>
              <w:t>–2,722</w:t>
            </w:r>
          </w:p>
        </w:tc>
        <w:tc>
          <w:tcPr>
            <w:tcW w:w="0" w:type="auto"/>
            <w:hideMark/>
          </w:tcPr>
          <w:p w14:paraId="711AAB87" w14:textId="77777777" w:rsidR="00FE4F98" w:rsidRPr="00FE4F98" w:rsidRDefault="00FE4F98" w:rsidP="00FE4F98">
            <w:pPr>
              <w:spacing w:line="360" w:lineRule="auto"/>
              <w:jc w:val="center"/>
              <w:rPr>
                <w:rFonts w:ascii="Arial" w:hAnsi="Arial" w:cs="Arial"/>
              </w:rPr>
            </w:pPr>
            <w:r w:rsidRPr="00FE4F98">
              <w:rPr>
                <w:rFonts w:ascii="Arial" w:hAnsi="Arial" w:cs="Arial"/>
              </w:rPr>
              <w:t>–34,709</w:t>
            </w:r>
          </w:p>
        </w:tc>
        <w:tc>
          <w:tcPr>
            <w:tcW w:w="0" w:type="auto"/>
            <w:hideMark/>
          </w:tcPr>
          <w:p w14:paraId="27335DB2" w14:textId="77777777" w:rsidR="00FE4F98" w:rsidRPr="00FE4F98" w:rsidRDefault="00FE4F98" w:rsidP="00FE4F98">
            <w:pPr>
              <w:spacing w:line="360" w:lineRule="auto"/>
              <w:jc w:val="center"/>
              <w:rPr>
                <w:rFonts w:ascii="Arial" w:hAnsi="Arial" w:cs="Arial"/>
              </w:rPr>
            </w:pPr>
            <w:r w:rsidRPr="00FE4F98">
              <w:rPr>
                <w:rFonts w:ascii="Arial" w:hAnsi="Arial" w:cs="Arial"/>
              </w:rPr>
              <w:t>–0.21</w:t>
            </w:r>
          </w:p>
        </w:tc>
        <w:tc>
          <w:tcPr>
            <w:tcW w:w="4727" w:type="dxa"/>
            <w:hideMark/>
          </w:tcPr>
          <w:p w14:paraId="789E2EAE" w14:textId="77777777" w:rsidR="00FE4F98" w:rsidRPr="00FE4F98" w:rsidRDefault="00FE4F98" w:rsidP="00FE4F98">
            <w:pPr>
              <w:spacing w:line="360" w:lineRule="auto"/>
              <w:jc w:val="center"/>
              <w:rPr>
                <w:rFonts w:ascii="Arial" w:hAnsi="Arial" w:cs="Arial"/>
              </w:rPr>
            </w:pPr>
            <w:r w:rsidRPr="00FE4F98">
              <w:rPr>
                <w:rFonts w:ascii="Arial" w:hAnsi="Arial" w:cs="Arial"/>
              </w:rPr>
              <w:t>169,706</w:t>
            </w:r>
          </w:p>
        </w:tc>
      </w:tr>
      <w:tr w:rsidR="00FE4F98" w:rsidRPr="00FE4F98" w14:paraId="1623A5AC" w14:textId="77777777" w:rsidTr="006C45C0">
        <w:tc>
          <w:tcPr>
            <w:tcW w:w="0" w:type="auto"/>
            <w:hideMark/>
          </w:tcPr>
          <w:p w14:paraId="14990A0D" w14:textId="77777777" w:rsidR="00FE4F98" w:rsidRPr="00FE4F98" w:rsidRDefault="00FE4F98" w:rsidP="00FE4F98">
            <w:pPr>
              <w:spacing w:line="360" w:lineRule="auto"/>
              <w:jc w:val="center"/>
              <w:rPr>
                <w:rFonts w:ascii="Arial" w:hAnsi="Arial" w:cs="Arial"/>
              </w:rPr>
            </w:pPr>
            <w:r w:rsidRPr="00FE4F98">
              <w:rPr>
                <w:rFonts w:ascii="Arial" w:hAnsi="Arial" w:cs="Arial"/>
              </w:rPr>
              <w:t>2023</w:t>
            </w:r>
          </w:p>
        </w:tc>
        <w:tc>
          <w:tcPr>
            <w:tcW w:w="0" w:type="auto"/>
            <w:hideMark/>
          </w:tcPr>
          <w:p w14:paraId="4E23584F" w14:textId="77777777" w:rsidR="00FE4F98" w:rsidRPr="00FE4F98" w:rsidRDefault="00FE4F98" w:rsidP="00FE4F98">
            <w:pPr>
              <w:spacing w:line="360" w:lineRule="auto"/>
              <w:jc w:val="center"/>
              <w:rPr>
                <w:rFonts w:ascii="Arial" w:hAnsi="Arial" w:cs="Arial"/>
              </w:rPr>
            </w:pPr>
            <w:r w:rsidRPr="00FE4F98">
              <w:rPr>
                <w:rFonts w:ascii="Arial" w:hAnsi="Arial" w:cs="Arial"/>
              </w:rPr>
              <w:t>–2,242</w:t>
            </w:r>
          </w:p>
        </w:tc>
        <w:tc>
          <w:tcPr>
            <w:tcW w:w="0" w:type="auto"/>
            <w:hideMark/>
          </w:tcPr>
          <w:p w14:paraId="3CFFA265" w14:textId="77777777" w:rsidR="00FE4F98" w:rsidRPr="00FE4F98" w:rsidRDefault="00FE4F98" w:rsidP="00FE4F98">
            <w:pPr>
              <w:spacing w:line="360" w:lineRule="auto"/>
              <w:jc w:val="center"/>
              <w:rPr>
                <w:rFonts w:ascii="Arial" w:hAnsi="Arial" w:cs="Arial"/>
              </w:rPr>
            </w:pPr>
            <w:r w:rsidRPr="00FE4F98">
              <w:rPr>
                <w:rFonts w:ascii="Arial" w:hAnsi="Arial" w:cs="Arial"/>
              </w:rPr>
              <w:t>+480</w:t>
            </w:r>
          </w:p>
        </w:tc>
        <w:tc>
          <w:tcPr>
            <w:tcW w:w="0" w:type="auto"/>
            <w:hideMark/>
          </w:tcPr>
          <w:p w14:paraId="3605D269" w14:textId="77777777" w:rsidR="00FE4F98" w:rsidRPr="00FE4F98" w:rsidRDefault="00FE4F98" w:rsidP="00FE4F98">
            <w:pPr>
              <w:spacing w:line="360" w:lineRule="auto"/>
              <w:jc w:val="center"/>
              <w:rPr>
                <w:rFonts w:ascii="Arial" w:hAnsi="Arial" w:cs="Arial"/>
              </w:rPr>
            </w:pPr>
            <w:r w:rsidRPr="00FE4F98">
              <w:rPr>
                <w:rFonts w:ascii="Arial" w:hAnsi="Arial" w:cs="Arial"/>
              </w:rPr>
              <w:t>–0.17</w:t>
            </w:r>
          </w:p>
        </w:tc>
        <w:tc>
          <w:tcPr>
            <w:tcW w:w="4727" w:type="dxa"/>
            <w:hideMark/>
          </w:tcPr>
          <w:p w14:paraId="1865D832" w14:textId="77777777" w:rsidR="00FE4F98" w:rsidRPr="00FE4F98" w:rsidRDefault="00FE4F98" w:rsidP="00FE4F98">
            <w:pPr>
              <w:spacing w:line="360" w:lineRule="auto"/>
              <w:jc w:val="center"/>
              <w:rPr>
                <w:rFonts w:ascii="Arial" w:hAnsi="Arial" w:cs="Arial"/>
              </w:rPr>
            </w:pPr>
            <w:r w:rsidRPr="00FE4F98">
              <w:rPr>
                <w:rFonts w:ascii="Arial" w:hAnsi="Arial" w:cs="Arial"/>
              </w:rPr>
              <w:t>167,464</w:t>
            </w:r>
          </w:p>
        </w:tc>
      </w:tr>
      <w:tr w:rsidR="00FE4F98" w:rsidRPr="00FE4F98" w14:paraId="14555AD7" w14:textId="77777777" w:rsidTr="006C45C0">
        <w:tc>
          <w:tcPr>
            <w:tcW w:w="0" w:type="auto"/>
            <w:hideMark/>
          </w:tcPr>
          <w:p w14:paraId="7097711A" w14:textId="77777777" w:rsidR="00FE4F98" w:rsidRPr="00FE4F98" w:rsidRDefault="00FE4F98" w:rsidP="00FE4F98">
            <w:pPr>
              <w:spacing w:line="360" w:lineRule="auto"/>
              <w:jc w:val="center"/>
              <w:rPr>
                <w:rFonts w:ascii="Arial" w:hAnsi="Arial" w:cs="Arial"/>
              </w:rPr>
            </w:pPr>
            <w:r w:rsidRPr="00FE4F98">
              <w:rPr>
                <w:rFonts w:ascii="Arial" w:hAnsi="Arial" w:cs="Arial"/>
              </w:rPr>
              <w:t>2024</w:t>
            </w:r>
          </w:p>
        </w:tc>
        <w:tc>
          <w:tcPr>
            <w:tcW w:w="0" w:type="auto"/>
            <w:hideMark/>
          </w:tcPr>
          <w:p w14:paraId="7CDAE66E" w14:textId="77777777" w:rsidR="00FE4F98" w:rsidRPr="00FE4F98" w:rsidRDefault="00FE4F98" w:rsidP="00FE4F98">
            <w:pPr>
              <w:spacing w:line="360" w:lineRule="auto"/>
              <w:jc w:val="center"/>
              <w:rPr>
                <w:rFonts w:ascii="Arial" w:hAnsi="Arial" w:cs="Arial"/>
              </w:rPr>
            </w:pPr>
            <w:r w:rsidRPr="00FE4F98">
              <w:rPr>
                <w:rFonts w:ascii="Arial" w:hAnsi="Arial" w:cs="Arial"/>
              </w:rPr>
              <w:t>–24,029</w:t>
            </w:r>
          </w:p>
        </w:tc>
        <w:tc>
          <w:tcPr>
            <w:tcW w:w="0" w:type="auto"/>
            <w:hideMark/>
          </w:tcPr>
          <w:p w14:paraId="74C7110E" w14:textId="77777777" w:rsidR="00FE4F98" w:rsidRPr="00FE4F98" w:rsidRDefault="00FE4F98" w:rsidP="00FE4F98">
            <w:pPr>
              <w:spacing w:line="360" w:lineRule="auto"/>
              <w:jc w:val="center"/>
              <w:rPr>
                <w:rFonts w:ascii="Arial" w:hAnsi="Arial" w:cs="Arial"/>
              </w:rPr>
            </w:pPr>
            <w:r w:rsidRPr="00FE4F98">
              <w:rPr>
                <w:rFonts w:ascii="Arial" w:hAnsi="Arial" w:cs="Arial"/>
              </w:rPr>
              <w:t>–21,787</w:t>
            </w:r>
          </w:p>
        </w:tc>
        <w:tc>
          <w:tcPr>
            <w:tcW w:w="0" w:type="auto"/>
            <w:hideMark/>
          </w:tcPr>
          <w:p w14:paraId="13E6331C" w14:textId="77777777" w:rsidR="00FE4F98" w:rsidRPr="00FE4F98" w:rsidRDefault="00FE4F98" w:rsidP="00FE4F98">
            <w:pPr>
              <w:spacing w:line="360" w:lineRule="auto"/>
              <w:jc w:val="center"/>
              <w:rPr>
                <w:rFonts w:ascii="Arial" w:hAnsi="Arial" w:cs="Arial"/>
              </w:rPr>
            </w:pPr>
            <w:r w:rsidRPr="00FE4F98">
              <w:rPr>
                <w:rFonts w:ascii="Arial" w:hAnsi="Arial" w:cs="Arial"/>
              </w:rPr>
              <w:t>–1.85</w:t>
            </w:r>
          </w:p>
        </w:tc>
        <w:tc>
          <w:tcPr>
            <w:tcW w:w="4727" w:type="dxa"/>
            <w:hideMark/>
          </w:tcPr>
          <w:p w14:paraId="014377BE" w14:textId="77777777" w:rsidR="00FE4F98" w:rsidRPr="00FE4F98" w:rsidRDefault="00FE4F98" w:rsidP="00FE4F98">
            <w:pPr>
              <w:spacing w:line="360" w:lineRule="auto"/>
              <w:jc w:val="center"/>
              <w:rPr>
                <w:rFonts w:ascii="Arial" w:hAnsi="Arial" w:cs="Arial"/>
              </w:rPr>
            </w:pPr>
            <w:r w:rsidRPr="00FE4F98">
              <w:rPr>
                <w:rFonts w:ascii="Arial" w:hAnsi="Arial" w:cs="Arial"/>
              </w:rPr>
              <w:t>143,435</w:t>
            </w:r>
          </w:p>
        </w:tc>
      </w:tr>
    </w:tbl>
    <w:p w14:paraId="298AA108" w14:textId="77777777" w:rsidR="00FE4F98" w:rsidRPr="00FE4F98" w:rsidRDefault="00FE4F98" w:rsidP="00FE4F98">
      <w:pPr>
        <w:pStyle w:val="NormalWeb"/>
        <w:spacing w:line="360" w:lineRule="auto"/>
        <w:rPr>
          <w:rFonts w:ascii="Arial" w:hAnsi="Arial" w:cs="Arial"/>
        </w:rPr>
      </w:pPr>
      <w:r w:rsidRPr="00FE4F98">
        <w:rPr>
          <w:rStyle w:val="Strong"/>
          <w:rFonts w:ascii="Arial" w:hAnsi="Arial" w:cs="Arial"/>
        </w:rPr>
        <w:t>Key linkage to Section 3:</w:t>
      </w:r>
      <w:r w:rsidRPr="00FE4F98">
        <w:rPr>
          <w:rFonts w:ascii="Arial" w:hAnsi="Arial" w:cs="Arial"/>
        </w:rPr>
        <w:br/>
        <w:t>Demonstrates persistent losses, EPS deterioration, and retained earnings decline justifying equity injection and divestment.</w:t>
      </w:r>
    </w:p>
    <w:p w14:paraId="4650745A" w14:textId="77777777" w:rsidR="00FE4F98" w:rsidRPr="00FE4F98" w:rsidRDefault="00FE4F98" w:rsidP="00FE4F98">
      <w:pPr>
        <w:pStyle w:val="Heading2"/>
        <w:spacing w:line="360" w:lineRule="auto"/>
        <w:rPr>
          <w:rFonts w:cs="Arial"/>
          <w:sz w:val="24"/>
          <w:szCs w:val="24"/>
        </w:rPr>
      </w:pPr>
      <w:r w:rsidRPr="00FE4F98">
        <w:rPr>
          <w:rStyle w:val="Strong"/>
          <w:rFonts w:cs="Arial"/>
          <w:b/>
          <w:bCs/>
          <w:sz w:val="24"/>
          <w:szCs w:val="24"/>
        </w:rPr>
        <w:t>Appendix B2: Operating Cash Flow Sustainability</w:t>
      </w:r>
    </w:p>
    <w:p w14:paraId="178C8AFC" w14:textId="77777777" w:rsidR="00FE4F98" w:rsidRPr="00FE4F98" w:rsidRDefault="00FE4F98" w:rsidP="00FE4F98">
      <w:pPr>
        <w:pStyle w:val="NormalWeb"/>
        <w:spacing w:line="360" w:lineRule="auto"/>
        <w:rPr>
          <w:rFonts w:ascii="Arial" w:hAnsi="Arial" w:cs="Arial"/>
        </w:rPr>
      </w:pPr>
      <w:r w:rsidRPr="00FE4F98">
        <w:rPr>
          <w:rStyle w:val="Strong"/>
          <w:rFonts w:ascii="Arial" w:hAnsi="Arial" w:cs="Arial"/>
        </w:rPr>
        <w:lastRenderedPageBreak/>
        <w:t>Purpose:</w:t>
      </w:r>
      <w:r w:rsidRPr="00FE4F98">
        <w:rPr>
          <w:rFonts w:ascii="Arial" w:hAnsi="Arial" w:cs="Arial"/>
        </w:rPr>
        <w:t xml:space="preserve"> Supports Sections 3.2, 3.4.1 and 3.4.3 (cash flow–based restructuring feasibility)</w:t>
      </w:r>
    </w:p>
    <w:tbl>
      <w:tblPr>
        <w:tblStyle w:val="TableGrid"/>
        <w:tblW w:w="0" w:type="auto"/>
        <w:tblLook w:val="04A0" w:firstRow="1" w:lastRow="0" w:firstColumn="1" w:lastColumn="0" w:noHBand="0" w:noVBand="1"/>
      </w:tblPr>
      <w:tblGrid>
        <w:gridCol w:w="706"/>
        <w:gridCol w:w="2680"/>
        <w:gridCol w:w="1782"/>
        <w:gridCol w:w="4182"/>
      </w:tblGrid>
      <w:tr w:rsidR="00FE4F98" w:rsidRPr="00FE4F98" w14:paraId="7D82CB7B" w14:textId="77777777" w:rsidTr="006C45C0">
        <w:tc>
          <w:tcPr>
            <w:tcW w:w="0" w:type="auto"/>
            <w:hideMark/>
          </w:tcPr>
          <w:p w14:paraId="05BC9F18"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Year</w:t>
            </w:r>
          </w:p>
        </w:tc>
        <w:tc>
          <w:tcPr>
            <w:tcW w:w="0" w:type="auto"/>
            <w:hideMark/>
          </w:tcPr>
          <w:p w14:paraId="30302261"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Operating Cash Flow (£m)</w:t>
            </w:r>
          </w:p>
        </w:tc>
        <w:tc>
          <w:tcPr>
            <w:tcW w:w="0" w:type="auto"/>
            <w:hideMark/>
          </w:tcPr>
          <w:p w14:paraId="41A3A1BB"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Net Income (£m)</w:t>
            </w:r>
          </w:p>
        </w:tc>
        <w:tc>
          <w:tcPr>
            <w:tcW w:w="4182" w:type="dxa"/>
            <w:hideMark/>
          </w:tcPr>
          <w:p w14:paraId="3D804924"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OCF / Net Income</w:t>
            </w:r>
          </w:p>
        </w:tc>
      </w:tr>
      <w:tr w:rsidR="00FE4F98" w:rsidRPr="00FE4F98" w14:paraId="7FAA9F50" w14:textId="77777777" w:rsidTr="006C45C0">
        <w:tc>
          <w:tcPr>
            <w:tcW w:w="0" w:type="auto"/>
            <w:hideMark/>
          </w:tcPr>
          <w:p w14:paraId="1DC532FC" w14:textId="77777777" w:rsidR="00FE4F98" w:rsidRPr="00FE4F98" w:rsidRDefault="00FE4F98" w:rsidP="00FE4F98">
            <w:pPr>
              <w:spacing w:line="360" w:lineRule="auto"/>
              <w:jc w:val="center"/>
              <w:rPr>
                <w:rFonts w:ascii="Arial" w:hAnsi="Arial" w:cs="Arial"/>
              </w:rPr>
            </w:pPr>
            <w:r w:rsidRPr="00FE4F98">
              <w:rPr>
                <w:rFonts w:ascii="Arial" w:hAnsi="Arial" w:cs="Arial"/>
              </w:rPr>
              <w:t>2020</w:t>
            </w:r>
          </w:p>
        </w:tc>
        <w:tc>
          <w:tcPr>
            <w:tcW w:w="0" w:type="auto"/>
            <w:hideMark/>
          </w:tcPr>
          <w:p w14:paraId="3141A66B" w14:textId="77777777" w:rsidR="00FE4F98" w:rsidRPr="00FE4F98" w:rsidRDefault="00FE4F98" w:rsidP="00FE4F98">
            <w:pPr>
              <w:spacing w:line="360" w:lineRule="auto"/>
              <w:jc w:val="center"/>
              <w:rPr>
                <w:rFonts w:ascii="Arial" w:hAnsi="Arial" w:cs="Arial"/>
              </w:rPr>
            </w:pPr>
            <w:r w:rsidRPr="00FE4F98">
              <w:rPr>
                <w:rFonts w:ascii="Arial" w:hAnsi="Arial" w:cs="Arial"/>
              </w:rPr>
              <w:t>58,448</w:t>
            </w:r>
          </w:p>
        </w:tc>
        <w:tc>
          <w:tcPr>
            <w:tcW w:w="0" w:type="auto"/>
            <w:hideMark/>
          </w:tcPr>
          <w:p w14:paraId="3E9A2B8A" w14:textId="77777777" w:rsidR="00FE4F98" w:rsidRPr="00FE4F98" w:rsidRDefault="00FE4F98" w:rsidP="00FE4F98">
            <w:pPr>
              <w:spacing w:line="360" w:lineRule="auto"/>
              <w:jc w:val="center"/>
              <w:rPr>
                <w:rFonts w:ascii="Arial" w:hAnsi="Arial" w:cs="Arial"/>
              </w:rPr>
            </w:pPr>
            <w:r w:rsidRPr="00FE4F98">
              <w:rPr>
                <w:rFonts w:ascii="Arial" w:hAnsi="Arial" w:cs="Arial"/>
              </w:rPr>
              <w:t>38,572</w:t>
            </w:r>
          </w:p>
        </w:tc>
        <w:tc>
          <w:tcPr>
            <w:tcW w:w="4182" w:type="dxa"/>
            <w:hideMark/>
          </w:tcPr>
          <w:p w14:paraId="3B8530B7" w14:textId="77777777" w:rsidR="00FE4F98" w:rsidRPr="00FE4F98" w:rsidRDefault="00FE4F98" w:rsidP="00FE4F98">
            <w:pPr>
              <w:spacing w:line="360" w:lineRule="auto"/>
              <w:jc w:val="center"/>
              <w:rPr>
                <w:rFonts w:ascii="Arial" w:hAnsi="Arial" w:cs="Arial"/>
              </w:rPr>
            </w:pPr>
            <w:r w:rsidRPr="00FE4F98">
              <w:rPr>
                <w:rFonts w:ascii="Arial" w:hAnsi="Arial" w:cs="Arial"/>
              </w:rPr>
              <w:t>1.52</w:t>
            </w:r>
          </w:p>
        </w:tc>
      </w:tr>
      <w:tr w:rsidR="00FE4F98" w:rsidRPr="00FE4F98" w14:paraId="5AB6CA96" w14:textId="77777777" w:rsidTr="006C45C0">
        <w:tc>
          <w:tcPr>
            <w:tcW w:w="0" w:type="auto"/>
            <w:hideMark/>
          </w:tcPr>
          <w:p w14:paraId="4FAEC12A" w14:textId="77777777" w:rsidR="00FE4F98" w:rsidRPr="00FE4F98" w:rsidRDefault="00FE4F98" w:rsidP="00FE4F98">
            <w:pPr>
              <w:spacing w:line="360" w:lineRule="auto"/>
              <w:jc w:val="center"/>
              <w:rPr>
                <w:rFonts w:ascii="Arial" w:hAnsi="Arial" w:cs="Arial"/>
              </w:rPr>
            </w:pPr>
            <w:r w:rsidRPr="00FE4F98">
              <w:rPr>
                <w:rFonts w:ascii="Arial" w:hAnsi="Arial" w:cs="Arial"/>
              </w:rPr>
              <w:t>2021</w:t>
            </w:r>
          </w:p>
        </w:tc>
        <w:tc>
          <w:tcPr>
            <w:tcW w:w="0" w:type="auto"/>
            <w:hideMark/>
          </w:tcPr>
          <w:p w14:paraId="7E3540E5" w14:textId="77777777" w:rsidR="00FE4F98" w:rsidRPr="00FE4F98" w:rsidRDefault="00FE4F98" w:rsidP="00FE4F98">
            <w:pPr>
              <w:spacing w:line="360" w:lineRule="auto"/>
              <w:jc w:val="center"/>
              <w:rPr>
                <w:rFonts w:ascii="Arial" w:hAnsi="Arial" w:cs="Arial"/>
              </w:rPr>
            </w:pPr>
            <w:r w:rsidRPr="00FE4F98">
              <w:rPr>
                <w:rFonts w:ascii="Arial" w:hAnsi="Arial" w:cs="Arial"/>
              </w:rPr>
              <w:t>51,303</w:t>
            </w:r>
          </w:p>
        </w:tc>
        <w:tc>
          <w:tcPr>
            <w:tcW w:w="0" w:type="auto"/>
            <w:hideMark/>
          </w:tcPr>
          <w:p w14:paraId="5C078CD2" w14:textId="77777777" w:rsidR="00FE4F98" w:rsidRPr="00FE4F98" w:rsidRDefault="00FE4F98" w:rsidP="00FE4F98">
            <w:pPr>
              <w:spacing w:line="360" w:lineRule="auto"/>
              <w:jc w:val="center"/>
              <w:rPr>
                <w:rFonts w:ascii="Arial" w:hAnsi="Arial" w:cs="Arial"/>
              </w:rPr>
            </w:pPr>
            <w:r w:rsidRPr="00FE4F98">
              <w:rPr>
                <w:rFonts w:ascii="Arial" w:hAnsi="Arial" w:cs="Arial"/>
              </w:rPr>
              <w:t>31,987</w:t>
            </w:r>
          </w:p>
        </w:tc>
        <w:tc>
          <w:tcPr>
            <w:tcW w:w="4182" w:type="dxa"/>
            <w:hideMark/>
          </w:tcPr>
          <w:p w14:paraId="28B24967" w14:textId="77777777" w:rsidR="00FE4F98" w:rsidRPr="00FE4F98" w:rsidRDefault="00FE4F98" w:rsidP="00FE4F98">
            <w:pPr>
              <w:spacing w:line="360" w:lineRule="auto"/>
              <w:jc w:val="center"/>
              <w:rPr>
                <w:rFonts w:ascii="Arial" w:hAnsi="Arial" w:cs="Arial"/>
              </w:rPr>
            </w:pPr>
            <w:r w:rsidRPr="00FE4F98">
              <w:rPr>
                <w:rFonts w:ascii="Arial" w:hAnsi="Arial" w:cs="Arial"/>
              </w:rPr>
              <w:t>1.60</w:t>
            </w:r>
          </w:p>
        </w:tc>
      </w:tr>
      <w:tr w:rsidR="00FE4F98" w:rsidRPr="00FE4F98" w14:paraId="2F5A91B1" w14:textId="77777777" w:rsidTr="006C45C0">
        <w:tc>
          <w:tcPr>
            <w:tcW w:w="0" w:type="auto"/>
            <w:hideMark/>
          </w:tcPr>
          <w:p w14:paraId="3186B1FD" w14:textId="77777777" w:rsidR="00FE4F98" w:rsidRPr="00FE4F98" w:rsidRDefault="00FE4F98" w:rsidP="00FE4F98">
            <w:pPr>
              <w:spacing w:line="360" w:lineRule="auto"/>
              <w:jc w:val="center"/>
              <w:rPr>
                <w:rFonts w:ascii="Arial" w:hAnsi="Arial" w:cs="Arial"/>
              </w:rPr>
            </w:pPr>
            <w:r w:rsidRPr="00FE4F98">
              <w:rPr>
                <w:rFonts w:ascii="Arial" w:hAnsi="Arial" w:cs="Arial"/>
              </w:rPr>
              <w:t>2022</w:t>
            </w:r>
          </w:p>
        </w:tc>
        <w:tc>
          <w:tcPr>
            <w:tcW w:w="0" w:type="auto"/>
            <w:hideMark/>
          </w:tcPr>
          <w:p w14:paraId="1766F40E" w14:textId="77777777" w:rsidR="00FE4F98" w:rsidRPr="00FE4F98" w:rsidRDefault="00FE4F98" w:rsidP="00FE4F98">
            <w:pPr>
              <w:spacing w:line="360" w:lineRule="auto"/>
              <w:jc w:val="center"/>
              <w:rPr>
                <w:rFonts w:ascii="Arial" w:hAnsi="Arial" w:cs="Arial"/>
              </w:rPr>
            </w:pPr>
            <w:r w:rsidRPr="00FE4F98">
              <w:rPr>
                <w:rFonts w:ascii="Arial" w:hAnsi="Arial" w:cs="Arial"/>
              </w:rPr>
              <w:t>22,688</w:t>
            </w:r>
          </w:p>
        </w:tc>
        <w:tc>
          <w:tcPr>
            <w:tcW w:w="0" w:type="auto"/>
            <w:hideMark/>
          </w:tcPr>
          <w:p w14:paraId="63AD78F4" w14:textId="77777777" w:rsidR="00FE4F98" w:rsidRPr="00FE4F98" w:rsidRDefault="00FE4F98" w:rsidP="00FE4F98">
            <w:pPr>
              <w:spacing w:line="360" w:lineRule="auto"/>
              <w:jc w:val="center"/>
              <w:rPr>
                <w:rFonts w:ascii="Arial" w:hAnsi="Arial" w:cs="Arial"/>
              </w:rPr>
            </w:pPr>
            <w:r w:rsidRPr="00FE4F98">
              <w:rPr>
                <w:rFonts w:ascii="Arial" w:hAnsi="Arial" w:cs="Arial"/>
              </w:rPr>
              <w:t>–2,722</w:t>
            </w:r>
          </w:p>
        </w:tc>
        <w:tc>
          <w:tcPr>
            <w:tcW w:w="4182" w:type="dxa"/>
            <w:hideMark/>
          </w:tcPr>
          <w:p w14:paraId="11060781" w14:textId="77777777" w:rsidR="00FE4F98" w:rsidRPr="00FE4F98" w:rsidRDefault="00FE4F98" w:rsidP="00FE4F98">
            <w:pPr>
              <w:spacing w:line="360" w:lineRule="auto"/>
              <w:jc w:val="center"/>
              <w:rPr>
                <w:rFonts w:ascii="Arial" w:hAnsi="Arial" w:cs="Arial"/>
              </w:rPr>
            </w:pPr>
            <w:r w:rsidRPr="00FE4F98">
              <w:rPr>
                <w:rFonts w:ascii="Arial" w:hAnsi="Arial" w:cs="Arial"/>
              </w:rPr>
              <w:t>n/a</w:t>
            </w:r>
          </w:p>
        </w:tc>
      </w:tr>
      <w:tr w:rsidR="00FE4F98" w:rsidRPr="00FE4F98" w14:paraId="3BC2809B" w14:textId="77777777" w:rsidTr="006C45C0">
        <w:tc>
          <w:tcPr>
            <w:tcW w:w="0" w:type="auto"/>
            <w:hideMark/>
          </w:tcPr>
          <w:p w14:paraId="4094051F" w14:textId="77777777" w:rsidR="00FE4F98" w:rsidRPr="00FE4F98" w:rsidRDefault="00FE4F98" w:rsidP="00FE4F98">
            <w:pPr>
              <w:spacing w:line="360" w:lineRule="auto"/>
              <w:jc w:val="center"/>
              <w:rPr>
                <w:rFonts w:ascii="Arial" w:hAnsi="Arial" w:cs="Arial"/>
              </w:rPr>
            </w:pPr>
            <w:r w:rsidRPr="00FE4F98">
              <w:rPr>
                <w:rFonts w:ascii="Arial" w:hAnsi="Arial" w:cs="Arial"/>
              </w:rPr>
              <w:t>2023</w:t>
            </w:r>
          </w:p>
        </w:tc>
        <w:tc>
          <w:tcPr>
            <w:tcW w:w="0" w:type="auto"/>
            <w:hideMark/>
          </w:tcPr>
          <w:p w14:paraId="09955D97" w14:textId="77777777" w:rsidR="00FE4F98" w:rsidRPr="00FE4F98" w:rsidRDefault="00FE4F98" w:rsidP="00FE4F98">
            <w:pPr>
              <w:spacing w:line="360" w:lineRule="auto"/>
              <w:jc w:val="center"/>
              <w:rPr>
                <w:rFonts w:ascii="Arial" w:hAnsi="Arial" w:cs="Arial"/>
              </w:rPr>
            </w:pPr>
            <w:r w:rsidRPr="00FE4F98">
              <w:rPr>
                <w:rFonts w:ascii="Arial" w:hAnsi="Arial" w:cs="Arial"/>
              </w:rPr>
              <w:t>29,510</w:t>
            </w:r>
          </w:p>
        </w:tc>
        <w:tc>
          <w:tcPr>
            <w:tcW w:w="0" w:type="auto"/>
            <w:hideMark/>
          </w:tcPr>
          <w:p w14:paraId="42342FD7" w14:textId="77777777" w:rsidR="00FE4F98" w:rsidRPr="00FE4F98" w:rsidRDefault="00FE4F98" w:rsidP="00FE4F98">
            <w:pPr>
              <w:spacing w:line="360" w:lineRule="auto"/>
              <w:jc w:val="center"/>
              <w:rPr>
                <w:rFonts w:ascii="Arial" w:hAnsi="Arial" w:cs="Arial"/>
              </w:rPr>
            </w:pPr>
            <w:r w:rsidRPr="00FE4F98">
              <w:rPr>
                <w:rFonts w:ascii="Arial" w:hAnsi="Arial" w:cs="Arial"/>
              </w:rPr>
              <w:t>–2,242</w:t>
            </w:r>
          </w:p>
        </w:tc>
        <w:tc>
          <w:tcPr>
            <w:tcW w:w="4182" w:type="dxa"/>
            <w:hideMark/>
          </w:tcPr>
          <w:p w14:paraId="671C179B" w14:textId="77777777" w:rsidR="00FE4F98" w:rsidRPr="00FE4F98" w:rsidRDefault="00FE4F98" w:rsidP="00FE4F98">
            <w:pPr>
              <w:spacing w:line="360" w:lineRule="auto"/>
              <w:jc w:val="center"/>
              <w:rPr>
                <w:rFonts w:ascii="Arial" w:hAnsi="Arial" w:cs="Arial"/>
              </w:rPr>
            </w:pPr>
            <w:r w:rsidRPr="00FE4F98">
              <w:rPr>
                <w:rFonts w:ascii="Arial" w:hAnsi="Arial" w:cs="Arial"/>
              </w:rPr>
              <w:t>n/a</w:t>
            </w:r>
          </w:p>
        </w:tc>
      </w:tr>
      <w:tr w:rsidR="00FE4F98" w:rsidRPr="00FE4F98" w14:paraId="10E3A863" w14:textId="77777777" w:rsidTr="006C45C0">
        <w:tc>
          <w:tcPr>
            <w:tcW w:w="0" w:type="auto"/>
            <w:hideMark/>
          </w:tcPr>
          <w:p w14:paraId="2FCC9858" w14:textId="77777777" w:rsidR="00FE4F98" w:rsidRPr="00FE4F98" w:rsidRDefault="00FE4F98" w:rsidP="00FE4F98">
            <w:pPr>
              <w:spacing w:line="360" w:lineRule="auto"/>
              <w:jc w:val="center"/>
              <w:rPr>
                <w:rFonts w:ascii="Arial" w:hAnsi="Arial" w:cs="Arial"/>
              </w:rPr>
            </w:pPr>
            <w:r w:rsidRPr="00FE4F98">
              <w:rPr>
                <w:rFonts w:ascii="Arial" w:hAnsi="Arial" w:cs="Arial"/>
              </w:rPr>
              <w:t>2024</w:t>
            </w:r>
          </w:p>
        </w:tc>
        <w:tc>
          <w:tcPr>
            <w:tcW w:w="0" w:type="auto"/>
            <w:hideMark/>
          </w:tcPr>
          <w:p w14:paraId="56FD403C" w14:textId="77777777" w:rsidR="00FE4F98" w:rsidRPr="00FE4F98" w:rsidRDefault="00FE4F98" w:rsidP="00FE4F98">
            <w:pPr>
              <w:spacing w:line="360" w:lineRule="auto"/>
              <w:jc w:val="center"/>
              <w:rPr>
                <w:rFonts w:ascii="Arial" w:hAnsi="Arial" w:cs="Arial"/>
              </w:rPr>
            </w:pPr>
            <w:r w:rsidRPr="00FE4F98">
              <w:rPr>
                <w:rFonts w:ascii="Arial" w:hAnsi="Arial" w:cs="Arial"/>
              </w:rPr>
              <w:t>14,822</w:t>
            </w:r>
          </w:p>
        </w:tc>
        <w:tc>
          <w:tcPr>
            <w:tcW w:w="0" w:type="auto"/>
            <w:hideMark/>
          </w:tcPr>
          <w:p w14:paraId="4C961696" w14:textId="77777777" w:rsidR="00FE4F98" w:rsidRPr="00FE4F98" w:rsidRDefault="00FE4F98" w:rsidP="00FE4F98">
            <w:pPr>
              <w:spacing w:line="360" w:lineRule="auto"/>
              <w:jc w:val="center"/>
              <w:rPr>
                <w:rFonts w:ascii="Arial" w:hAnsi="Arial" w:cs="Arial"/>
              </w:rPr>
            </w:pPr>
            <w:r w:rsidRPr="00FE4F98">
              <w:rPr>
                <w:rFonts w:ascii="Arial" w:hAnsi="Arial" w:cs="Arial"/>
              </w:rPr>
              <w:t>–24,029</w:t>
            </w:r>
          </w:p>
        </w:tc>
        <w:tc>
          <w:tcPr>
            <w:tcW w:w="4182" w:type="dxa"/>
            <w:hideMark/>
          </w:tcPr>
          <w:p w14:paraId="34ED5BB3" w14:textId="77777777" w:rsidR="00FE4F98" w:rsidRPr="00FE4F98" w:rsidRDefault="00FE4F98" w:rsidP="00FE4F98">
            <w:pPr>
              <w:spacing w:line="360" w:lineRule="auto"/>
              <w:jc w:val="center"/>
              <w:rPr>
                <w:rFonts w:ascii="Arial" w:hAnsi="Arial" w:cs="Arial"/>
              </w:rPr>
            </w:pPr>
            <w:r w:rsidRPr="00FE4F98">
              <w:rPr>
                <w:rFonts w:ascii="Arial" w:hAnsi="Arial" w:cs="Arial"/>
              </w:rPr>
              <w:t>n/a</w:t>
            </w:r>
          </w:p>
        </w:tc>
      </w:tr>
    </w:tbl>
    <w:p w14:paraId="08BFA6F3" w14:textId="77777777" w:rsidR="00FE4F98" w:rsidRPr="00FE4F98" w:rsidRDefault="00FE4F98" w:rsidP="00FE4F98">
      <w:pPr>
        <w:pStyle w:val="NormalWeb"/>
        <w:spacing w:line="360" w:lineRule="auto"/>
        <w:rPr>
          <w:rFonts w:ascii="Arial" w:hAnsi="Arial" w:cs="Arial"/>
        </w:rPr>
      </w:pPr>
      <w:r w:rsidRPr="00FE4F98">
        <w:rPr>
          <w:rStyle w:val="Strong"/>
          <w:rFonts w:ascii="Arial" w:hAnsi="Arial" w:cs="Arial"/>
        </w:rPr>
        <w:t>Interpretation reference:</w:t>
      </w:r>
      <w:r w:rsidRPr="00FE4F98">
        <w:rPr>
          <w:rFonts w:ascii="Arial" w:hAnsi="Arial" w:cs="Arial"/>
        </w:rPr>
        <w:br/>
        <w:t>Despite accounting losses, positive operating cash flows justify restructuring rather than liquidation.</w:t>
      </w:r>
    </w:p>
    <w:p w14:paraId="3B74689B" w14:textId="77777777" w:rsidR="00FE4F98" w:rsidRPr="00FE4F98" w:rsidRDefault="00FE4F98" w:rsidP="00FE4F98">
      <w:pPr>
        <w:pStyle w:val="Heading2"/>
        <w:spacing w:line="360" w:lineRule="auto"/>
        <w:rPr>
          <w:rFonts w:cs="Arial"/>
          <w:sz w:val="24"/>
          <w:szCs w:val="24"/>
        </w:rPr>
      </w:pPr>
      <w:r w:rsidRPr="00FE4F98">
        <w:rPr>
          <w:rStyle w:val="Strong"/>
          <w:rFonts w:cs="Arial"/>
          <w:b/>
          <w:bCs/>
          <w:sz w:val="24"/>
          <w:szCs w:val="24"/>
        </w:rPr>
        <w:t>Appendix B3: Asset Base Contraction and Divestment Rationale</w:t>
      </w:r>
    </w:p>
    <w:p w14:paraId="7BDDE237" w14:textId="77777777" w:rsidR="00FE4F98" w:rsidRPr="00FE4F98" w:rsidRDefault="00FE4F98" w:rsidP="00FE4F98">
      <w:pPr>
        <w:pStyle w:val="NormalWeb"/>
        <w:spacing w:line="360" w:lineRule="auto"/>
        <w:rPr>
          <w:rFonts w:ascii="Arial" w:hAnsi="Arial" w:cs="Arial"/>
        </w:rPr>
      </w:pPr>
      <w:r w:rsidRPr="00FE4F98">
        <w:rPr>
          <w:rStyle w:val="Strong"/>
          <w:rFonts w:ascii="Arial" w:hAnsi="Arial" w:cs="Arial"/>
        </w:rPr>
        <w:t>Purpose:</w:t>
      </w:r>
      <w:r w:rsidRPr="00FE4F98">
        <w:rPr>
          <w:rFonts w:ascii="Arial" w:hAnsi="Arial" w:cs="Arial"/>
        </w:rPr>
        <w:t xml:space="preserve"> Supports Section 3.3.1 (strategic divestiture)</w:t>
      </w:r>
    </w:p>
    <w:tbl>
      <w:tblPr>
        <w:tblStyle w:val="TableGrid"/>
        <w:tblW w:w="0" w:type="auto"/>
        <w:tblLook w:val="04A0" w:firstRow="1" w:lastRow="0" w:firstColumn="1" w:lastColumn="0" w:noHBand="0" w:noVBand="1"/>
      </w:tblPr>
      <w:tblGrid>
        <w:gridCol w:w="706"/>
        <w:gridCol w:w="1864"/>
        <w:gridCol w:w="3300"/>
        <w:gridCol w:w="3480"/>
      </w:tblGrid>
      <w:tr w:rsidR="00FE4F98" w:rsidRPr="00FE4F98" w14:paraId="2AE827CF" w14:textId="77777777" w:rsidTr="006C45C0">
        <w:tc>
          <w:tcPr>
            <w:tcW w:w="0" w:type="auto"/>
            <w:hideMark/>
          </w:tcPr>
          <w:p w14:paraId="0A3C4501"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Year</w:t>
            </w:r>
          </w:p>
        </w:tc>
        <w:tc>
          <w:tcPr>
            <w:tcW w:w="0" w:type="auto"/>
            <w:hideMark/>
          </w:tcPr>
          <w:p w14:paraId="452FF5EE"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Total Assets (£m)</w:t>
            </w:r>
          </w:p>
        </w:tc>
        <w:tc>
          <w:tcPr>
            <w:tcW w:w="0" w:type="auto"/>
            <w:hideMark/>
          </w:tcPr>
          <w:p w14:paraId="5BFA78A3"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Property, Plant &amp; Equipment (£m)</w:t>
            </w:r>
          </w:p>
        </w:tc>
        <w:tc>
          <w:tcPr>
            <w:tcW w:w="3480" w:type="dxa"/>
            <w:hideMark/>
          </w:tcPr>
          <w:p w14:paraId="32F2E280"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Goodwill (£m)</w:t>
            </w:r>
          </w:p>
        </w:tc>
      </w:tr>
      <w:tr w:rsidR="00FE4F98" w:rsidRPr="00FE4F98" w14:paraId="22C6B7B8" w14:textId="77777777" w:rsidTr="006C45C0">
        <w:tc>
          <w:tcPr>
            <w:tcW w:w="0" w:type="auto"/>
            <w:hideMark/>
          </w:tcPr>
          <w:p w14:paraId="274C0BD7" w14:textId="77777777" w:rsidR="00FE4F98" w:rsidRPr="00FE4F98" w:rsidRDefault="00FE4F98" w:rsidP="00FE4F98">
            <w:pPr>
              <w:spacing w:line="360" w:lineRule="auto"/>
              <w:jc w:val="center"/>
              <w:rPr>
                <w:rFonts w:ascii="Arial" w:hAnsi="Arial" w:cs="Arial"/>
              </w:rPr>
            </w:pPr>
            <w:r w:rsidRPr="00FE4F98">
              <w:rPr>
                <w:rFonts w:ascii="Arial" w:hAnsi="Arial" w:cs="Arial"/>
              </w:rPr>
              <w:t>2020</w:t>
            </w:r>
          </w:p>
        </w:tc>
        <w:tc>
          <w:tcPr>
            <w:tcW w:w="0" w:type="auto"/>
            <w:hideMark/>
          </w:tcPr>
          <w:p w14:paraId="2B6EF034" w14:textId="77777777" w:rsidR="00FE4F98" w:rsidRPr="00FE4F98" w:rsidRDefault="00FE4F98" w:rsidP="00FE4F98">
            <w:pPr>
              <w:spacing w:line="360" w:lineRule="auto"/>
              <w:jc w:val="center"/>
              <w:rPr>
                <w:rFonts w:ascii="Arial" w:hAnsi="Arial" w:cs="Arial"/>
              </w:rPr>
            </w:pPr>
            <w:r w:rsidRPr="00FE4F98">
              <w:rPr>
                <w:rFonts w:ascii="Arial" w:hAnsi="Arial" w:cs="Arial"/>
              </w:rPr>
              <w:t>586,810</w:t>
            </w:r>
          </w:p>
        </w:tc>
        <w:tc>
          <w:tcPr>
            <w:tcW w:w="0" w:type="auto"/>
            <w:hideMark/>
          </w:tcPr>
          <w:p w14:paraId="5A01BE1A" w14:textId="77777777" w:rsidR="00FE4F98" w:rsidRPr="00FE4F98" w:rsidRDefault="00FE4F98" w:rsidP="00FE4F98">
            <w:pPr>
              <w:spacing w:line="360" w:lineRule="auto"/>
              <w:jc w:val="center"/>
              <w:rPr>
                <w:rFonts w:ascii="Arial" w:hAnsi="Arial" w:cs="Arial"/>
              </w:rPr>
            </w:pPr>
            <w:r w:rsidRPr="00FE4F98">
              <w:rPr>
                <w:rFonts w:ascii="Arial" w:hAnsi="Arial" w:cs="Arial"/>
              </w:rPr>
              <w:t>87,285</w:t>
            </w:r>
          </w:p>
        </w:tc>
        <w:tc>
          <w:tcPr>
            <w:tcW w:w="3480" w:type="dxa"/>
            <w:hideMark/>
          </w:tcPr>
          <w:p w14:paraId="0FE6C2AA" w14:textId="77777777" w:rsidR="00FE4F98" w:rsidRPr="00FE4F98" w:rsidRDefault="00FE4F98" w:rsidP="00FE4F98">
            <w:pPr>
              <w:spacing w:line="360" w:lineRule="auto"/>
              <w:jc w:val="center"/>
              <w:rPr>
                <w:rFonts w:ascii="Arial" w:hAnsi="Arial" w:cs="Arial"/>
              </w:rPr>
            </w:pPr>
            <w:r w:rsidRPr="00FE4F98">
              <w:rPr>
                <w:rFonts w:ascii="Arial" w:hAnsi="Arial" w:cs="Arial"/>
              </w:rPr>
              <w:t>154,926</w:t>
            </w:r>
          </w:p>
        </w:tc>
      </w:tr>
      <w:tr w:rsidR="00FE4F98" w:rsidRPr="00FE4F98" w14:paraId="10BE56F9" w14:textId="77777777" w:rsidTr="006C45C0">
        <w:tc>
          <w:tcPr>
            <w:tcW w:w="0" w:type="auto"/>
            <w:hideMark/>
          </w:tcPr>
          <w:p w14:paraId="3C82DE04" w14:textId="77777777" w:rsidR="00FE4F98" w:rsidRPr="00FE4F98" w:rsidRDefault="00FE4F98" w:rsidP="00FE4F98">
            <w:pPr>
              <w:spacing w:line="360" w:lineRule="auto"/>
              <w:jc w:val="center"/>
              <w:rPr>
                <w:rFonts w:ascii="Arial" w:hAnsi="Arial" w:cs="Arial"/>
              </w:rPr>
            </w:pPr>
            <w:r w:rsidRPr="00FE4F98">
              <w:rPr>
                <w:rFonts w:ascii="Arial" w:hAnsi="Arial" w:cs="Arial"/>
              </w:rPr>
              <w:t>2021</w:t>
            </w:r>
          </w:p>
        </w:tc>
        <w:tc>
          <w:tcPr>
            <w:tcW w:w="0" w:type="auto"/>
            <w:hideMark/>
          </w:tcPr>
          <w:p w14:paraId="038C26EF" w14:textId="77777777" w:rsidR="00FE4F98" w:rsidRPr="00FE4F98" w:rsidRDefault="00FE4F98" w:rsidP="00FE4F98">
            <w:pPr>
              <w:spacing w:line="360" w:lineRule="auto"/>
              <w:jc w:val="center"/>
              <w:rPr>
                <w:rFonts w:ascii="Arial" w:hAnsi="Arial" w:cs="Arial"/>
              </w:rPr>
            </w:pPr>
            <w:r w:rsidRPr="00FE4F98">
              <w:rPr>
                <w:rFonts w:ascii="Arial" w:hAnsi="Arial" w:cs="Arial"/>
              </w:rPr>
              <w:t>561,390</w:t>
            </w:r>
          </w:p>
        </w:tc>
        <w:tc>
          <w:tcPr>
            <w:tcW w:w="0" w:type="auto"/>
            <w:hideMark/>
          </w:tcPr>
          <w:p w14:paraId="32BE4C62" w14:textId="77777777" w:rsidR="00FE4F98" w:rsidRPr="00FE4F98" w:rsidRDefault="00FE4F98" w:rsidP="00FE4F98">
            <w:pPr>
              <w:spacing w:line="360" w:lineRule="auto"/>
              <w:jc w:val="center"/>
              <w:rPr>
                <w:rFonts w:ascii="Arial" w:hAnsi="Arial" w:cs="Arial"/>
              </w:rPr>
            </w:pPr>
            <w:r w:rsidRPr="00FE4F98">
              <w:rPr>
                <w:rFonts w:ascii="Arial" w:hAnsi="Arial" w:cs="Arial"/>
              </w:rPr>
              <w:t>80,908</w:t>
            </w:r>
          </w:p>
        </w:tc>
        <w:tc>
          <w:tcPr>
            <w:tcW w:w="3480" w:type="dxa"/>
            <w:hideMark/>
          </w:tcPr>
          <w:p w14:paraId="49850FDC" w14:textId="77777777" w:rsidR="00FE4F98" w:rsidRPr="00FE4F98" w:rsidRDefault="00FE4F98" w:rsidP="00FE4F98">
            <w:pPr>
              <w:spacing w:line="360" w:lineRule="auto"/>
              <w:jc w:val="center"/>
              <w:rPr>
                <w:rFonts w:ascii="Arial" w:hAnsi="Arial" w:cs="Arial"/>
              </w:rPr>
            </w:pPr>
            <w:r w:rsidRPr="00FE4F98">
              <w:rPr>
                <w:rFonts w:ascii="Arial" w:hAnsi="Arial" w:cs="Arial"/>
              </w:rPr>
              <w:t>153,854</w:t>
            </w:r>
          </w:p>
        </w:tc>
      </w:tr>
      <w:tr w:rsidR="00FE4F98" w:rsidRPr="00FE4F98" w14:paraId="109C53CD" w14:textId="77777777" w:rsidTr="006C45C0">
        <w:tc>
          <w:tcPr>
            <w:tcW w:w="0" w:type="auto"/>
            <w:hideMark/>
          </w:tcPr>
          <w:p w14:paraId="711B3F15" w14:textId="77777777" w:rsidR="00FE4F98" w:rsidRPr="00FE4F98" w:rsidRDefault="00FE4F98" w:rsidP="00FE4F98">
            <w:pPr>
              <w:spacing w:line="360" w:lineRule="auto"/>
              <w:jc w:val="center"/>
              <w:rPr>
                <w:rFonts w:ascii="Arial" w:hAnsi="Arial" w:cs="Arial"/>
              </w:rPr>
            </w:pPr>
            <w:r w:rsidRPr="00FE4F98">
              <w:rPr>
                <w:rFonts w:ascii="Arial" w:hAnsi="Arial" w:cs="Arial"/>
              </w:rPr>
              <w:t>2022</w:t>
            </w:r>
          </w:p>
        </w:tc>
        <w:tc>
          <w:tcPr>
            <w:tcW w:w="0" w:type="auto"/>
            <w:hideMark/>
          </w:tcPr>
          <w:p w14:paraId="3D500469" w14:textId="77777777" w:rsidR="00FE4F98" w:rsidRPr="00FE4F98" w:rsidRDefault="00FE4F98" w:rsidP="00FE4F98">
            <w:pPr>
              <w:spacing w:line="360" w:lineRule="auto"/>
              <w:jc w:val="center"/>
              <w:rPr>
                <w:rFonts w:ascii="Arial" w:hAnsi="Arial" w:cs="Arial"/>
              </w:rPr>
            </w:pPr>
            <w:r w:rsidRPr="00FE4F98">
              <w:rPr>
                <w:rFonts w:ascii="Arial" w:hAnsi="Arial" w:cs="Arial"/>
              </w:rPr>
              <w:t>493,031</w:t>
            </w:r>
          </w:p>
        </w:tc>
        <w:tc>
          <w:tcPr>
            <w:tcW w:w="0" w:type="auto"/>
            <w:hideMark/>
          </w:tcPr>
          <w:p w14:paraId="41C60CAE" w14:textId="77777777" w:rsidR="00FE4F98" w:rsidRPr="00FE4F98" w:rsidRDefault="00FE4F98" w:rsidP="00FE4F98">
            <w:pPr>
              <w:spacing w:line="360" w:lineRule="auto"/>
              <w:jc w:val="center"/>
              <w:rPr>
                <w:rFonts w:ascii="Arial" w:hAnsi="Arial" w:cs="Arial"/>
              </w:rPr>
            </w:pPr>
            <w:r w:rsidRPr="00FE4F98">
              <w:rPr>
                <w:rFonts w:ascii="Arial" w:hAnsi="Arial" w:cs="Arial"/>
              </w:rPr>
              <w:t>61,168</w:t>
            </w:r>
          </w:p>
        </w:tc>
        <w:tc>
          <w:tcPr>
            <w:tcW w:w="3480" w:type="dxa"/>
            <w:hideMark/>
          </w:tcPr>
          <w:p w14:paraId="65E15590" w14:textId="77777777" w:rsidR="00FE4F98" w:rsidRPr="00FE4F98" w:rsidRDefault="00FE4F98" w:rsidP="00FE4F98">
            <w:pPr>
              <w:spacing w:line="360" w:lineRule="auto"/>
              <w:jc w:val="center"/>
              <w:rPr>
                <w:rFonts w:ascii="Arial" w:hAnsi="Arial" w:cs="Arial"/>
              </w:rPr>
            </w:pPr>
            <w:r w:rsidRPr="00FE4F98">
              <w:rPr>
                <w:rFonts w:ascii="Arial" w:hAnsi="Arial" w:cs="Arial"/>
              </w:rPr>
              <w:t>143,563</w:t>
            </w:r>
          </w:p>
        </w:tc>
      </w:tr>
      <w:tr w:rsidR="00FE4F98" w:rsidRPr="00FE4F98" w14:paraId="4478144F" w14:textId="77777777" w:rsidTr="006C45C0">
        <w:tc>
          <w:tcPr>
            <w:tcW w:w="0" w:type="auto"/>
            <w:hideMark/>
          </w:tcPr>
          <w:p w14:paraId="584794D2" w14:textId="77777777" w:rsidR="00FE4F98" w:rsidRPr="00FE4F98" w:rsidRDefault="00FE4F98" w:rsidP="00FE4F98">
            <w:pPr>
              <w:spacing w:line="360" w:lineRule="auto"/>
              <w:jc w:val="center"/>
              <w:rPr>
                <w:rFonts w:ascii="Arial" w:hAnsi="Arial" w:cs="Arial"/>
              </w:rPr>
            </w:pPr>
            <w:r w:rsidRPr="00FE4F98">
              <w:rPr>
                <w:rFonts w:ascii="Arial" w:hAnsi="Arial" w:cs="Arial"/>
              </w:rPr>
              <w:t>2023</w:t>
            </w:r>
          </w:p>
        </w:tc>
        <w:tc>
          <w:tcPr>
            <w:tcW w:w="0" w:type="auto"/>
            <w:hideMark/>
          </w:tcPr>
          <w:p w14:paraId="4D2522B7" w14:textId="77777777" w:rsidR="00FE4F98" w:rsidRPr="00FE4F98" w:rsidRDefault="00FE4F98" w:rsidP="00FE4F98">
            <w:pPr>
              <w:spacing w:line="360" w:lineRule="auto"/>
              <w:jc w:val="center"/>
              <w:rPr>
                <w:rFonts w:ascii="Arial" w:hAnsi="Arial" w:cs="Arial"/>
              </w:rPr>
            </w:pPr>
            <w:r w:rsidRPr="00FE4F98">
              <w:rPr>
                <w:rFonts w:ascii="Arial" w:hAnsi="Arial" w:cs="Arial"/>
              </w:rPr>
              <w:t>446,143</w:t>
            </w:r>
          </w:p>
        </w:tc>
        <w:tc>
          <w:tcPr>
            <w:tcW w:w="0" w:type="auto"/>
            <w:hideMark/>
          </w:tcPr>
          <w:p w14:paraId="24B1ABEF" w14:textId="77777777" w:rsidR="00FE4F98" w:rsidRPr="00FE4F98" w:rsidRDefault="00FE4F98" w:rsidP="00FE4F98">
            <w:pPr>
              <w:spacing w:line="360" w:lineRule="auto"/>
              <w:jc w:val="center"/>
              <w:rPr>
                <w:rFonts w:ascii="Arial" w:hAnsi="Arial" w:cs="Arial"/>
              </w:rPr>
            </w:pPr>
            <w:r w:rsidRPr="00FE4F98">
              <w:rPr>
                <w:rFonts w:ascii="Arial" w:hAnsi="Arial" w:cs="Arial"/>
              </w:rPr>
              <w:t>40,682</w:t>
            </w:r>
          </w:p>
        </w:tc>
        <w:tc>
          <w:tcPr>
            <w:tcW w:w="3480" w:type="dxa"/>
            <w:hideMark/>
          </w:tcPr>
          <w:p w14:paraId="4F1DC76A" w14:textId="77777777" w:rsidR="00FE4F98" w:rsidRPr="00FE4F98" w:rsidRDefault="00FE4F98" w:rsidP="00FE4F98">
            <w:pPr>
              <w:spacing w:line="360" w:lineRule="auto"/>
              <w:jc w:val="center"/>
              <w:rPr>
                <w:rFonts w:ascii="Arial" w:hAnsi="Arial" w:cs="Arial"/>
              </w:rPr>
            </w:pPr>
            <w:r w:rsidRPr="00FE4F98">
              <w:rPr>
                <w:rFonts w:ascii="Arial" w:hAnsi="Arial" w:cs="Arial"/>
              </w:rPr>
              <w:t>95,119</w:t>
            </w:r>
          </w:p>
        </w:tc>
      </w:tr>
      <w:tr w:rsidR="00FE4F98" w:rsidRPr="00FE4F98" w14:paraId="6A7C3515" w14:textId="77777777" w:rsidTr="006C45C0">
        <w:tc>
          <w:tcPr>
            <w:tcW w:w="0" w:type="auto"/>
            <w:hideMark/>
          </w:tcPr>
          <w:p w14:paraId="4DAFFCA1" w14:textId="77777777" w:rsidR="00FE4F98" w:rsidRPr="00FE4F98" w:rsidRDefault="00FE4F98" w:rsidP="00FE4F98">
            <w:pPr>
              <w:spacing w:line="360" w:lineRule="auto"/>
              <w:jc w:val="center"/>
              <w:rPr>
                <w:rFonts w:ascii="Arial" w:hAnsi="Arial" w:cs="Arial"/>
              </w:rPr>
            </w:pPr>
            <w:r w:rsidRPr="00FE4F98">
              <w:rPr>
                <w:rFonts w:ascii="Arial" w:hAnsi="Arial" w:cs="Arial"/>
              </w:rPr>
              <w:t>2024</w:t>
            </w:r>
          </w:p>
        </w:tc>
        <w:tc>
          <w:tcPr>
            <w:tcW w:w="0" w:type="auto"/>
            <w:hideMark/>
          </w:tcPr>
          <w:p w14:paraId="737B95D6" w14:textId="77777777" w:rsidR="00FE4F98" w:rsidRPr="00FE4F98" w:rsidRDefault="00FE4F98" w:rsidP="00FE4F98">
            <w:pPr>
              <w:spacing w:line="360" w:lineRule="auto"/>
              <w:jc w:val="center"/>
              <w:rPr>
                <w:rFonts w:ascii="Arial" w:hAnsi="Arial" w:cs="Arial"/>
              </w:rPr>
            </w:pPr>
            <w:r w:rsidRPr="00FE4F98">
              <w:rPr>
                <w:rFonts w:ascii="Arial" w:hAnsi="Arial" w:cs="Arial"/>
              </w:rPr>
              <w:t>365,058</w:t>
            </w:r>
          </w:p>
        </w:tc>
        <w:tc>
          <w:tcPr>
            <w:tcW w:w="0" w:type="auto"/>
            <w:hideMark/>
          </w:tcPr>
          <w:p w14:paraId="67301B6A" w14:textId="77777777" w:rsidR="00FE4F98" w:rsidRPr="00FE4F98" w:rsidRDefault="00FE4F98" w:rsidP="00FE4F98">
            <w:pPr>
              <w:spacing w:line="360" w:lineRule="auto"/>
              <w:jc w:val="center"/>
              <w:rPr>
                <w:rFonts w:ascii="Arial" w:hAnsi="Arial" w:cs="Arial"/>
              </w:rPr>
            </w:pPr>
            <w:r w:rsidRPr="00FE4F98">
              <w:rPr>
                <w:rFonts w:ascii="Arial" w:hAnsi="Arial" w:cs="Arial"/>
              </w:rPr>
              <w:t>34,207</w:t>
            </w:r>
          </w:p>
        </w:tc>
        <w:tc>
          <w:tcPr>
            <w:tcW w:w="3480" w:type="dxa"/>
            <w:hideMark/>
          </w:tcPr>
          <w:p w14:paraId="3B98A845" w14:textId="77777777" w:rsidR="00FE4F98" w:rsidRPr="00FE4F98" w:rsidRDefault="00FE4F98" w:rsidP="00FE4F98">
            <w:pPr>
              <w:spacing w:line="360" w:lineRule="auto"/>
              <w:jc w:val="center"/>
              <w:rPr>
                <w:rFonts w:ascii="Arial" w:hAnsi="Arial" w:cs="Arial"/>
              </w:rPr>
            </w:pPr>
            <w:r w:rsidRPr="00FE4F98">
              <w:rPr>
                <w:rFonts w:ascii="Arial" w:hAnsi="Arial" w:cs="Arial"/>
              </w:rPr>
              <w:t>88,245</w:t>
            </w:r>
          </w:p>
        </w:tc>
      </w:tr>
    </w:tbl>
    <w:p w14:paraId="3A0D548D" w14:textId="77777777" w:rsidR="00FE4F98" w:rsidRPr="00FE4F98" w:rsidRDefault="00FE4F98" w:rsidP="00FE4F98">
      <w:pPr>
        <w:pStyle w:val="NormalWeb"/>
        <w:spacing w:line="360" w:lineRule="auto"/>
        <w:rPr>
          <w:rFonts w:ascii="Arial" w:hAnsi="Arial" w:cs="Arial"/>
        </w:rPr>
      </w:pPr>
      <w:r w:rsidRPr="00FE4F98">
        <w:rPr>
          <w:rStyle w:val="Strong"/>
          <w:rFonts w:ascii="Arial" w:hAnsi="Arial" w:cs="Arial"/>
        </w:rPr>
        <w:t>Key linkage:</w:t>
      </w:r>
      <w:r w:rsidRPr="00FE4F98">
        <w:rPr>
          <w:rFonts w:ascii="Arial" w:hAnsi="Arial" w:cs="Arial"/>
        </w:rPr>
        <w:br/>
        <w:t>Declining PPE and large goodwill impairments confirm the case for non-core asset divestment.</w:t>
      </w:r>
    </w:p>
    <w:p w14:paraId="2C716A9C" w14:textId="77777777" w:rsidR="00FE4F98" w:rsidRPr="00FE4F98" w:rsidRDefault="00FE4F98" w:rsidP="00FE4F98">
      <w:pPr>
        <w:pStyle w:val="Heading2"/>
        <w:spacing w:line="360" w:lineRule="auto"/>
        <w:rPr>
          <w:rFonts w:cs="Arial"/>
          <w:sz w:val="24"/>
          <w:szCs w:val="24"/>
        </w:rPr>
      </w:pPr>
      <w:r w:rsidRPr="00FE4F98">
        <w:rPr>
          <w:rStyle w:val="Strong"/>
          <w:rFonts w:cs="Arial"/>
          <w:b/>
          <w:bCs/>
          <w:sz w:val="24"/>
          <w:szCs w:val="24"/>
        </w:rPr>
        <w:t>Appendix B4: Capital Structure and Solvency Pressure</w:t>
      </w:r>
    </w:p>
    <w:p w14:paraId="16139DCB" w14:textId="77777777" w:rsidR="00FE4F98" w:rsidRPr="00FE4F98" w:rsidRDefault="00FE4F98" w:rsidP="00FE4F98">
      <w:pPr>
        <w:pStyle w:val="NormalWeb"/>
        <w:spacing w:line="360" w:lineRule="auto"/>
        <w:rPr>
          <w:rFonts w:ascii="Arial" w:hAnsi="Arial" w:cs="Arial"/>
        </w:rPr>
      </w:pPr>
      <w:r w:rsidRPr="00FE4F98">
        <w:rPr>
          <w:rStyle w:val="Strong"/>
          <w:rFonts w:ascii="Arial" w:hAnsi="Arial" w:cs="Arial"/>
        </w:rPr>
        <w:t>Purpose:</w:t>
      </w:r>
      <w:r w:rsidRPr="00FE4F98">
        <w:rPr>
          <w:rFonts w:ascii="Arial" w:hAnsi="Arial" w:cs="Arial"/>
        </w:rPr>
        <w:t xml:space="preserve"> Supports Sections 3.2 and 3.4.2 (debt structure and refinancing risk)</w:t>
      </w:r>
    </w:p>
    <w:tbl>
      <w:tblPr>
        <w:tblStyle w:val="TableGrid"/>
        <w:tblW w:w="0" w:type="auto"/>
        <w:tblLook w:val="04A0" w:firstRow="1" w:lastRow="0" w:firstColumn="1" w:lastColumn="0" w:noHBand="0" w:noVBand="1"/>
      </w:tblPr>
      <w:tblGrid>
        <w:gridCol w:w="706"/>
        <w:gridCol w:w="2296"/>
        <w:gridCol w:w="3738"/>
        <w:gridCol w:w="2610"/>
      </w:tblGrid>
      <w:tr w:rsidR="00FE4F98" w:rsidRPr="00FE4F98" w14:paraId="3C5486B7" w14:textId="77777777" w:rsidTr="006C45C0">
        <w:tc>
          <w:tcPr>
            <w:tcW w:w="0" w:type="auto"/>
            <w:hideMark/>
          </w:tcPr>
          <w:p w14:paraId="0999344A"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lastRenderedPageBreak/>
              <w:t>Year</w:t>
            </w:r>
          </w:p>
        </w:tc>
        <w:tc>
          <w:tcPr>
            <w:tcW w:w="0" w:type="auto"/>
            <w:hideMark/>
          </w:tcPr>
          <w:p w14:paraId="5577AF8E"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Total Liabilities (£m)</w:t>
            </w:r>
          </w:p>
        </w:tc>
        <w:tc>
          <w:tcPr>
            <w:tcW w:w="3738" w:type="dxa"/>
            <w:hideMark/>
          </w:tcPr>
          <w:p w14:paraId="6B96CF06"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Total Equity (£m)</w:t>
            </w:r>
          </w:p>
        </w:tc>
        <w:tc>
          <w:tcPr>
            <w:tcW w:w="2610" w:type="dxa"/>
            <w:hideMark/>
          </w:tcPr>
          <w:p w14:paraId="1390FD5D"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Debt-to-Equity</w:t>
            </w:r>
          </w:p>
        </w:tc>
      </w:tr>
      <w:tr w:rsidR="00FE4F98" w:rsidRPr="00FE4F98" w14:paraId="399DABF5" w14:textId="77777777" w:rsidTr="006C45C0">
        <w:tc>
          <w:tcPr>
            <w:tcW w:w="0" w:type="auto"/>
            <w:hideMark/>
          </w:tcPr>
          <w:p w14:paraId="11C10196" w14:textId="77777777" w:rsidR="00FE4F98" w:rsidRPr="00FE4F98" w:rsidRDefault="00FE4F98" w:rsidP="00FE4F98">
            <w:pPr>
              <w:spacing w:line="360" w:lineRule="auto"/>
              <w:jc w:val="center"/>
              <w:rPr>
                <w:rFonts w:ascii="Arial" w:hAnsi="Arial" w:cs="Arial"/>
              </w:rPr>
            </w:pPr>
            <w:r w:rsidRPr="00FE4F98">
              <w:rPr>
                <w:rFonts w:ascii="Arial" w:hAnsi="Arial" w:cs="Arial"/>
              </w:rPr>
              <w:t>2020</w:t>
            </w:r>
          </w:p>
        </w:tc>
        <w:tc>
          <w:tcPr>
            <w:tcW w:w="0" w:type="auto"/>
            <w:hideMark/>
          </w:tcPr>
          <w:p w14:paraId="34668892" w14:textId="77777777" w:rsidR="00FE4F98" w:rsidRPr="00FE4F98" w:rsidRDefault="00FE4F98" w:rsidP="00FE4F98">
            <w:pPr>
              <w:spacing w:line="360" w:lineRule="auto"/>
              <w:jc w:val="center"/>
              <w:rPr>
                <w:rFonts w:ascii="Arial" w:hAnsi="Arial" w:cs="Arial"/>
              </w:rPr>
            </w:pPr>
            <w:r w:rsidRPr="00FE4F98">
              <w:rPr>
                <w:rFonts w:ascii="Arial" w:hAnsi="Arial" w:cs="Arial"/>
              </w:rPr>
              <w:t>273,509</w:t>
            </w:r>
          </w:p>
        </w:tc>
        <w:tc>
          <w:tcPr>
            <w:tcW w:w="3738" w:type="dxa"/>
            <w:hideMark/>
          </w:tcPr>
          <w:p w14:paraId="5C9221E7" w14:textId="77777777" w:rsidR="00FE4F98" w:rsidRPr="00FE4F98" w:rsidRDefault="00FE4F98" w:rsidP="00FE4F98">
            <w:pPr>
              <w:spacing w:line="360" w:lineRule="auto"/>
              <w:jc w:val="center"/>
              <w:rPr>
                <w:rFonts w:ascii="Arial" w:hAnsi="Arial" w:cs="Arial"/>
              </w:rPr>
            </w:pPr>
            <w:r w:rsidRPr="00FE4F98">
              <w:rPr>
                <w:rFonts w:ascii="Arial" w:hAnsi="Arial" w:cs="Arial"/>
              </w:rPr>
              <w:t>313,301</w:t>
            </w:r>
          </w:p>
        </w:tc>
        <w:tc>
          <w:tcPr>
            <w:tcW w:w="2610" w:type="dxa"/>
            <w:hideMark/>
          </w:tcPr>
          <w:p w14:paraId="6D2B8517" w14:textId="77777777" w:rsidR="00FE4F98" w:rsidRPr="00FE4F98" w:rsidRDefault="00FE4F98" w:rsidP="00FE4F98">
            <w:pPr>
              <w:spacing w:line="360" w:lineRule="auto"/>
              <w:jc w:val="center"/>
              <w:rPr>
                <w:rFonts w:ascii="Arial" w:hAnsi="Arial" w:cs="Arial"/>
              </w:rPr>
            </w:pPr>
            <w:r w:rsidRPr="00FE4F98">
              <w:rPr>
                <w:rFonts w:ascii="Arial" w:hAnsi="Arial" w:cs="Arial"/>
              </w:rPr>
              <w:t>0.87</w:t>
            </w:r>
          </w:p>
        </w:tc>
      </w:tr>
      <w:tr w:rsidR="00FE4F98" w:rsidRPr="00FE4F98" w14:paraId="10F184A6" w14:textId="77777777" w:rsidTr="006C45C0">
        <w:tc>
          <w:tcPr>
            <w:tcW w:w="0" w:type="auto"/>
            <w:hideMark/>
          </w:tcPr>
          <w:p w14:paraId="70DA9F5B" w14:textId="77777777" w:rsidR="00FE4F98" w:rsidRPr="00FE4F98" w:rsidRDefault="00FE4F98" w:rsidP="00FE4F98">
            <w:pPr>
              <w:spacing w:line="360" w:lineRule="auto"/>
              <w:jc w:val="center"/>
              <w:rPr>
                <w:rFonts w:ascii="Arial" w:hAnsi="Arial" w:cs="Arial"/>
              </w:rPr>
            </w:pPr>
            <w:r w:rsidRPr="00FE4F98">
              <w:rPr>
                <w:rFonts w:ascii="Arial" w:hAnsi="Arial" w:cs="Arial"/>
              </w:rPr>
              <w:t>2021</w:t>
            </w:r>
          </w:p>
        </w:tc>
        <w:tc>
          <w:tcPr>
            <w:tcW w:w="0" w:type="auto"/>
            <w:hideMark/>
          </w:tcPr>
          <w:p w14:paraId="0E205F98" w14:textId="77777777" w:rsidR="00FE4F98" w:rsidRPr="00FE4F98" w:rsidRDefault="00FE4F98" w:rsidP="00FE4F98">
            <w:pPr>
              <w:spacing w:line="360" w:lineRule="auto"/>
              <w:jc w:val="center"/>
              <w:rPr>
                <w:rFonts w:ascii="Arial" w:hAnsi="Arial" w:cs="Arial"/>
              </w:rPr>
            </w:pPr>
            <w:r w:rsidRPr="00FE4F98">
              <w:rPr>
                <w:rFonts w:ascii="Arial" w:hAnsi="Arial" w:cs="Arial"/>
              </w:rPr>
              <w:t>255,692</w:t>
            </w:r>
          </w:p>
        </w:tc>
        <w:tc>
          <w:tcPr>
            <w:tcW w:w="3738" w:type="dxa"/>
            <w:hideMark/>
          </w:tcPr>
          <w:p w14:paraId="0B0015AD" w14:textId="77777777" w:rsidR="00FE4F98" w:rsidRPr="00FE4F98" w:rsidRDefault="00FE4F98" w:rsidP="00FE4F98">
            <w:pPr>
              <w:spacing w:line="360" w:lineRule="auto"/>
              <w:jc w:val="center"/>
              <w:rPr>
                <w:rFonts w:ascii="Arial" w:hAnsi="Arial" w:cs="Arial"/>
              </w:rPr>
            </w:pPr>
            <w:r w:rsidRPr="00FE4F98">
              <w:rPr>
                <w:rFonts w:ascii="Arial" w:hAnsi="Arial" w:cs="Arial"/>
              </w:rPr>
              <w:t>305,698</w:t>
            </w:r>
          </w:p>
        </w:tc>
        <w:tc>
          <w:tcPr>
            <w:tcW w:w="2610" w:type="dxa"/>
            <w:hideMark/>
          </w:tcPr>
          <w:p w14:paraId="1D4C3DF4" w14:textId="77777777" w:rsidR="00FE4F98" w:rsidRPr="00FE4F98" w:rsidRDefault="00FE4F98" w:rsidP="00FE4F98">
            <w:pPr>
              <w:spacing w:line="360" w:lineRule="auto"/>
              <w:jc w:val="center"/>
              <w:rPr>
                <w:rFonts w:ascii="Arial" w:hAnsi="Arial" w:cs="Arial"/>
              </w:rPr>
            </w:pPr>
            <w:r w:rsidRPr="00FE4F98">
              <w:rPr>
                <w:rFonts w:ascii="Arial" w:hAnsi="Arial" w:cs="Arial"/>
              </w:rPr>
              <w:t>0.84</w:t>
            </w:r>
          </w:p>
        </w:tc>
      </w:tr>
      <w:tr w:rsidR="00FE4F98" w:rsidRPr="00FE4F98" w14:paraId="6ED21266" w14:textId="77777777" w:rsidTr="006C45C0">
        <w:tc>
          <w:tcPr>
            <w:tcW w:w="0" w:type="auto"/>
            <w:hideMark/>
          </w:tcPr>
          <w:p w14:paraId="1C7A80F7" w14:textId="77777777" w:rsidR="00FE4F98" w:rsidRPr="00FE4F98" w:rsidRDefault="00FE4F98" w:rsidP="00FE4F98">
            <w:pPr>
              <w:spacing w:line="360" w:lineRule="auto"/>
              <w:jc w:val="center"/>
              <w:rPr>
                <w:rFonts w:ascii="Arial" w:hAnsi="Arial" w:cs="Arial"/>
              </w:rPr>
            </w:pPr>
            <w:r w:rsidRPr="00FE4F98">
              <w:rPr>
                <w:rFonts w:ascii="Arial" w:hAnsi="Arial" w:cs="Arial"/>
              </w:rPr>
              <w:t>2022</w:t>
            </w:r>
          </w:p>
        </w:tc>
        <w:tc>
          <w:tcPr>
            <w:tcW w:w="0" w:type="auto"/>
            <w:hideMark/>
          </w:tcPr>
          <w:p w14:paraId="22B24119" w14:textId="77777777" w:rsidR="00FE4F98" w:rsidRPr="00FE4F98" w:rsidRDefault="00FE4F98" w:rsidP="00FE4F98">
            <w:pPr>
              <w:spacing w:line="360" w:lineRule="auto"/>
              <w:jc w:val="center"/>
              <w:rPr>
                <w:rFonts w:ascii="Arial" w:hAnsi="Arial" w:cs="Arial"/>
              </w:rPr>
            </w:pPr>
            <w:r w:rsidRPr="00FE4F98">
              <w:rPr>
                <w:rFonts w:ascii="Arial" w:hAnsi="Arial" w:cs="Arial"/>
              </w:rPr>
              <w:t>235,757</w:t>
            </w:r>
          </w:p>
        </w:tc>
        <w:tc>
          <w:tcPr>
            <w:tcW w:w="3738" w:type="dxa"/>
            <w:hideMark/>
          </w:tcPr>
          <w:p w14:paraId="2B782CDB" w14:textId="77777777" w:rsidR="00FE4F98" w:rsidRPr="00FE4F98" w:rsidRDefault="00FE4F98" w:rsidP="00FE4F98">
            <w:pPr>
              <w:spacing w:line="360" w:lineRule="auto"/>
              <w:jc w:val="center"/>
              <w:rPr>
                <w:rFonts w:ascii="Arial" w:hAnsi="Arial" w:cs="Arial"/>
              </w:rPr>
            </w:pPr>
            <w:r w:rsidRPr="00FE4F98">
              <w:rPr>
                <w:rFonts w:ascii="Arial" w:hAnsi="Arial" w:cs="Arial"/>
              </w:rPr>
              <w:t>257,274</w:t>
            </w:r>
          </w:p>
        </w:tc>
        <w:tc>
          <w:tcPr>
            <w:tcW w:w="2610" w:type="dxa"/>
            <w:hideMark/>
          </w:tcPr>
          <w:p w14:paraId="3C5DA00E" w14:textId="77777777" w:rsidR="00FE4F98" w:rsidRPr="00FE4F98" w:rsidRDefault="00FE4F98" w:rsidP="00FE4F98">
            <w:pPr>
              <w:spacing w:line="360" w:lineRule="auto"/>
              <w:jc w:val="center"/>
              <w:rPr>
                <w:rFonts w:ascii="Arial" w:hAnsi="Arial" w:cs="Arial"/>
              </w:rPr>
            </w:pPr>
            <w:r w:rsidRPr="00FE4F98">
              <w:rPr>
                <w:rFonts w:ascii="Arial" w:hAnsi="Arial" w:cs="Arial"/>
              </w:rPr>
              <w:t>0.92</w:t>
            </w:r>
          </w:p>
        </w:tc>
      </w:tr>
      <w:tr w:rsidR="00FE4F98" w:rsidRPr="00FE4F98" w14:paraId="4E540246" w14:textId="77777777" w:rsidTr="006C45C0">
        <w:tc>
          <w:tcPr>
            <w:tcW w:w="0" w:type="auto"/>
            <w:hideMark/>
          </w:tcPr>
          <w:p w14:paraId="0C18C0AE" w14:textId="77777777" w:rsidR="00FE4F98" w:rsidRPr="00FE4F98" w:rsidRDefault="00FE4F98" w:rsidP="00FE4F98">
            <w:pPr>
              <w:spacing w:line="360" w:lineRule="auto"/>
              <w:jc w:val="center"/>
              <w:rPr>
                <w:rFonts w:ascii="Arial" w:hAnsi="Arial" w:cs="Arial"/>
              </w:rPr>
            </w:pPr>
            <w:r w:rsidRPr="00FE4F98">
              <w:rPr>
                <w:rFonts w:ascii="Arial" w:hAnsi="Arial" w:cs="Arial"/>
              </w:rPr>
              <w:t>2023</w:t>
            </w:r>
          </w:p>
        </w:tc>
        <w:tc>
          <w:tcPr>
            <w:tcW w:w="0" w:type="auto"/>
            <w:hideMark/>
          </w:tcPr>
          <w:p w14:paraId="2CA47CCC" w14:textId="77777777" w:rsidR="00FE4F98" w:rsidRPr="00FE4F98" w:rsidRDefault="00FE4F98" w:rsidP="00FE4F98">
            <w:pPr>
              <w:spacing w:line="360" w:lineRule="auto"/>
              <w:jc w:val="center"/>
              <w:rPr>
                <w:rFonts w:ascii="Arial" w:hAnsi="Arial" w:cs="Arial"/>
              </w:rPr>
            </w:pPr>
            <w:r w:rsidRPr="00FE4F98">
              <w:rPr>
                <w:rFonts w:ascii="Arial" w:hAnsi="Arial" w:cs="Arial"/>
              </w:rPr>
              <w:t>224,224</w:t>
            </w:r>
          </w:p>
        </w:tc>
        <w:tc>
          <w:tcPr>
            <w:tcW w:w="3738" w:type="dxa"/>
            <w:hideMark/>
          </w:tcPr>
          <w:p w14:paraId="3D5470AE" w14:textId="77777777" w:rsidR="00FE4F98" w:rsidRPr="00FE4F98" w:rsidRDefault="00FE4F98" w:rsidP="00FE4F98">
            <w:pPr>
              <w:spacing w:line="360" w:lineRule="auto"/>
              <w:jc w:val="center"/>
              <w:rPr>
                <w:rFonts w:ascii="Arial" w:hAnsi="Arial" w:cs="Arial"/>
              </w:rPr>
            </w:pPr>
            <w:r w:rsidRPr="00FE4F98">
              <w:rPr>
                <w:rFonts w:ascii="Arial" w:hAnsi="Arial" w:cs="Arial"/>
              </w:rPr>
              <w:t>221,919</w:t>
            </w:r>
          </w:p>
        </w:tc>
        <w:tc>
          <w:tcPr>
            <w:tcW w:w="2610" w:type="dxa"/>
            <w:hideMark/>
          </w:tcPr>
          <w:p w14:paraId="6B73A37E" w14:textId="77777777" w:rsidR="00FE4F98" w:rsidRPr="00FE4F98" w:rsidRDefault="00FE4F98" w:rsidP="00FE4F98">
            <w:pPr>
              <w:spacing w:line="360" w:lineRule="auto"/>
              <w:jc w:val="center"/>
              <w:rPr>
                <w:rFonts w:ascii="Arial" w:hAnsi="Arial" w:cs="Arial"/>
              </w:rPr>
            </w:pPr>
            <w:r w:rsidRPr="00FE4F98">
              <w:rPr>
                <w:rFonts w:ascii="Arial" w:hAnsi="Arial" w:cs="Arial"/>
              </w:rPr>
              <w:t>1.01</w:t>
            </w:r>
          </w:p>
        </w:tc>
      </w:tr>
      <w:tr w:rsidR="00FE4F98" w:rsidRPr="00FE4F98" w14:paraId="66745BBE" w14:textId="77777777" w:rsidTr="006C45C0">
        <w:tc>
          <w:tcPr>
            <w:tcW w:w="0" w:type="auto"/>
            <w:hideMark/>
          </w:tcPr>
          <w:p w14:paraId="07E807AE" w14:textId="77777777" w:rsidR="00FE4F98" w:rsidRPr="00FE4F98" w:rsidRDefault="00FE4F98" w:rsidP="00FE4F98">
            <w:pPr>
              <w:spacing w:line="360" w:lineRule="auto"/>
              <w:jc w:val="center"/>
              <w:rPr>
                <w:rFonts w:ascii="Arial" w:hAnsi="Arial" w:cs="Arial"/>
              </w:rPr>
            </w:pPr>
            <w:r w:rsidRPr="00FE4F98">
              <w:rPr>
                <w:rFonts w:ascii="Arial" w:hAnsi="Arial" w:cs="Arial"/>
              </w:rPr>
              <w:t>2024</w:t>
            </w:r>
          </w:p>
        </w:tc>
        <w:tc>
          <w:tcPr>
            <w:tcW w:w="0" w:type="auto"/>
            <w:hideMark/>
          </w:tcPr>
          <w:p w14:paraId="6B7B664A" w14:textId="77777777" w:rsidR="00FE4F98" w:rsidRPr="00FE4F98" w:rsidRDefault="00FE4F98" w:rsidP="00FE4F98">
            <w:pPr>
              <w:spacing w:line="360" w:lineRule="auto"/>
              <w:jc w:val="center"/>
              <w:rPr>
                <w:rFonts w:ascii="Arial" w:hAnsi="Arial" w:cs="Arial"/>
              </w:rPr>
            </w:pPr>
            <w:r w:rsidRPr="00FE4F98">
              <w:rPr>
                <w:rFonts w:ascii="Arial" w:hAnsi="Arial" w:cs="Arial"/>
              </w:rPr>
              <w:t>170,249</w:t>
            </w:r>
          </w:p>
        </w:tc>
        <w:tc>
          <w:tcPr>
            <w:tcW w:w="3738" w:type="dxa"/>
            <w:hideMark/>
          </w:tcPr>
          <w:p w14:paraId="78101B0B" w14:textId="77777777" w:rsidR="00FE4F98" w:rsidRPr="00FE4F98" w:rsidRDefault="00FE4F98" w:rsidP="00FE4F98">
            <w:pPr>
              <w:spacing w:line="360" w:lineRule="auto"/>
              <w:jc w:val="center"/>
              <w:rPr>
                <w:rFonts w:ascii="Arial" w:hAnsi="Arial" w:cs="Arial"/>
              </w:rPr>
            </w:pPr>
            <w:r w:rsidRPr="00FE4F98">
              <w:rPr>
                <w:rFonts w:ascii="Arial" w:hAnsi="Arial" w:cs="Arial"/>
              </w:rPr>
              <w:t>153,105</w:t>
            </w:r>
          </w:p>
        </w:tc>
        <w:tc>
          <w:tcPr>
            <w:tcW w:w="2610" w:type="dxa"/>
            <w:hideMark/>
          </w:tcPr>
          <w:p w14:paraId="1CEA6012" w14:textId="77777777" w:rsidR="00FE4F98" w:rsidRPr="00FE4F98" w:rsidRDefault="00FE4F98" w:rsidP="00FE4F98">
            <w:pPr>
              <w:spacing w:line="360" w:lineRule="auto"/>
              <w:jc w:val="center"/>
              <w:rPr>
                <w:rFonts w:ascii="Arial" w:hAnsi="Arial" w:cs="Arial"/>
              </w:rPr>
            </w:pPr>
            <w:r w:rsidRPr="00FE4F98">
              <w:rPr>
                <w:rFonts w:ascii="Arial" w:hAnsi="Arial" w:cs="Arial"/>
              </w:rPr>
              <w:t>1.11</w:t>
            </w:r>
          </w:p>
        </w:tc>
      </w:tr>
    </w:tbl>
    <w:p w14:paraId="18F073A0" w14:textId="77777777" w:rsidR="00FE4F98" w:rsidRPr="00FE4F98" w:rsidRDefault="00FE4F98" w:rsidP="00FE4F98">
      <w:pPr>
        <w:pStyle w:val="NormalWeb"/>
        <w:spacing w:line="360" w:lineRule="auto"/>
        <w:rPr>
          <w:rFonts w:ascii="Arial" w:hAnsi="Arial" w:cs="Arial"/>
        </w:rPr>
      </w:pPr>
      <w:r w:rsidRPr="00FE4F98">
        <w:rPr>
          <w:rStyle w:val="Strong"/>
          <w:rFonts w:ascii="Arial" w:hAnsi="Arial" w:cs="Arial"/>
        </w:rPr>
        <w:t>Interpretation reference:</w:t>
      </w:r>
      <w:r w:rsidRPr="00FE4F98">
        <w:rPr>
          <w:rFonts w:ascii="Arial" w:hAnsi="Arial" w:cs="Arial"/>
        </w:rPr>
        <w:br/>
        <w:t>Rising leverage despite asset contraction supports the recommendation for equity financing.</w:t>
      </w:r>
    </w:p>
    <w:p w14:paraId="5B906E4E" w14:textId="77777777" w:rsidR="00FE4F98" w:rsidRPr="00FE4F98" w:rsidRDefault="00FE4F98" w:rsidP="00FE4F98">
      <w:pPr>
        <w:pStyle w:val="Heading2"/>
        <w:spacing w:line="360" w:lineRule="auto"/>
        <w:rPr>
          <w:rFonts w:cs="Arial"/>
          <w:sz w:val="24"/>
          <w:szCs w:val="24"/>
        </w:rPr>
      </w:pPr>
      <w:r w:rsidRPr="00FE4F98">
        <w:rPr>
          <w:rStyle w:val="Strong"/>
          <w:rFonts w:cs="Arial"/>
          <w:b/>
          <w:bCs/>
          <w:sz w:val="24"/>
          <w:szCs w:val="24"/>
        </w:rPr>
        <w:t>Appendix B5: Short-Term Debt Exposure and Liquidity Risk</w:t>
      </w:r>
    </w:p>
    <w:p w14:paraId="4EE4947B" w14:textId="77777777" w:rsidR="00FE4F98" w:rsidRPr="00FE4F98" w:rsidRDefault="00FE4F98" w:rsidP="00FE4F98">
      <w:pPr>
        <w:pStyle w:val="NormalWeb"/>
        <w:spacing w:line="360" w:lineRule="auto"/>
        <w:rPr>
          <w:rFonts w:ascii="Arial" w:hAnsi="Arial" w:cs="Arial"/>
        </w:rPr>
      </w:pPr>
      <w:r w:rsidRPr="00FE4F98">
        <w:rPr>
          <w:rStyle w:val="Strong"/>
          <w:rFonts w:ascii="Arial" w:hAnsi="Arial" w:cs="Arial"/>
        </w:rPr>
        <w:t>Purpose:</w:t>
      </w:r>
      <w:r w:rsidRPr="00FE4F98">
        <w:rPr>
          <w:rFonts w:ascii="Arial" w:hAnsi="Arial" w:cs="Arial"/>
        </w:rPr>
        <w:t xml:space="preserve"> Supports Sections 3.4.2 and 3.4.3 (operational flexibility constraints)</w:t>
      </w:r>
    </w:p>
    <w:tbl>
      <w:tblPr>
        <w:tblStyle w:val="TableGrid"/>
        <w:tblW w:w="0" w:type="auto"/>
        <w:tblLook w:val="04A0" w:firstRow="1" w:lastRow="0" w:firstColumn="1" w:lastColumn="0" w:noHBand="0" w:noVBand="1"/>
      </w:tblPr>
      <w:tblGrid>
        <w:gridCol w:w="706"/>
        <w:gridCol w:w="2068"/>
        <w:gridCol w:w="2589"/>
        <w:gridCol w:w="3987"/>
      </w:tblGrid>
      <w:tr w:rsidR="00FE4F98" w:rsidRPr="00FE4F98" w14:paraId="64DE7E4F" w14:textId="77777777" w:rsidTr="006C45C0">
        <w:tc>
          <w:tcPr>
            <w:tcW w:w="0" w:type="auto"/>
            <w:hideMark/>
          </w:tcPr>
          <w:p w14:paraId="32210CF9"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Year</w:t>
            </w:r>
          </w:p>
        </w:tc>
        <w:tc>
          <w:tcPr>
            <w:tcW w:w="0" w:type="auto"/>
            <w:hideMark/>
          </w:tcPr>
          <w:p w14:paraId="38FB8194"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Lines of Credit (£m)</w:t>
            </w:r>
          </w:p>
        </w:tc>
        <w:tc>
          <w:tcPr>
            <w:tcW w:w="0" w:type="auto"/>
            <w:hideMark/>
          </w:tcPr>
          <w:p w14:paraId="23A6CB6E"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Cash &amp; Equivalents (£m)</w:t>
            </w:r>
          </w:p>
        </w:tc>
        <w:tc>
          <w:tcPr>
            <w:tcW w:w="3987" w:type="dxa"/>
            <w:hideMark/>
          </w:tcPr>
          <w:p w14:paraId="50D70B6F"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Coverage (Cash / LOC)</w:t>
            </w:r>
          </w:p>
        </w:tc>
      </w:tr>
      <w:tr w:rsidR="00FE4F98" w:rsidRPr="00FE4F98" w14:paraId="6319CCF5" w14:textId="77777777" w:rsidTr="006C45C0">
        <w:tc>
          <w:tcPr>
            <w:tcW w:w="0" w:type="auto"/>
            <w:hideMark/>
          </w:tcPr>
          <w:p w14:paraId="46A0867F" w14:textId="77777777" w:rsidR="00FE4F98" w:rsidRPr="00FE4F98" w:rsidRDefault="00FE4F98" w:rsidP="00FE4F98">
            <w:pPr>
              <w:spacing w:line="360" w:lineRule="auto"/>
              <w:rPr>
                <w:rFonts w:ascii="Arial" w:hAnsi="Arial" w:cs="Arial"/>
              </w:rPr>
            </w:pPr>
            <w:r w:rsidRPr="00FE4F98">
              <w:rPr>
                <w:rFonts w:ascii="Arial" w:hAnsi="Arial" w:cs="Arial"/>
              </w:rPr>
              <w:t>2020</w:t>
            </w:r>
          </w:p>
        </w:tc>
        <w:tc>
          <w:tcPr>
            <w:tcW w:w="0" w:type="auto"/>
            <w:hideMark/>
          </w:tcPr>
          <w:p w14:paraId="1754A243" w14:textId="77777777" w:rsidR="00FE4F98" w:rsidRPr="00FE4F98" w:rsidRDefault="00FE4F98" w:rsidP="00FE4F98">
            <w:pPr>
              <w:spacing w:line="360" w:lineRule="auto"/>
              <w:rPr>
                <w:rFonts w:ascii="Arial" w:hAnsi="Arial" w:cs="Arial"/>
              </w:rPr>
            </w:pPr>
            <w:r w:rsidRPr="00FE4F98">
              <w:rPr>
                <w:rFonts w:ascii="Arial" w:hAnsi="Arial" w:cs="Arial"/>
              </w:rPr>
              <w:t>34,157</w:t>
            </w:r>
          </w:p>
        </w:tc>
        <w:tc>
          <w:tcPr>
            <w:tcW w:w="0" w:type="auto"/>
            <w:hideMark/>
          </w:tcPr>
          <w:p w14:paraId="24E19BF0" w14:textId="77777777" w:rsidR="00FE4F98" w:rsidRPr="00FE4F98" w:rsidRDefault="00FE4F98" w:rsidP="00FE4F98">
            <w:pPr>
              <w:spacing w:line="360" w:lineRule="auto"/>
              <w:rPr>
                <w:rFonts w:ascii="Arial" w:hAnsi="Arial" w:cs="Arial"/>
              </w:rPr>
            </w:pPr>
            <w:r w:rsidRPr="00FE4F98">
              <w:rPr>
                <w:rFonts w:ascii="Arial" w:hAnsi="Arial" w:cs="Arial"/>
              </w:rPr>
              <w:t>69,829</w:t>
            </w:r>
          </w:p>
        </w:tc>
        <w:tc>
          <w:tcPr>
            <w:tcW w:w="3987" w:type="dxa"/>
            <w:hideMark/>
          </w:tcPr>
          <w:p w14:paraId="7E28177B" w14:textId="77777777" w:rsidR="00FE4F98" w:rsidRPr="00FE4F98" w:rsidRDefault="00FE4F98" w:rsidP="00FE4F98">
            <w:pPr>
              <w:spacing w:line="360" w:lineRule="auto"/>
              <w:rPr>
                <w:rFonts w:ascii="Arial" w:hAnsi="Arial" w:cs="Arial"/>
              </w:rPr>
            </w:pPr>
            <w:r w:rsidRPr="00FE4F98">
              <w:rPr>
                <w:rFonts w:ascii="Arial" w:hAnsi="Arial" w:cs="Arial"/>
              </w:rPr>
              <w:t>2.04</w:t>
            </w:r>
          </w:p>
        </w:tc>
      </w:tr>
      <w:tr w:rsidR="00FE4F98" w:rsidRPr="00FE4F98" w14:paraId="5CB61B40" w14:textId="77777777" w:rsidTr="006C45C0">
        <w:tc>
          <w:tcPr>
            <w:tcW w:w="0" w:type="auto"/>
            <w:hideMark/>
          </w:tcPr>
          <w:p w14:paraId="6FD8B5D5" w14:textId="77777777" w:rsidR="00FE4F98" w:rsidRPr="00FE4F98" w:rsidRDefault="00FE4F98" w:rsidP="00FE4F98">
            <w:pPr>
              <w:spacing w:line="360" w:lineRule="auto"/>
              <w:rPr>
                <w:rFonts w:ascii="Arial" w:hAnsi="Arial" w:cs="Arial"/>
              </w:rPr>
            </w:pPr>
            <w:r w:rsidRPr="00FE4F98">
              <w:rPr>
                <w:rFonts w:ascii="Arial" w:hAnsi="Arial" w:cs="Arial"/>
              </w:rPr>
              <w:t>2021</w:t>
            </w:r>
          </w:p>
        </w:tc>
        <w:tc>
          <w:tcPr>
            <w:tcW w:w="0" w:type="auto"/>
            <w:hideMark/>
          </w:tcPr>
          <w:p w14:paraId="67C49C9F" w14:textId="77777777" w:rsidR="00FE4F98" w:rsidRPr="00FE4F98" w:rsidRDefault="00FE4F98" w:rsidP="00FE4F98">
            <w:pPr>
              <w:spacing w:line="360" w:lineRule="auto"/>
              <w:rPr>
                <w:rFonts w:ascii="Arial" w:hAnsi="Arial" w:cs="Arial"/>
              </w:rPr>
            </w:pPr>
            <w:r w:rsidRPr="00FE4F98">
              <w:rPr>
                <w:rFonts w:ascii="Arial" w:hAnsi="Arial" w:cs="Arial"/>
              </w:rPr>
              <w:t>36,151</w:t>
            </w:r>
          </w:p>
        </w:tc>
        <w:tc>
          <w:tcPr>
            <w:tcW w:w="0" w:type="auto"/>
            <w:hideMark/>
          </w:tcPr>
          <w:p w14:paraId="7CB95D7E" w14:textId="77777777" w:rsidR="00FE4F98" w:rsidRPr="00FE4F98" w:rsidRDefault="00FE4F98" w:rsidP="00FE4F98">
            <w:pPr>
              <w:spacing w:line="360" w:lineRule="auto"/>
              <w:rPr>
                <w:rFonts w:ascii="Arial" w:hAnsi="Arial" w:cs="Arial"/>
              </w:rPr>
            </w:pPr>
            <w:r w:rsidRPr="00FE4F98">
              <w:rPr>
                <w:rFonts w:ascii="Arial" w:hAnsi="Arial" w:cs="Arial"/>
              </w:rPr>
              <w:t>88,469</w:t>
            </w:r>
          </w:p>
        </w:tc>
        <w:tc>
          <w:tcPr>
            <w:tcW w:w="3987" w:type="dxa"/>
            <w:hideMark/>
          </w:tcPr>
          <w:p w14:paraId="6E44B3E4" w14:textId="77777777" w:rsidR="00FE4F98" w:rsidRPr="00FE4F98" w:rsidRDefault="00FE4F98" w:rsidP="00FE4F98">
            <w:pPr>
              <w:spacing w:line="360" w:lineRule="auto"/>
              <w:rPr>
                <w:rFonts w:ascii="Arial" w:hAnsi="Arial" w:cs="Arial"/>
              </w:rPr>
            </w:pPr>
            <w:r w:rsidRPr="00FE4F98">
              <w:rPr>
                <w:rFonts w:ascii="Arial" w:hAnsi="Arial" w:cs="Arial"/>
              </w:rPr>
              <w:t>2.45</w:t>
            </w:r>
          </w:p>
        </w:tc>
      </w:tr>
      <w:tr w:rsidR="00FE4F98" w:rsidRPr="00FE4F98" w14:paraId="15678A3A" w14:textId="77777777" w:rsidTr="006C45C0">
        <w:tc>
          <w:tcPr>
            <w:tcW w:w="0" w:type="auto"/>
            <w:hideMark/>
          </w:tcPr>
          <w:p w14:paraId="514055F8" w14:textId="77777777" w:rsidR="00FE4F98" w:rsidRPr="00FE4F98" w:rsidRDefault="00FE4F98" w:rsidP="00FE4F98">
            <w:pPr>
              <w:spacing w:line="360" w:lineRule="auto"/>
              <w:rPr>
                <w:rFonts w:ascii="Arial" w:hAnsi="Arial" w:cs="Arial"/>
              </w:rPr>
            </w:pPr>
            <w:r w:rsidRPr="00FE4F98">
              <w:rPr>
                <w:rFonts w:ascii="Arial" w:hAnsi="Arial" w:cs="Arial"/>
              </w:rPr>
              <w:t>2022</w:t>
            </w:r>
          </w:p>
        </w:tc>
        <w:tc>
          <w:tcPr>
            <w:tcW w:w="0" w:type="auto"/>
            <w:hideMark/>
          </w:tcPr>
          <w:p w14:paraId="2C2EDE44" w14:textId="77777777" w:rsidR="00FE4F98" w:rsidRPr="00FE4F98" w:rsidRDefault="00FE4F98" w:rsidP="00FE4F98">
            <w:pPr>
              <w:spacing w:line="360" w:lineRule="auto"/>
              <w:rPr>
                <w:rFonts w:ascii="Arial" w:hAnsi="Arial" w:cs="Arial"/>
              </w:rPr>
            </w:pPr>
            <w:r w:rsidRPr="00FE4F98">
              <w:rPr>
                <w:rFonts w:ascii="Arial" w:hAnsi="Arial" w:cs="Arial"/>
              </w:rPr>
              <w:t>37,066</w:t>
            </w:r>
          </w:p>
        </w:tc>
        <w:tc>
          <w:tcPr>
            <w:tcW w:w="0" w:type="auto"/>
            <w:hideMark/>
          </w:tcPr>
          <w:p w14:paraId="1D11A202" w14:textId="77777777" w:rsidR="00FE4F98" w:rsidRPr="00FE4F98" w:rsidRDefault="00FE4F98" w:rsidP="00FE4F98">
            <w:pPr>
              <w:spacing w:line="360" w:lineRule="auto"/>
              <w:rPr>
                <w:rFonts w:ascii="Arial" w:hAnsi="Arial" w:cs="Arial"/>
              </w:rPr>
            </w:pPr>
            <w:r w:rsidRPr="00FE4F98">
              <w:rPr>
                <w:rFonts w:ascii="Arial" w:hAnsi="Arial" w:cs="Arial"/>
              </w:rPr>
              <w:t>81,537</w:t>
            </w:r>
          </w:p>
        </w:tc>
        <w:tc>
          <w:tcPr>
            <w:tcW w:w="3987" w:type="dxa"/>
            <w:hideMark/>
          </w:tcPr>
          <w:p w14:paraId="4880EF42" w14:textId="77777777" w:rsidR="00FE4F98" w:rsidRPr="00FE4F98" w:rsidRDefault="00FE4F98" w:rsidP="00FE4F98">
            <w:pPr>
              <w:spacing w:line="360" w:lineRule="auto"/>
              <w:rPr>
                <w:rFonts w:ascii="Arial" w:hAnsi="Arial" w:cs="Arial"/>
              </w:rPr>
            </w:pPr>
            <w:r w:rsidRPr="00FE4F98">
              <w:rPr>
                <w:rFonts w:ascii="Arial" w:hAnsi="Arial" w:cs="Arial"/>
              </w:rPr>
              <w:t>2.20</w:t>
            </w:r>
          </w:p>
        </w:tc>
      </w:tr>
      <w:tr w:rsidR="00FE4F98" w:rsidRPr="00FE4F98" w14:paraId="587D82BA" w14:textId="77777777" w:rsidTr="006C45C0">
        <w:tc>
          <w:tcPr>
            <w:tcW w:w="0" w:type="auto"/>
            <w:hideMark/>
          </w:tcPr>
          <w:p w14:paraId="402E7EFB" w14:textId="77777777" w:rsidR="00FE4F98" w:rsidRPr="00FE4F98" w:rsidRDefault="00FE4F98" w:rsidP="00FE4F98">
            <w:pPr>
              <w:spacing w:line="360" w:lineRule="auto"/>
              <w:rPr>
                <w:rFonts w:ascii="Arial" w:hAnsi="Arial" w:cs="Arial"/>
              </w:rPr>
            </w:pPr>
            <w:r w:rsidRPr="00FE4F98">
              <w:rPr>
                <w:rFonts w:ascii="Arial" w:hAnsi="Arial" w:cs="Arial"/>
              </w:rPr>
              <w:t>2023</w:t>
            </w:r>
          </w:p>
        </w:tc>
        <w:tc>
          <w:tcPr>
            <w:tcW w:w="0" w:type="auto"/>
            <w:hideMark/>
          </w:tcPr>
          <w:p w14:paraId="52CA2798" w14:textId="77777777" w:rsidR="00FE4F98" w:rsidRPr="00FE4F98" w:rsidRDefault="00FE4F98" w:rsidP="00FE4F98">
            <w:pPr>
              <w:spacing w:line="360" w:lineRule="auto"/>
              <w:rPr>
                <w:rFonts w:ascii="Arial" w:hAnsi="Arial" w:cs="Arial"/>
              </w:rPr>
            </w:pPr>
            <w:r w:rsidRPr="00FE4F98">
              <w:rPr>
                <w:rFonts w:ascii="Arial" w:hAnsi="Arial" w:cs="Arial"/>
              </w:rPr>
              <w:t>37,334</w:t>
            </w:r>
          </w:p>
        </w:tc>
        <w:tc>
          <w:tcPr>
            <w:tcW w:w="0" w:type="auto"/>
            <w:hideMark/>
          </w:tcPr>
          <w:p w14:paraId="305DC5D7" w14:textId="77777777" w:rsidR="00FE4F98" w:rsidRPr="00FE4F98" w:rsidRDefault="00FE4F98" w:rsidP="00FE4F98">
            <w:pPr>
              <w:spacing w:line="360" w:lineRule="auto"/>
              <w:rPr>
                <w:rFonts w:ascii="Arial" w:hAnsi="Arial" w:cs="Arial"/>
              </w:rPr>
            </w:pPr>
            <w:r w:rsidRPr="00FE4F98">
              <w:rPr>
                <w:rFonts w:ascii="Arial" w:hAnsi="Arial" w:cs="Arial"/>
              </w:rPr>
              <w:t>61,596</w:t>
            </w:r>
          </w:p>
        </w:tc>
        <w:tc>
          <w:tcPr>
            <w:tcW w:w="3987" w:type="dxa"/>
            <w:hideMark/>
          </w:tcPr>
          <w:p w14:paraId="187B97DC" w14:textId="77777777" w:rsidR="00FE4F98" w:rsidRPr="00FE4F98" w:rsidRDefault="00FE4F98" w:rsidP="00FE4F98">
            <w:pPr>
              <w:spacing w:line="360" w:lineRule="auto"/>
              <w:rPr>
                <w:rFonts w:ascii="Arial" w:hAnsi="Arial" w:cs="Arial"/>
              </w:rPr>
            </w:pPr>
            <w:r w:rsidRPr="00FE4F98">
              <w:rPr>
                <w:rFonts w:ascii="Arial" w:hAnsi="Arial" w:cs="Arial"/>
              </w:rPr>
              <w:t>1.65</w:t>
            </w:r>
          </w:p>
        </w:tc>
      </w:tr>
      <w:tr w:rsidR="00FE4F98" w:rsidRPr="00FE4F98" w14:paraId="5C057B04" w14:textId="77777777" w:rsidTr="006C45C0">
        <w:tc>
          <w:tcPr>
            <w:tcW w:w="0" w:type="auto"/>
            <w:hideMark/>
          </w:tcPr>
          <w:p w14:paraId="620CEF10" w14:textId="77777777" w:rsidR="00FE4F98" w:rsidRPr="00FE4F98" w:rsidRDefault="00FE4F98" w:rsidP="00FE4F98">
            <w:pPr>
              <w:spacing w:line="360" w:lineRule="auto"/>
              <w:rPr>
                <w:rFonts w:ascii="Arial" w:hAnsi="Arial" w:cs="Arial"/>
              </w:rPr>
            </w:pPr>
            <w:r w:rsidRPr="00FE4F98">
              <w:rPr>
                <w:rFonts w:ascii="Arial" w:hAnsi="Arial" w:cs="Arial"/>
              </w:rPr>
              <w:t>2024</w:t>
            </w:r>
          </w:p>
        </w:tc>
        <w:tc>
          <w:tcPr>
            <w:tcW w:w="0" w:type="auto"/>
            <w:hideMark/>
          </w:tcPr>
          <w:p w14:paraId="253C1C52" w14:textId="77777777" w:rsidR="00FE4F98" w:rsidRPr="00FE4F98" w:rsidRDefault="00FE4F98" w:rsidP="00FE4F98">
            <w:pPr>
              <w:spacing w:line="360" w:lineRule="auto"/>
              <w:rPr>
                <w:rFonts w:ascii="Arial" w:hAnsi="Arial" w:cs="Arial"/>
              </w:rPr>
            </w:pPr>
            <w:r w:rsidRPr="00FE4F98">
              <w:rPr>
                <w:rFonts w:ascii="Arial" w:hAnsi="Arial" w:cs="Arial"/>
              </w:rPr>
              <w:t>36,960</w:t>
            </w:r>
          </w:p>
        </w:tc>
        <w:tc>
          <w:tcPr>
            <w:tcW w:w="0" w:type="auto"/>
            <w:hideMark/>
          </w:tcPr>
          <w:p w14:paraId="0E1731A9" w14:textId="77777777" w:rsidR="00FE4F98" w:rsidRPr="00FE4F98" w:rsidRDefault="00FE4F98" w:rsidP="00FE4F98">
            <w:pPr>
              <w:spacing w:line="360" w:lineRule="auto"/>
              <w:rPr>
                <w:rFonts w:ascii="Arial" w:hAnsi="Arial" w:cs="Arial"/>
              </w:rPr>
            </w:pPr>
            <w:r w:rsidRPr="00FE4F98">
              <w:rPr>
                <w:rFonts w:ascii="Arial" w:hAnsi="Arial" w:cs="Arial"/>
              </w:rPr>
              <w:t>58,012</w:t>
            </w:r>
          </w:p>
        </w:tc>
        <w:tc>
          <w:tcPr>
            <w:tcW w:w="3987" w:type="dxa"/>
            <w:hideMark/>
          </w:tcPr>
          <w:p w14:paraId="2AD8D8E4" w14:textId="77777777" w:rsidR="00FE4F98" w:rsidRPr="00FE4F98" w:rsidRDefault="00FE4F98" w:rsidP="00FE4F98">
            <w:pPr>
              <w:spacing w:line="360" w:lineRule="auto"/>
              <w:rPr>
                <w:rFonts w:ascii="Arial" w:hAnsi="Arial" w:cs="Arial"/>
              </w:rPr>
            </w:pPr>
            <w:r w:rsidRPr="00FE4F98">
              <w:rPr>
                <w:rFonts w:ascii="Arial" w:hAnsi="Arial" w:cs="Arial"/>
              </w:rPr>
              <w:t>1.57</w:t>
            </w:r>
          </w:p>
        </w:tc>
      </w:tr>
    </w:tbl>
    <w:p w14:paraId="594D40A3" w14:textId="77777777" w:rsidR="00FE4F98" w:rsidRPr="00FE4F98" w:rsidRDefault="00FE4F98" w:rsidP="00FE4F98">
      <w:pPr>
        <w:pStyle w:val="NormalWeb"/>
        <w:spacing w:line="360" w:lineRule="auto"/>
        <w:rPr>
          <w:rFonts w:ascii="Arial" w:hAnsi="Arial" w:cs="Arial"/>
        </w:rPr>
      </w:pPr>
      <w:r w:rsidRPr="00FE4F98">
        <w:rPr>
          <w:rStyle w:val="Strong"/>
          <w:rFonts w:ascii="Arial" w:hAnsi="Arial" w:cs="Arial"/>
        </w:rPr>
        <w:t>Key linkage:</w:t>
      </w:r>
      <w:r w:rsidRPr="00FE4F98">
        <w:rPr>
          <w:rFonts w:ascii="Arial" w:hAnsi="Arial" w:cs="Arial"/>
        </w:rPr>
        <w:br/>
        <w:t>Declining coverage ratio reinforces the need for liquidity-enhancing restructuring.</w:t>
      </w:r>
    </w:p>
    <w:p w14:paraId="03B5948C" w14:textId="77777777" w:rsidR="00FE4F98" w:rsidRPr="00FE4F98" w:rsidRDefault="00FE4F98" w:rsidP="00FE4F98">
      <w:pPr>
        <w:pStyle w:val="Heading2"/>
        <w:spacing w:line="360" w:lineRule="auto"/>
        <w:rPr>
          <w:rFonts w:cs="Arial"/>
          <w:sz w:val="24"/>
          <w:szCs w:val="24"/>
        </w:rPr>
      </w:pPr>
      <w:r w:rsidRPr="00FE4F98">
        <w:rPr>
          <w:rStyle w:val="Strong"/>
          <w:rFonts w:cs="Arial"/>
          <w:b/>
          <w:bCs/>
          <w:sz w:val="24"/>
          <w:szCs w:val="24"/>
        </w:rPr>
        <w:t>Appendix B6: Treasury Stock and Capital Preservation Issue</w:t>
      </w:r>
    </w:p>
    <w:p w14:paraId="68105E7A" w14:textId="77777777" w:rsidR="00FE4F98" w:rsidRPr="00FE4F98" w:rsidRDefault="00FE4F98" w:rsidP="00FE4F98">
      <w:pPr>
        <w:pStyle w:val="NormalWeb"/>
        <w:spacing w:line="360" w:lineRule="auto"/>
        <w:rPr>
          <w:rFonts w:ascii="Arial" w:hAnsi="Arial" w:cs="Arial"/>
        </w:rPr>
      </w:pPr>
      <w:r w:rsidRPr="00FE4F98">
        <w:rPr>
          <w:rStyle w:val="Strong"/>
          <w:rFonts w:ascii="Arial" w:hAnsi="Arial" w:cs="Arial"/>
        </w:rPr>
        <w:t>Purpose:</w:t>
      </w:r>
      <w:r w:rsidRPr="00FE4F98">
        <w:rPr>
          <w:rFonts w:ascii="Arial" w:hAnsi="Arial" w:cs="Arial"/>
        </w:rPr>
        <w:t xml:space="preserve"> Supports Section 3.4.1 (shareholder value and capital conservation)</w:t>
      </w:r>
    </w:p>
    <w:tbl>
      <w:tblPr>
        <w:tblStyle w:val="TableGrid"/>
        <w:tblW w:w="0" w:type="auto"/>
        <w:tblLook w:val="04A0" w:firstRow="1" w:lastRow="0" w:firstColumn="1" w:lastColumn="0" w:noHBand="0" w:noVBand="1"/>
      </w:tblPr>
      <w:tblGrid>
        <w:gridCol w:w="706"/>
        <w:gridCol w:w="5568"/>
        <w:gridCol w:w="2565"/>
      </w:tblGrid>
      <w:tr w:rsidR="00FE4F98" w:rsidRPr="00FE4F98" w14:paraId="5D035020" w14:textId="77777777" w:rsidTr="006C45C0">
        <w:tc>
          <w:tcPr>
            <w:tcW w:w="0" w:type="auto"/>
            <w:hideMark/>
          </w:tcPr>
          <w:p w14:paraId="5705612F"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Year</w:t>
            </w:r>
          </w:p>
        </w:tc>
        <w:tc>
          <w:tcPr>
            <w:tcW w:w="5568" w:type="dxa"/>
            <w:hideMark/>
          </w:tcPr>
          <w:p w14:paraId="046E3360"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Treasury Stock (£m)</w:t>
            </w:r>
          </w:p>
        </w:tc>
        <w:tc>
          <w:tcPr>
            <w:tcW w:w="2565" w:type="dxa"/>
            <w:hideMark/>
          </w:tcPr>
          <w:p w14:paraId="12B5A18D"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Change (£m)</w:t>
            </w:r>
          </w:p>
        </w:tc>
      </w:tr>
      <w:tr w:rsidR="00FE4F98" w:rsidRPr="00FE4F98" w14:paraId="32975C16" w14:textId="77777777" w:rsidTr="006C45C0">
        <w:tc>
          <w:tcPr>
            <w:tcW w:w="0" w:type="auto"/>
            <w:hideMark/>
          </w:tcPr>
          <w:p w14:paraId="6325B46A" w14:textId="77777777" w:rsidR="00FE4F98" w:rsidRPr="00FE4F98" w:rsidRDefault="00FE4F98" w:rsidP="00FE4F98">
            <w:pPr>
              <w:spacing w:line="360" w:lineRule="auto"/>
              <w:rPr>
                <w:rFonts w:ascii="Arial" w:hAnsi="Arial" w:cs="Arial"/>
              </w:rPr>
            </w:pPr>
            <w:r w:rsidRPr="00FE4F98">
              <w:rPr>
                <w:rFonts w:ascii="Arial" w:hAnsi="Arial" w:cs="Arial"/>
              </w:rPr>
              <w:t>2020</w:t>
            </w:r>
          </w:p>
        </w:tc>
        <w:tc>
          <w:tcPr>
            <w:tcW w:w="5568" w:type="dxa"/>
            <w:hideMark/>
          </w:tcPr>
          <w:p w14:paraId="388729B7" w14:textId="77777777" w:rsidR="00FE4F98" w:rsidRPr="00FE4F98" w:rsidRDefault="00FE4F98" w:rsidP="00FE4F98">
            <w:pPr>
              <w:spacing w:line="360" w:lineRule="auto"/>
              <w:rPr>
                <w:rFonts w:ascii="Arial" w:hAnsi="Arial" w:cs="Arial"/>
              </w:rPr>
            </w:pPr>
            <w:r w:rsidRPr="00FE4F98">
              <w:rPr>
                <w:rFonts w:ascii="Arial" w:hAnsi="Arial" w:cs="Arial"/>
              </w:rPr>
              <w:t>–112,432</w:t>
            </w:r>
          </w:p>
        </w:tc>
        <w:tc>
          <w:tcPr>
            <w:tcW w:w="2565" w:type="dxa"/>
            <w:hideMark/>
          </w:tcPr>
          <w:p w14:paraId="345817D7" w14:textId="77777777" w:rsidR="00FE4F98" w:rsidRPr="00FE4F98" w:rsidRDefault="00FE4F98" w:rsidP="00FE4F98">
            <w:pPr>
              <w:spacing w:line="360" w:lineRule="auto"/>
              <w:rPr>
                <w:rFonts w:ascii="Arial" w:hAnsi="Arial" w:cs="Arial"/>
              </w:rPr>
            </w:pPr>
            <w:r w:rsidRPr="00FE4F98">
              <w:rPr>
                <w:rFonts w:ascii="Arial" w:hAnsi="Arial" w:cs="Arial"/>
              </w:rPr>
              <w:t>—</w:t>
            </w:r>
          </w:p>
        </w:tc>
      </w:tr>
      <w:tr w:rsidR="00FE4F98" w:rsidRPr="00FE4F98" w14:paraId="4EAC5452" w14:textId="77777777" w:rsidTr="006C45C0">
        <w:tc>
          <w:tcPr>
            <w:tcW w:w="0" w:type="auto"/>
            <w:hideMark/>
          </w:tcPr>
          <w:p w14:paraId="73B48EAE" w14:textId="77777777" w:rsidR="00FE4F98" w:rsidRPr="00FE4F98" w:rsidRDefault="00FE4F98" w:rsidP="00FE4F98">
            <w:pPr>
              <w:spacing w:line="360" w:lineRule="auto"/>
              <w:rPr>
                <w:rFonts w:ascii="Arial" w:hAnsi="Arial" w:cs="Arial"/>
              </w:rPr>
            </w:pPr>
            <w:r w:rsidRPr="00FE4F98">
              <w:rPr>
                <w:rFonts w:ascii="Arial" w:hAnsi="Arial" w:cs="Arial"/>
              </w:rPr>
              <w:t>2021</w:t>
            </w:r>
          </w:p>
        </w:tc>
        <w:tc>
          <w:tcPr>
            <w:tcW w:w="5568" w:type="dxa"/>
            <w:hideMark/>
          </w:tcPr>
          <w:p w14:paraId="70D2AF7B" w14:textId="77777777" w:rsidR="00FE4F98" w:rsidRPr="00FE4F98" w:rsidRDefault="00FE4F98" w:rsidP="00FE4F98">
            <w:pPr>
              <w:spacing w:line="360" w:lineRule="auto"/>
              <w:rPr>
                <w:rFonts w:ascii="Arial" w:hAnsi="Arial" w:cs="Arial"/>
              </w:rPr>
            </w:pPr>
            <w:r w:rsidRPr="00FE4F98">
              <w:rPr>
                <w:rFonts w:ascii="Arial" w:hAnsi="Arial" w:cs="Arial"/>
              </w:rPr>
              <w:t>–118,695</w:t>
            </w:r>
          </w:p>
        </w:tc>
        <w:tc>
          <w:tcPr>
            <w:tcW w:w="2565" w:type="dxa"/>
            <w:hideMark/>
          </w:tcPr>
          <w:p w14:paraId="5DA2EEB4" w14:textId="77777777" w:rsidR="00FE4F98" w:rsidRPr="00FE4F98" w:rsidRDefault="00FE4F98" w:rsidP="00FE4F98">
            <w:pPr>
              <w:spacing w:line="360" w:lineRule="auto"/>
              <w:rPr>
                <w:rFonts w:ascii="Arial" w:hAnsi="Arial" w:cs="Arial"/>
              </w:rPr>
            </w:pPr>
            <w:r w:rsidRPr="00FE4F98">
              <w:rPr>
                <w:rFonts w:ascii="Arial" w:hAnsi="Arial" w:cs="Arial"/>
              </w:rPr>
              <w:t>–6,263</w:t>
            </w:r>
          </w:p>
        </w:tc>
      </w:tr>
      <w:tr w:rsidR="00FE4F98" w:rsidRPr="00FE4F98" w14:paraId="4E4F577A" w14:textId="77777777" w:rsidTr="006C45C0">
        <w:tc>
          <w:tcPr>
            <w:tcW w:w="0" w:type="auto"/>
            <w:hideMark/>
          </w:tcPr>
          <w:p w14:paraId="442B9AF7" w14:textId="77777777" w:rsidR="00FE4F98" w:rsidRPr="00FE4F98" w:rsidRDefault="00FE4F98" w:rsidP="00FE4F98">
            <w:pPr>
              <w:spacing w:line="360" w:lineRule="auto"/>
              <w:rPr>
                <w:rFonts w:ascii="Arial" w:hAnsi="Arial" w:cs="Arial"/>
              </w:rPr>
            </w:pPr>
            <w:r w:rsidRPr="00FE4F98">
              <w:rPr>
                <w:rFonts w:ascii="Arial" w:hAnsi="Arial" w:cs="Arial"/>
              </w:rPr>
              <w:lastRenderedPageBreak/>
              <w:t>2022</w:t>
            </w:r>
          </w:p>
        </w:tc>
        <w:tc>
          <w:tcPr>
            <w:tcW w:w="5568" w:type="dxa"/>
            <w:hideMark/>
          </w:tcPr>
          <w:p w14:paraId="57E4D304" w14:textId="77777777" w:rsidR="00FE4F98" w:rsidRPr="00FE4F98" w:rsidRDefault="00FE4F98" w:rsidP="00FE4F98">
            <w:pPr>
              <w:spacing w:line="360" w:lineRule="auto"/>
              <w:rPr>
                <w:rFonts w:ascii="Arial" w:hAnsi="Arial" w:cs="Arial"/>
              </w:rPr>
            </w:pPr>
            <w:r w:rsidRPr="00FE4F98">
              <w:rPr>
                <w:rFonts w:ascii="Arial" w:hAnsi="Arial" w:cs="Arial"/>
              </w:rPr>
              <w:t>–129,463</w:t>
            </w:r>
          </w:p>
        </w:tc>
        <w:tc>
          <w:tcPr>
            <w:tcW w:w="2565" w:type="dxa"/>
            <w:hideMark/>
          </w:tcPr>
          <w:p w14:paraId="00801FC4" w14:textId="77777777" w:rsidR="00FE4F98" w:rsidRPr="00FE4F98" w:rsidRDefault="00FE4F98" w:rsidP="00FE4F98">
            <w:pPr>
              <w:spacing w:line="360" w:lineRule="auto"/>
              <w:rPr>
                <w:rFonts w:ascii="Arial" w:hAnsi="Arial" w:cs="Arial"/>
              </w:rPr>
            </w:pPr>
            <w:r w:rsidRPr="00FE4F98">
              <w:rPr>
                <w:rFonts w:ascii="Arial" w:hAnsi="Arial" w:cs="Arial"/>
              </w:rPr>
              <w:t>–10,768</w:t>
            </w:r>
          </w:p>
        </w:tc>
      </w:tr>
      <w:tr w:rsidR="00FE4F98" w:rsidRPr="00FE4F98" w14:paraId="5E7BBDE1" w14:textId="77777777" w:rsidTr="006C45C0">
        <w:tc>
          <w:tcPr>
            <w:tcW w:w="0" w:type="auto"/>
            <w:hideMark/>
          </w:tcPr>
          <w:p w14:paraId="54DBC2C7" w14:textId="77777777" w:rsidR="00FE4F98" w:rsidRPr="00FE4F98" w:rsidRDefault="00FE4F98" w:rsidP="00FE4F98">
            <w:pPr>
              <w:spacing w:line="360" w:lineRule="auto"/>
              <w:rPr>
                <w:rFonts w:ascii="Arial" w:hAnsi="Arial" w:cs="Arial"/>
              </w:rPr>
            </w:pPr>
            <w:r w:rsidRPr="00FE4F98">
              <w:rPr>
                <w:rFonts w:ascii="Arial" w:hAnsi="Arial" w:cs="Arial"/>
              </w:rPr>
              <w:t>2023</w:t>
            </w:r>
          </w:p>
        </w:tc>
        <w:tc>
          <w:tcPr>
            <w:tcW w:w="5568" w:type="dxa"/>
            <w:hideMark/>
          </w:tcPr>
          <w:p w14:paraId="0DCC4156" w14:textId="77777777" w:rsidR="00FE4F98" w:rsidRPr="00FE4F98" w:rsidRDefault="00FE4F98" w:rsidP="00FE4F98">
            <w:pPr>
              <w:spacing w:line="360" w:lineRule="auto"/>
              <w:rPr>
                <w:rFonts w:ascii="Arial" w:hAnsi="Arial" w:cs="Arial"/>
              </w:rPr>
            </w:pPr>
            <w:r w:rsidRPr="00FE4F98">
              <w:rPr>
                <w:rFonts w:ascii="Arial" w:hAnsi="Arial" w:cs="Arial"/>
              </w:rPr>
              <w:t>–130,173</w:t>
            </w:r>
          </w:p>
        </w:tc>
        <w:tc>
          <w:tcPr>
            <w:tcW w:w="2565" w:type="dxa"/>
            <w:hideMark/>
          </w:tcPr>
          <w:p w14:paraId="6FF32913" w14:textId="77777777" w:rsidR="00FE4F98" w:rsidRPr="00FE4F98" w:rsidRDefault="00FE4F98" w:rsidP="00FE4F98">
            <w:pPr>
              <w:spacing w:line="360" w:lineRule="auto"/>
              <w:rPr>
                <w:rFonts w:ascii="Arial" w:hAnsi="Arial" w:cs="Arial"/>
              </w:rPr>
            </w:pPr>
            <w:r w:rsidRPr="00FE4F98">
              <w:rPr>
                <w:rFonts w:ascii="Arial" w:hAnsi="Arial" w:cs="Arial"/>
              </w:rPr>
              <w:t>–710</w:t>
            </w:r>
          </w:p>
        </w:tc>
      </w:tr>
      <w:tr w:rsidR="00FE4F98" w:rsidRPr="00FE4F98" w14:paraId="51D4D9B5" w14:textId="77777777" w:rsidTr="006C45C0">
        <w:tc>
          <w:tcPr>
            <w:tcW w:w="0" w:type="auto"/>
            <w:hideMark/>
          </w:tcPr>
          <w:p w14:paraId="4C3043DE" w14:textId="77777777" w:rsidR="00FE4F98" w:rsidRPr="00FE4F98" w:rsidRDefault="00FE4F98" w:rsidP="00FE4F98">
            <w:pPr>
              <w:spacing w:line="360" w:lineRule="auto"/>
              <w:rPr>
                <w:rFonts w:ascii="Arial" w:hAnsi="Arial" w:cs="Arial"/>
              </w:rPr>
            </w:pPr>
            <w:r w:rsidRPr="00FE4F98">
              <w:rPr>
                <w:rFonts w:ascii="Arial" w:hAnsi="Arial" w:cs="Arial"/>
              </w:rPr>
              <w:t>2024</w:t>
            </w:r>
          </w:p>
        </w:tc>
        <w:tc>
          <w:tcPr>
            <w:tcW w:w="5568" w:type="dxa"/>
            <w:hideMark/>
          </w:tcPr>
          <w:p w14:paraId="72A88166" w14:textId="77777777" w:rsidR="00FE4F98" w:rsidRPr="00FE4F98" w:rsidRDefault="00FE4F98" w:rsidP="00FE4F98">
            <w:pPr>
              <w:spacing w:line="360" w:lineRule="auto"/>
              <w:rPr>
                <w:rFonts w:ascii="Arial" w:hAnsi="Arial" w:cs="Arial"/>
              </w:rPr>
            </w:pPr>
            <w:r w:rsidRPr="00FE4F98">
              <w:rPr>
                <w:rFonts w:ascii="Arial" w:hAnsi="Arial" w:cs="Arial"/>
              </w:rPr>
              <w:t>–131,377</w:t>
            </w:r>
          </w:p>
        </w:tc>
        <w:tc>
          <w:tcPr>
            <w:tcW w:w="2565" w:type="dxa"/>
            <w:hideMark/>
          </w:tcPr>
          <w:p w14:paraId="45791985" w14:textId="77777777" w:rsidR="00FE4F98" w:rsidRPr="00FE4F98" w:rsidRDefault="00FE4F98" w:rsidP="00FE4F98">
            <w:pPr>
              <w:spacing w:line="360" w:lineRule="auto"/>
              <w:rPr>
                <w:rFonts w:ascii="Arial" w:hAnsi="Arial" w:cs="Arial"/>
              </w:rPr>
            </w:pPr>
            <w:r w:rsidRPr="00FE4F98">
              <w:rPr>
                <w:rFonts w:ascii="Arial" w:hAnsi="Arial" w:cs="Arial"/>
              </w:rPr>
              <w:t>–1,204</w:t>
            </w:r>
          </w:p>
        </w:tc>
      </w:tr>
    </w:tbl>
    <w:p w14:paraId="6DB0DF26" w14:textId="77777777" w:rsidR="00FE4F98" w:rsidRPr="00FE4F98" w:rsidRDefault="00FE4F98" w:rsidP="00FE4F98">
      <w:pPr>
        <w:pStyle w:val="NormalWeb"/>
        <w:spacing w:line="360" w:lineRule="auto"/>
        <w:rPr>
          <w:rFonts w:ascii="Arial" w:hAnsi="Arial" w:cs="Arial"/>
        </w:rPr>
      </w:pPr>
      <w:r w:rsidRPr="00FE4F98">
        <w:rPr>
          <w:rStyle w:val="Strong"/>
          <w:rFonts w:ascii="Arial" w:hAnsi="Arial" w:cs="Arial"/>
        </w:rPr>
        <w:t>Interpretation:</w:t>
      </w:r>
      <w:r w:rsidRPr="00FE4F98">
        <w:rPr>
          <w:rFonts w:ascii="Arial" w:hAnsi="Arial" w:cs="Arial"/>
        </w:rPr>
        <w:br/>
        <w:t>Continued buybacks during declining profitability justify suspension during restructuring.</w:t>
      </w:r>
    </w:p>
    <w:p w14:paraId="356DB250" w14:textId="77777777" w:rsidR="00FE4F98" w:rsidRPr="00FE4F98" w:rsidRDefault="00FE4F98" w:rsidP="00FE4F98">
      <w:pPr>
        <w:pStyle w:val="Heading2"/>
        <w:spacing w:line="360" w:lineRule="auto"/>
        <w:rPr>
          <w:rFonts w:cs="Arial"/>
          <w:sz w:val="24"/>
          <w:szCs w:val="24"/>
        </w:rPr>
      </w:pPr>
      <w:r w:rsidRPr="00FE4F98">
        <w:rPr>
          <w:rStyle w:val="Strong"/>
          <w:rFonts w:cs="Arial"/>
          <w:b/>
          <w:bCs/>
          <w:sz w:val="24"/>
          <w:szCs w:val="24"/>
        </w:rPr>
        <w:t>Appendix B7: Foreign Exchange Exposure Evidence</w:t>
      </w:r>
    </w:p>
    <w:p w14:paraId="4C5E6421" w14:textId="77777777" w:rsidR="00FE4F98" w:rsidRPr="00FE4F98" w:rsidRDefault="00FE4F98" w:rsidP="00FE4F98">
      <w:pPr>
        <w:pStyle w:val="NormalWeb"/>
        <w:spacing w:line="360" w:lineRule="auto"/>
        <w:rPr>
          <w:rFonts w:ascii="Arial" w:hAnsi="Arial" w:cs="Arial"/>
        </w:rPr>
      </w:pPr>
      <w:r w:rsidRPr="00FE4F98">
        <w:rPr>
          <w:rStyle w:val="Strong"/>
          <w:rFonts w:ascii="Arial" w:hAnsi="Arial" w:cs="Arial"/>
        </w:rPr>
        <w:t>Purpose:</w:t>
      </w:r>
      <w:r w:rsidRPr="00FE4F98">
        <w:rPr>
          <w:rFonts w:ascii="Arial" w:hAnsi="Arial" w:cs="Arial"/>
        </w:rPr>
        <w:t xml:space="preserve"> Supports Section 3.5.2 (currency risk and international considerations)</w:t>
      </w:r>
    </w:p>
    <w:tbl>
      <w:tblPr>
        <w:tblStyle w:val="TableGrid"/>
        <w:tblW w:w="0" w:type="auto"/>
        <w:tblLook w:val="04A0" w:firstRow="1" w:lastRow="0" w:firstColumn="1" w:lastColumn="0" w:noHBand="0" w:noVBand="1"/>
      </w:tblPr>
      <w:tblGrid>
        <w:gridCol w:w="4855"/>
        <w:gridCol w:w="4050"/>
      </w:tblGrid>
      <w:tr w:rsidR="00FE4F98" w:rsidRPr="00FE4F98" w14:paraId="48A6EA40" w14:textId="77777777" w:rsidTr="006C45C0">
        <w:tc>
          <w:tcPr>
            <w:tcW w:w="4855" w:type="dxa"/>
            <w:hideMark/>
          </w:tcPr>
          <w:p w14:paraId="5C342140"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Year</w:t>
            </w:r>
          </w:p>
        </w:tc>
        <w:tc>
          <w:tcPr>
            <w:tcW w:w="4050" w:type="dxa"/>
            <w:hideMark/>
          </w:tcPr>
          <w:p w14:paraId="56EC773B" w14:textId="77777777" w:rsidR="00FE4F98" w:rsidRPr="00FE4F98" w:rsidRDefault="00FE4F98" w:rsidP="00FE4F98">
            <w:pPr>
              <w:spacing w:line="360" w:lineRule="auto"/>
              <w:jc w:val="center"/>
              <w:rPr>
                <w:rFonts w:ascii="Arial" w:hAnsi="Arial" w:cs="Arial"/>
                <w:b/>
                <w:bCs/>
              </w:rPr>
            </w:pPr>
            <w:r w:rsidRPr="00FE4F98">
              <w:rPr>
                <w:rFonts w:ascii="Arial" w:hAnsi="Arial" w:cs="Arial"/>
                <w:b/>
                <w:bCs/>
              </w:rPr>
              <w:t>Foreign Exchange Gain / (Loss) (£m)</w:t>
            </w:r>
          </w:p>
        </w:tc>
      </w:tr>
      <w:tr w:rsidR="00FE4F98" w:rsidRPr="00FE4F98" w14:paraId="56AC137E" w14:textId="77777777" w:rsidTr="006C45C0">
        <w:tc>
          <w:tcPr>
            <w:tcW w:w="4855" w:type="dxa"/>
            <w:hideMark/>
          </w:tcPr>
          <w:p w14:paraId="46756E98" w14:textId="77777777" w:rsidR="00FE4F98" w:rsidRPr="00FE4F98" w:rsidRDefault="00FE4F98" w:rsidP="00FE4F98">
            <w:pPr>
              <w:spacing w:line="360" w:lineRule="auto"/>
              <w:jc w:val="center"/>
              <w:rPr>
                <w:rFonts w:ascii="Arial" w:hAnsi="Arial" w:cs="Arial"/>
              </w:rPr>
            </w:pPr>
            <w:r w:rsidRPr="00FE4F98">
              <w:rPr>
                <w:rFonts w:ascii="Arial" w:hAnsi="Arial" w:cs="Arial"/>
              </w:rPr>
              <w:t>2020</w:t>
            </w:r>
          </w:p>
        </w:tc>
        <w:tc>
          <w:tcPr>
            <w:tcW w:w="4050" w:type="dxa"/>
            <w:hideMark/>
          </w:tcPr>
          <w:p w14:paraId="222092CA" w14:textId="77777777" w:rsidR="00FE4F98" w:rsidRPr="00FE4F98" w:rsidRDefault="00FE4F98" w:rsidP="00FE4F98">
            <w:pPr>
              <w:spacing w:line="360" w:lineRule="auto"/>
              <w:jc w:val="center"/>
              <w:rPr>
                <w:rFonts w:ascii="Arial" w:hAnsi="Arial" w:cs="Arial"/>
              </w:rPr>
            </w:pPr>
            <w:r w:rsidRPr="00FE4F98">
              <w:rPr>
                <w:rFonts w:ascii="Arial" w:hAnsi="Arial" w:cs="Arial"/>
              </w:rPr>
              <w:t>–980</w:t>
            </w:r>
          </w:p>
        </w:tc>
      </w:tr>
      <w:tr w:rsidR="00FE4F98" w:rsidRPr="00FE4F98" w14:paraId="7146B6E9" w14:textId="77777777" w:rsidTr="006C45C0">
        <w:tc>
          <w:tcPr>
            <w:tcW w:w="4855" w:type="dxa"/>
            <w:hideMark/>
          </w:tcPr>
          <w:p w14:paraId="2274A6E3" w14:textId="77777777" w:rsidR="00FE4F98" w:rsidRPr="00FE4F98" w:rsidRDefault="00FE4F98" w:rsidP="00FE4F98">
            <w:pPr>
              <w:spacing w:line="360" w:lineRule="auto"/>
              <w:jc w:val="center"/>
              <w:rPr>
                <w:rFonts w:ascii="Arial" w:hAnsi="Arial" w:cs="Arial"/>
              </w:rPr>
            </w:pPr>
            <w:r w:rsidRPr="00FE4F98">
              <w:rPr>
                <w:rFonts w:ascii="Arial" w:hAnsi="Arial" w:cs="Arial"/>
              </w:rPr>
              <w:t>2021</w:t>
            </w:r>
          </w:p>
        </w:tc>
        <w:tc>
          <w:tcPr>
            <w:tcW w:w="4050" w:type="dxa"/>
            <w:hideMark/>
          </w:tcPr>
          <w:p w14:paraId="70330B55" w14:textId="77777777" w:rsidR="00FE4F98" w:rsidRPr="00FE4F98" w:rsidRDefault="00FE4F98" w:rsidP="00FE4F98">
            <w:pPr>
              <w:spacing w:line="360" w:lineRule="auto"/>
              <w:jc w:val="center"/>
              <w:rPr>
                <w:rFonts w:ascii="Arial" w:hAnsi="Arial" w:cs="Arial"/>
              </w:rPr>
            </w:pPr>
            <w:r w:rsidRPr="00FE4F98">
              <w:rPr>
                <w:rFonts w:ascii="Arial" w:hAnsi="Arial" w:cs="Arial"/>
              </w:rPr>
              <w:t>–1,231</w:t>
            </w:r>
          </w:p>
        </w:tc>
      </w:tr>
      <w:tr w:rsidR="00FE4F98" w:rsidRPr="00FE4F98" w14:paraId="49CC65AC" w14:textId="77777777" w:rsidTr="006C45C0">
        <w:tc>
          <w:tcPr>
            <w:tcW w:w="4855" w:type="dxa"/>
            <w:hideMark/>
          </w:tcPr>
          <w:p w14:paraId="40E3EC60" w14:textId="77777777" w:rsidR="00FE4F98" w:rsidRPr="00FE4F98" w:rsidRDefault="00FE4F98" w:rsidP="00FE4F98">
            <w:pPr>
              <w:spacing w:line="360" w:lineRule="auto"/>
              <w:jc w:val="center"/>
              <w:rPr>
                <w:rFonts w:ascii="Arial" w:hAnsi="Arial" w:cs="Arial"/>
              </w:rPr>
            </w:pPr>
            <w:r w:rsidRPr="00FE4F98">
              <w:rPr>
                <w:rFonts w:ascii="Arial" w:hAnsi="Arial" w:cs="Arial"/>
              </w:rPr>
              <w:t>2022</w:t>
            </w:r>
          </w:p>
        </w:tc>
        <w:tc>
          <w:tcPr>
            <w:tcW w:w="4050" w:type="dxa"/>
            <w:hideMark/>
          </w:tcPr>
          <w:p w14:paraId="02EFEFBA" w14:textId="77777777" w:rsidR="00FE4F98" w:rsidRPr="00FE4F98" w:rsidRDefault="00FE4F98" w:rsidP="00FE4F98">
            <w:pPr>
              <w:spacing w:line="360" w:lineRule="auto"/>
              <w:jc w:val="center"/>
              <w:rPr>
                <w:rFonts w:ascii="Arial" w:hAnsi="Arial" w:cs="Arial"/>
              </w:rPr>
            </w:pPr>
            <w:r w:rsidRPr="00FE4F98">
              <w:rPr>
                <w:rFonts w:ascii="Arial" w:hAnsi="Arial" w:cs="Arial"/>
              </w:rPr>
              <w:t>–2,401</w:t>
            </w:r>
          </w:p>
        </w:tc>
      </w:tr>
      <w:tr w:rsidR="00FE4F98" w:rsidRPr="00FE4F98" w14:paraId="15BD811F" w14:textId="77777777" w:rsidTr="006C45C0">
        <w:tc>
          <w:tcPr>
            <w:tcW w:w="4855" w:type="dxa"/>
            <w:hideMark/>
          </w:tcPr>
          <w:p w14:paraId="41654CAE" w14:textId="77777777" w:rsidR="00FE4F98" w:rsidRPr="00FE4F98" w:rsidRDefault="00FE4F98" w:rsidP="00FE4F98">
            <w:pPr>
              <w:spacing w:line="360" w:lineRule="auto"/>
              <w:jc w:val="center"/>
              <w:rPr>
                <w:rFonts w:ascii="Arial" w:hAnsi="Arial" w:cs="Arial"/>
              </w:rPr>
            </w:pPr>
            <w:r w:rsidRPr="00FE4F98">
              <w:rPr>
                <w:rFonts w:ascii="Arial" w:hAnsi="Arial" w:cs="Arial"/>
              </w:rPr>
              <w:t>2023</w:t>
            </w:r>
          </w:p>
        </w:tc>
        <w:tc>
          <w:tcPr>
            <w:tcW w:w="4050" w:type="dxa"/>
            <w:hideMark/>
          </w:tcPr>
          <w:p w14:paraId="663B8DD8" w14:textId="77777777" w:rsidR="00FE4F98" w:rsidRPr="00FE4F98" w:rsidRDefault="00FE4F98" w:rsidP="00FE4F98">
            <w:pPr>
              <w:spacing w:line="360" w:lineRule="auto"/>
              <w:jc w:val="center"/>
              <w:rPr>
                <w:rFonts w:ascii="Arial" w:hAnsi="Arial" w:cs="Arial"/>
              </w:rPr>
            </w:pPr>
            <w:r w:rsidRPr="00FE4F98">
              <w:rPr>
                <w:rFonts w:ascii="Arial" w:hAnsi="Arial" w:cs="Arial"/>
              </w:rPr>
              <w:t>–2,118</w:t>
            </w:r>
          </w:p>
        </w:tc>
      </w:tr>
      <w:tr w:rsidR="00FE4F98" w:rsidRPr="00FE4F98" w14:paraId="136944EE" w14:textId="77777777" w:rsidTr="006C45C0">
        <w:tc>
          <w:tcPr>
            <w:tcW w:w="4855" w:type="dxa"/>
            <w:hideMark/>
          </w:tcPr>
          <w:p w14:paraId="220F3A16" w14:textId="77777777" w:rsidR="00FE4F98" w:rsidRPr="00FE4F98" w:rsidRDefault="00FE4F98" w:rsidP="00FE4F98">
            <w:pPr>
              <w:spacing w:line="360" w:lineRule="auto"/>
              <w:jc w:val="center"/>
              <w:rPr>
                <w:rFonts w:ascii="Arial" w:hAnsi="Arial" w:cs="Arial"/>
              </w:rPr>
            </w:pPr>
            <w:r w:rsidRPr="00FE4F98">
              <w:rPr>
                <w:rFonts w:ascii="Arial" w:hAnsi="Arial" w:cs="Arial"/>
              </w:rPr>
              <w:t>2024</w:t>
            </w:r>
          </w:p>
        </w:tc>
        <w:tc>
          <w:tcPr>
            <w:tcW w:w="4050" w:type="dxa"/>
            <w:hideMark/>
          </w:tcPr>
          <w:p w14:paraId="3D341DD5" w14:textId="77777777" w:rsidR="00FE4F98" w:rsidRPr="00FE4F98" w:rsidRDefault="00FE4F98" w:rsidP="00FE4F98">
            <w:pPr>
              <w:spacing w:line="360" w:lineRule="auto"/>
              <w:jc w:val="center"/>
              <w:rPr>
                <w:rFonts w:ascii="Arial" w:hAnsi="Arial" w:cs="Arial"/>
              </w:rPr>
            </w:pPr>
            <w:r w:rsidRPr="00FE4F98">
              <w:rPr>
                <w:rFonts w:ascii="Arial" w:hAnsi="Arial" w:cs="Arial"/>
              </w:rPr>
              <w:t>–2,598</w:t>
            </w:r>
          </w:p>
        </w:tc>
      </w:tr>
    </w:tbl>
    <w:p w14:paraId="04C03A22" w14:textId="4584AB03" w:rsidR="00FE4F98" w:rsidRPr="00FE4F98" w:rsidRDefault="00FE4F98" w:rsidP="00FE4F98">
      <w:pPr>
        <w:pStyle w:val="NormalWeb"/>
        <w:spacing w:line="360" w:lineRule="auto"/>
        <w:rPr>
          <w:rFonts w:ascii="Arial" w:hAnsi="Arial" w:cs="Arial"/>
        </w:rPr>
      </w:pPr>
      <w:r w:rsidRPr="00FE4F98">
        <w:rPr>
          <w:rStyle w:val="Strong"/>
          <w:rFonts w:ascii="Arial" w:hAnsi="Arial" w:cs="Arial"/>
        </w:rPr>
        <w:t>Key linkage:</w:t>
      </w:r>
      <w:r w:rsidRPr="00FE4F98">
        <w:rPr>
          <w:rFonts w:ascii="Arial" w:hAnsi="Arial" w:cs="Arial"/>
        </w:rPr>
        <w:br/>
        <w:t>Increasing FX losses support enhanced hedging and operational restructuring.</w:t>
      </w:r>
    </w:p>
    <w:p w14:paraId="2915C46B" w14:textId="77777777" w:rsidR="006D582B" w:rsidRPr="00FE4F98" w:rsidRDefault="006D582B" w:rsidP="00FE4F98">
      <w:pPr>
        <w:pStyle w:val="Heading1"/>
        <w:spacing w:line="360" w:lineRule="auto"/>
        <w:rPr>
          <w:rFonts w:cs="Arial"/>
        </w:rPr>
      </w:pPr>
      <w:bookmarkStart w:id="47" w:name="_Toc217082178"/>
      <w:r w:rsidRPr="00FE4F98">
        <w:rPr>
          <w:rFonts w:cs="Arial"/>
        </w:rPr>
        <w:t>Appendix C: Investment Appraisal and Capital Budgeting Calculations</w:t>
      </w:r>
      <w:bookmarkEnd w:id="47"/>
    </w:p>
    <w:p w14:paraId="431D1609" w14:textId="77777777" w:rsidR="006D582B" w:rsidRPr="00517FA8" w:rsidRDefault="006D582B" w:rsidP="00FE4F98">
      <w:pPr>
        <w:spacing w:before="100" w:beforeAutospacing="1" w:after="100" w:afterAutospacing="1" w:line="360" w:lineRule="auto"/>
        <w:rPr>
          <w:rFonts w:ascii="Arial" w:eastAsia="Times New Roman" w:hAnsi="Arial" w:cs="Arial"/>
          <w:sz w:val="24"/>
          <w:szCs w:val="24"/>
        </w:rPr>
      </w:pPr>
      <w:r w:rsidRPr="00517FA8">
        <w:rPr>
          <w:rFonts w:ascii="Arial" w:eastAsia="Times New Roman" w:hAnsi="Arial" w:cs="Arial"/>
          <w:sz w:val="24"/>
          <w:szCs w:val="24"/>
        </w:rPr>
        <w:t>All monetary values are expressed in £ million unless otherwise stated.</w:t>
      </w:r>
      <w:r w:rsidRPr="00517FA8">
        <w:rPr>
          <w:rFonts w:ascii="Arial" w:eastAsia="Times New Roman" w:hAnsi="Arial" w:cs="Arial"/>
          <w:sz w:val="24"/>
          <w:szCs w:val="24"/>
        </w:rPr>
        <w:br/>
        <w:t>Discount rate (r) = 10%</w:t>
      </w:r>
      <w:r w:rsidRPr="00517FA8">
        <w:rPr>
          <w:rFonts w:ascii="Arial" w:eastAsia="Times New Roman" w:hAnsi="Arial" w:cs="Arial"/>
          <w:sz w:val="24"/>
          <w:szCs w:val="24"/>
        </w:rPr>
        <w:br/>
        <w:t>Project life = 5 years</w:t>
      </w:r>
      <w:r w:rsidRPr="00517FA8">
        <w:rPr>
          <w:rFonts w:ascii="Arial" w:eastAsia="Times New Roman" w:hAnsi="Arial" w:cs="Arial"/>
          <w:sz w:val="24"/>
          <w:szCs w:val="24"/>
        </w:rPr>
        <w:br/>
        <w:t>Depreciation method = Straight-line to zero</w:t>
      </w:r>
    </w:p>
    <w:p w14:paraId="4DE336F4" w14:textId="77777777" w:rsidR="006D582B" w:rsidRPr="00517FA8" w:rsidRDefault="006D582B" w:rsidP="00FE4F98">
      <w:pPr>
        <w:spacing w:before="100" w:beforeAutospacing="1" w:after="100" w:afterAutospacing="1" w:line="360" w:lineRule="auto"/>
        <w:outlineLvl w:val="1"/>
        <w:rPr>
          <w:rFonts w:ascii="Arial" w:eastAsia="Times New Roman" w:hAnsi="Arial" w:cs="Arial"/>
          <w:sz w:val="24"/>
          <w:szCs w:val="24"/>
        </w:rPr>
      </w:pPr>
      <w:bookmarkStart w:id="48" w:name="_Toc217082179"/>
      <w:r w:rsidRPr="00517FA8">
        <w:rPr>
          <w:rFonts w:ascii="Arial" w:eastAsia="Times New Roman" w:hAnsi="Arial" w:cs="Arial"/>
          <w:sz w:val="24"/>
          <w:szCs w:val="24"/>
        </w:rPr>
        <w:t>Appendix C1: Discount Factors at 10%</w:t>
      </w:r>
      <w:bookmarkEnd w:id="48"/>
    </w:p>
    <w:p w14:paraId="20C006C2" w14:textId="77777777" w:rsidR="006D582B" w:rsidRPr="00FE4F98" w:rsidRDefault="006D582B" w:rsidP="00FE4F98">
      <w:pPr>
        <w:spacing w:before="100" w:beforeAutospacing="1" w:after="100" w:afterAutospacing="1" w:line="360" w:lineRule="auto"/>
        <w:rPr>
          <w:rFonts w:ascii="Arial" w:eastAsia="Times New Roman" w:hAnsi="Arial" w:cs="Arial"/>
          <w:b/>
          <w:bCs/>
          <w:sz w:val="24"/>
          <w:szCs w:val="24"/>
        </w:rPr>
      </w:pPr>
      <w:r w:rsidRPr="00517FA8">
        <w:rPr>
          <w:rFonts w:ascii="Arial" w:eastAsia="Times New Roman" w:hAnsi="Arial" w:cs="Arial"/>
          <w:b/>
          <w:bCs/>
          <w:sz w:val="24"/>
          <w:szCs w:val="24"/>
        </w:rPr>
        <w:t>Formula used:</w:t>
      </w:r>
    </w:p>
    <w:p w14:paraId="01D00B56" w14:textId="77777777" w:rsidR="006D582B" w:rsidRPr="00517FA8" w:rsidRDefault="006D582B" w:rsidP="00FE4F98">
      <w:pPr>
        <w:spacing w:before="100" w:beforeAutospacing="1" w:after="100" w:afterAutospacing="1" w:line="360" w:lineRule="auto"/>
        <w:rPr>
          <w:rFonts w:ascii="Arial" w:eastAsia="Times New Roman" w:hAnsi="Arial" w:cs="Arial"/>
          <w:sz w:val="24"/>
          <w:szCs w:val="24"/>
        </w:rPr>
      </w:pPr>
      <w:r w:rsidRPr="00FE4F98">
        <w:rPr>
          <w:rFonts w:ascii="Arial" w:hAnsi="Arial" w:cs="Arial"/>
          <w:noProof/>
        </w:rPr>
        <w:lastRenderedPageBreak/>
        <w:drawing>
          <wp:inline distT="0" distB="0" distL="0" distR="0" wp14:anchorId="724E5E5C" wp14:editId="4386F71E">
            <wp:extent cx="2466975" cy="4762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466975" cy="476250"/>
                    </a:xfrm>
                    <a:prstGeom prst="rect">
                      <a:avLst/>
                    </a:prstGeom>
                  </pic:spPr>
                </pic:pic>
              </a:graphicData>
            </a:graphic>
          </wp:inline>
        </w:drawing>
      </w:r>
    </w:p>
    <w:tbl>
      <w:tblPr>
        <w:tblStyle w:val="TableGrid"/>
        <w:tblW w:w="9355" w:type="dxa"/>
        <w:tblLook w:val="04A0" w:firstRow="1" w:lastRow="0" w:firstColumn="1" w:lastColumn="0" w:noHBand="0" w:noVBand="1"/>
      </w:tblPr>
      <w:tblGrid>
        <w:gridCol w:w="737"/>
        <w:gridCol w:w="4844"/>
        <w:gridCol w:w="3774"/>
      </w:tblGrid>
      <w:tr w:rsidR="006D582B" w:rsidRPr="00517FA8" w14:paraId="363A9867" w14:textId="77777777" w:rsidTr="006C45C0">
        <w:tc>
          <w:tcPr>
            <w:tcW w:w="0" w:type="auto"/>
            <w:hideMark/>
          </w:tcPr>
          <w:p w14:paraId="254F80F7"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Year</w:t>
            </w:r>
          </w:p>
        </w:tc>
        <w:tc>
          <w:tcPr>
            <w:tcW w:w="4852" w:type="dxa"/>
            <w:hideMark/>
          </w:tcPr>
          <w:p w14:paraId="76134957"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Calculation</w:t>
            </w:r>
          </w:p>
        </w:tc>
        <w:tc>
          <w:tcPr>
            <w:tcW w:w="3780" w:type="dxa"/>
            <w:hideMark/>
          </w:tcPr>
          <w:p w14:paraId="5CF175A1"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Discount Factor</w:t>
            </w:r>
          </w:p>
        </w:tc>
      </w:tr>
      <w:tr w:rsidR="006D582B" w:rsidRPr="00517FA8" w14:paraId="6DF840E8" w14:textId="77777777" w:rsidTr="006C45C0">
        <w:tc>
          <w:tcPr>
            <w:tcW w:w="0" w:type="auto"/>
            <w:hideMark/>
          </w:tcPr>
          <w:p w14:paraId="00F56503"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1</w:t>
            </w:r>
          </w:p>
        </w:tc>
        <w:tc>
          <w:tcPr>
            <w:tcW w:w="4852" w:type="dxa"/>
            <w:hideMark/>
          </w:tcPr>
          <w:p w14:paraId="6130E367"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 xml:space="preserve">1 / (1 + </w:t>
            </w:r>
            <w:proofErr w:type="gramStart"/>
            <w:r w:rsidRPr="00517FA8">
              <w:rPr>
                <w:rFonts w:ascii="Arial" w:eastAsia="Times New Roman" w:hAnsi="Arial" w:cs="Arial"/>
                <w:sz w:val="24"/>
                <w:szCs w:val="24"/>
              </w:rPr>
              <w:t>0.10)¹</w:t>
            </w:r>
            <w:proofErr w:type="gramEnd"/>
          </w:p>
        </w:tc>
        <w:tc>
          <w:tcPr>
            <w:tcW w:w="3780" w:type="dxa"/>
            <w:hideMark/>
          </w:tcPr>
          <w:p w14:paraId="2B90D2EB"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0.9091</w:t>
            </w:r>
          </w:p>
        </w:tc>
      </w:tr>
      <w:tr w:rsidR="006D582B" w:rsidRPr="00517FA8" w14:paraId="3E489F4F" w14:textId="77777777" w:rsidTr="006C45C0">
        <w:tc>
          <w:tcPr>
            <w:tcW w:w="0" w:type="auto"/>
            <w:hideMark/>
          </w:tcPr>
          <w:p w14:paraId="67DF05AE"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2</w:t>
            </w:r>
          </w:p>
        </w:tc>
        <w:tc>
          <w:tcPr>
            <w:tcW w:w="4852" w:type="dxa"/>
            <w:hideMark/>
          </w:tcPr>
          <w:p w14:paraId="71E9D8B9"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 xml:space="preserve">1 / (1 + </w:t>
            </w:r>
            <w:proofErr w:type="gramStart"/>
            <w:r w:rsidRPr="00517FA8">
              <w:rPr>
                <w:rFonts w:ascii="Arial" w:eastAsia="Times New Roman" w:hAnsi="Arial" w:cs="Arial"/>
                <w:sz w:val="24"/>
                <w:szCs w:val="24"/>
              </w:rPr>
              <w:t>0.10)²</w:t>
            </w:r>
            <w:proofErr w:type="gramEnd"/>
          </w:p>
        </w:tc>
        <w:tc>
          <w:tcPr>
            <w:tcW w:w="3780" w:type="dxa"/>
            <w:hideMark/>
          </w:tcPr>
          <w:p w14:paraId="332C1C5B"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0.8264</w:t>
            </w:r>
          </w:p>
        </w:tc>
      </w:tr>
      <w:tr w:rsidR="006D582B" w:rsidRPr="00517FA8" w14:paraId="04EF243F" w14:textId="77777777" w:rsidTr="006C45C0">
        <w:tc>
          <w:tcPr>
            <w:tcW w:w="0" w:type="auto"/>
            <w:hideMark/>
          </w:tcPr>
          <w:p w14:paraId="031461C9"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3</w:t>
            </w:r>
          </w:p>
        </w:tc>
        <w:tc>
          <w:tcPr>
            <w:tcW w:w="4852" w:type="dxa"/>
            <w:hideMark/>
          </w:tcPr>
          <w:p w14:paraId="3FF80575"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 xml:space="preserve">1 / (1 + </w:t>
            </w:r>
            <w:proofErr w:type="gramStart"/>
            <w:r w:rsidRPr="00517FA8">
              <w:rPr>
                <w:rFonts w:ascii="Arial" w:eastAsia="Times New Roman" w:hAnsi="Arial" w:cs="Arial"/>
                <w:sz w:val="24"/>
                <w:szCs w:val="24"/>
              </w:rPr>
              <w:t>0.10)³</w:t>
            </w:r>
            <w:proofErr w:type="gramEnd"/>
          </w:p>
        </w:tc>
        <w:tc>
          <w:tcPr>
            <w:tcW w:w="3780" w:type="dxa"/>
            <w:hideMark/>
          </w:tcPr>
          <w:p w14:paraId="28F61E24"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0.7513</w:t>
            </w:r>
          </w:p>
        </w:tc>
      </w:tr>
      <w:tr w:rsidR="006D582B" w:rsidRPr="00517FA8" w14:paraId="3EA46D3C" w14:textId="77777777" w:rsidTr="006C45C0">
        <w:tc>
          <w:tcPr>
            <w:tcW w:w="0" w:type="auto"/>
            <w:hideMark/>
          </w:tcPr>
          <w:p w14:paraId="654E3E34"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4</w:t>
            </w:r>
          </w:p>
        </w:tc>
        <w:tc>
          <w:tcPr>
            <w:tcW w:w="4852" w:type="dxa"/>
            <w:hideMark/>
          </w:tcPr>
          <w:p w14:paraId="05B54F60"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 xml:space="preserve">1 / (1 + </w:t>
            </w:r>
            <w:proofErr w:type="gramStart"/>
            <w:r w:rsidRPr="00517FA8">
              <w:rPr>
                <w:rFonts w:ascii="Arial" w:eastAsia="Times New Roman" w:hAnsi="Arial" w:cs="Arial"/>
                <w:sz w:val="24"/>
                <w:szCs w:val="24"/>
              </w:rPr>
              <w:t>0.10)⁴</w:t>
            </w:r>
            <w:proofErr w:type="gramEnd"/>
          </w:p>
        </w:tc>
        <w:tc>
          <w:tcPr>
            <w:tcW w:w="3780" w:type="dxa"/>
            <w:hideMark/>
          </w:tcPr>
          <w:p w14:paraId="17B2BA5E"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0.6830</w:t>
            </w:r>
          </w:p>
        </w:tc>
      </w:tr>
      <w:tr w:rsidR="006D582B" w:rsidRPr="00517FA8" w14:paraId="3F06300A" w14:textId="77777777" w:rsidTr="006C45C0">
        <w:tc>
          <w:tcPr>
            <w:tcW w:w="0" w:type="auto"/>
            <w:hideMark/>
          </w:tcPr>
          <w:p w14:paraId="44FF5C68"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5</w:t>
            </w:r>
          </w:p>
        </w:tc>
        <w:tc>
          <w:tcPr>
            <w:tcW w:w="4852" w:type="dxa"/>
            <w:hideMark/>
          </w:tcPr>
          <w:p w14:paraId="1388D1CF"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 xml:space="preserve">1 / (1 + </w:t>
            </w:r>
            <w:proofErr w:type="gramStart"/>
            <w:r w:rsidRPr="00517FA8">
              <w:rPr>
                <w:rFonts w:ascii="Arial" w:eastAsia="Times New Roman" w:hAnsi="Arial" w:cs="Arial"/>
                <w:sz w:val="24"/>
                <w:szCs w:val="24"/>
              </w:rPr>
              <w:t>0.10)⁵</w:t>
            </w:r>
            <w:proofErr w:type="gramEnd"/>
          </w:p>
        </w:tc>
        <w:tc>
          <w:tcPr>
            <w:tcW w:w="3780" w:type="dxa"/>
            <w:hideMark/>
          </w:tcPr>
          <w:p w14:paraId="02E5A561"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0.6209</w:t>
            </w:r>
          </w:p>
        </w:tc>
      </w:tr>
    </w:tbl>
    <w:p w14:paraId="6B6DB325" w14:textId="77777777" w:rsidR="006D582B" w:rsidRPr="00517FA8" w:rsidRDefault="006D582B" w:rsidP="00FE4F98">
      <w:pPr>
        <w:spacing w:after="0" w:line="360" w:lineRule="auto"/>
        <w:rPr>
          <w:rFonts w:ascii="Arial" w:eastAsia="Times New Roman" w:hAnsi="Arial" w:cs="Arial"/>
          <w:sz w:val="24"/>
          <w:szCs w:val="24"/>
        </w:rPr>
      </w:pPr>
    </w:p>
    <w:p w14:paraId="6A7E762B" w14:textId="77777777" w:rsidR="006D582B" w:rsidRPr="00517FA8" w:rsidRDefault="006D582B" w:rsidP="00FE4F98">
      <w:pPr>
        <w:spacing w:before="100" w:beforeAutospacing="1" w:after="100" w:afterAutospacing="1" w:line="360" w:lineRule="auto"/>
        <w:outlineLvl w:val="1"/>
        <w:rPr>
          <w:rFonts w:ascii="Arial" w:eastAsia="Times New Roman" w:hAnsi="Arial" w:cs="Arial"/>
          <w:b/>
          <w:bCs/>
          <w:sz w:val="24"/>
          <w:szCs w:val="24"/>
        </w:rPr>
      </w:pPr>
      <w:bookmarkStart w:id="49" w:name="_Toc217082180"/>
      <w:r w:rsidRPr="00517FA8">
        <w:rPr>
          <w:rFonts w:ascii="Arial" w:eastAsia="Times New Roman" w:hAnsi="Arial" w:cs="Arial"/>
          <w:b/>
          <w:bCs/>
          <w:sz w:val="24"/>
          <w:szCs w:val="24"/>
        </w:rPr>
        <w:t>Appendix C2: Project A – Net Present Value Calculation</w:t>
      </w:r>
      <w:bookmarkEnd w:id="49"/>
    </w:p>
    <w:p w14:paraId="108846D6" w14:textId="77777777" w:rsidR="006D582B" w:rsidRPr="00517FA8" w:rsidRDefault="006D582B" w:rsidP="00FE4F98">
      <w:pPr>
        <w:spacing w:before="100" w:beforeAutospacing="1" w:after="100" w:afterAutospacing="1" w:line="360" w:lineRule="auto"/>
        <w:rPr>
          <w:rFonts w:ascii="Arial" w:eastAsia="Times New Roman" w:hAnsi="Arial" w:cs="Arial"/>
          <w:sz w:val="24"/>
          <w:szCs w:val="24"/>
        </w:rPr>
      </w:pPr>
      <w:r w:rsidRPr="00517FA8">
        <w:rPr>
          <w:rFonts w:ascii="Arial" w:eastAsia="Times New Roman" w:hAnsi="Arial" w:cs="Arial"/>
          <w:b/>
          <w:bCs/>
          <w:sz w:val="24"/>
          <w:szCs w:val="24"/>
        </w:rPr>
        <w:t>Initial investment = £40m</w:t>
      </w:r>
    </w:p>
    <w:p w14:paraId="571232D8" w14:textId="77777777" w:rsidR="006D582B" w:rsidRPr="00FE4F98" w:rsidRDefault="006D582B" w:rsidP="00FE4F98">
      <w:pPr>
        <w:spacing w:before="100" w:beforeAutospacing="1" w:after="100" w:afterAutospacing="1" w:line="360" w:lineRule="auto"/>
        <w:rPr>
          <w:rFonts w:ascii="Arial" w:eastAsia="Times New Roman" w:hAnsi="Arial" w:cs="Arial"/>
          <w:b/>
          <w:bCs/>
          <w:sz w:val="24"/>
          <w:szCs w:val="24"/>
        </w:rPr>
      </w:pPr>
      <w:r w:rsidRPr="00517FA8">
        <w:rPr>
          <w:rFonts w:ascii="Arial" w:eastAsia="Times New Roman" w:hAnsi="Arial" w:cs="Arial"/>
          <w:b/>
          <w:bCs/>
          <w:sz w:val="24"/>
          <w:szCs w:val="24"/>
        </w:rPr>
        <w:t>Present Value formula:</w:t>
      </w:r>
    </w:p>
    <w:p w14:paraId="70355DA9" w14:textId="77777777" w:rsidR="006D582B" w:rsidRPr="00517FA8" w:rsidRDefault="006D582B" w:rsidP="00FE4F98">
      <w:pPr>
        <w:spacing w:before="100" w:beforeAutospacing="1" w:after="100" w:afterAutospacing="1" w:line="360" w:lineRule="auto"/>
        <w:rPr>
          <w:rFonts w:ascii="Arial" w:eastAsia="Times New Roman" w:hAnsi="Arial" w:cs="Arial"/>
          <w:sz w:val="24"/>
          <w:szCs w:val="24"/>
        </w:rPr>
      </w:pPr>
      <w:r w:rsidRPr="00FE4F98">
        <w:rPr>
          <w:rFonts w:ascii="Arial" w:hAnsi="Arial" w:cs="Arial"/>
          <w:noProof/>
        </w:rPr>
        <w:drawing>
          <wp:inline distT="0" distB="0" distL="0" distR="0" wp14:anchorId="2BC311F1" wp14:editId="75940E6F">
            <wp:extent cx="3124200" cy="3238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24200" cy="323850"/>
                    </a:xfrm>
                    <a:prstGeom prst="rect">
                      <a:avLst/>
                    </a:prstGeom>
                  </pic:spPr>
                </pic:pic>
              </a:graphicData>
            </a:graphic>
          </wp:inline>
        </w:drawing>
      </w:r>
    </w:p>
    <w:tbl>
      <w:tblPr>
        <w:tblStyle w:val="TableGrid"/>
        <w:tblW w:w="9445" w:type="dxa"/>
        <w:tblLook w:val="04A0" w:firstRow="1" w:lastRow="0" w:firstColumn="1" w:lastColumn="0" w:noHBand="0" w:noVBand="1"/>
      </w:tblPr>
      <w:tblGrid>
        <w:gridCol w:w="2173"/>
        <w:gridCol w:w="1961"/>
        <w:gridCol w:w="1928"/>
        <w:gridCol w:w="3383"/>
      </w:tblGrid>
      <w:tr w:rsidR="006D582B" w:rsidRPr="00517FA8" w14:paraId="4AE7C7F1" w14:textId="77777777" w:rsidTr="006C45C0">
        <w:tc>
          <w:tcPr>
            <w:tcW w:w="0" w:type="auto"/>
            <w:hideMark/>
          </w:tcPr>
          <w:p w14:paraId="4A570A64"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Year</w:t>
            </w:r>
          </w:p>
        </w:tc>
        <w:tc>
          <w:tcPr>
            <w:tcW w:w="0" w:type="auto"/>
            <w:hideMark/>
          </w:tcPr>
          <w:p w14:paraId="08366AAF"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Cash Inflow (£m)</w:t>
            </w:r>
          </w:p>
        </w:tc>
        <w:tc>
          <w:tcPr>
            <w:tcW w:w="0" w:type="auto"/>
            <w:hideMark/>
          </w:tcPr>
          <w:p w14:paraId="2AA77293"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Discount Factor</w:t>
            </w:r>
          </w:p>
        </w:tc>
        <w:tc>
          <w:tcPr>
            <w:tcW w:w="3383" w:type="dxa"/>
            <w:hideMark/>
          </w:tcPr>
          <w:p w14:paraId="74E33150"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Present Value (£m)</w:t>
            </w:r>
          </w:p>
        </w:tc>
      </w:tr>
      <w:tr w:rsidR="006D582B" w:rsidRPr="00517FA8" w14:paraId="68520BDB" w14:textId="77777777" w:rsidTr="006C45C0">
        <w:tc>
          <w:tcPr>
            <w:tcW w:w="0" w:type="auto"/>
            <w:hideMark/>
          </w:tcPr>
          <w:p w14:paraId="38EE4863"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0</w:t>
            </w:r>
          </w:p>
        </w:tc>
        <w:tc>
          <w:tcPr>
            <w:tcW w:w="0" w:type="auto"/>
            <w:hideMark/>
          </w:tcPr>
          <w:p w14:paraId="285BBDA8"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-40.00</w:t>
            </w:r>
          </w:p>
        </w:tc>
        <w:tc>
          <w:tcPr>
            <w:tcW w:w="0" w:type="auto"/>
            <w:hideMark/>
          </w:tcPr>
          <w:p w14:paraId="628798A4"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1.0000</w:t>
            </w:r>
          </w:p>
        </w:tc>
        <w:tc>
          <w:tcPr>
            <w:tcW w:w="3383" w:type="dxa"/>
            <w:hideMark/>
          </w:tcPr>
          <w:p w14:paraId="06F7B7C7"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-40.000</w:t>
            </w:r>
          </w:p>
        </w:tc>
      </w:tr>
      <w:tr w:rsidR="006D582B" w:rsidRPr="00517FA8" w14:paraId="0FDC058A" w14:textId="77777777" w:rsidTr="006C45C0">
        <w:tc>
          <w:tcPr>
            <w:tcW w:w="0" w:type="auto"/>
            <w:hideMark/>
          </w:tcPr>
          <w:p w14:paraId="2E9DC419"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w:t>
            </w:r>
          </w:p>
        </w:tc>
        <w:tc>
          <w:tcPr>
            <w:tcW w:w="0" w:type="auto"/>
            <w:hideMark/>
          </w:tcPr>
          <w:p w14:paraId="7578D05D"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10.00</w:t>
            </w:r>
          </w:p>
        </w:tc>
        <w:tc>
          <w:tcPr>
            <w:tcW w:w="0" w:type="auto"/>
            <w:hideMark/>
          </w:tcPr>
          <w:p w14:paraId="36DE8575"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0.9091</w:t>
            </w:r>
          </w:p>
        </w:tc>
        <w:tc>
          <w:tcPr>
            <w:tcW w:w="3383" w:type="dxa"/>
            <w:hideMark/>
          </w:tcPr>
          <w:p w14:paraId="11B2B525"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9.091</w:t>
            </w:r>
          </w:p>
        </w:tc>
      </w:tr>
      <w:tr w:rsidR="006D582B" w:rsidRPr="00517FA8" w14:paraId="6EA80FB2" w14:textId="77777777" w:rsidTr="006C45C0">
        <w:tc>
          <w:tcPr>
            <w:tcW w:w="0" w:type="auto"/>
            <w:hideMark/>
          </w:tcPr>
          <w:p w14:paraId="06CD4259"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2</w:t>
            </w:r>
          </w:p>
        </w:tc>
        <w:tc>
          <w:tcPr>
            <w:tcW w:w="0" w:type="auto"/>
            <w:hideMark/>
          </w:tcPr>
          <w:p w14:paraId="0B770130"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12.00</w:t>
            </w:r>
          </w:p>
        </w:tc>
        <w:tc>
          <w:tcPr>
            <w:tcW w:w="0" w:type="auto"/>
            <w:hideMark/>
          </w:tcPr>
          <w:p w14:paraId="6F755265"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0.8264</w:t>
            </w:r>
          </w:p>
        </w:tc>
        <w:tc>
          <w:tcPr>
            <w:tcW w:w="3383" w:type="dxa"/>
            <w:hideMark/>
          </w:tcPr>
          <w:p w14:paraId="02E6E33B"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9.917</w:t>
            </w:r>
          </w:p>
        </w:tc>
      </w:tr>
      <w:tr w:rsidR="006D582B" w:rsidRPr="00517FA8" w14:paraId="26FB6AF3" w14:textId="77777777" w:rsidTr="006C45C0">
        <w:tc>
          <w:tcPr>
            <w:tcW w:w="0" w:type="auto"/>
            <w:hideMark/>
          </w:tcPr>
          <w:p w14:paraId="406F0186"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3</w:t>
            </w:r>
          </w:p>
        </w:tc>
        <w:tc>
          <w:tcPr>
            <w:tcW w:w="0" w:type="auto"/>
            <w:hideMark/>
          </w:tcPr>
          <w:p w14:paraId="7D9A44C6"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14.00</w:t>
            </w:r>
          </w:p>
        </w:tc>
        <w:tc>
          <w:tcPr>
            <w:tcW w:w="0" w:type="auto"/>
            <w:hideMark/>
          </w:tcPr>
          <w:p w14:paraId="224D4AA1"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0.7513</w:t>
            </w:r>
          </w:p>
        </w:tc>
        <w:tc>
          <w:tcPr>
            <w:tcW w:w="3383" w:type="dxa"/>
            <w:hideMark/>
          </w:tcPr>
          <w:p w14:paraId="0A34CF25"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10.518</w:t>
            </w:r>
          </w:p>
        </w:tc>
      </w:tr>
      <w:tr w:rsidR="006D582B" w:rsidRPr="00517FA8" w14:paraId="6760B143" w14:textId="77777777" w:rsidTr="006C45C0">
        <w:tc>
          <w:tcPr>
            <w:tcW w:w="0" w:type="auto"/>
            <w:hideMark/>
          </w:tcPr>
          <w:p w14:paraId="1642C213"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4</w:t>
            </w:r>
          </w:p>
        </w:tc>
        <w:tc>
          <w:tcPr>
            <w:tcW w:w="0" w:type="auto"/>
            <w:hideMark/>
          </w:tcPr>
          <w:p w14:paraId="1A1C058E"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10.00</w:t>
            </w:r>
          </w:p>
        </w:tc>
        <w:tc>
          <w:tcPr>
            <w:tcW w:w="0" w:type="auto"/>
            <w:hideMark/>
          </w:tcPr>
          <w:p w14:paraId="400DEA55"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0.6830</w:t>
            </w:r>
          </w:p>
        </w:tc>
        <w:tc>
          <w:tcPr>
            <w:tcW w:w="3383" w:type="dxa"/>
            <w:hideMark/>
          </w:tcPr>
          <w:p w14:paraId="70E39F3C"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6.830</w:t>
            </w:r>
          </w:p>
        </w:tc>
      </w:tr>
      <w:tr w:rsidR="006D582B" w:rsidRPr="00517FA8" w14:paraId="706B76E4" w14:textId="77777777" w:rsidTr="006C45C0">
        <w:tc>
          <w:tcPr>
            <w:tcW w:w="0" w:type="auto"/>
            <w:hideMark/>
          </w:tcPr>
          <w:p w14:paraId="037D49E9"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5</w:t>
            </w:r>
          </w:p>
        </w:tc>
        <w:tc>
          <w:tcPr>
            <w:tcW w:w="0" w:type="auto"/>
            <w:hideMark/>
          </w:tcPr>
          <w:p w14:paraId="788918B4"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8.00</w:t>
            </w:r>
          </w:p>
        </w:tc>
        <w:tc>
          <w:tcPr>
            <w:tcW w:w="0" w:type="auto"/>
            <w:hideMark/>
          </w:tcPr>
          <w:p w14:paraId="3E859FE9"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0.6209</w:t>
            </w:r>
          </w:p>
        </w:tc>
        <w:tc>
          <w:tcPr>
            <w:tcW w:w="3383" w:type="dxa"/>
            <w:hideMark/>
          </w:tcPr>
          <w:p w14:paraId="2754847D"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4.967</w:t>
            </w:r>
          </w:p>
        </w:tc>
      </w:tr>
      <w:tr w:rsidR="006D582B" w:rsidRPr="00517FA8" w14:paraId="2CA34D62" w14:textId="77777777" w:rsidTr="006C45C0">
        <w:tc>
          <w:tcPr>
            <w:tcW w:w="0" w:type="auto"/>
            <w:hideMark/>
          </w:tcPr>
          <w:p w14:paraId="65BCED9B"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b/>
                <w:bCs/>
                <w:sz w:val="24"/>
                <w:szCs w:val="24"/>
              </w:rPr>
              <w:t>Total PV of inflows</w:t>
            </w:r>
          </w:p>
        </w:tc>
        <w:tc>
          <w:tcPr>
            <w:tcW w:w="0" w:type="auto"/>
            <w:hideMark/>
          </w:tcPr>
          <w:p w14:paraId="1BF438FD" w14:textId="77777777" w:rsidR="006D582B" w:rsidRPr="00517FA8" w:rsidRDefault="006D582B" w:rsidP="00FE4F98">
            <w:pPr>
              <w:spacing w:line="360" w:lineRule="auto"/>
              <w:jc w:val="center"/>
              <w:rPr>
                <w:rFonts w:ascii="Arial" w:eastAsia="Times New Roman" w:hAnsi="Arial" w:cs="Arial"/>
                <w:sz w:val="24"/>
                <w:szCs w:val="24"/>
              </w:rPr>
            </w:pPr>
          </w:p>
        </w:tc>
        <w:tc>
          <w:tcPr>
            <w:tcW w:w="0" w:type="auto"/>
            <w:hideMark/>
          </w:tcPr>
          <w:p w14:paraId="033B080C" w14:textId="77777777" w:rsidR="006D582B" w:rsidRPr="00517FA8" w:rsidRDefault="006D582B" w:rsidP="00FE4F98">
            <w:pPr>
              <w:spacing w:line="360" w:lineRule="auto"/>
              <w:jc w:val="center"/>
              <w:rPr>
                <w:rFonts w:ascii="Arial" w:eastAsia="Times New Roman" w:hAnsi="Arial" w:cs="Arial"/>
                <w:sz w:val="20"/>
                <w:szCs w:val="20"/>
              </w:rPr>
            </w:pPr>
          </w:p>
        </w:tc>
        <w:tc>
          <w:tcPr>
            <w:tcW w:w="3383" w:type="dxa"/>
            <w:hideMark/>
          </w:tcPr>
          <w:p w14:paraId="0AB06870"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b/>
                <w:bCs/>
                <w:sz w:val="24"/>
                <w:szCs w:val="24"/>
              </w:rPr>
              <w:t>41.323</w:t>
            </w:r>
          </w:p>
        </w:tc>
      </w:tr>
    </w:tbl>
    <w:p w14:paraId="0FDC7805" w14:textId="77777777" w:rsidR="006D582B" w:rsidRPr="00517FA8" w:rsidRDefault="006D582B" w:rsidP="00FE4F98">
      <w:pPr>
        <w:spacing w:before="100" w:beforeAutospacing="1" w:after="100" w:afterAutospacing="1" w:line="360" w:lineRule="auto"/>
        <w:rPr>
          <w:rFonts w:ascii="Arial" w:eastAsia="Times New Roman" w:hAnsi="Arial" w:cs="Arial"/>
          <w:sz w:val="24"/>
          <w:szCs w:val="24"/>
        </w:rPr>
      </w:pPr>
      <w:r w:rsidRPr="00517FA8">
        <w:rPr>
          <w:rFonts w:ascii="Arial" w:eastAsia="Times New Roman" w:hAnsi="Arial" w:cs="Arial"/>
          <w:b/>
          <w:bCs/>
          <w:sz w:val="24"/>
          <w:szCs w:val="24"/>
        </w:rPr>
        <w:t>Net Present Value (NPV):</w:t>
      </w:r>
      <w:r w:rsidRPr="00517FA8">
        <w:rPr>
          <w:rFonts w:ascii="Arial" w:eastAsia="Times New Roman" w:hAnsi="Arial" w:cs="Arial"/>
          <w:sz w:val="24"/>
          <w:szCs w:val="24"/>
        </w:rPr>
        <w:br/>
        <w:t>NPV = Total PV of inflows - Initial Investment</w:t>
      </w:r>
      <w:r w:rsidRPr="00517FA8">
        <w:rPr>
          <w:rFonts w:ascii="Arial" w:eastAsia="Times New Roman" w:hAnsi="Arial" w:cs="Arial"/>
          <w:sz w:val="24"/>
          <w:szCs w:val="24"/>
        </w:rPr>
        <w:br/>
      </w:r>
      <w:r w:rsidRPr="00517FA8">
        <w:rPr>
          <w:rFonts w:ascii="Arial" w:eastAsia="Times New Roman" w:hAnsi="Arial" w:cs="Arial"/>
          <w:sz w:val="24"/>
          <w:szCs w:val="24"/>
        </w:rPr>
        <w:lastRenderedPageBreak/>
        <w:br/>
        <w:t>NPV_A = 41.323 - 40 = £1.323m</w:t>
      </w:r>
    </w:p>
    <w:p w14:paraId="17F510BA" w14:textId="77777777" w:rsidR="006D582B" w:rsidRPr="00FE4F98" w:rsidRDefault="006D582B" w:rsidP="00FE4F98">
      <w:pPr>
        <w:spacing w:before="100" w:beforeAutospacing="1" w:after="100" w:afterAutospacing="1" w:line="360" w:lineRule="auto"/>
        <w:rPr>
          <w:rFonts w:ascii="Arial" w:eastAsia="Times New Roman" w:hAnsi="Arial" w:cs="Arial"/>
          <w:b/>
          <w:bCs/>
          <w:sz w:val="24"/>
          <w:szCs w:val="24"/>
        </w:rPr>
      </w:pPr>
      <w:r w:rsidRPr="00517FA8">
        <w:rPr>
          <w:rFonts w:ascii="Arial" w:eastAsia="Times New Roman" w:hAnsi="Arial" w:cs="Arial"/>
          <w:b/>
          <w:bCs/>
          <w:sz w:val="24"/>
          <w:szCs w:val="24"/>
        </w:rPr>
        <w:t>Profitability Index (PI):</w:t>
      </w:r>
    </w:p>
    <w:p w14:paraId="2F8F748B" w14:textId="77777777" w:rsidR="006D582B" w:rsidRPr="00FE4F98" w:rsidRDefault="006D582B" w:rsidP="00FE4F98">
      <w:pPr>
        <w:spacing w:before="100" w:beforeAutospacing="1" w:after="100" w:afterAutospacing="1" w:line="360" w:lineRule="auto"/>
        <w:rPr>
          <w:rFonts w:ascii="Arial" w:eastAsiaTheme="minorEastAsia" w:hAnsi="Arial" w:cs="Arial"/>
          <w:noProof/>
          <w:sz w:val="24"/>
          <w:szCs w:val="24"/>
        </w:rPr>
      </w:pPr>
      <w:r w:rsidRPr="00FE4F98">
        <w:rPr>
          <w:rFonts w:ascii="Arial" w:hAnsi="Arial" w:cs="Arial"/>
          <w:noProof/>
        </w:rPr>
        <w:drawing>
          <wp:anchor distT="0" distB="0" distL="114300" distR="114300" simplePos="0" relativeHeight="251659264" behindDoc="1" locked="0" layoutInCell="1" allowOverlap="1" wp14:anchorId="4BFAA7E4" wp14:editId="6A07C17F">
            <wp:simplePos x="0" y="0"/>
            <wp:positionH relativeFrom="column">
              <wp:posOffset>0</wp:posOffset>
            </wp:positionH>
            <wp:positionV relativeFrom="paragraph">
              <wp:posOffset>-3175</wp:posOffset>
            </wp:positionV>
            <wp:extent cx="2114550" cy="561975"/>
            <wp:effectExtent l="0" t="0" r="0" b="9525"/>
            <wp:wrapTight wrapText="bothSides">
              <wp:wrapPolygon edited="0">
                <wp:start x="0" y="0"/>
                <wp:lineTo x="0" y="21234"/>
                <wp:lineTo x="21405" y="21234"/>
                <wp:lineTo x="2140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114550" cy="561975"/>
                    </a:xfrm>
                    <a:prstGeom prst="rect">
                      <a:avLst/>
                    </a:prstGeom>
                  </pic:spPr>
                </pic:pic>
              </a:graphicData>
            </a:graphic>
          </wp:anchor>
        </w:drawing>
      </w:r>
    </w:p>
    <w:p w14:paraId="2D76C6D6" w14:textId="77777777" w:rsidR="006D582B" w:rsidRPr="00FE4F98" w:rsidRDefault="006D582B" w:rsidP="00FE4F98">
      <w:pPr>
        <w:spacing w:before="100" w:beforeAutospacing="1" w:after="100" w:afterAutospacing="1" w:line="360" w:lineRule="auto"/>
        <w:rPr>
          <w:rFonts w:ascii="Arial" w:eastAsia="Times New Roman" w:hAnsi="Arial" w:cs="Arial"/>
          <w:sz w:val="24"/>
          <w:szCs w:val="24"/>
        </w:rPr>
      </w:pPr>
    </w:p>
    <w:p w14:paraId="40B6C2C4" w14:textId="77777777" w:rsidR="006D582B" w:rsidRPr="00FE4F98" w:rsidRDefault="006D582B" w:rsidP="00FE4F98">
      <w:pPr>
        <w:spacing w:before="100" w:beforeAutospacing="1" w:after="100" w:afterAutospacing="1" w:line="360" w:lineRule="auto"/>
        <w:rPr>
          <w:rFonts w:ascii="Arial" w:eastAsia="Times New Roman" w:hAnsi="Arial" w:cs="Arial"/>
          <w:sz w:val="24"/>
          <w:szCs w:val="24"/>
        </w:rPr>
      </w:pPr>
      <w:r w:rsidRPr="00517FA8">
        <w:rPr>
          <w:rFonts w:ascii="Arial" w:eastAsia="Times New Roman" w:hAnsi="Arial" w:cs="Arial"/>
          <w:sz w:val="24"/>
          <w:szCs w:val="24"/>
        </w:rPr>
        <w:br/>
      </w:r>
      <m:oMathPara>
        <m:oMathParaPr>
          <m:jc m:val="left"/>
        </m:oMathParaPr>
        <m:oMath>
          <m:r>
            <w:rPr>
              <w:rFonts w:ascii="Cambria Math" w:eastAsia="Times New Roman" w:hAnsi="Cambria Math" w:cs="Arial"/>
              <w:sz w:val="24"/>
              <w:szCs w:val="24"/>
            </w:rPr>
            <m:t>=</m:t>
          </m:r>
          <m:f>
            <m:fPr>
              <m:ctrlPr>
                <w:rPr>
                  <w:rFonts w:ascii="Cambria Math" w:eastAsia="Times New Roman" w:hAnsi="Cambria Math" w:cs="Arial"/>
                  <w:i/>
                  <w:sz w:val="24"/>
                  <w:szCs w:val="24"/>
                </w:rPr>
              </m:ctrlPr>
            </m:fPr>
            <m:num>
              <m:r>
                <m:rPr>
                  <m:sty m:val="p"/>
                </m:rPr>
                <w:rPr>
                  <w:rStyle w:val="mord"/>
                  <w:rFonts w:ascii="Cambria Math" w:hAnsi="Cambria Math" w:cs="Arial"/>
                </w:rPr>
                <m:t>41.323</m:t>
              </m:r>
              <m:r>
                <m:rPr>
                  <m:sty m:val="p"/>
                </m:rPr>
                <w:rPr>
                  <w:rStyle w:val="vlist-s"/>
                  <w:rFonts w:ascii="Cambria Math" w:hAnsi="Cambria Math" w:cs="Arial"/>
                </w:rPr>
                <m:t>​</m:t>
              </m:r>
            </m:num>
            <m:den>
              <m:r>
                <w:rPr>
                  <w:rFonts w:ascii="Cambria Math" w:eastAsia="Times New Roman" w:hAnsi="Cambria Math" w:cs="Arial"/>
                  <w:sz w:val="24"/>
                  <w:szCs w:val="24"/>
                </w:rPr>
                <m:t>40</m:t>
              </m:r>
            </m:den>
          </m:f>
        </m:oMath>
      </m:oMathPara>
    </w:p>
    <w:p w14:paraId="3E5AB22E" w14:textId="77777777" w:rsidR="006D582B" w:rsidRPr="00517FA8" w:rsidRDefault="006D582B" w:rsidP="00FE4F98">
      <w:pPr>
        <w:spacing w:before="100" w:beforeAutospacing="1" w:after="100" w:afterAutospacing="1" w:line="360" w:lineRule="auto"/>
        <w:rPr>
          <w:rFonts w:ascii="Arial" w:eastAsia="Times New Roman" w:hAnsi="Arial" w:cs="Arial"/>
          <w:sz w:val="24"/>
          <w:szCs w:val="24"/>
        </w:rPr>
      </w:pPr>
      <w:r w:rsidRPr="00FE4F98">
        <w:rPr>
          <w:rFonts w:ascii="Arial" w:eastAsia="Times New Roman" w:hAnsi="Arial" w:cs="Arial"/>
          <w:sz w:val="24"/>
          <w:szCs w:val="24"/>
        </w:rPr>
        <w:t xml:space="preserve">= </w:t>
      </w:r>
      <w:r w:rsidRPr="00FE4F98">
        <w:rPr>
          <w:rFonts w:ascii="Arial" w:hAnsi="Arial" w:cs="Arial"/>
        </w:rPr>
        <w:t>1.03</w:t>
      </w:r>
    </w:p>
    <w:p w14:paraId="3580D0B5" w14:textId="77777777" w:rsidR="00FE4F98" w:rsidRPr="00FE4F98" w:rsidRDefault="00FE4F98" w:rsidP="00FE4F98">
      <w:pPr>
        <w:spacing w:before="100" w:beforeAutospacing="1" w:after="100" w:afterAutospacing="1" w:line="360" w:lineRule="auto"/>
        <w:outlineLvl w:val="1"/>
        <w:rPr>
          <w:rFonts w:ascii="Arial" w:eastAsia="Times New Roman" w:hAnsi="Arial" w:cs="Arial"/>
          <w:b/>
          <w:bCs/>
          <w:sz w:val="24"/>
          <w:szCs w:val="24"/>
        </w:rPr>
      </w:pPr>
      <w:bookmarkStart w:id="50" w:name="_Toc217082181"/>
    </w:p>
    <w:p w14:paraId="316F739E" w14:textId="77777777" w:rsidR="00FE4F98" w:rsidRPr="00FE4F98" w:rsidRDefault="00FE4F98" w:rsidP="00FE4F98">
      <w:pPr>
        <w:spacing w:before="100" w:beforeAutospacing="1" w:after="100" w:afterAutospacing="1" w:line="360" w:lineRule="auto"/>
        <w:outlineLvl w:val="1"/>
        <w:rPr>
          <w:rFonts w:ascii="Arial" w:eastAsia="Times New Roman" w:hAnsi="Arial" w:cs="Arial"/>
          <w:b/>
          <w:bCs/>
          <w:sz w:val="24"/>
          <w:szCs w:val="24"/>
        </w:rPr>
      </w:pPr>
    </w:p>
    <w:p w14:paraId="49010981" w14:textId="77777777" w:rsidR="00FE4F98" w:rsidRPr="00FE4F98" w:rsidRDefault="00FE4F98" w:rsidP="00FE4F98">
      <w:pPr>
        <w:spacing w:before="100" w:beforeAutospacing="1" w:after="100" w:afterAutospacing="1" w:line="360" w:lineRule="auto"/>
        <w:outlineLvl w:val="1"/>
        <w:rPr>
          <w:rFonts w:ascii="Arial" w:eastAsia="Times New Roman" w:hAnsi="Arial" w:cs="Arial"/>
          <w:b/>
          <w:bCs/>
          <w:sz w:val="24"/>
          <w:szCs w:val="24"/>
        </w:rPr>
      </w:pPr>
    </w:p>
    <w:p w14:paraId="3872701E" w14:textId="1BB34F97" w:rsidR="006D582B" w:rsidRPr="00517FA8" w:rsidRDefault="006D582B" w:rsidP="00FE4F98">
      <w:pPr>
        <w:spacing w:before="100" w:beforeAutospacing="1" w:after="100" w:afterAutospacing="1" w:line="360" w:lineRule="auto"/>
        <w:outlineLvl w:val="1"/>
        <w:rPr>
          <w:rFonts w:ascii="Arial" w:eastAsia="Times New Roman" w:hAnsi="Arial" w:cs="Arial"/>
          <w:b/>
          <w:bCs/>
          <w:sz w:val="24"/>
          <w:szCs w:val="24"/>
        </w:rPr>
      </w:pPr>
      <w:r w:rsidRPr="00517FA8">
        <w:rPr>
          <w:rFonts w:ascii="Arial" w:eastAsia="Times New Roman" w:hAnsi="Arial" w:cs="Arial"/>
          <w:b/>
          <w:bCs/>
          <w:sz w:val="24"/>
          <w:szCs w:val="24"/>
        </w:rPr>
        <w:t>Appendix C3: Project B – Net Present Value Calculation</w:t>
      </w:r>
      <w:bookmarkEnd w:id="50"/>
    </w:p>
    <w:p w14:paraId="19440DD6" w14:textId="77777777" w:rsidR="006D582B" w:rsidRPr="00517FA8" w:rsidRDefault="006D582B" w:rsidP="00FE4F98">
      <w:pPr>
        <w:spacing w:before="100" w:beforeAutospacing="1" w:after="100" w:afterAutospacing="1" w:line="360" w:lineRule="auto"/>
        <w:rPr>
          <w:rFonts w:ascii="Arial" w:eastAsia="Times New Roman" w:hAnsi="Arial" w:cs="Arial"/>
          <w:sz w:val="24"/>
          <w:szCs w:val="24"/>
        </w:rPr>
      </w:pPr>
      <w:r w:rsidRPr="00517FA8">
        <w:rPr>
          <w:rFonts w:ascii="Arial" w:eastAsia="Times New Roman" w:hAnsi="Arial" w:cs="Arial"/>
          <w:b/>
          <w:bCs/>
          <w:sz w:val="24"/>
          <w:szCs w:val="24"/>
        </w:rPr>
        <w:t>Initial investment = £30m</w:t>
      </w:r>
    </w:p>
    <w:tbl>
      <w:tblPr>
        <w:tblStyle w:val="TableGrid"/>
        <w:tblW w:w="0" w:type="auto"/>
        <w:tblLook w:val="04A0" w:firstRow="1" w:lastRow="0" w:firstColumn="1" w:lastColumn="0" w:noHBand="0" w:noVBand="1"/>
      </w:tblPr>
      <w:tblGrid>
        <w:gridCol w:w="2363"/>
        <w:gridCol w:w="2137"/>
        <w:gridCol w:w="2043"/>
        <w:gridCol w:w="2377"/>
      </w:tblGrid>
      <w:tr w:rsidR="006D582B" w:rsidRPr="00517FA8" w14:paraId="60629DB0" w14:textId="77777777" w:rsidTr="006C45C0">
        <w:tc>
          <w:tcPr>
            <w:tcW w:w="0" w:type="auto"/>
            <w:hideMark/>
          </w:tcPr>
          <w:p w14:paraId="62D38389"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Year</w:t>
            </w:r>
          </w:p>
        </w:tc>
        <w:tc>
          <w:tcPr>
            <w:tcW w:w="0" w:type="auto"/>
            <w:hideMark/>
          </w:tcPr>
          <w:p w14:paraId="676A12D5"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Cash Inflow (£m)</w:t>
            </w:r>
          </w:p>
        </w:tc>
        <w:tc>
          <w:tcPr>
            <w:tcW w:w="0" w:type="auto"/>
            <w:hideMark/>
          </w:tcPr>
          <w:p w14:paraId="6B615D14"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Discount Factor</w:t>
            </w:r>
          </w:p>
        </w:tc>
        <w:tc>
          <w:tcPr>
            <w:tcW w:w="0" w:type="auto"/>
            <w:hideMark/>
          </w:tcPr>
          <w:p w14:paraId="113CB118"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Present Value (£m)</w:t>
            </w:r>
          </w:p>
        </w:tc>
      </w:tr>
      <w:tr w:rsidR="006D582B" w:rsidRPr="00517FA8" w14:paraId="4B182EAE" w14:textId="77777777" w:rsidTr="006C45C0">
        <w:tc>
          <w:tcPr>
            <w:tcW w:w="0" w:type="auto"/>
            <w:hideMark/>
          </w:tcPr>
          <w:p w14:paraId="42485D14"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0</w:t>
            </w:r>
          </w:p>
        </w:tc>
        <w:tc>
          <w:tcPr>
            <w:tcW w:w="0" w:type="auto"/>
            <w:hideMark/>
          </w:tcPr>
          <w:p w14:paraId="6D279092"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-30.00</w:t>
            </w:r>
          </w:p>
        </w:tc>
        <w:tc>
          <w:tcPr>
            <w:tcW w:w="0" w:type="auto"/>
            <w:hideMark/>
          </w:tcPr>
          <w:p w14:paraId="21E215BF"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1.0000</w:t>
            </w:r>
          </w:p>
        </w:tc>
        <w:tc>
          <w:tcPr>
            <w:tcW w:w="0" w:type="auto"/>
            <w:hideMark/>
          </w:tcPr>
          <w:p w14:paraId="7968F8A8"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-30.000</w:t>
            </w:r>
          </w:p>
        </w:tc>
      </w:tr>
      <w:tr w:rsidR="006D582B" w:rsidRPr="00517FA8" w14:paraId="4A05F53B" w14:textId="77777777" w:rsidTr="006C45C0">
        <w:tc>
          <w:tcPr>
            <w:tcW w:w="0" w:type="auto"/>
            <w:hideMark/>
          </w:tcPr>
          <w:p w14:paraId="79C3A78B"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1</w:t>
            </w:r>
          </w:p>
        </w:tc>
        <w:tc>
          <w:tcPr>
            <w:tcW w:w="0" w:type="auto"/>
            <w:hideMark/>
          </w:tcPr>
          <w:p w14:paraId="61FF73A2"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6.00</w:t>
            </w:r>
          </w:p>
        </w:tc>
        <w:tc>
          <w:tcPr>
            <w:tcW w:w="0" w:type="auto"/>
            <w:hideMark/>
          </w:tcPr>
          <w:p w14:paraId="2003FCAC"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0.9091</w:t>
            </w:r>
          </w:p>
        </w:tc>
        <w:tc>
          <w:tcPr>
            <w:tcW w:w="0" w:type="auto"/>
            <w:hideMark/>
          </w:tcPr>
          <w:p w14:paraId="54011EC3"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5.455</w:t>
            </w:r>
          </w:p>
        </w:tc>
      </w:tr>
      <w:tr w:rsidR="006D582B" w:rsidRPr="00517FA8" w14:paraId="796CB035" w14:textId="77777777" w:rsidTr="006C45C0">
        <w:tc>
          <w:tcPr>
            <w:tcW w:w="0" w:type="auto"/>
            <w:hideMark/>
          </w:tcPr>
          <w:p w14:paraId="619DC2D4"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2</w:t>
            </w:r>
          </w:p>
        </w:tc>
        <w:tc>
          <w:tcPr>
            <w:tcW w:w="0" w:type="auto"/>
            <w:hideMark/>
          </w:tcPr>
          <w:p w14:paraId="7C483C84"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6.00</w:t>
            </w:r>
          </w:p>
        </w:tc>
        <w:tc>
          <w:tcPr>
            <w:tcW w:w="0" w:type="auto"/>
            <w:hideMark/>
          </w:tcPr>
          <w:p w14:paraId="7A469DAB"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0.8264</w:t>
            </w:r>
          </w:p>
        </w:tc>
        <w:tc>
          <w:tcPr>
            <w:tcW w:w="0" w:type="auto"/>
            <w:hideMark/>
          </w:tcPr>
          <w:p w14:paraId="021BA3EF"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4.958</w:t>
            </w:r>
          </w:p>
        </w:tc>
      </w:tr>
      <w:tr w:rsidR="006D582B" w:rsidRPr="00517FA8" w14:paraId="1899B797" w14:textId="77777777" w:rsidTr="006C45C0">
        <w:tc>
          <w:tcPr>
            <w:tcW w:w="0" w:type="auto"/>
            <w:hideMark/>
          </w:tcPr>
          <w:p w14:paraId="59B0DDC9"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3</w:t>
            </w:r>
          </w:p>
        </w:tc>
        <w:tc>
          <w:tcPr>
            <w:tcW w:w="0" w:type="auto"/>
            <w:hideMark/>
          </w:tcPr>
          <w:p w14:paraId="71395497"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6.00</w:t>
            </w:r>
          </w:p>
        </w:tc>
        <w:tc>
          <w:tcPr>
            <w:tcW w:w="0" w:type="auto"/>
            <w:hideMark/>
          </w:tcPr>
          <w:p w14:paraId="3F6F0643"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0.7513</w:t>
            </w:r>
          </w:p>
        </w:tc>
        <w:tc>
          <w:tcPr>
            <w:tcW w:w="0" w:type="auto"/>
            <w:hideMark/>
          </w:tcPr>
          <w:p w14:paraId="21501747"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4.508</w:t>
            </w:r>
          </w:p>
        </w:tc>
      </w:tr>
      <w:tr w:rsidR="006D582B" w:rsidRPr="00517FA8" w14:paraId="46D33964" w14:textId="77777777" w:rsidTr="006C45C0">
        <w:tc>
          <w:tcPr>
            <w:tcW w:w="0" w:type="auto"/>
            <w:hideMark/>
          </w:tcPr>
          <w:p w14:paraId="5C24E98E"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4</w:t>
            </w:r>
          </w:p>
        </w:tc>
        <w:tc>
          <w:tcPr>
            <w:tcW w:w="0" w:type="auto"/>
            <w:hideMark/>
          </w:tcPr>
          <w:p w14:paraId="0F20D44A"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6.00</w:t>
            </w:r>
          </w:p>
        </w:tc>
        <w:tc>
          <w:tcPr>
            <w:tcW w:w="0" w:type="auto"/>
            <w:hideMark/>
          </w:tcPr>
          <w:p w14:paraId="797CDD57"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0.6830</w:t>
            </w:r>
          </w:p>
        </w:tc>
        <w:tc>
          <w:tcPr>
            <w:tcW w:w="0" w:type="auto"/>
            <w:hideMark/>
          </w:tcPr>
          <w:p w14:paraId="4644573A"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4.098</w:t>
            </w:r>
          </w:p>
        </w:tc>
      </w:tr>
      <w:tr w:rsidR="006D582B" w:rsidRPr="00517FA8" w14:paraId="73E71D62" w14:textId="77777777" w:rsidTr="006C45C0">
        <w:tc>
          <w:tcPr>
            <w:tcW w:w="0" w:type="auto"/>
            <w:hideMark/>
          </w:tcPr>
          <w:p w14:paraId="304D8BB1"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5</w:t>
            </w:r>
          </w:p>
        </w:tc>
        <w:tc>
          <w:tcPr>
            <w:tcW w:w="0" w:type="auto"/>
            <w:hideMark/>
          </w:tcPr>
          <w:p w14:paraId="29F4E164"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6.00</w:t>
            </w:r>
          </w:p>
        </w:tc>
        <w:tc>
          <w:tcPr>
            <w:tcW w:w="0" w:type="auto"/>
            <w:hideMark/>
          </w:tcPr>
          <w:p w14:paraId="327775DF"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0.6209</w:t>
            </w:r>
          </w:p>
        </w:tc>
        <w:tc>
          <w:tcPr>
            <w:tcW w:w="0" w:type="auto"/>
            <w:hideMark/>
          </w:tcPr>
          <w:p w14:paraId="2BF1BCDC"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3.725</w:t>
            </w:r>
          </w:p>
        </w:tc>
      </w:tr>
      <w:tr w:rsidR="006D582B" w:rsidRPr="00517FA8" w14:paraId="3B04B834" w14:textId="77777777" w:rsidTr="006C45C0">
        <w:tc>
          <w:tcPr>
            <w:tcW w:w="0" w:type="auto"/>
            <w:hideMark/>
          </w:tcPr>
          <w:p w14:paraId="045F342A"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b/>
                <w:bCs/>
                <w:sz w:val="24"/>
                <w:szCs w:val="24"/>
              </w:rPr>
              <w:t>Total PV of inflows</w:t>
            </w:r>
          </w:p>
        </w:tc>
        <w:tc>
          <w:tcPr>
            <w:tcW w:w="0" w:type="auto"/>
            <w:hideMark/>
          </w:tcPr>
          <w:p w14:paraId="5360D09A" w14:textId="77777777" w:rsidR="006D582B" w:rsidRPr="00517FA8" w:rsidRDefault="006D582B" w:rsidP="00FE4F98">
            <w:pPr>
              <w:spacing w:line="360" w:lineRule="auto"/>
              <w:rPr>
                <w:rFonts w:ascii="Arial" w:eastAsia="Times New Roman" w:hAnsi="Arial" w:cs="Arial"/>
                <w:sz w:val="24"/>
                <w:szCs w:val="24"/>
              </w:rPr>
            </w:pPr>
          </w:p>
        </w:tc>
        <w:tc>
          <w:tcPr>
            <w:tcW w:w="0" w:type="auto"/>
            <w:hideMark/>
          </w:tcPr>
          <w:p w14:paraId="442F7744" w14:textId="77777777" w:rsidR="006D582B" w:rsidRPr="00517FA8" w:rsidRDefault="006D582B" w:rsidP="00FE4F98">
            <w:pPr>
              <w:spacing w:line="360" w:lineRule="auto"/>
              <w:rPr>
                <w:rFonts w:ascii="Arial" w:eastAsia="Times New Roman" w:hAnsi="Arial" w:cs="Arial"/>
                <w:sz w:val="20"/>
                <w:szCs w:val="20"/>
              </w:rPr>
            </w:pPr>
          </w:p>
        </w:tc>
        <w:tc>
          <w:tcPr>
            <w:tcW w:w="0" w:type="auto"/>
            <w:hideMark/>
          </w:tcPr>
          <w:p w14:paraId="6BFF44F1"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b/>
                <w:bCs/>
                <w:sz w:val="24"/>
                <w:szCs w:val="24"/>
              </w:rPr>
              <w:t>22.744</w:t>
            </w:r>
          </w:p>
        </w:tc>
      </w:tr>
    </w:tbl>
    <w:p w14:paraId="3F1B7709" w14:textId="77777777" w:rsidR="006D582B" w:rsidRPr="00FE4F98" w:rsidRDefault="006D582B" w:rsidP="00FE4F98">
      <w:pPr>
        <w:spacing w:after="0" w:line="360" w:lineRule="auto"/>
        <w:rPr>
          <w:rFonts w:ascii="Arial" w:eastAsia="Times New Roman" w:hAnsi="Arial" w:cs="Arial"/>
          <w:sz w:val="24"/>
          <w:szCs w:val="24"/>
        </w:rPr>
      </w:pPr>
    </w:p>
    <w:p w14:paraId="1BB26D70" w14:textId="77777777" w:rsidR="006D582B" w:rsidRPr="00517FA8" w:rsidRDefault="006D582B" w:rsidP="00FE4F98">
      <w:pPr>
        <w:spacing w:after="0" w:line="360" w:lineRule="auto"/>
        <w:rPr>
          <w:rFonts w:ascii="Arial" w:eastAsia="Times New Roman" w:hAnsi="Arial" w:cs="Arial"/>
          <w:sz w:val="24"/>
          <w:szCs w:val="24"/>
        </w:rPr>
      </w:pPr>
      <w:r w:rsidRPr="00FE4F98">
        <w:rPr>
          <w:rFonts w:ascii="Arial" w:hAnsi="Arial" w:cs="Arial"/>
          <w:noProof/>
        </w:rPr>
        <w:lastRenderedPageBreak/>
        <w:drawing>
          <wp:inline distT="0" distB="0" distL="0" distR="0" wp14:anchorId="46972603" wp14:editId="2F9A2B1D">
            <wp:extent cx="3267075" cy="8858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67075" cy="885825"/>
                    </a:xfrm>
                    <a:prstGeom prst="rect">
                      <a:avLst/>
                    </a:prstGeom>
                  </pic:spPr>
                </pic:pic>
              </a:graphicData>
            </a:graphic>
          </wp:inline>
        </w:drawing>
      </w:r>
    </w:p>
    <w:p w14:paraId="271D1B02" w14:textId="77777777" w:rsidR="006D582B" w:rsidRPr="00517FA8" w:rsidRDefault="006D582B" w:rsidP="00FE4F98">
      <w:pPr>
        <w:spacing w:before="100" w:beforeAutospacing="1" w:after="100" w:afterAutospacing="1" w:line="360" w:lineRule="auto"/>
        <w:outlineLvl w:val="1"/>
        <w:rPr>
          <w:rFonts w:ascii="Arial" w:eastAsia="Times New Roman" w:hAnsi="Arial" w:cs="Arial"/>
          <w:b/>
          <w:bCs/>
          <w:sz w:val="24"/>
          <w:szCs w:val="24"/>
        </w:rPr>
      </w:pPr>
      <w:bookmarkStart w:id="51" w:name="_Toc217082182"/>
      <w:r w:rsidRPr="00517FA8">
        <w:rPr>
          <w:rFonts w:ascii="Arial" w:eastAsia="Times New Roman" w:hAnsi="Arial" w:cs="Arial"/>
          <w:b/>
          <w:bCs/>
          <w:sz w:val="24"/>
          <w:szCs w:val="24"/>
        </w:rPr>
        <w:t>Appendix C4: Project C – Net Present Value Calculation</w:t>
      </w:r>
      <w:bookmarkEnd w:id="51"/>
    </w:p>
    <w:p w14:paraId="22A1F3D8" w14:textId="77777777" w:rsidR="006D582B" w:rsidRPr="00517FA8" w:rsidRDefault="006D582B" w:rsidP="00FE4F98">
      <w:pPr>
        <w:spacing w:before="100" w:beforeAutospacing="1" w:after="100" w:afterAutospacing="1" w:line="360" w:lineRule="auto"/>
        <w:rPr>
          <w:rFonts w:ascii="Arial" w:eastAsia="Times New Roman" w:hAnsi="Arial" w:cs="Arial"/>
          <w:sz w:val="24"/>
          <w:szCs w:val="24"/>
        </w:rPr>
      </w:pPr>
      <w:r w:rsidRPr="00517FA8">
        <w:rPr>
          <w:rFonts w:ascii="Arial" w:eastAsia="Times New Roman" w:hAnsi="Arial" w:cs="Arial"/>
          <w:b/>
          <w:bCs/>
          <w:sz w:val="24"/>
          <w:szCs w:val="24"/>
        </w:rPr>
        <w:t>Initial investment = £50m</w:t>
      </w:r>
    </w:p>
    <w:tbl>
      <w:tblPr>
        <w:tblStyle w:val="TableGrid"/>
        <w:tblW w:w="0" w:type="auto"/>
        <w:tblLook w:val="04A0" w:firstRow="1" w:lastRow="0" w:firstColumn="1" w:lastColumn="0" w:noHBand="0" w:noVBand="1"/>
      </w:tblPr>
      <w:tblGrid>
        <w:gridCol w:w="2363"/>
        <w:gridCol w:w="2137"/>
        <w:gridCol w:w="2043"/>
        <w:gridCol w:w="2377"/>
      </w:tblGrid>
      <w:tr w:rsidR="006D582B" w:rsidRPr="00517FA8" w14:paraId="1600C566" w14:textId="77777777" w:rsidTr="006C45C0">
        <w:tc>
          <w:tcPr>
            <w:tcW w:w="0" w:type="auto"/>
            <w:hideMark/>
          </w:tcPr>
          <w:p w14:paraId="3A147053"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Year</w:t>
            </w:r>
          </w:p>
        </w:tc>
        <w:tc>
          <w:tcPr>
            <w:tcW w:w="0" w:type="auto"/>
            <w:hideMark/>
          </w:tcPr>
          <w:p w14:paraId="3D25E53D"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Cash Inflow (£m)</w:t>
            </w:r>
          </w:p>
        </w:tc>
        <w:tc>
          <w:tcPr>
            <w:tcW w:w="0" w:type="auto"/>
            <w:hideMark/>
          </w:tcPr>
          <w:p w14:paraId="71D81AC4"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Discount Factor</w:t>
            </w:r>
          </w:p>
        </w:tc>
        <w:tc>
          <w:tcPr>
            <w:tcW w:w="0" w:type="auto"/>
            <w:hideMark/>
          </w:tcPr>
          <w:p w14:paraId="0A87C798"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Present Value (£m)</w:t>
            </w:r>
          </w:p>
        </w:tc>
      </w:tr>
      <w:tr w:rsidR="006D582B" w:rsidRPr="00517FA8" w14:paraId="3CA4A72B" w14:textId="77777777" w:rsidTr="006C45C0">
        <w:tc>
          <w:tcPr>
            <w:tcW w:w="0" w:type="auto"/>
            <w:hideMark/>
          </w:tcPr>
          <w:p w14:paraId="36A18FDB"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0</w:t>
            </w:r>
          </w:p>
        </w:tc>
        <w:tc>
          <w:tcPr>
            <w:tcW w:w="0" w:type="auto"/>
            <w:hideMark/>
          </w:tcPr>
          <w:p w14:paraId="6F188811"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-50.00</w:t>
            </w:r>
          </w:p>
        </w:tc>
        <w:tc>
          <w:tcPr>
            <w:tcW w:w="0" w:type="auto"/>
            <w:hideMark/>
          </w:tcPr>
          <w:p w14:paraId="1B28E745"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1.0000</w:t>
            </w:r>
          </w:p>
        </w:tc>
        <w:tc>
          <w:tcPr>
            <w:tcW w:w="0" w:type="auto"/>
            <w:hideMark/>
          </w:tcPr>
          <w:p w14:paraId="0B3CF58C"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-50.000</w:t>
            </w:r>
          </w:p>
        </w:tc>
      </w:tr>
      <w:tr w:rsidR="006D582B" w:rsidRPr="00517FA8" w14:paraId="217EF2D2" w14:textId="77777777" w:rsidTr="006C45C0">
        <w:tc>
          <w:tcPr>
            <w:tcW w:w="0" w:type="auto"/>
            <w:hideMark/>
          </w:tcPr>
          <w:p w14:paraId="13ADF603"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1</w:t>
            </w:r>
          </w:p>
        </w:tc>
        <w:tc>
          <w:tcPr>
            <w:tcW w:w="0" w:type="auto"/>
            <w:hideMark/>
          </w:tcPr>
          <w:p w14:paraId="13C39F51"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5.00</w:t>
            </w:r>
          </w:p>
        </w:tc>
        <w:tc>
          <w:tcPr>
            <w:tcW w:w="0" w:type="auto"/>
            <w:hideMark/>
          </w:tcPr>
          <w:p w14:paraId="52C3B22D"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0.9091</w:t>
            </w:r>
          </w:p>
        </w:tc>
        <w:tc>
          <w:tcPr>
            <w:tcW w:w="0" w:type="auto"/>
            <w:hideMark/>
          </w:tcPr>
          <w:p w14:paraId="38975AB0"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4.546</w:t>
            </w:r>
          </w:p>
        </w:tc>
      </w:tr>
      <w:tr w:rsidR="006D582B" w:rsidRPr="00517FA8" w14:paraId="72D0F170" w14:textId="77777777" w:rsidTr="006C45C0">
        <w:tc>
          <w:tcPr>
            <w:tcW w:w="0" w:type="auto"/>
            <w:hideMark/>
          </w:tcPr>
          <w:p w14:paraId="1E3636D0"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2</w:t>
            </w:r>
          </w:p>
        </w:tc>
        <w:tc>
          <w:tcPr>
            <w:tcW w:w="0" w:type="auto"/>
            <w:hideMark/>
          </w:tcPr>
          <w:p w14:paraId="20E178D8"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10.00</w:t>
            </w:r>
          </w:p>
        </w:tc>
        <w:tc>
          <w:tcPr>
            <w:tcW w:w="0" w:type="auto"/>
            <w:hideMark/>
          </w:tcPr>
          <w:p w14:paraId="04E5C18D"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0.8264</w:t>
            </w:r>
          </w:p>
        </w:tc>
        <w:tc>
          <w:tcPr>
            <w:tcW w:w="0" w:type="auto"/>
            <w:hideMark/>
          </w:tcPr>
          <w:p w14:paraId="7D3EF1D8"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8.264</w:t>
            </w:r>
          </w:p>
        </w:tc>
      </w:tr>
      <w:tr w:rsidR="006D582B" w:rsidRPr="00517FA8" w14:paraId="3ACEE33D" w14:textId="77777777" w:rsidTr="006C45C0">
        <w:tc>
          <w:tcPr>
            <w:tcW w:w="0" w:type="auto"/>
            <w:hideMark/>
          </w:tcPr>
          <w:p w14:paraId="54CB4D32"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3</w:t>
            </w:r>
          </w:p>
        </w:tc>
        <w:tc>
          <w:tcPr>
            <w:tcW w:w="0" w:type="auto"/>
            <w:hideMark/>
          </w:tcPr>
          <w:p w14:paraId="165D6C94"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20.00</w:t>
            </w:r>
          </w:p>
        </w:tc>
        <w:tc>
          <w:tcPr>
            <w:tcW w:w="0" w:type="auto"/>
            <w:hideMark/>
          </w:tcPr>
          <w:p w14:paraId="191B3572"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0.7513</w:t>
            </w:r>
          </w:p>
        </w:tc>
        <w:tc>
          <w:tcPr>
            <w:tcW w:w="0" w:type="auto"/>
            <w:hideMark/>
          </w:tcPr>
          <w:p w14:paraId="43DE1B6C"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15.026</w:t>
            </w:r>
          </w:p>
        </w:tc>
      </w:tr>
      <w:tr w:rsidR="006D582B" w:rsidRPr="00517FA8" w14:paraId="08F9C39A" w14:textId="77777777" w:rsidTr="006C45C0">
        <w:tc>
          <w:tcPr>
            <w:tcW w:w="0" w:type="auto"/>
            <w:hideMark/>
          </w:tcPr>
          <w:p w14:paraId="2DF06F4E"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4</w:t>
            </w:r>
          </w:p>
        </w:tc>
        <w:tc>
          <w:tcPr>
            <w:tcW w:w="0" w:type="auto"/>
            <w:hideMark/>
          </w:tcPr>
          <w:p w14:paraId="7BEADC7F"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25.00</w:t>
            </w:r>
          </w:p>
        </w:tc>
        <w:tc>
          <w:tcPr>
            <w:tcW w:w="0" w:type="auto"/>
            <w:hideMark/>
          </w:tcPr>
          <w:p w14:paraId="7C19FA2E"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0.6830</w:t>
            </w:r>
          </w:p>
        </w:tc>
        <w:tc>
          <w:tcPr>
            <w:tcW w:w="0" w:type="auto"/>
            <w:hideMark/>
          </w:tcPr>
          <w:p w14:paraId="0B9FB545"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17.075</w:t>
            </w:r>
          </w:p>
        </w:tc>
      </w:tr>
      <w:tr w:rsidR="006D582B" w:rsidRPr="00517FA8" w14:paraId="35802E7F" w14:textId="77777777" w:rsidTr="006C45C0">
        <w:tc>
          <w:tcPr>
            <w:tcW w:w="0" w:type="auto"/>
            <w:hideMark/>
          </w:tcPr>
          <w:p w14:paraId="70D1B2E0"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5</w:t>
            </w:r>
          </w:p>
        </w:tc>
        <w:tc>
          <w:tcPr>
            <w:tcW w:w="0" w:type="auto"/>
            <w:hideMark/>
          </w:tcPr>
          <w:p w14:paraId="37C8239A"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15.00</w:t>
            </w:r>
          </w:p>
        </w:tc>
        <w:tc>
          <w:tcPr>
            <w:tcW w:w="0" w:type="auto"/>
            <w:hideMark/>
          </w:tcPr>
          <w:p w14:paraId="140A97E6"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0.6209</w:t>
            </w:r>
          </w:p>
        </w:tc>
        <w:tc>
          <w:tcPr>
            <w:tcW w:w="0" w:type="auto"/>
            <w:hideMark/>
          </w:tcPr>
          <w:p w14:paraId="75721AEF"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9.314</w:t>
            </w:r>
          </w:p>
        </w:tc>
      </w:tr>
      <w:tr w:rsidR="006D582B" w:rsidRPr="00517FA8" w14:paraId="7542617D" w14:textId="77777777" w:rsidTr="006C45C0">
        <w:tc>
          <w:tcPr>
            <w:tcW w:w="0" w:type="auto"/>
            <w:hideMark/>
          </w:tcPr>
          <w:p w14:paraId="118498BA"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b/>
                <w:bCs/>
                <w:sz w:val="24"/>
                <w:szCs w:val="24"/>
              </w:rPr>
              <w:t>Total PV of inflows</w:t>
            </w:r>
          </w:p>
        </w:tc>
        <w:tc>
          <w:tcPr>
            <w:tcW w:w="0" w:type="auto"/>
            <w:hideMark/>
          </w:tcPr>
          <w:p w14:paraId="26E3E233" w14:textId="77777777" w:rsidR="006D582B" w:rsidRPr="00517FA8" w:rsidRDefault="006D582B" w:rsidP="00FE4F98">
            <w:pPr>
              <w:spacing w:line="360" w:lineRule="auto"/>
              <w:rPr>
                <w:rFonts w:ascii="Arial" w:eastAsia="Times New Roman" w:hAnsi="Arial" w:cs="Arial"/>
                <w:sz w:val="24"/>
                <w:szCs w:val="24"/>
              </w:rPr>
            </w:pPr>
          </w:p>
        </w:tc>
        <w:tc>
          <w:tcPr>
            <w:tcW w:w="0" w:type="auto"/>
            <w:hideMark/>
          </w:tcPr>
          <w:p w14:paraId="0F699513" w14:textId="77777777" w:rsidR="006D582B" w:rsidRPr="00517FA8" w:rsidRDefault="006D582B" w:rsidP="00FE4F98">
            <w:pPr>
              <w:spacing w:line="360" w:lineRule="auto"/>
              <w:rPr>
                <w:rFonts w:ascii="Arial" w:eastAsia="Times New Roman" w:hAnsi="Arial" w:cs="Arial"/>
                <w:sz w:val="20"/>
                <w:szCs w:val="20"/>
              </w:rPr>
            </w:pPr>
          </w:p>
        </w:tc>
        <w:tc>
          <w:tcPr>
            <w:tcW w:w="0" w:type="auto"/>
            <w:hideMark/>
          </w:tcPr>
          <w:p w14:paraId="6088A582"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b/>
                <w:bCs/>
                <w:sz w:val="24"/>
                <w:szCs w:val="24"/>
              </w:rPr>
              <w:t>54.225</w:t>
            </w:r>
          </w:p>
        </w:tc>
      </w:tr>
    </w:tbl>
    <w:p w14:paraId="0EA2DC85" w14:textId="77777777" w:rsidR="006D582B" w:rsidRPr="00FE4F98" w:rsidRDefault="006D582B" w:rsidP="00FE4F98">
      <w:pPr>
        <w:spacing w:after="0" w:line="360" w:lineRule="auto"/>
        <w:rPr>
          <w:rFonts w:ascii="Arial" w:eastAsia="Times New Roman" w:hAnsi="Arial" w:cs="Arial"/>
          <w:sz w:val="24"/>
          <w:szCs w:val="24"/>
        </w:rPr>
      </w:pPr>
    </w:p>
    <w:p w14:paraId="18F28135" w14:textId="77777777" w:rsidR="006D582B" w:rsidRPr="00517FA8" w:rsidRDefault="006D582B" w:rsidP="00FE4F98">
      <w:pPr>
        <w:spacing w:after="0" w:line="360" w:lineRule="auto"/>
        <w:rPr>
          <w:rFonts w:ascii="Arial" w:eastAsia="Times New Roman" w:hAnsi="Arial" w:cs="Arial"/>
          <w:sz w:val="24"/>
          <w:szCs w:val="24"/>
        </w:rPr>
      </w:pPr>
      <w:r w:rsidRPr="00FE4F98">
        <w:rPr>
          <w:rFonts w:ascii="Arial" w:hAnsi="Arial" w:cs="Arial"/>
          <w:noProof/>
        </w:rPr>
        <w:drawing>
          <wp:inline distT="0" distB="0" distL="0" distR="0" wp14:anchorId="4874D233" wp14:editId="44B0C020">
            <wp:extent cx="3200400" cy="9525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00400" cy="952500"/>
                    </a:xfrm>
                    <a:prstGeom prst="rect">
                      <a:avLst/>
                    </a:prstGeom>
                  </pic:spPr>
                </pic:pic>
              </a:graphicData>
            </a:graphic>
          </wp:inline>
        </w:drawing>
      </w:r>
    </w:p>
    <w:p w14:paraId="2A538C25" w14:textId="77777777" w:rsidR="006D582B" w:rsidRPr="00517FA8" w:rsidRDefault="006D582B" w:rsidP="00FE4F98">
      <w:pPr>
        <w:spacing w:before="100" w:beforeAutospacing="1" w:after="100" w:afterAutospacing="1" w:line="360" w:lineRule="auto"/>
        <w:outlineLvl w:val="1"/>
        <w:rPr>
          <w:rFonts w:ascii="Arial" w:eastAsia="Times New Roman" w:hAnsi="Arial" w:cs="Arial"/>
          <w:b/>
          <w:bCs/>
          <w:sz w:val="24"/>
          <w:szCs w:val="24"/>
        </w:rPr>
      </w:pPr>
      <w:bookmarkStart w:id="52" w:name="_Toc217082183"/>
      <w:r w:rsidRPr="00517FA8">
        <w:rPr>
          <w:rFonts w:ascii="Arial" w:eastAsia="Times New Roman" w:hAnsi="Arial" w:cs="Arial"/>
          <w:b/>
          <w:bCs/>
          <w:sz w:val="24"/>
          <w:szCs w:val="24"/>
        </w:rPr>
        <w:t>Appendix C5: Payback Period (PBP)</w:t>
      </w:r>
      <w:bookmarkEnd w:id="52"/>
    </w:p>
    <w:p w14:paraId="623442A1" w14:textId="77777777" w:rsidR="006D582B" w:rsidRPr="00FE4F98" w:rsidRDefault="006D582B" w:rsidP="00FE4F98">
      <w:pPr>
        <w:spacing w:before="100" w:beforeAutospacing="1" w:after="100" w:afterAutospacing="1" w:line="360" w:lineRule="auto"/>
        <w:rPr>
          <w:rFonts w:ascii="Arial" w:eastAsia="Times New Roman" w:hAnsi="Arial" w:cs="Arial"/>
          <w:b/>
          <w:bCs/>
          <w:sz w:val="24"/>
          <w:szCs w:val="24"/>
        </w:rPr>
      </w:pPr>
      <w:r w:rsidRPr="00517FA8">
        <w:rPr>
          <w:rFonts w:ascii="Arial" w:eastAsia="Times New Roman" w:hAnsi="Arial" w:cs="Arial"/>
          <w:b/>
          <w:bCs/>
          <w:sz w:val="24"/>
          <w:szCs w:val="24"/>
        </w:rPr>
        <w:t>Formula:</w:t>
      </w:r>
    </w:p>
    <w:p w14:paraId="09ECF681" w14:textId="77777777" w:rsidR="006D582B" w:rsidRPr="00517FA8" w:rsidRDefault="006D582B" w:rsidP="00FE4F98">
      <w:pPr>
        <w:spacing w:before="100" w:beforeAutospacing="1" w:after="100" w:afterAutospacing="1" w:line="360" w:lineRule="auto"/>
        <w:rPr>
          <w:rFonts w:ascii="Arial" w:eastAsia="Times New Roman" w:hAnsi="Arial" w:cs="Arial"/>
          <w:sz w:val="24"/>
          <w:szCs w:val="24"/>
        </w:rPr>
      </w:pPr>
      <w:r w:rsidRPr="00FE4F98">
        <w:rPr>
          <w:rFonts w:ascii="Arial" w:hAnsi="Arial" w:cs="Arial"/>
          <w:noProof/>
        </w:rPr>
        <w:drawing>
          <wp:inline distT="0" distB="0" distL="0" distR="0" wp14:anchorId="4BC75E0C" wp14:editId="3A6FC4B5">
            <wp:extent cx="5067300" cy="6000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67300" cy="600075"/>
                    </a:xfrm>
                    <a:prstGeom prst="rect">
                      <a:avLst/>
                    </a:prstGeom>
                  </pic:spPr>
                </pic:pic>
              </a:graphicData>
            </a:graphic>
          </wp:inline>
        </w:drawing>
      </w:r>
    </w:p>
    <w:p w14:paraId="62B9686F" w14:textId="77777777" w:rsidR="006D582B" w:rsidRPr="00517FA8" w:rsidRDefault="006D582B" w:rsidP="00FE4F98">
      <w:pPr>
        <w:spacing w:before="100" w:beforeAutospacing="1" w:after="100" w:afterAutospacing="1" w:line="360" w:lineRule="auto"/>
        <w:outlineLvl w:val="2"/>
        <w:rPr>
          <w:rFonts w:ascii="Arial" w:eastAsia="Times New Roman" w:hAnsi="Arial" w:cs="Arial"/>
          <w:b/>
          <w:bCs/>
          <w:sz w:val="27"/>
          <w:szCs w:val="27"/>
        </w:rPr>
      </w:pPr>
      <w:bookmarkStart w:id="53" w:name="_Toc217082184"/>
      <w:r w:rsidRPr="00517FA8">
        <w:rPr>
          <w:rFonts w:ascii="Arial" w:eastAsia="Times New Roman" w:hAnsi="Arial" w:cs="Arial"/>
          <w:b/>
          <w:bCs/>
          <w:sz w:val="27"/>
          <w:szCs w:val="27"/>
        </w:rPr>
        <w:t>Project A</w:t>
      </w:r>
      <w:bookmarkEnd w:id="53"/>
    </w:p>
    <w:tbl>
      <w:tblPr>
        <w:tblStyle w:val="TableGrid"/>
        <w:tblW w:w="0" w:type="auto"/>
        <w:tblLook w:val="04A0" w:firstRow="1" w:lastRow="0" w:firstColumn="1" w:lastColumn="0" w:noHBand="0" w:noVBand="1"/>
      </w:tblPr>
      <w:tblGrid>
        <w:gridCol w:w="737"/>
        <w:gridCol w:w="4402"/>
        <w:gridCol w:w="4050"/>
      </w:tblGrid>
      <w:tr w:rsidR="006D582B" w:rsidRPr="00517FA8" w14:paraId="29D84AEE" w14:textId="77777777" w:rsidTr="006C45C0">
        <w:tc>
          <w:tcPr>
            <w:tcW w:w="0" w:type="auto"/>
            <w:hideMark/>
          </w:tcPr>
          <w:p w14:paraId="7DE865A7"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Year</w:t>
            </w:r>
          </w:p>
        </w:tc>
        <w:tc>
          <w:tcPr>
            <w:tcW w:w="4402" w:type="dxa"/>
            <w:hideMark/>
          </w:tcPr>
          <w:p w14:paraId="5790B71F"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Cash Inflow (£m)</w:t>
            </w:r>
          </w:p>
        </w:tc>
        <w:tc>
          <w:tcPr>
            <w:tcW w:w="4050" w:type="dxa"/>
            <w:hideMark/>
          </w:tcPr>
          <w:p w14:paraId="65CDF90D"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Cumulative (£m)</w:t>
            </w:r>
          </w:p>
        </w:tc>
      </w:tr>
      <w:tr w:rsidR="006D582B" w:rsidRPr="00517FA8" w14:paraId="02CBEE77" w14:textId="77777777" w:rsidTr="006C45C0">
        <w:tc>
          <w:tcPr>
            <w:tcW w:w="0" w:type="auto"/>
            <w:hideMark/>
          </w:tcPr>
          <w:p w14:paraId="69BF52D1"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lastRenderedPageBreak/>
              <w:t>1</w:t>
            </w:r>
          </w:p>
        </w:tc>
        <w:tc>
          <w:tcPr>
            <w:tcW w:w="4402" w:type="dxa"/>
            <w:hideMark/>
          </w:tcPr>
          <w:p w14:paraId="6BD90B44"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10</w:t>
            </w:r>
          </w:p>
        </w:tc>
        <w:tc>
          <w:tcPr>
            <w:tcW w:w="4050" w:type="dxa"/>
            <w:hideMark/>
          </w:tcPr>
          <w:p w14:paraId="00922CC3"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10</w:t>
            </w:r>
          </w:p>
        </w:tc>
      </w:tr>
      <w:tr w:rsidR="006D582B" w:rsidRPr="00517FA8" w14:paraId="793201F0" w14:textId="77777777" w:rsidTr="006C45C0">
        <w:tc>
          <w:tcPr>
            <w:tcW w:w="0" w:type="auto"/>
            <w:hideMark/>
          </w:tcPr>
          <w:p w14:paraId="6487F27E"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2</w:t>
            </w:r>
          </w:p>
        </w:tc>
        <w:tc>
          <w:tcPr>
            <w:tcW w:w="4402" w:type="dxa"/>
            <w:hideMark/>
          </w:tcPr>
          <w:p w14:paraId="4E6EB801"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12</w:t>
            </w:r>
          </w:p>
        </w:tc>
        <w:tc>
          <w:tcPr>
            <w:tcW w:w="4050" w:type="dxa"/>
            <w:hideMark/>
          </w:tcPr>
          <w:p w14:paraId="0895E2FF"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22</w:t>
            </w:r>
          </w:p>
        </w:tc>
      </w:tr>
      <w:tr w:rsidR="006D582B" w:rsidRPr="00517FA8" w14:paraId="29FF5991" w14:textId="77777777" w:rsidTr="006C45C0">
        <w:tc>
          <w:tcPr>
            <w:tcW w:w="0" w:type="auto"/>
            <w:hideMark/>
          </w:tcPr>
          <w:p w14:paraId="0E8141F6"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3</w:t>
            </w:r>
          </w:p>
        </w:tc>
        <w:tc>
          <w:tcPr>
            <w:tcW w:w="4402" w:type="dxa"/>
            <w:hideMark/>
          </w:tcPr>
          <w:p w14:paraId="0FCC31E4"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14</w:t>
            </w:r>
          </w:p>
        </w:tc>
        <w:tc>
          <w:tcPr>
            <w:tcW w:w="4050" w:type="dxa"/>
            <w:hideMark/>
          </w:tcPr>
          <w:p w14:paraId="27A2C229"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36</w:t>
            </w:r>
          </w:p>
        </w:tc>
      </w:tr>
      <w:tr w:rsidR="006D582B" w:rsidRPr="00517FA8" w14:paraId="039B8AAF" w14:textId="77777777" w:rsidTr="006C45C0">
        <w:tc>
          <w:tcPr>
            <w:tcW w:w="0" w:type="auto"/>
            <w:hideMark/>
          </w:tcPr>
          <w:p w14:paraId="441BCBC5"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4</w:t>
            </w:r>
          </w:p>
        </w:tc>
        <w:tc>
          <w:tcPr>
            <w:tcW w:w="4402" w:type="dxa"/>
            <w:hideMark/>
          </w:tcPr>
          <w:p w14:paraId="796511F7"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10</w:t>
            </w:r>
          </w:p>
        </w:tc>
        <w:tc>
          <w:tcPr>
            <w:tcW w:w="4050" w:type="dxa"/>
            <w:hideMark/>
          </w:tcPr>
          <w:p w14:paraId="356F22EC"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46</w:t>
            </w:r>
          </w:p>
        </w:tc>
      </w:tr>
    </w:tbl>
    <w:p w14:paraId="012411FA" w14:textId="77777777" w:rsidR="006D582B" w:rsidRPr="00FE4F98" w:rsidRDefault="006D582B" w:rsidP="00FE4F98">
      <w:pPr>
        <w:spacing w:after="0" w:line="360" w:lineRule="auto"/>
        <w:rPr>
          <w:rFonts w:ascii="Arial" w:eastAsia="Times New Roman" w:hAnsi="Arial" w:cs="Arial"/>
          <w:sz w:val="24"/>
          <w:szCs w:val="24"/>
        </w:rPr>
      </w:pPr>
    </w:p>
    <w:p w14:paraId="5FD25259" w14:textId="77777777" w:rsidR="006D582B" w:rsidRPr="00517FA8" w:rsidRDefault="006D582B" w:rsidP="00FE4F98">
      <w:pPr>
        <w:spacing w:after="0" w:line="360" w:lineRule="auto"/>
        <w:rPr>
          <w:rFonts w:ascii="Arial" w:eastAsia="Times New Roman" w:hAnsi="Arial" w:cs="Arial"/>
          <w:sz w:val="24"/>
          <w:szCs w:val="24"/>
        </w:rPr>
      </w:pPr>
      <w:r w:rsidRPr="00FE4F98">
        <w:rPr>
          <w:rFonts w:ascii="Arial" w:hAnsi="Arial" w:cs="Arial"/>
          <w:noProof/>
        </w:rPr>
        <w:drawing>
          <wp:inline distT="0" distB="0" distL="0" distR="0" wp14:anchorId="6CDA1F21" wp14:editId="06E92ADB">
            <wp:extent cx="2886075" cy="5429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886075" cy="542925"/>
                    </a:xfrm>
                    <a:prstGeom prst="rect">
                      <a:avLst/>
                    </a:prstGeom>
                  </pic:spPr>
                </pic:pic>
              </a:graphicData>
            </a:graphic>
          </wp:inline>
        </w:drawing>
      </w:r>
    </w:p>
    <w:p w14:paraId="22AE18D2" w14:textId="77777777" w:rsidR="006D582B" w:rsidRPr="00517FA8" w:rsidRDefault="006D582B" w:rsidP="00FE4F98">
      <w:pPr>
        <w:spacing w:before="100" w:beforeAutospacing="1" w:after="100" w:afterAutospacing="1" w:line="360" w:lineRule="auto"/>
        <w:outlineLvl w:val="2"/>
        <w:rPr>
          <w:rFonts w:ascii="Arial" w:eastAsia="Times New Roman" w:hAnsi="Arial" w:cs="Arial"/>
          <w:b/>
          <w:bCs/>
          <w:sz w:val="27"/>
          <w:szCs w:val="27"/>
        </w:rPr>
      </w:pPr>
      <w:bookmarkStart w:id="54" w:name="_Toc217082185"/>
      <w:r w:rsidRPr="00517FA8">
        <w:rPr>
          <w:rFonts w:ascii="Arial" w:eastAsia="Times New Roman" w:hAnsi="Arial" w:cs="Arial"/>
          <w:b/>
          <w:bCs/>
          <w:sz w:val="27"/>
          <w:szCs w:val="27"/>
        </w:rPr>
        <w:t>Project B</w:t>
      </w:r>
      <w:bookmarkEnd w:id="54"/>
    </w:p>
    <w:tbl>
      <w:tblPr>
        <w:tblStyle w:val="TableGrid"/>
        <w:tblW w:w="9355" w:type="dxa"/>
        <w:tblLook w:val="04A0" w:firstRow="1" w:lastRow="0" w:firstColumn="1" w:lastColumn="0" w:noHBand="0" w:noVBand="1"/>
      </w:tblPr>
      <w:tblGrid>
        <w:gridCol w:w="2155"/>
        <w:gridCol w:w="4680"/>
        <w:gridCol w:w="2520"/>
      </w:tblGrid>
      <w:tr w:rsidR="006D582B" w:rsidRPr="00517FA8" w14:paraId="7B19458F" w14:textId="77777777" w:rsidTr="00FE4F98">
        <w:tc>
          <w:tcPr>
            <w:tcW w:w="2155" w:type="dxa"/>
            <w:hideMark/>
          </w:tcPr>
          <w:p w14:paraId="0BFAF23B"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Year</w:t>
            </w:r>
          </w:p>
        </w:tc>
        <w:tc>
          <w:tcPr>
            <w:tcW w:w="4680" w:type="dxa"/>
            <w:hideMark/>
          </w:tcPr>
          <w:p w14:paraId="352B6EEB"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Cash Inflow (£m)</w:t>
            </w:r>
          </w:p>
        </w:tc>
        <w:tc>
          <w:tcPr>
            <w:tcW w:w="2520" w:type="dxa"/>
            <w:hideMark/>
          </w:tcPr>
          <w:p w14:paraId="5E4AEAA9"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Cumulative (£m)</w:t>
            </w:r>
          </w:p>
        </w:tc>
      </w:tr>
      <w:tr w:rsidR="006D582B" w:rsidRPr="00517FA8" w14:paraId="1E9FB6A5" w14:textId="77777777" w:rsidTr="00FE4F98">
        <w:tc>
          <w:tcPr>
            <w:tcW w:w="2155" w:type="dxa"/>
            <w:hideMark/>
          </w:tcPr>
          <w:p w14:paraId="138E7BEF"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w:t>
            </w:r>
          </w:p>
        </w:tc>
        <w:tc>
          <w:tcPr>
            <w:tcW w:w="4680" w:type="dxa"/>
            <w:hideMark/>
          </w:tcPr>
          <w:p w14:paraId="5C353266"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6</w:t>
            </w:r>
          </w:p>
        </w:tc>
        <w:tc>
          <w:tcPr>
            <w:tcW w:w="2520" w:type="dxa"/>
            <w:hideMark/>
          </w:tcPr>
          <w:p w14:paraId="7FDB6431"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6</w:t>
            </w:r>
          </w:p>
        </w:tc>
      </w:tr>
      <w:tr w:rsidR="006D582B" w:rsidRPr="00517FA8" w14:paraId="2807E91E" w14:textId="77777777" w:rsidTr="00FE4F98">
        <w:tc>
          <w:tcPr>
            <w:tcW w:w="2155" w:type="dxa"/>
            <w:hideMark/>
          </w:tcPr>
          <w:p w14:paraId="702EA1BE"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2</w:t>
            </w:r>
          </w:p>
        </w:tc>
        <w:tc>
          <w:tcPr>
            <w:tcW w:w="4680" w:type="dxa"/>
            <w:hideMark/>
          </w:tcPr>
          <w:p w14:paraId="47FFF301"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6</w:t>
            </w:r>
          </w:p>
        </w:tc>
        <w:tc>
          <w:tcPr>
            <w:tcW w:w="2520" w:type="dxa"/>
            <w:hideMark/>
          </w:tcPr>
          <w:p w14:paraId="411A464E"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12</w:t>
            </w:r>
          </w:p>
        </w:tc>
      </w:tr>
      <w:tr w:rsidR="006D582B" w:rsidRPr="00517FA8" w14:paraId="2386ED45" w14:textId="77777777" w:rsidTr="00FE4F98">
        <w:tc>
          <w:tcPr>
            <w:tcW w:w="2155" w:type="dxa"/>
            <w:hideMark/>
          </w:tcPr>
          <w:p w14:paraId="5286E203"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3</w:t>
            </w:r>
          </w:p>
        </w:tc>
        <w:tc>
          <w:tcPr>
            <w:tcW w:w="4680" w:type="dxa"/>
            <w:hideMark/>
          </w:tcPr>
          <w:p w14:paraId="1B997D2F"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6</w:t>
            </w:r>
          </w:p>
        </w:tc>
        <w:tc>
          <w:tcPr>
            <w:tcW w:w="2520" w:type="dxa"/>
            <w:hideMark/>
          </w:tcPr>
          <w:p w14:paraId="6A6443B9"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18</w:t>
            </w:r>
          </w:p>
        </w:tc>
      </w:tr>
      <w:tr w:rsidR="006D582B" w:rsidRPr="00517FA8" w14:paraId="6E28635C" w14:textId="77777777" w:rsidTr="00FE4F98">
        <w:tc>
          <w:tcPr>
            <w:tcW w:w="2155" w:type="dxa"/>
            <w:hideMark/>
          </w:tcPr>
          <w:p w14:paraId="0A493A79"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4</w:t>
            </w:r>
          </w:p>
        </w:tc>
        <w:tc>
          <w:tcPr>
            <w:tcW w:w="4680" w:type="dxa"/>
            <w:hideMark/>
          </w:tcPr>
          <w:p w14:paraId="3654F598"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6</w:t>
            </w:r>
          </w:p>
        </w:tc>
        <w:tc>
          <w:tcPr>
            <w:tcW w:w="2520" w:type="dxa"/>
            <w:hideMark/>
          </w:tcPr>
          <w:p w14:paraId="745EA68D"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24</w:t>
            </w:r>
          </w:p>
        </w:tc>
      </w:tr>
      <w:tr w:rsidR="006D582B" w:rsidRPr="00517FA8" w14:paraId="7A03B992" w14:textId="77777777" w:rsidTr="00FE4F98">
        <w:tc>
          <w:tcPr>
            <w:tcW w:w="2155" w:type="dxa"/>
            <w:hideMark/>
          </w:tcPr>
          <w:p w14:paraId="1E78AF3E"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5</w:t>
            </w:r>
          </w:p>
        </w:tc>
        <w:tc>
          <w:tcPr>
            <w:tcW w:w="4680" w:type="dxa"/>
            <w:hideMark/>
          </w:tcPr>
          <w:p w14:paraId="16E7A9E1"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6</w:t>
            </w:r>
          </w:p>
        </w:tc>
        <w:tc>
          <w:tcPr>
            <w:tcW w:w="2520" w:type="dxa"/>
            <w:hideMark/>
          </w:tcPr>
          <w:p w14:paraId="506CD3BC"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30</w:t>
            </w:r>
          </w:p>
        </w:tc>
      </w:tr>
    </w:tbl>
    <w:p w14:paraId="7BF313EA" w14:textId="77777777" w:rsidR="006D582B" w:rsidRPr="00FE4F98" w:rsidRDefault="006D582B" w:rsidP="00FE4F98">
      <w:pPr>
        <w:spacing w:after="0" w:line="360" w:lineRule="auto"/>
        <w:rPr>
          <w:rFonts w:ascii="Arial" w:eastAsia="Times New Roman" w:hAnsi="Arial" w:cs="Arial"/>
          <w:sz w:val="24"/>
          <w:szCs w:val="24"/>
        </w:rPr>
      </w:pPr>
    </w:p>
    <w:p w14:paraId="374FFE35" w14:textId="77777777" w:rsidR="006D582B" w:rsidRPr="00517FA8" w:rsidRDefault="006D582B" w:rsidP="00FE4F98">
      <w:pPr>
        <w:spacing w:after="0" w:line="360" w:lineRule="auto"/>
        <w:rPr>
          <w:rFonts w:ascii="Arial" w:eastAsia="Times New Roman" w:hAnsi="Arial" w:cs="Arial"/>
          <w:sz w:val="24"/>
          <w:szCs w:val="24"/>
        </w:rPr>
      </w:pPr>
      <w:r w:rsidRPr="00FE4F98">
        <w:rPr>
          <w:rFonts w:ascii="Arial" w:hAnsi="Arial" w:cs="Arial"/>
          <w:noProof/>
        </w:rPr>
        <w:drawing>
          <wp:inline distT="0" distB="0" distL="0" distR="0" wp14:anchorId="3A1DBC65" wp14:editId="21D1484F">
            <wp:extent cx="1828800" cy="5715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828800" cy="571500"/>
                    </a:xfrm>
                    <a:prstGeom prst="rect">
                      <a:avLst/>
                    </a:prstGeom>
                  </pic:spPr>
                </pic:pic>
              </a:graphicData>
            </a:graphic>
          </wp:inline>
        </w:drawing>
      </w:r>
    </w:p>
    <w:p w14:paraId="12D7F705" w14:textId="77777777" w:rsidR="006D582B" w:rsidRPr="00517FA8" w:rsidRDefault="006D582B" w:rsidP="00FE4F98">
      <w:pPr>
        <w:spacing w:before="100" w:beforeAutospacing="1" w:after="100" w:afterAutospacing="1" w:line="360" w:lineRule="auto"/>
        <w:outlineLvl w:val="2"/>
        <w:rPr>
          <w:rFonts w:ascii="Arial" w:eastAsia="Times New Roman" w:hAnsi="Arial" w:cs="Arial"/>
          <w:b/>
          <w:bCs/>
          <w:sz w:val="27"/>
          <w:szCs w:val="27"/>
        </w:rPr>
      </w:pPr>
      <w:bookmarkStart w:id="55" w:name="_Toc217082186"/>
      <w:r w:rsidRPr="00517FA8">
        <w:rPr>
          <w:rFonts w:ascii="Arial" w:eastAsia="Times New Roman" w:hAnsi="Arial" w:cs="Arial"/>
          <w:b/>
          <w:bCs/>
          <w:sz w:val="27"/>
          <w:szCs w:val="27"/>
        </w:rPr>
        <w:t>Project C</w:t>
      </w:r>
      <w:bookmarkEnd w:id="55"/>
    </w:p>
    <w:tbl>
      <w:tblPr>
        <w:tblStyle w:val="TableGrid"/>
        <w:tblW w:w="9355" w:type="dxa"/>
        <w:tblLook w:val="04A0" w:firstRow="1" w:lastRow="0" w:firstColumn="1" w:lastColumn="0" w:noHBand="0" w:noVBand="1"/>
      </w:tblPr>
      <w:tblGrid>
        <w:gridCol w:w="737"/>
        <w:gridCol w:w="5023"/>
        <w:gridCol w:w="3595"/>
      </w:tblGrid>
      <w:tr w:rsidR="006D582B" w:rsidRPr="00517FA8" w14:paraId="5DF63DF5" w14:textId="77777777" w:rsidTr="006C45C0">
        <w:tc>
          <w:tcPr>
            <w:tcW w:w="0" w:type="auto"/>
            <w:hideMark/>
          </w:tcPr>
          <w:p w14:paraId="022C4466"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Year</w:t>
            </w:r>
          </w:p>
        </w:tc>
        <w:tc>
          <w:tcPr>
            <w:tcW w:w="5032" w:type="dxa"/>
            <w:hideMark/>
          </w:tcPr>
          <w:p w14:paraId="7748BEC4"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Cash Inflow (£m)</w:t>
            </w:r>
          </w:p>
        </w:tc>
        <w:tc>
          <w:tcPr>
            <w:tcW w:w="3600" w:type="dxa"/>
            <w:hideMark/>
          </w:tcPr>
          <w:p w14:paraId="3CCB4A82"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Cumulative (£m)</w:t>
            </w:r>
          </w:p>
        </w:tc>
      </w:tr>
      <w:tr w:rsidR="006D582B" w:rsidRPr="00517FA8" w14:paraId="4AEC8086" w14:textId="77777777" w:rsidTr="006C45C0">
        <w:tc>
          <w:tcPr>
            <w:tcW w:w="0" w:type="auto"/>
            <w:hideMark/>
          </w:tcPr>
          <w:p w14:paraId="4AB3CCF3"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w:t>
            </w:r>
          </w:p>
        </w:tc>
        <w:tc>
          <w:tcPr>
            <w:tcW w:w="5032" w:type="dxa"/>
            <w:hideMark/>
          </w:tcPr>
          <w:p w14:paraId="6ECA6429"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5</w:t>
            </w:r>
          </w:p>
        </w:tc>
        <w:tc>
          <w:tcPr>
            <w:tcW w:w="3600" w:type="dxa"/>
            <w:hideMark/>
          </w:tcPr>
          <w:p w14:paraId="65716996"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5</w:t>
            </w:r>
          </w:p>
        </w:tc>
      </w:tr>
      <w:tr w:rsidR="006D582B" w:rsidRPr="00517FA8" w14:paraId="39A83363" w14:textId="77777777" w:rsidTr="006C45C0">
        <w:tc>
          <w:tcPr>
            <w:tcW w:w="0" w:type="auto"/>
            <w:hideMark/>
          </w:tcPr>
          <w:p w14:paraId="6E0B7722"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2</w:t>
            </w:r>
          </w:p>
        </w:tc>
        <w:tc>
          <w:tcPr>
            <w:tcW w:w="5032" w:type="dxa"/>
            <w:hideMark/>
          </w:tcPr>
          <w:p w14:paraId="48E6471E"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10</w:t>
            </w:r>
          </w:p>
        </w:tc>
        <w:tc>
          <w:tcPr>
            <w:tcW w:w="3600" w:type="dxa"/>
            <w:hideMark/>
          </w:tcPr>
          <w:p w14:paraId="454315CD"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15</w:t>
            </w:r>
          </w:p>
        </w:tc>
      </w:tr>
      <w:tr w:rsidR="006D582B" w:rsidRPr="00517FA8" w14:paraId="77EC3A60" w14:textId="77777777" w:rsidTr="006C45C0">
        <w:tc>
          <w:tcPr>
            <w:tcW w:w="0" w:type="auto"/>
            <w:hideMark/>
          </w:tcPr>
          <w:p w14:paraId="04C8359C"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3</w:t>
            </w:r>
          </w:p>
        </w:tc>
        <w:tc>
          <w:tcPr>
            <w:tcW w:w="5032" w:type="dxa"/>
            <w:hideMark/>
          </w:tcPr>
          <w:p w14:paraId="0FBD5095"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20</w:t>
            </w:r>
          </w:p>
        </w:tc>
        <w:tc>
          <w:tcPr>
            <w:tcW w:w="3600" w:type="dxa"/>
            <w:hideMark/>
          </w:tcPr>
          <w:p w14:paraId="6CC90C5D"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35</w:t>
            </w:r>
          </w:p>
        </w:tc>
      </w:tr>
      <w:tr w:rsidR="006D582B" w:rsidRPr="00517FA8" w14:paraId="2991D96D" w14:textId="77777777" w:rsidTr="006C45C0">
        <w:tc>
          <w:tcPr>
            <w:tcW w:w="0" w:type="auto"/>
            <w:hideMark/>
          </w:tcPr>
          <w:p w14:paraId="3C8878F9"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4</w:t>
            </w:r>
          </w:p>
        </w:tc>
        <w:tc>
          <w:tcPr>
            <w:tcW w:w="5032" w:type="dxa"/>
            <w:hideMark/>
          </w:tcPr>
          <w:p w14:paraId="5A95CB49"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25</w:t>
            </w:r>
          </w:p>
        </w:tc>
        <w:tc>
          <w:tcPr>
            <w:tcW w:w="3600" w:type="dxa"/>
            <w:hideMark/>
          </w:tcPr>
          <w:p w14:paraId="3FA49FC3"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60</w:t>
            </w:r>
          </w:p>
        </w:tc>
      </w:tr>
    </w:tbl>
    <w:p w14:paraId="5B4EFF6A" w14:textId="77777777" w:rsidR="006D582B" w:rsidRPr="00FE4F98" w:rsidRDefault="006D582B" w:rsidP="00FE4F98">
      <w:pPr>
        <w:spacing w:after="0" w:line="360" w:lineRule="auto"/>
        <w:rPr>
          <w:rFonts w:ascii="Arial" w:eastAsia="Times New Roman" w:hAnsi="Arial" w:cs="Arial"/>
          <w:sz w:val="24"/>
          <w:szCs w:val="24"/>
        </w:rPr>
      </w:pPr>
    </w:p>
    <w:p w14:paraId="00A97707" w14:textId="77777777" w:rsidR="006D582B" w:rsidRPr="00517FA8" w:rsidRDefault="006D582B" w:rsidP="00FE4F98">
      <w:pPr>
        <w:spacing w:after="0" w:line="360" w:lineRule="auto"/>
        <w:rPr>
          <w:rFonts w:ascii="Arial" w:eastAsia="Times New Roman" w:hAnsi="Arial" w:cs="Arial"/>
          <w:sz w:val="24"/>
          <w:szCs w:val="24"/>
        </w:rPr>
      </w:pPr>
      <w:r w:rsidRPr="00FE4F98">
        <w:rPr>
          <w:rFonts w:ascii="Arial" w:hAnsi="Arial" w:cs="Arial"/>
          <w:noProof/>
        </w:rPr>
        <w:drawing>
          <wp:inline distT="0" distB="0" distL="0" distR="0" wp14:anchorId="74CFBB77" wp14:editId="6057A9FB">
            <wp:extent cx="2876550" cy="4381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876550" cy="438150"/>
                    </a:xfrm>
                    <a:prstGeom prst="rect">
                      <a:avLst/>
                    </a:prstGeom>
                  </pic:spPr>
                </pic:pic>
              </a:graphicData>
            </a:graphic>
          </wp:inline>
        </w:drawing>
      </w:r>
    </w:p>
    <w:p w14:paraId="00480224" w14:textId="77777777" w:rsidR="006D582B" w:rsidRPr="00517FA8" w:rsidRDefault="006D582B" w:rsidP="00FE4F98">
      <w:pPr>
        <w:spacing w:before="100" w:beforeAutospacing="1" w:after="100" w:afterAutospacing="1" w:line="360" w:lineRule="auto"/>
        <w:outlineLvl w:val="1"/>
        <w:rPr>
          <w:rFonts w:ascii="Arial" w:eastAsia="Times New Roman" w:hAnsi="Arial" w:cs="Arial"/>
          <w:b/>
          <w:bCs/>
          <w:sz w:val="24"/>
          <w:szCs w:val="24"/>
        </w:rPr>
      </w:pPr>
      <w:bookmarkStart w:id="56" w:name="_Toc217082187"/>
      <w:r w:rsidRPr="00517FA8">
        <w:rPr>
          <w:rFonts w:ascii="Arial" w:eastAsia="Times New Roman" w:hAnsi="Arial" w:cs="Arial"/>
          <w:b/>
          <w:bCs/>
          <w:sz w:val="24"/>
          <w:szCs w:val="24"/>
        </w:rPr>
        <w:lastRenderedPageBreak/>
        <w:t>Appendix C6: Accounting Rate of Return (ARR)</w:t>
      </w:r>
      <w:bookmarkEnd w:id="56"/>
    </w:p>
    <w:p w14:paraId="6586D434" w14:textId="77777777" w:rsidR="006D582B" w:rsidRPr="00517FA8" w:rsidRDefault="006D582B" w:rsidP="00FE4F98">
      <w:pPr>
        <w:spacing w:before="100" w:beforeAutospacing="1" w:after="100" w:afterAutospacing="1" w:line="360" w:lineRule="auto"/>
        <w:rPr>
          <w:rFonts w:ascii="Arial" w:eastAsia="Times New Roman" w:hAnsi="Arial" w:cs="Arial"/>
          <w:sz w:val="24"/>
          <w:szCs w:val="24"/>
        </w:rPr>
      </w:pPr>
      <w:r w:rsidRPr="00517FA8">
        <w:rPr>
          <w:rFonts w:ascii="Arial" w:eastAsia="Times New Roman" w:hAnsi="Arial" w:cs="Arial"/>
          <w:b/>
          <w:bCs/>
          <w:sz w:val="24"/>
          <w:szCs w:val="24"/>
        </w:rPr>
        <w:t>Formula:</w:t>
      </w:r>
    </w:p>
    <w:p w14:paraId="0087ABEB" w14:textId="77777777" w:rsidR="006D582B" w:rsidRPr="00517FA8" w:rsidRDefault="006D582B" w:rsidP="00FE4F98">
      <w:pPr>
        <w:spacing w:before="100" w:beforeAutospacing="1" w:after="100" w:afterAutospacing="1" w:line="360" w:lineRule="auto"/>
        <w:rPr>
          <w:rFonts w:ascii="Arial" w:eastAsia="Times New Roman" w:hAnsi="Arial" w:cs="Arial"/>
          <w:sz w:val="24"/>
          <w:szCs w:val="24"/>
        </w:rPr>
      </w:pPr>
      <w:r w:rsidRPr="00FE4F98">
        <w:rPr>
          <w:rFonts w:ascii="Arial" w:hAnsi="Arial" w:cs="Arial"/>
          <w:noProof/>
        </w:rPr>
        <w:drawing>
          <wp:inline distT="0" distB="0" distL="0" distR="0" wp14:anchorId="1E20F5CD" wp14:editId="7182775C">
            <wp:extent cx="3705225" cy="7143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705225" cy="714375"/>
                    </a:xfrm>
                    <a:prstGeom prst="rect">
                      <a:avLst/>
                    </a:prstGeom>
                  </pic:spPr>
                </pic:pic>
              </a:graphicData>
            </a:graphic>
          </wp:inline>
        </w:drawing>
      </w:r>
    </w:p>
    <w:tbl>
      <w:tblPr>
        <w:tblStyle w:val="TableGrid"/>
        <w:tblW w:w="0" w:type="auto"/>
        <w:tblLook w:val="04A0" w:firstRow="1" w:lastRow="0" w:firstColumn="1" w:lastColumn="0" w:noHBand="0" w:noVBand="1"/>
      </w:tblPr>
      <w:tblGrid>
        <w:gridCol w:w="1030"/>
        <w:gridCol w:w="1872"/>
        <w:gridCol w:w="2115"/>
        <w:gridCol w:w="1615"/>
        <w:gridCol w:w="1821"/>
        <w:gridCol w:w="897"/>
      </w:tblGrid>
      <w:tr w:rsidR="006D582B" w:rsidRPr="00517FA8" w14:paraId="34DBCBB4" w14:textId="77777777" w:rsidTr="006C45C0">
        <w:tc>
          <w:tcPr>
            <w:tcW w:w="0" w:type="auto"/>
            <w:hideMark/>
          </w:tcPr>
          <w:p w14:paraId="6FDAF5FD"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Project</w:t>
            </w:r>
          </w:p>
        </w:tc>
        <w:tc>
          <w:tcPr>
            <w:tcW w:w="0" w:type="auto"/>
            <w:hideMark/>
          </w:tcPr>
          <w:p w14:paraId="3E1BDDC7"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Initial Investment (£m)</w:t>
            </w:r>
          </w:p>
        </w:tc>
        <w:tc>
          <w:tcPr>
            <w:tcW w:w="0" w:type="auto"/>
            <w:hideMark/>
          </w:tcPr>
          <w:p w14:paraId="4E17EBD7"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Annual Depreciation (£m)</w:t>
            </w:r>
          </w:p>
        </w:tc>
        <w:tc>
          <w:tcPr>
            <w:tcW w:w="0" w:type="auto"/>
            <w:hideMark/>
          </w:tcPr>
          <w:p w14:paraId="06BF7B10"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Total Cash Inflows (£m)</w:t>
            </w:r>
          </w:p>
        </w:tc>
        <w:tc>
          <w:tcPr>
            <w:tcW w:w="0" w:type="auto"/>
            <w:hideMark/>
          </w:tcPr>
          <w:p w14:paraId="7AE0D420"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Average Annual Profit (£m)</w:t>
            </w:r>
          </w:p>
        </w:tc>
        <w:tc>
          <w:tcPr>
            <w:tcW w:w="0" w:type="auto"/>
            <w:hideMark/>
          </w:tcPr>
          <w:p w14:paraId="1E36BC20"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ARR</w:t>
            </w:r>
          </w:p>
        </w:tc>
      </w:tr>
      <w:tr w:rsidR="006D582B" w:rsidRPr="00517FA8" w14:paraId="19C31B4C" w14:textId="77777777" w:rsidTr="006C45C0">
        <w:tc>
          <w:tcPr>
            <w:tcW w:w="0" w:type="auto"/>
            <w:hideMark/>
          </w:tcPr>
          <w:p w14:paraId="6F227514"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A</w:t>
            </w:r>
          </w:p>
        </w:tc>
        <w:tc>
          <w:tcPr>
            <w:tcW w:w="0" w:type="auto"/>
            <w:hideMark/>
          </w:tcPr>
          <w:p w14:paraId="17F2856A"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40</w:t>
            </w:r>
          </w:p>
        </w:tc>
        <w:tc>
          <w:tcPr>
            <w:tcW w:w="0" w:type="auto"/>
            <w:hideMark/>
          </w:tcPr>
          <w:p w14:paraId="4DF504CE"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8</w:t>
            </w:r>
          </w:p>
        </w:tc>
        <w:tc>
          <w:tcPr>
            <w:tcW w:w="0" w:type="auto"/>
            <w:hideMark/>
          </w:tcPr>
          <w:p w14:paraId="4BC62FBF"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54</w:t>
            </w:r>
          </w:p>
        </w:tc>
        <w:tc>
          <w:tcPr>
            <w:tcW w:w="0" w:type="auto"/>
            <w:hideMark/>
          </w:tcPr>
          <w:p w14:paraId="0D229538"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(54 − 40) ÷ 5 = 2.8</w:t>
            </w:r>
          </w:p>
        </w:tc>
        <w:tc>
          <w:tcPr>
            <w:tcW w:w="0" w:type="auto"/>
            <w:hideMark/>
          </w:tcPr>
          <w:p w14:paraId="02C34F3A"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b/>
                <w:bCs/>
                <w:sz w:val="24"/>
                <w:szCs w:val="24"/>
              </w:rPr>
              <w:t>7.0%</w:t>
            </w:r>
          </w:p>
        </w:tc>
      </w:tr>
      <w:tr w:rsidR="006D582B" w:rsidRPr="00517FA8" w14:paraId="69755156" w14:textId="77777777" w:rsidTr="006C45C0">
        <w:tc>
          <w:tcPr>
            <w:tcW w:w="0" w:type="auto"/>
            <w:hideMark/>
          </w:tcPr>
          <w:p w14:paraId="6CFAE111"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B</w:t>
            </w:r>
          </w:p>
        </w:tc>
        <w:tc>
          <w:tcPr>
            <w:tcW w:w="0" w:type="auto"/>
            <w:hideMark/>
          </w:tcPr>
          <w:p w14:paraId="6F992B54"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30</w:t>
            </w:r>
          </w:p>
        </w:tc>
        <w:tc>
          <w:tcPr>
            <w:tcW w:w="0" w:type="auto"/>
            <w:hideMark/>
          </w:tcPr>
          <w:p w14:paraId="622033EB"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6</w:t>
            </w:r>
          </w:p>
        </w:tc>
        <w:tc>
          <w:tcPr>
            <w:tcW w:w="0" w:type="auto"/>
            <w:hideMark/>
          </w:tcPr>
          <w:p w14:paraId="0874A8B3"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30</w:t>
            </w:r>
          </w:p>
        </w:tc>
        <w:tc>
          <w:tcPr>
            <w:tcW w:w="0" w:type="auto"/>
            <w:hideMark/>
          </w:tcPr>
          <w:p w14:paraId="7E7884D5"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(30 − 30) ÷ 5 = 0</w:t>
            </w:r>
          </w:p>
        </w:tc>
        <w:tc>
          <w:tcPr>
            <w:tcW w:w="0" w:type="auto"/>
            <w:hideMark/>
          </w:tcPr>
          <w:p w14:paraId="708CED37"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b/>
                <w:bCs/>
                <w:sz w:val="24"/>
                <w:szCs w:val="24"/>
              </w:rPr>
              <w:t>0.0%</w:t>
            </w:r>
          </w:p>
        </w:tc>
      </w:tr>
      <w:tr w:rsidR="006D582B" w:rsidRPr="00517FA8" w14:paraId="7145E569" w14:textId="77777777" w:rsidTr="006C45C0">
        <w:tc>
          <w:tcPr>
            <w:tcW w:w="0" w:type="auto"/>
            <w:hideMark/>
          </w:tcPr>
          <w:p w14:paraId="54BE41E8"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C</w:t>
            </w:r>
          </w:p>
        </w:tc>
        <w:tc>
          <w:tcPr>
            <w:tcW w:w="0" w:type="auto"/>
            <w:hideMark/>
          </w:tcPr>
          <w:p w14:paraId="21F3502D"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50</w:t>
            </w:r>
          </w:p>
        </w:tc>
        <w:tc>
          <w:tcPr>
            <w:tcW w:w="0" w:type="auto"/>
            <w:hideMark/>
          </w:tcPr>
          <w:p w14:paraId="0E57A199"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10</w:t>
            </w:r>
          </w:p>
        </w:tc>
        <w:tc>
          <w:tcPr>
            <w:tcW w:w="0" w:type="auto"/>
            <w:hideMark/>
          </w:tcPr>
          <w:p w14:paraId="52DF167D"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75</w:t>
            </w:r>
          </w:p>
        </w:tc>
        <w:tc>
          <w:tcPr>
            <w:tcW w:w="0" w:type="auto"/>
            <w:hideMark/>
          </w:tcPr>
          <w:p w14:paraId="536EA42F"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sz w:val="24"/>
                <w:szCs w:val="24"/>
              </w:rPr>
              <w:t>(75 − 50) ÷ 5 = 5.0</w:t>
            </w:r>
          </w:p>
        </w:tc>
        <w:tc>
          <w:tcPr>
            <w:tcW w:w="0" w:type="auto"/>
            <w:hideMark/>
          </w:tcPr>
          <w:p w14:paraId="569D72B1" w14:textId="77777777" w:rsidR="006D582B" w:rsidRPr="00517FA8" w:rsidRDefault="006D582B" w:rsidP="00FE4F98">
            <w:pPr>
              <w:spacing w:line="360" w:lineRule="auto"/>
              <w:rPr>
                <w:rFonts w:ascii="Arial" w:eastAsia="Times New Roman" w:hAnsi="Arial" w:cs="Arial"/>
                <w:sz w:val="24"/>
                <w:szCs w:val="24"/>
              </w:rPr>
            </w:pPr>
            <w:r w:rsidRPr="00517FA8">
              <w:rPr>
                <w:rFonts w:ascii="Arial" w:eastAsia="Times New Roman" w:hAnsi="Arial" w:cs="Arial"/>
                <w:b/>
                <w:bCs/>
                <w:sz w:val="24"/>
                <w:szCs w:val="24"/>
              </w:rPr>
              <w:t>10.0%</w:t>
            </w:r>
          </w:p>
        </w:tc>
      </w:tr>
    </w:tbl>
    <w:p w14:paraId="217EE9AD" w14:textId="77777777" w:rsidR="006D582B" w:rsidRPr="00517FA8" w:rsidRDefault="006D582B" w:rsidP="00FE4F98">
      <w:pPr>
        <w:spacing w:after="0" w:line="360" w:lineRule="auto"/>
        <w:rPr>
          <w:rFonts w:ascii="Arial" w:eastAsia="Times New Roman" w:hAnsi="Arial" w:cs="Arial"/>
          <w:sz w:val="24"/>
          <w:szCs w:val="24"/>
        </w:rPr>
      </w:pPr>
    </w:p>
    <w:p w14:paraId="1CD7677E" w14:textId="77777777" w:rsidR="006D582B" w:rsidRPr="00517FA8" w:rsidRDefault="006D582B" w:rsidP="00FE4F98">
      <w:pPr>
        <w:spacing w:before="100" w:beforeAutospacing="1" w:after="100" w:afterAutospacing="1" w:line="360" w:lineRule="auto"/>
        <w:outlineLvl w:val="1"/>
        <w:rPr>
          <w:rFonts w:ascii="Arial" w:eastAsia="Times New Roman" w:hAnsi="Arial" w:cs="Arial"/>
          <w:b/>
          <w:bCs/>
          <w:sz w:val="24"/>
          <w:szCs w:val="24"/>
        </w:rPr>
      </w:pPr>
      <w:bookmarkStart w:id="57" w:name="_Toc217082188"/>
      <w:r w:rsidRPr="00517FA8">
        <w:rPr>
          <w:rFonts w:ascii="Arial" w:eastAsia="Times New Roman" w:hAnsi="Arial" w:cs="Arial"/>
          <w:b/>
          <w:bCs/>
          <w:sz w:val="24"/>
          <w:szCs w:val="24"/>
        </w:rPr>
        <w:t>Appendix C7: Internal Rate of Return (IRR)</w:t>
      </w:r>
      <w:bookmarkEnd w:id="57"/>
    </w:p>
    <w:p w14:paraId="0EAA17DB" w14:textId="77777777" w:rsidR="006D582B" w:rsidRPr="00FE4F98" w:rsidRDefault="006D582B" w:rsidP="00FE4F98">
      <w:pPr>
        <w:spacing w:before="100" w:beforeAutospacing="1" w:after="100" w:afterAutospacing="1" w:line="360" w:lineRule="auto"/>
        <w:rPr>
          <w:rFonts w:ascii="Arial" w:eastAsia="Times New Roman" w:hAnsi="Arial" w:cs="Arial"/>
          <w:sz w:val="24"/>
          <w:szCs w:val="24"/>
        </w:rPr>
      </w:pPr>
      <w:r w:rsidRPr="00517FA8">
        <w:rPr>
          <w:rFonts w:ascii="Arial" w:eastAsia="Times New Roman" w:hAnsi="Arial" w:cs="Arial"/>
          <w:b/>
          <w:bCs/>
          <w:sz w:val="24"/>
          <w:szCs w:val="24"/>
        </w:rPr>
        <w:t>Definition:</w:t>
      </w:r>
      <w:r w:rsidRPr="00517FA8">
        <w:rPr>
          <w:rFonts w:ascii="Arial" w:eastAsia="Times New Roman" w:hAnsi="Arial" w:cs="Arial"/>
          <w:sz w:val="24"/>
          <w:szCs w:val="24"/>
        </w:rPr>
        <w:br/>
        <w:t>IRR is the discount rate at which NPV = 0.</w:t>
      </w:r>
    </w:p>
    <w:p w14:paraId="2E61E030" w14:textId="77777777" w:rsidR="006D582B" w:rsidRPr="00517FA8" w:rsidRDefault="006D582B" w:rsidP="00FE4F98">
      <w:pPr>
        <w:spacing w:before="100" w:beforeAutospacing="1" w:after="100" w:afterAutospacing="1" w:line="360" w:lineRule="auto"/>
        <w:rPr>
          <w:rFonts w:ascii="Arial" w:eastAsia="Times New Roman" w:hAnsi="Arial" w:cs="Arial"/>
          <w:sz w:val="24"/>
          <w:szCs w:val="24"/>
        </w:rPr>
      </w:pPr>
      <w:r w:rsidRPr="00FE4F98">
        <w:rPr>
          <w:rFonts w:ascii="Arial" w:hAnsi="Arial" w:cs="Arial"/>
          <w:noProof/>
        </w:rPr>
        <w:lastRenderedPageBreak/>
        <w:drawing>
          <wp:inline distT="0" distB="0" distL="0" distR="0" wp14:anchorId="352A05F9" wp14:editId="2833FD8C">
            <wp:extent cx="5238750" cy="2590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38750" cy="2590800"/>
                    </a:xfrm>
                    <a:prstGeom prst="rect">
                      <a:avLst/>
                    </a:prstGeom>
                  </pic:spPr>
                </pic:pic>
              </a:graphicData>
            </a:graphic>
          </wp:inline>
        </w:drawing>
      </w:r>
    </w:p>
    <w:tbl>
      <w:tblPr>
        <w:tblStyle w:val="TableGrid"/>
        <w:tblW w:w="9445" w:type="dxa"/>
        <w:tblLook w:val="04A0" w:firstRow="1" w:lastRow="0" w:firstColumn="1" w:lastColumn="0" w:noHBand="0" w:noVBand="1"/>
      </w:tblPr>
      <w:tblGrid>
        <w:gridCol w:w="1030"/>
        <w:gridCol w:w="5110"/>
        <w:gridCol w:w="3305"/>
      </w:tblGrid>
      <w:tr w:rsidR="006D582B" w:rsidRPr="00517FA8" w14:paraId="4A4463A7" w14:textId="77777777" w:rsidTr="006C45C0">
        <w:tc>
          <w:tcPr>
            <w:tcW w:w="0" w:type="auto"/>
            <w:hideMark/>
          </w:tcPr>
          <w:p w14:paraId="7BE24AAE"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Project</w:t>
            </w:r>
          </w:p>
        </w:tc>
        <w:tc>
          <w:tcPr>
            <w:tcW w:w="5152" w:type="dxa"/>
            <w:hideMark/>
          </w:tcPr>
          <w:p w14:paraId="3357ECB9"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Cash Flow Pattern (£m)</w:t>
            </w:r>
          </w:p>
        </w:tc>
        <w:tc>
          <w:tcPr>
            <w:tcW w:w="3330" w:type="dxa"/>
            <w:hideMark/>
          </w:tcPr>
          <w:p w14:paraId="4F214441" w14:textId="77777777" w:rsidR="006D582B" w:rsidRPr="00517FA8" w:rsidRDefault="006D582B" w:rsidP="00FE4F98">
            <w:pPr>
              <w:spacing w:line="360" w:lineRule="auto"/>
              <w:jc w:val="center"/>
              <w:rPr>
                <w:rFonts w:ascii="Arial" w:eastAsia="Times New Roman" w:hAnsi="Arial" w:cs="Arial"/>
                <w:b/>
                <w:bCs/>
                <w:sz w:val="24"/>
                <w:szCs w:val="24"/>
              </w:rPr>
            </w:pPr>
            <w:r w:rsidRPr="00517FA8">
              <w:rPr>
                <w:rFonts w:ascii="Arial" w:eastAsia="Times New Roman" w:hAnsi="Arial" w:cs="Arial"/>
                <w:b/>
                <w:bCs/>
                <w:sz w:val="24"/>
                <w:szCs w:val="24"/>
              </w:rPr>
              <w:t>IRR</w:t>
            </w:r>
          </w:p>
        </w:tc>
      </w:tr>
      <w:tr w:rsidR="006D582B" w:rsidRPr="00517FA8" w14:paraId="21E15097" w14:textId="77777777" w:rsidTr="006C45C0">
        <w:tc>
          <w:tcPr>
            <w:tcW w:w="0" w:type="auto"/>
            <w:hideMark/>
          </w:tcPr>
          <w:p w14:paraId="3CAFE90A"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A</w:t>
            </w:r>
          </w:p>
        </w:tc>
        <w:tc>
          <w:tcPr>
            <w:tcW w:w="5152" w:type="dxa"/>
            <w:hideMark/>
          </w:tcPr>
          <w:p w14:paraId="438C09A3"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-40, 10, 12, 14, 10, 8</w:t>
            </w:r>
          </w:p>
        </w:tc>
        <w:tc>
          <w:tcPr>
            <w:tcW w:w="3330" w:type="dxa"/>
            <w:hideMark/>
          </w:tcPr>
          <w:p w14:paraId="6E5A865B"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b/>
                <w:bCs/>
                <w:sz w:val="24"/>
                <w:szCs w:val="24"/>
              </w:rPr>
              <w:t>≈ 11.4%</w:t>
            </w:r>
          </w:p>
        </w:tc>
      </w:tr>
      <w:tr w:rsidR="006D582B" w:rsidRPr="00517FA8" w14:paraId="4DCAA97B" w14:textId="77777777" w:rsidTr="006C45C0">
        <w:tc>
          <w:tcPr>
            <w:tcW w:w="0" w:type="auto"/>
            <w:hideMark/>
          </w:tcPr>
          <w:p w14:paraId="5BDD6A53"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B</w:t>
            </w:r>
          </w:p>
        </w:tc>
        <w:tc>
          <w:tcPr>
            <w:tcW w:w="5152" w:type="dxa"/>
            <w:hideMark/>
          </w:tcPr>
          <w:p w14:paraId="5844D834"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-30, 6, 6, 6, 6, 6</w:t>
            </w:r>
          </w:p>
        </w:tc>
        <w:tc>
          <w:tcPr>
            <w:tcW w:w="3330" w:type="dxa"/>
            <w:hideMark/>
          </w:tcPr>
          <w:p w14:paraId="64272BDD"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b/>
                <w:bCs/>
                <w:sz w:val="24"/>
                <w:szCs w:val="24"/>
              </w:rPr>
              <w:t>≈ 5.0%</w:t>
            </w:r>
          </w:p>
        </w:tc>
      </w:tr>
      <w:tr w:rsidR="006D582B" w:rsidRPr="00517FA8" w14:paraId="717B6CF7" w14:textId="77777777" w:rsidTr="006C45C0">
        <w:tc>
          <w:tcPr>
            <w:tcW w:w="0" w:type="auto"/>
            <w:hideMark/>
          </w:tcPr>
          <w:p w14:paraId="72D4B89C"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C</w:t>
            </w:r>
          </w:p>
        </w:tc>
        <w:tc>
          <w:tcPr>
            <w:tcW w:w="5152" w:type="dxa"/>
            <w:hideMark/>
          </w:tcPr>
          <w:p w14:paraId="65BB2C36"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sz w:val="24"/>
                <w:szCs w:val="24"/>
              </w:rPr>
              <w:t>-50, 5, 10, 20, 25, 15</w:t>
            </w:r>
          </w:p>
        </w:tc>
        <w:tc>
          <w:tcPr>
            <w:tcW w:w="3330" w:type="dxa"/>
            <w:hideMark/>
          </w:tcPr>
          <w:p w14:paraId="589BF10D" w14:textId="77777777" w:rsidR="006D582B" w:rsidRPr="00517FA8" w:rsidRDefault="006D582B" w:rsidP="00FE4F98">
            <w:pPr>
              <w:spacing w:line="360" w:lineRule="auto"/>
              <w:jc w:val="center"/>
              <w:rPr>
                <w:rFonts w:ascii="Arial" w:eastAsia="Times New Roman" w:hAnsi="Arial" w:cs="Arial"/>
                <w:sz w:val="24"/>
                <w:szCs w:val="24"/>
              </w:rPr>
            </w:pPr>
            <w:r w:rsidRPr="00517FA8">
              <w:rPr>
                <w:rFonts w:ascii="Arial" w:eastAsia="Times New Roman" w:hAnsi="Arial" w:cs="Arial"/>
                <w:b/>
                <w:bCs/>
                <w:sz w:val="24"/>
                <w:szCs w:val="24"/>
              </w:rPr>
              <w:t>≈ 12.5%</w:t>
            </w:r>
          </w:p>
        </w:tc>
      </w:tr>
    </w:tbl>
    <w:p w14:paraId="2710397E" w14:textId="77777777" w:rsidR="006D582B" w:rsidRPr="00FE4F98" w:rsidRDefault="006D582B" w:rsidP="00FE4F98">
      <w:pPr>
        <w:spacing w:line="360" w:lineRule="auto"/>
        <w:rPr>
          <w:rFonts w:ascii="Arial" w:hAnsi="Arial" w:cs="Arial"/>
        </w:rPr>
      </w:pPr>
    </w:p>
    <w:p w14:paraId="347A50B2" w14:textId="77777777" w:rsidR="006D582B" w:rsidRPr="00FE4F98" w:rsidRDefault="006D582B" w:rsidP="00FE4F98">
      <w:pPr>
        <w:spacing w:line="360" w:lineRule="auto"/>
        <w:rPr>
          <w:rFonts w:ascii="Arial" w:hAnsi="Arial" w:cs="Arial"/>
        </w:rPr>
      </w:pPr>
      <w:r w:rsidRPr="00FE4F98">
        <w:rPr>
          <w:rFonts w:ascii="Arial" w:hAnsi="Arial" w:cs="Arial"/>
        </w:rPr>
        <w:t>Summary Table: IRR Comparison</w:t>
      </w:r>
    </w:p>
    <w:tbl>
      <w:tblPr>
        <w:tblStyle w:val="TableGrid"/>
        <w:tblW w:w="9445" w:type="dxa"/>
        <w:tblLook w:val="04A0" w:firstRow="1" w:lastRow="0" w:firstColumn="1" w:lastColumn="0" w:noHBand="0" w:noVBand="1"/>
      </w:tblPr>
      <w:tblGrid>
        <w:gridCol w:w="1030"/>
        <w:gridCol w:w="2518"/>
        <w:gridCol w:w="897"/>
        <w:gridCol w:w="1747"/>
        <w:gridCol w:w="3253"/>
      </w:tblGrid>
      <w:tr w:rsidR="006D582B" w:rsidRPr="00ED79A6" w14:paraId="1450D5C8" w14:textId="77777777" w:rsidTr="006C45C0">
        <w:tc>
          <w:tcPr>
            <w:tcW w:w="0" w:type="auto"/>
            <w:hideMark/>
          </w:tcPr>
          <w:p w14:paraId="53767FCD" w14:textId="77777777" w:rsidR="006D582B" w:rsidRPr="00ED79A6" w:rsidRDefault="006D582B" w:rsidP="00FE4F98">
            <w:pPr>
              <w:spacing w:line="360" w:lineRule="auto"/>
              <w:jc w:val="center"/>
              <w:rPr>
                <w:rFonts w:ascii="Arial" w:eastAsia="Times New Roman" w:hAnsi="Arial" w:cs="Arial"/>
                <w:b/>
                <w:bCs/>
                <w:sz w:val="24"/>
                <w:szCs w:val="24"/>
              </w:rPr>
            </w:pPr>
            <w:r w:rsidRPr="00ED79A6">
              <w:rPr>
                <w:rFonts w:ascii="Arial" w:eastAsia="Times New Roman" w:hAnsi="Arial" w:cs="Arial"/>
                <w:b/>
                <w:bCs/>
                <w:sz w:val="24"/>
                <w:szCs w:val="24"/>
              </w:rPr>
              <w:t>Project</w:t>
            </w:r>
          </w:p>
        </w:tc>
        <w:tc>
          <w:tcPr>
            <w:tcW w:w="0" w:type="auto"/>
            <w:hideMark/>
          </w:tcPr>
          <w:p w14:paraId="0411ABBA" w14:textId="77777777" w:rsidR="006D582B" w:rsidRPr="00ED79A6" w:rsidRDefault="006D582B" w:rsidP="00FE4F98">
            <w:pPr>
              <w:spacing w:line="360" w:lineRule="auto"/>
              <w:jc w:val="center"/>
              <w:rPr>
                <w:rFonts w:ascii="Arial" w:eastAsia="Times New Roman" w:hAnsi="Arial" w:cs="Arial"/>
                <w:b/>
                <w:bCs/>
                <w:sz w:val="24"/>
                <w:szCs w:val="24"/>
              </w:rPr>
            </w:pPr>
            <w:r w:rsidRPr="00ED79A6">
              <w:rPr>
                <w:rFonts w:ascii="Arial" w:eastAsia="Times New Roman" w:hAnsi="Arial" w:cs="Arial"/>
                <w:b/>
                <w:bCs/>
                <w:sz w:val="24"/>
                <w:szCs w:val="24"/>
              </w:rPr>
              <w:t>Initial Investment (£m)</w:t>
            </w:r>
          </w:p>
        </w:tc>
        <w:tc>
          <w:tcPr>
            <w:tcW w:w="0" w:type="auto"/>
            <w:hideMark/>
          </w:tcPr>
          <w:p w14:paraId="34F5A04A" w14:textId="77777777" w:rsidR="006D582B" w:rsidRPr="00ED79A6" w:rsidRDefault="006D582B" w:rsidP="00FE4F98">
            <w:pPr>
              <w:spacing w:line="360" w:lineRule="auto"/>
              <w:jc w:val="center"/>
              <w:rPr>
                <w:rFonts w:ascii="Arial" w:eastAsia="Times New Roman" w:hAnsi="Arial" w:cs="Arial"/>
                <w:b/>
                <w:bCs/>
                <w:sz w:val="24"/>
                <w:szCs w:val="24"/>
              </w:rPr>
            </w:pPr>
            <w:r w:rsidRPr="00ED79A6">
              <w:rPr>
                <w:rFonts w:ascii="Arial" w:eastAsia="Times New Roman" w:hAnsi="Arial" w:cs="Arial"/>
                <w:b/>
                <w:bCs/>
                <w:sz w:val="24"/>
                <w:szCs w:val="24"/>
              </w:rPr>
              <w:t>IRR</w:t>
            </w:r>
          </w:p>
        </w:tc>
        <w:tc>
          <w:tcPr>
            <w:tcW w:w="0" w:type="auto"/>
            <w:hideMark/>
          </w:tcPr>
          <w:p w14:paraId="4E1306AE" w14:textId="77777777" w:rsidR="006D582B" w:rsidRPr="00ED79A6" w:rsidRDefault="006D582B" w:rsidP="00FE4F98">
            <w:pPr>
              <w:spacing w:line="360" w:lineRule="auto"/>
              <w:jc w:val="center"/>
              <w:rPr>
                <w:rFonts w:ascii="Arial" w:eastAsia="Times New Roman" w:hAnsi="Arial" w:cs="Arial"/>
                <w:b/>
                <w:bCs/>
                <w:sz w:val="24"/>
                <w:szCs w:val="24"/>
              </w:rPr>
            </w:pPr>
            <w:r w:rsidRPr="00ED79A6">
              <w:rPr>
                <w:rFonts w:ascii="Arial" w:eastAsia="Times New Roman" w:hAnsi="Arial" w:cs="Arial"/>
                <w:b/>
                <w:bCs/>
                <w:sz w:val="24"/>
                <w:szCs w:val="24"/>
              </w:rPr>
              <w:t>Cost of Capital</w:t>
            </w:r>
          </w:p>
        </w:tc>
        <w:tc>
          <w:tcPr>
            <w:tcW w:w="3253" w:type="dxa"/>
            <w:hideMark/>
          </w:tcPr>
          <w:p w14:paraId="4AF42C35" w14:textId="77777777" w:rsidR="006D582B" w:rsidRPr="00ED79A6" w:rsidRDefault="006D582B" w:rsidP="00FE4F98">
            <w:pPr>
              <w:spacing w:line="360" w:lineRule="auto"/>
              <w:jc w:val="center"/>
              <w:rPr>
                <w:rFonts w:ascii="Arial" w:eastAsia="Times New Roman" w:hAnsi="Arial" w:cs="Arial"/>
                <w:b/>
                <w:bCs/>
                <w:sz w:val="24"/>
                <w:szCs w:val="24"/>
              </w:rPr>
            </w:pPr>
            <w:r w:rsidRPr="00ED79A6">
              <w:rPr>
                <w:rFonts w:ascii="Arial" w:eastAsia="Times New Roman" w:hAnsi="Arial" w:cs="Arial"/>
                <w:b/>
                <w:bCs/>
                <w:sz w:val="24"/>
                <w:szCs w:val="24"/>
              </w:rPr>
              <w:t>Decision</w:t>
            </w:r>
          </w:p>
        </w:tc>
      </w:tr>
      <w:tr w:rsidR="006D582B" w:rsidRPr="00ED79A6" w14:paraId="18216825" w14:textId="77777777" w:rsidTr="006C45C0">
        <w:tc>
          <w:tcPr>
            <w:tcW w:w="0" w:type="auto"/>
            <w:hideMark/>
          </w:tcPr>
          <w:p w14:paraId="7C261C0A" w14:textId="77777777" w:rsidR="006D582B" w:rsidRPr="00ED79A6" w:rsidRDefault="006D582B" w:rsidP="00FE4F98">
            <w:pPr>
              <w:spacing w:line="360" w:lineRule="auto"/>
              <w:jc w:val="center"/>
              <w:rPr>
                <w:rFonts w:ascii="Arial" w:eastAsia="Times New Roman" w:hAnsi="Arial" w:cs="Arial"/>
                <w:sz w:val="24"/>
                <w:szCs w:val="24"/>
              </w:rPr>
            </w:pPr>
            <w:r w:rsidRPr="00ED79A6">
              <w:rPr>
                <w:rFonts w:ascii="Arial" w:eastAsia="Times New Roman" w:hAnsi="Arial" w:cs="Arial"/>
                <w:sz w:val="24"/>
                <w:szCs w:val="24"/>
              </w:rPr>
              <w:t>A</w:t>
            </w:r>
          </w:p>
        </w:tc>
        <w:tc>
          <w:tcPr>
            <w:tcW w:w="0" w:type="auto"/>
            <w:hideMark/>
          </w:tcPr>
          <w:p w14:paraId="5D0EA949" w14:textId="77777777" w:rsidR="006D582B" w:rsidRPr="00ED79A6" w:rsidRDefault="006D582B" w:rsidP="00FE4F98">
            <w:pPr>
              <w:spacing w:line="360" w:lineRule="auto"/>
              <w:jc w:val="center"/>
              <w:rPr>
                <w:rFonts w:ascii="Arial" w:eastAsia="Times New Roman" w:hAnsi="Arial" w:cs="Arial"/>
                <w:sz w:val="24"/>
                <w:szCs w:val="24"/>
              </w:rPr>
            </w:pPr>
            <w:r w:rsidRPr="00ED79A6">
              <w:rPr>
                <w:rFonts w:ascii="Arial" w:eastAsia="Times New Roman" w:hAnsi="Arial" w:cs="Arial"/>
                <w:sz w:val="24"/>
                <w:szCs w:val="24"/>
              </w:rPr>
              <w:t>40</w:t>
            </w:r>
          </w:p>
        </w:tc>
        <w:tc>
          <w:tcPr>
            <w:tcW w:w="0" w:type="auto"/>
            <w:hideMark/>
          </w:tcPr>
          <w:p w14:paraId="168146E4" w14:textId="77777777" w:rsidR="006D582B" w:rsidRPr="00ED79A6" w:rsidRDefault="006D582B" w:rsidP="00FE4F98">
            <w:pPr>
              <w:spacing w:line="360" w:lineRule="auto"/>
              <w:jc w:val="center"/>
              <w:rPr>
                <w:rFonts w:ascii="Arial" w:eastAsia="Times New Roman" w:hAnsi="Arial" w:cs="Arial"/>
                <w:sz w:val="24"/>
                <w:szCs w:val="24"/>
              </w:rPr>
            </w:pPr>
            <w:r w:rsidRPr="00ED79A6">
              <w:rPr>
                <w:rFonts w:ascii="Arial" w:eastAsia="Times New Roman" w:hAnsi="Arial" w:cs="Arial"/>
                <w:b/>
                <w:bCs/>
                <w:sz w:val="24"/>
                <w:szCs w:val="24"/>
              </w:rPr>
              <w:t>11.4%</w:t>
            </w:r>
          </w:p>
        </w:tc>
        <w:tc>
          <w:tcPr>
            <w:tcW w:w="0" w:type="auto"/>
            <w:hideMark/>
          </w:tcPr>
          <w:p w14:paraId="7889457B" w14:textId="77777777" w:rsidR="006D582B" w:rsidRPr="00ED79A6" w:rsidRDefault="006D582B" w:rsidP="00FE4F98">
            <w:pPr>
              <w:spacing w:line="360" w:lineRule="auto"/>
              <w:jc w:val="center"/>
              <w:rPr>
                <w:rFonts w:ascii="Arial" w:eastAsia="Times New Roman" w:hAnsi="Arial" w:cs="Arial"/>
                <w:sz w:val="24"/>
                <w:szCs w:val="24"/>
              </w:rPr>
            </w:pPr>
            <w:r w:rsidRPr="00ED79A6">
              <w:rPr>
                <w:rFonts w:ascii="Arial" w:eastAsia="Times New Roman" w:hAnsi="Arial" w:cs="Arial"/>
                <w:sz w:val="24"/>
                <w:szCs w:val="24"/>
              </w:rPr>
              <w:t>10%</w:t>
            </w:r>
          </w:p>
        </w:tc>
        <w:tc>
          <w:tcPr>
            <w:tcW w:w="3253" w:type="dxa"/>
            <w:hideMark/>
          </w:tcPr>
          <w:p w14:paraId="453B89C7" w14:textId="77777777" w:rsidR="006D582B" w:rsidRPr="00ED79A6" w:rsidRDefault="006D582B" w:rsidP="00FE4F98">
            <w:pPr>
              <w:spacing w:line="360" w:lineRule="auto"/>
              <w:jc w:val="center"/>
              <w:rPr>
                <w:rFonts w:ascii="Arial" w:eastAsia="Times New Roman" w:hAnsi="Arial" w:cs="Arial"/>
                <w:sz w:val="24"/>
                <w:szCs w:val="24"/>
              </w:rPr>
            </w:pPr>
            <w:r w:rsidRPr="00ED79A6">
              <w:rPr>
                <w:rFonts w:ascii="Arial" w:eastAsia="Times New Roman" w:hAnsi="Arial" w:cs="Arial"/>
                <w:sz w:val="24"/>
                <w:szCs w:val="24"/>
              </w:rPr>
              <w:t>Accept</w:t>
            </w:r>
          </w:p>
        </w:tc>
      </w:tr>
      <w:tr w:rsidR="006D582B" w:rsidRPr="00ED79A6" w14:paraId="5FF2A208" w14:textId="77777777" w:rsidTr="006C45C0">
        <w:tc>
          <w:tcPr>
            <w:tcW w:w="0" w:type="auto"/>
            <w:hideMark/>
          </w:tcPr>
          <w:p w14:paraId="54A5068B" w14:textId="77777777" w:rsidR="006D582B" w:rsidRPr="00ED79A6" w:rsidRDefault="006D582B" w:rsidP="00FE4F98">
            <w:pPr>
              <w:spacing w:line="360" w:lineRule="auto"/>
              <w:jc w:val="center"/>
              <w:rPr>
                <w:rFonts w:ascii="Arial" w:eastAsia="Times New Roman" w:hAnsi="Arial" w:cs="Arial"/>
                <w:sz w:val="24"/>
                <w:szCs w:val="24"/>
              </w:rPr>
            </w:pPr>
            <w:r w:rsidRPr="00ED79A6">
              <w:rPr>
                <w:rFonts w:ascii="Arial" w:eastAsia="Times New Roman" w:hAnsi="Arial" w:cs="Arial"/>
                <w:sz w:val="24"/>
                <w:szCs w:val="24"/>
              </w:rPr>
              <w:t>B</w:t>
            </w:r>
          </w:p>
        </w:tc>
        <w:tc>
          <w:tcPr>
            <w:tcW w:w="0" w:type="auto"/>
            <w:hideMark/>
          </w:tcPr>
          <w:p w14:paraId="59F8D7B0" w14:textId="77777777" w:rsidR="006D582B" w:rsidRPr="00ED79A6" w:rsidRDefault="006D582B" w:rsidP="00FE4F98">
            <w:pPr>
              <w:spacing w:line="360" w:lineRule="auto"/>
              <w:jc w:val="center"/>
              <w:rPr>
                <w:rFonts w:ascii="Arial" w:eastAsia="Times New Roman" w:hAnsi="Arial" w:cs="Arial"/>
                <w:sz w:val="24"/>
                <w:szCs w:val="24"/>
              </w:rPr>
            </w:pPr>
            <w:r w:rsidRPr="00ED79A6">
              <w:rPr>
                <w:rFonts w:ascii="Arial" w:eastAsia="Times New Roman" w:hAnsi="Arial" w:cs="Arial"/>
                <w:sz w:val="24"/>
                <w:szCs w:val="24"/>
              </w:rPr>
              <w:t>30</w:t>
            </w:r>
          </w:p>
        </w:tc>
        <w:tc>
          <w:tcPr>
            <w:tcW w:w="0" w:type="auto"/>
            <w:hideMark/>
          </w:tcPr>
          <w:p w14:paraId="3A7768EF" w14:textId="77777777" w:rsidR="006D582B" w:rsidRPr="00ED79A6" w:rsidRDefault="006D582B" w:rsidP="00FE4F98">
            <w:pPr>
              <w:spacing w:line="360" w:lineRule="auto"/>
              <w:jc w:val="center"/>
              <w:rPr>
                <w:rFonts w:ascii="Arial" w:eastAsia="Times New Roman" w:hAnsi="Arial" w:cs="Arial"/>
                <w:sz w:val="24"/>
                <w:szCs w:val="24"/>
              </w:rPr>
            </w:pPr>
            <w:r w:rsidRPr="00ED79A6">
              <w:rPr>
                <w:rFonts w:ascii="Arial" w:eastAsia="Times New Roman" w:hAnsi="Arial" w:cs="Arial"/>
                <w:b/>
                <w:bCs/>
                <w:sz w:val="24"/>
                <w:szCs w:val="24"/>
              </w:rPr>
              <w:t>5.0%</w:t>
            </w:r>
          </w:p>
        </w:tc>
        <w:tc>
          <w:tcPr>
            <w:tcW w:w="0" w:type="auto"/>
            <w:hideMark/>
          </w:tcPr>
          <w:p w14:paraId="1201652E" w14:textId="77777777" w:rsidR="006D582B" w:rsidRPr="00ED79A6" w:rsidRDefault="006D582B" w:rsidP="00FE4F98">
            <w:pPr>
              <w:spacing w:line="360" w:lineRule="auto"/>
              <w:jc w:val="center"/>
              <w:rPr>
                <w:rFonts w:ascii="Arial" w:eastAsia="Times New Roman" w:hAnsi="Arial" w:cs="Arial"/>
                <w:sz w:val="24"/>
                <w:szCs w:val="24"/>
              </w:rPr>
            </w:pPr>
            <w:r w:rsidRPr="00ED79A6">
              <w:rPr>
                <w:rFonts w:ascii="Arial" w:eastAsia="Times New Roman" w:hAnsi="Arial" w:cs="Arial"/>
                <w:sz w:val="24"/>
                <w:szCs w:val="24"/>
              </w:rPr>
              <w:t>10%</w:t>
            </w:r>
          </w:p>
        </w:tc>
        <w:tc>
          <w:tcPr>
            <w:tcW w:w="3253" w:type="dxa"/>
            <w:hideMark/>
          </w:tcPr>
          <w:p w14:paraId="5A934CB5" w14:textId="77777777" w:rsidR="006D582B" w:rsidRPr="00ED79A6" w:rsidRDefault="006D582B" w:rsidP="00FE4F98">
            <w:pPr>
              <w:spacing w:line="360" w:lineRule="auto"/>
              <w:jc w:val="center"/>
              <w:rPr>
                <w:rFonts w:ascii="Arial" w:eastAsia="Times New Roman" w:hAnsi="Arial" w:cs="Arial"/>
                <w:sz w:val="24"/>
                <w:szCs w:val="24"/>
              </w:rPr>
            </w:pPr>
            <w:r w:rsidRPr="00ED79A6">
              <w:rPr>
                <w:rFonts w:ascii="Arial" w:eastAsia="Times New Roman" w:hAnsi="Arial" w:cs="Arial"/>
                <w:sz w:val="24"/>
                <w:szCs w:val="24"/>
              </w:rPr>
              <w:t>Reject</w:t>
            </w:r>
          </w:p>
        </w:tc>
      </w:tr>
      <w:tr w:rsidR="006D582B" w:rsidRPr="00ED79A6" w14:paraId="4EC80DEE" w14:textId="77777777" w:rsidTr="006C45C0">
        <w:tc>
          <w:tcPr>
            <w:tcW w:w="0" w:type="auto"/>
            <w:hideMark/>
          </w:tcPr>
          <w:p w14:paraId="7A3EE46B" w14:textId="77777777" w:rsidR="006D582B" w:rsidRPr="00ED79A6" w:rsidRDefault="006D582B" w:rsidP="00FE4F98">
            <w:pPr>
              <w:spacing w:line="360" w:lineRule="auto"/>
              <w:jc w:val="center"/>
              <w:rPr>
                <w:rFonts w:ascii="Arial" w:eastAsia="Times New Roman" w:hAnsi="Arial" w:cs="Arial"/>
                <w:sz w:val="24"/>
                <w:szCs w:val="24"/>
              </w:rPr>
            </w:pPr>
            <w:r w:rsidRPr="00ED79A6">
              <w:rPr>
                <w:rFonts w:ascii="Arial" w:eastAsia="Times New Roman" w:hAnsi="Arial" w:cs="Arial"/>
                <w:sz w:val="24"/>
                <w:szCs w:val="24"/>
              </w:rPr>
              <w:t>C</w:t>
            </w:r>
          </w:p>
        </w:tc>
        <w:tc>
          <w:tcPr>
            <w:tcW w:w="0" w:type="auto"/>
            <w:hideMark/>
          </w:tcPr>
          <w:p w14:paraId="59CDE311" w14:textId="77777777" w:rsidR="006D582B" w:rsidRPr="00ED79A6" w:rsidRDefault="006D582B" w:rsidP="00FE4F98">
            <w:pPr>
              <w:spacing w:line="360" w:lineRule="auto"/>
              <w:jc w:val="center"/>
              <w:rPr>
                <w:rFonts w:ascii="Arial" w:eastAsia="Times New Roman" w:hAnsi="Arial" w:cs="Arial"/>
                <w:sz w:val="24"/>
                <w:szCs w:val="24"/>
              </w:rPr>
            </w:pPr>
            <w:r w:rsidRPr="00ED79A6">
              <w:rPr>
                <w:rFonts w:ascii="Arial" w:eastAsia="Times New Roman" w:hAnsi="Arial" w:cs="Arial"/>
                <w:sz w:val="24"/>
                <w:szCs w:val="24"/>
              </w:rPr>
              <w:t>50</w:t>
            </w:r>
          </w:p>
        </w:tc>
        <w:tc>
          <w:tcPr>
            <w:tcW w:w="0" w:type="auto"/>
            <w:hideMark/>
          </w:tcPr>
          <w:p w14:paraId="4A8CE94D" w14:textId="77777777" w:rsidR="006D582B" w:rsidRPr="00ED79A6" w:rsidRDefault="006D582B" w:rsidP="00FE4F98">
            <w:pPr>
              <w:spacing w:line="360" w:lineRule="auto"/>
              <w:jc w:val="center"/>
              <w:rPr>
                <w:rFonts w:ascii="Arial" w:eastAsia="Times New Roman" w:hAnsi="Arial" w:cs="Arial"/>
                <w:sz w:val="24"/>
                <w:szCs w:val="24"/>
              </w:rPr>
            </w:pPr>
            <w:r w:rsidRPr="00ED79A6">
              <w:rPr>
                <w:rFonts w:ascii="Arial" w:eastAsia="Times New Roman" w:hAnsi="Arial" w:cs="Arial"/>
                <w:b/>
                <w:bCs/>
                <w:sz w:val="24"/>
                <w:szCs w:val="24"/>
              </w:rPr>
              <w:t>12.5%</w:t>
            </w:r>
          </w:p>
        </w:tc>
        <w:tc>
          <w:tcPr>
            <w:tcW w:w="0" w:type="auto"/>
            <w:hideMark/>
          </w:tcPr>
          <w:p w14:paraId="1ADF1EEB" w14:textId="77777777" w:rsidR="006D582B" w:rsidRPr="00ED79A6" w:rsidRDefault="006D582B" w:rsidP="00FE4F98">
            <w:pPr>
              <w:spacing w:line="360" w:lineRule="auto"/>
              <w:jc w:val="center"/>
              <w:rPr>
                <w:rFonts w:ascii="Arial" w:eastAsia="Times New Roman" w:hAnsi="Arial" w:cs="Arial"/>
                <w:sz w:val="24"/>
                <w:szCs w:val="24"/>
              </w:rPr>
            </w:pPr>
            <w:r w:rsidRPr="00ED79A6">
              <w:rPr>
                <w:rFonts w:ascii="Arial" w:eastAsia="Times New Roman" w:hAnsi="Arial" w:cs="Arial"/>
                <w:sz w:val="24"/>
                <w:szCs w:val="24"/>
              </w:rPr>
              <w:t>10%</w:t>
            </w:r>
          </w:p>
        </w:tc>
        <w:tc>
          <w:tcPr>
            <w:tcW w:w="3253" w:type="dxa"/>
            <w:hideMark/>
          </w:tcPr>
          <w:p w14:paraId="7CB1DF14" w14:textId="77777777" w:rsidR="006D582B" w:rsidRPr="00ED79A6" w:rsidRDefault="006D582B" w:rsidP="00FE4F98">
            <w:pPr>
              <w:spacing w:line="360" w:lineRule="auto"/>
              <w:jc w:val="center"/>
              <w:rPr>
                <w:rFonts w:ascii="Arial" w:eastAsia="Times New Roman" w:hAnsi="Arial" w:cs="Arial"/>
                <w:sz w:val="24"/>
                <w:szCs w:val="24"/>
              </w:rPr>
            </w:pPr>
            <w:r w:rsidRPr="00ED79A6">
              <w:rPr>
                <w:rFonts w:ascii="Arial" w:eastAsia="Times New Roman" w:hAnsi="Arial" w:cs="Arial"/>
                <w:sz w:val="24"/>
                <w:szCs w:val="24"/>
              </w:rPr>
              <w:t>Accept</w:t>
            </w:r>
          </w:p>
        </w:tc>
      </w:tr>
    </w:tbl>
    <w:p w14:paraId="6BCB537A" w14:textId="77777777" w:rsidR="006D582B" w:rsidRPr="00FE4F98" w:rsidRDefault="006D582B" w:rsidP="00FE4F98">
      <w:pPr>
        <w:spacing w:line="360" w:lineRule="auto"/>
        <w:rPr>
          <w:rFonts w:ascii="Arial" w:hAnsi="Arial" w:cs="Arial"/>
        </w:rPr>
      </w:pPr>
    </w:p>
    <w:p w14:paraId="058060FF" w14:textId="77777777" w:rsidR="006D582B" w:rsidRPr="003A3417" w:rsidRDefault="006D582B" w:rsidP="006D582B">
      <w:pPr>
        <w:rPr>
          <w:sz w:val="16"/>
          <w:szCs w:val="16"/>
        </w:rPr>
      </w:pPr>
    </w:p>
    <w:sectPr w:rsidR="006D582B" w:rsidRPr="003A3417">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EC3284" w14:textId="77777777" w:rsidR="00C16CDE" w:rsidRDefault="00C16CDE" w:rsidP="00964F1E">
      <w:pPr>
        <w:spacing w:after="0" w:line="240" w:lineRule="auto"/>
      </w:pPr>
      <w:r>
        <w:separator/>
      </w:r>
    </w:p>
  </w:endnote>
  <w:endnote w:type="continuationSeparator" w:id="0">
    <w:p w14:paraId="042E9B21" w14:textId="77777777" w:rsidR="00C16CDE" w:rsidRDefault="00C16CDE" w:rsidP="00964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528771"/>
      <w:docPartObj>
        <w:docPartGallery w:val="Page Numbers (Bottom of Page)"/>
        <w:docPartUnique/>
      </w:docPartObj>
    </w:sdtPr>
    <w:sdtEndPr>
      <w:rPr>
        <w:noProof/>
      </w:rPr>
    </w:sdtEndPr>
    <w:sdtContent>
      <w:p w14:paraId="794F8383" w14:textId="7CC8E43C" w:rsidR="00964F1E" w:rsidRDefault="00964F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1F57DF" w14:textId="77777777" w:rsidR="00964F1E" w:rsidRDefault="00964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FB1AC1" w14:textId="77777777" w:rsidR="00C16CDE" w:rsidRDefault="00C16CDE" w:rsidP="00964F1E">
      <w:pPr>
        <w:spacing w:after="0" w:line="240" w:lineRule="auto"/>
      </w:pPr>
      <w:r>
        <w:separator/>
      </w:r>
    </w:p>
  </w:footnote>
  <w:footnote w:type="continuationSeparator" w:id="0">
    <w:p w14:paraId="2D23B244" w14:textId="77777777" w:rsidR="00C16CDE" w:rsidRDefault="00C16CDE" w:rsidP="00964F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C62544"/>
    <w:multiLevelType w:val="multilevel"/>
    <w:tmpl w:val="BFC21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8869FC"/>
    <w:multiLevelType w:val="hybridMultilevel"/>
    <w:tmpl w:val="6E3095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5882B5B"/>
    <w:multiLevelType w:val="multilevel"/>
    <w:tmpl w:val="09D6C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352C7A"/>
    <w:multiLevelType w:val="multilevel"/>
    <w:tmpl w:val="E8C09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7A5637"/>
    <w:multiLevelType w:val="multilevel"/>
    <w:tmpl w:val="AADEA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9F688E"/>
    <w:multiLevelType w:val="multilevel"/>
    <w:tmpl w:val="B41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423D25"/>
    <w:multiLevelType w:val="multilevel"/>
    <w:tmpl w:val="F0B87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392BE2"/>
    <w:multiLevelType w:val="multilevel"/>
    <w:tmpl w:val="813A2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0"/>
  </w:num>
  <w:num w:numId="4">
    <w:abstractNumId w:val="3"/>
  </w:num>
  <w:num w:numId="5">
    <w:abstractNumId w:val="7"/>
  </w:num>
  <w:num w:numId="6">
    <w:abstractNumId w:val="6"/>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E4E"/>
    <w:rsid w:val="000C0BE2"/>
    <w:rsid w:val="001017BA"/>
    <w:rsid w:val="001851F6"/>
    <w:rsid w:val="001B013A"/>
    <w:rsid w:val="001B42E0"/>
    <w:rsid w:val="001B7089"/>
    <w:rsid w:val="001F7875"/>
    <w:rsid w:val="00255E4E"/>
    <w:rsid w:val="002E5784"/>
    <w:rsid w:val="002E7F93"/>
    <w:rsid w:val="0033148D"/>
    <w:rsid w:val="00371C6D"/>
    <w:rsid w:val="003A3417"/>
    <w:rsid w:val="003D2592"/>
    <w:rsid w:val="00413551"/>
    <w:rsid w:val="004B1BCD"/>
    <w:rsid w:val="004B6AE6"/>
    <w:rsid w:val="004F5AEB"/>
    <w:rsid w:val="00561149"/>
    <w:rsid w:val="00565E39"/>
    <w:rsid w:val="005F1B75"/>
    <w:rsid w:val="005F3991"/>
    <w:rsid w:val="00637BA7"/>
    <w:rsid w:val="006A002E"/>
    <w:rsid w:val="006C1A50"/>
    <w:rsid w:val="006D0BFD"/>
    <w:rsid w:val="006D582B"/>
    <w:rsid w:val="006E5F75"/>
    <w:rsid w:val="006F3C1D"/>
    <w:rsid w:val="00755EF7"/>
    <w:rsid w:val="007D4700"/>
    <w:rsid w:val="007E3566"/>
    <w:rsid w:val="00802C88"/>
    <w:rsid w:val="00803E0E"/>
    <w:rsid w:val="008073C0"/>
    <w:rsid w:val="00811E3F"/>
    <w:rsid w:val="0086435E"/>
    <w:rsid w:val="008B16AE"/>
    <w:rsid w:val="008B385B"/>
    <w:rsid w:val="008B5FAE"/>
    <w:rsid w:val="008E4623"/>
    <w:rsid w:val="009502FD"/>
    <w:rsid w:val="00951AF4"/>
    <w:rsid w:val="00964F1E"/>
    <w:rsid w:val="009E56B5"/>
    <w:rsid w:val="009E7800"/>
    <w:rsid w:val="00A538CD"/>
    <w:rsid w:val="00A71BAB"/>
    <w:rsid w:val="00A801AF"/>
    <w:rsid w:val="00AF1052"/>
    <w:rsid w:val="00BC4E3A"/>
    <w:rsid w:val="00C16CDE"/>
    <w:rsid w:val="00C265E9"/>
    <w:rsid w:val="00C578CF"/>
    <w:rsid w:val="00C67C4E"/>
    <w:rsid w:val="00CC49BA"/>
    <w:rsid w:val="00CF446E"/>
    <w:rsid w:val="00D13CC7"/>
    <w:rsid w:val="00D6712A"/>
    <w:rsid w:val="00D812D8"/>
    <w:rsid w:val="00DA3748"/>
    <w:rsid w:val="00DB0DA5"/>
    <w:rsid w:val="00DC6CB6"/>
    <w:rsid w:val="00E26D2D"/>
    <w:rsid w:val="00EB6BB0"/>
    <w:rsid w:val="00ED3407"/>
    <w:rsid w:val="00EE0927"/>
    <w:rsid w:val="00F2138F"/>
    <w:rsid w:val="00F74FE6"/>
    <w:rsid w:val="00F948BC"/>
    <w:rsid w:val="00FE4F9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51280"/>
  <w15:chartTrackingRefBased/>
  <w15:docId w15:val="{3CB41120-04EB-44F3-A333-16AEB7AB3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5E4E"/>
  </w:style>
  <w:style w:type="paragraph" w:styleId="Heading1">
    <w:name w:val="heading 1"/>
    <w:basedOn w:val="Normal"/>
    <w:link w:val="Heading1Char"/>
    <w:uiPriority w:val="9"/>
    <w:qFormat/>
    <w:rsid w:val="00565E39"/>
    <w:pPr>
      <w:spacing w:before="100" w:beforeAutospacing="1" w:after="100" w:afterAutospacing="1" w:line="240" w:lineRule="auto"/>
      <w:outlineLvl w:val="0"/>
    </w:pPr>
    <w:rPr>
      <w:rFonts w:ascii="Arial" w:eastAsia="Times New Roman" w:hAnsi="Arial" w:cs="Times New Roman"/>
      <w:b/>
      <w:bCs/>
      <w:kern w:val="36"/>
      <w:sz w:val="32"/>
      <w:szCs w:val="48"/>
    </w:rPr>
  </w:style>
  <w:style w:type="paragraph" w:styleId="Heading2">
    <w:name w:val="heading 2"/>
    <w:basedOn w:val="Normal"/>
    <w:link w:val="Heading2Char"/>
    <w:uiPriority w:val="9"/>
    <w:qFormat/>
    <w:rsid w:val="00565E39"/>
    <w:pPr>
      <w:spacing w:before="100" w:beforeAutospacing="1" w:after="100" w:afterAutospacing="1" w:line="240" w:lineRule="auto"/>
      <w:outlineLvl w:val="1"/>
    </w:pPr>
    <w:rPr>
      <w:rFonts w:ascii="Arial" w:eastAsia="Times New Roman" w:hAnsi="Arial" w:cs="Times New Roman"/>
      <w:b/>
      <w:bCs/>
      <w:sz w:val="32"/>
      <w:szCs w:val="36"/>
    </w:rPr>
  </w:style>
  <w:style w:type="paragraph" w:styleId="Heading3">
    <w:name w:val="heading 3"/>
    <w:basedOn w:val="Normal"/>
    <w:link w:val="Heading3Char"/>
    <w:uiPriority w:val="9"/>
    <w:qFormat/>
    <w:rsid w:val="009E56B5"/>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964F1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B708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E39"/>
    <w:rPr>
      <w:rFonts w:ascii="Arial" w:eastAsia="Times New Roman" w:hAnsi="Arial" w:cs="Times New Roman"/>
      <w:b/>
      <w:bCs/>
      <w:kern w:val="36"/>
      <w:sz w:val="32"/>
      <w:szCs w:val="48"/>
    </w:rPr>
  </w:style>
  <w:style w:type="character" w:customStyle="1" w:styleId="Heading2Char">
    <w:name w:val="Heading 2 Char"/>
    <w:basedOn w:val="DefaultParagraphFont"/>
    <w:link w:val="Heading2"/>
    <w:uiPriority w:val="9"/>
    <w:rsid w:val="00565E39"/>
    <w:rPr>
      <w:rFonts w:ascii="Arial" w:eastAsia="Times New Roman" w:hAnsi="Arial" w:cs="Times New Roman"/>
      <w:b/>
      <w:bCs/>
      <w:sz w:val="32"/>
      <w:szCs w:val="36"/>
    </w:rPr>
  </w:style>
  <w:style w:type="character" w:customStyle="1" w:styleId="Heading3Char">
    <w:name w:val="Heading 3 Char"/>
    <w:basedOn w:val="DefaultParagraphFont"/>
    <w:link w:val="Heading3"/>
    <w:uiPriority w:val="9"/>
    <w:rsid w:val="009E56B5"/>
    <w:rPr>
      <w:rFonts w:ascii="Times New Roman" w:eastAsia="Times New Roman" w:hAnsi="Times New Roman" w:cs="Times New Roman"/>
      <w:b/>
      <w:bCs/>
      <w:sz w:val="27"/>
      <w:szCs w:val="27"/>
    </w:rPr>
  </w:style>
  <w:style w:type="paragraph" w:styleId="NormalWeb">
    <w:name w:val="Normal (Web)"/>
    <w:basedOn w:val="Normal"/>
    <w:uiPriority w:val="99"/>
    <w:unhideWhenUsed/>
    <w:rsid w:val="009E56B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E56B5"/>
    <w:rPr>
      <w:b/>
      <w:bCs/>
    </w:rPr>
  </w:style>
  <w:style w:type="character" w:styleId="Emphasis">
    <w:name w:val="Emphasis"/>
    <w:basedOn w:val="DefaultParagraphFont"/>
    <w:uiPriority w:val="20"/>
    <w:qFormat/>
    <w:rsid w:val="009E56B5"/>
    <w:rPr>
      <w:i/>
      <w:iCs/>
    </w:rPr>
  </w:style>
  <w:style w:type="table" w:styleId="TableGrid">
    <w:name w:val="Table Grid"/>
    <w:basedOn w:val="TableNormal"/>
    <w:uiPriority w:val="39"/>
    <w:rsid w:val="009E56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964F1E"/>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964F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4F1E"/>
  </w:style>
  <w:style w:type="paragraph" w:styleId="Footer">
    <w:name w:val="footer"/>
    <w:basedOn w:val="Normal"/>
    <w:link w:val="FooterChar"/>
    <w:uiPriority w:val="99"/>
    <w:unhideWhenUsed/>
    <w:rsid w:val="00964F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4F1E"/>
  </w:style>
  <w:style w:type="character" w:customStyle="1" w:styleId="Heading5Char">
    <w:name w:val="Heading 5 Char"/>
    <w:basedOn w:val="DefaultParagraphFont"/>
    <w:link w:val="Heading5"/>
    <w:uiPriority w:val="9"/>
    <w:semiHidden/>
    <w:rsid w:val="001B7089"/>
    <w:rPr>
      <w:rFonts w:asciiTheme="majorHAnsi" w:eastAsiaTheme="majorEastAsia" w:hAnsiTheme="majorHAnsi" w:cstheme="majorBidi"/>
      <w:color w:val="2F5496" w:themeColor="accent1" w:themeShade="BF"/>
    </w:rPr>
  </w:style>
  <w:style w:type="character" w:customStyle="1" w:styleId="mord">
    <w:name w:val="mord"/>
    <w:basedOn w:val="DefaultParagraphFont"/>
    <w:rsid w:val="006D582B"/>
  </w:style>
  <w:style w:type="character" w:customStyle="1" w:styleId="vlist-s">
    <w:name w:val="vlist-s"/>
    <w:basedOn w:val="DefaultParagraphFont"/>
    <w:rsid w:val="006D582B"/>
  </w:style>
  <w:style w:type="paragraph" w:styleId="ListParagraph">
    <w:name w:val="List Paragraph"/>
    <w:basedOn w:val="Normal"/>
    <w:uiPriority w:val="34"/>
    <w:qFormat/>
    <w:rsid w:val="006D582B"/>
    <w:pPr>
      <w:ind w:left="720"/>
      <w:contextualSpacing/>
    </w:pPr>
  </w:style>
  <w:style w:type="paragraph" w:styleId="NoSpacing">
    <w:name w:val="No Spacing"/>
    <w:uiPriority w:val="1"/>
    <w:qFormat/>
    <w:rsid w:val="00565E39"/>
    <w:pPr>
      <w:spacing w:after="0" w:line="240" w:lineRule="auto"/>
    </w:pPr>
  </w:style>
  <w:style w:type="paragraph" w:styleId="TOCHeading">
    <w:name w:val="TOC Heading"/>
    <w:basedOn w:val="Heading1"/>
    <w:next w:val="Normal"/>
    <w:uiPriority w:val="39"/>
    <w:unhideWhenUsed/>
    <w:qFormat/>
    <w:rsid w:val="00565E3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565E39"/>
    <w:pPr>
      <w:spacing w:after="100"/>
    </w:pPr>
  </w:style>
  <w:style w:type="paragraph" w:styleId="TOC2">
    <w:name w:val="toc 2"/>
    <w:basedOn w:val="Normal"/>
    <w:next w:val="Normal"/>
    <w:autoRedefine/>
    <w:uiPriority w:val="39"/>
    <w:unhideWhenUsed/>
    <w:rsid w:val="00565E39"/>
    <w:pPr>
      <w:spacing w:after="100"/>
      <w:ind w:left="220"/>
    </w:pPr>
  </w:style>
  <w:style w:type="paragraph" w:styleId="TOC3">
    <w:name w:val="toc 3"/>
    <w:basedOn w:val="Normal"/>
    <w:next w:val="Normal"/>
    <w:autoRedefine/>
    <w:uiPriority w:val="39"/>
    <w:unhideWhenUsed/>
    <w:rsid w:val="00565E39"/>
    <w:pPr>
      <w:spacing w:after="100"/>
      <w:ind w:left="440"/>
    </w:pPr>
  </w:style>
  <w:style w:type="character" w:styleId="Hyperlink">
    <w:name w:val="Hyperlink"/>
    <w:basedOn w:val="DefaultParagraphFont"/>
    <w:uiPriority w:val="99"/>
    <w:unhideWhenUsed/>
    <w:rsid w:val="00565E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495268">
      <w:bodyDiv w:val="1"/>
      <w:marLeft w:val="0"/>
      <w:marRight w:val="0"/>
      <w:marTop w:val="0"/>
      <w:marBottom w:val="0"/>
      <w:divBdr>
        <w:top w:val="none" w:sz="0" w:space="0" w:color="auto"/>
        <w:left w:val="none" w:sz="0" w:space="0" w:color="auto"/>
        <w:bottom w:val="none" w:sz="0" w:space="0" w:color="auto"/>
        <w:right w:val="none" w:sz="0" w:space="0" w:color="auto"/>
      </w:divBdr>
    </w:div>
    <w:div w:id="960258517">
      <w:bodyDiv w:val="1"/>
      <w:marLeft w:val="0"/>
      <w:marRight w:val="0"/>
      <w:marTop w:val="0"/>
      <w:marBottom w:val="0"/>
      <w:divBdr>
        <w:top w:val="none" w:sz="0" w:space="0" w:color="auto"/>
        <w:left w:val="none" w:sz="0" w:space="0" w:color="auto"/>
        <w:bottom w:val="none" w:sz="0" w:space="0" w:color="auto"/>
        <w:right w:val="none" w:sz="0" w:space="0" w:color="auto"/>
      </w:divBdr>
    </w:div>
    <w:div w:id="978412906">
      <w:bodyDiv w:val="1"/>
      <w:marLeft w:val="0"/>
      <w:marRight w:val="0"/>
      <w:marTop w:val="0"/>
      <w:marBottom w:val="0"/>
      <w:divBdr>
        <w:top w:val="none" w:sz="0" w:space="0" w:color="auto"/>
        <w:left w:val="none" w:sz="0" w:space="0" w:color="auto"/>
        <w:bottom w:val="none" w:sz="0" w:space="0" w:color="auto"/>
        <w:right w:val="none" w:sz="0" w:space="0" w:color="auto"/>
      </w:divBdr>
    </w:div>
    <w:div w:id="1263758975">
      <w:bodyDiv w:val="1"/>
      <w:marLeft w:val="0"/>
      <w:marRight w:val="0"/>
      <w:marTop w:val="0"/>
      <w:marBottom w:val="0"/>
      <w:divBdr>
        <w:top w:val="none" w:sz="0" w:space="0" w:color="auto"/>
        <w:left w:val="none" w:sz="0" w:space="0" w:color="auto"/>
        <w:bottom w:val="none" w:sz="0" w:space="0" w:color="auto"/>
        <w:right w:val="none" w:sz="0" w:space="0" w:color="auto"/>
      </w:divBdr>
    </w:div>
    <w:div w:id="1553037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image" Target="media/image5.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image" Target="media/image9.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FIT\Downloads\Appendix_Bar_Charts_General_Electronic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file:///C:\Users\DFIT\Downloads\Appendix_Bar_Charts_General_Electronic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DFIT\Downloads\Appendix_Bar_Charts_General_Electronic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DFIT\Downloads\Appendix_Bar_Charts_General_Electronic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DFIT\Downloads\Appendix_Bar_Charts_General_Electronic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DFIT\Downloads\Appendix_Bar_Charts_General_Electronic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Profitability Ratios (2020–2024)</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Profitability!$B$1</c:f>
              <c:strCache>
                <c:ptCount val="1"/>
                <c:pt idx="0">
                  <c:v>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1B7-40C9-86A1-F72C4B080C5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1B7-40C9-86A1-F72C4B080C5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1B7-40C9-86A1-F72C4B080C5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Profitability!$A$2:$A$4</c:f>
              <c:strCache>
                <c:ptCount val="3"/>
                <c:pt idx="0">
                  <c:v>Gross Profit Margin</c:v>
                </c:pt>
                <c:pt idx="1">
                  <c:v>Operating Profit Margin</c:v>
                </c:pt>
                <c:pt idx="2">
                  <c:v>Net Profit Margin</c:v>
                </c:pt>
              </c:strCache>
            </c:strRef>
          </c:cat>
          <c:val>
            <c:numRef>
              <c:f>Profitability!$B$2:$B$4</c:f>
              <c:numCache>
                <c:formatCode>General</c:formatCode>
                <c:ptCount val="3"/>
                <c:pt idx="0">
                  <c:v>28.67</c:v>
                </c:pt>
                <c:pt idx="1">
                  <c:v>6.06</c:v>
                </c:pt>
                <c:pt idx="2">
                  <c:v>6.28</c:v>
                </c:pt>
              </c:numCache>
            </c:numRef>
          </c:val>
          <c:extLst>
            <c:ext xmlns:c16="http://schemas.microsoft.com/office/drawing/2014/chart" uri="{C3380CC4-5D6E-409C-BE32-E72D297353CC}">
              <c16:uniqueId val="{00000006-B1B7-40C9-86A1-F72C4B080C58}"/>
            </c:ext>
          </c:extLst>
        </c:ser>
        <c:ser>
          <c:idx val="1"/>
          <c:order val="1"/>
          <c:tx>
            <c:strRef>
              <c:f>Profitability!$C$1</c:f>
              <c:strCache>
                <c:ptCount val="1"/>
                <c:pt idx="0">
                  <c:v>2021</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8-B1B7-40C9-86A1-F72C4B080C5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A-B1B7-40C9-86A1-F72C4B080C5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C-B1B7-40C9-86A1-F72C4B080C5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Profitability!$A$2:$A$4</c:f>
              <c:strCache>
                <c:ptCount val="3"/>
                <c:pt idx="0">
                  <c:v>Gross Profit Margin</c:v>
                </c:pt>
                <c:pt idx="1">
                  <c:v>Operating Profit Margin</c:v>
                </c:pt>
                <c:pt idx="2">
                  <c:v>Net Profit Margin</c:v>
                </c:pt>
              </c:strCache>
            </c:strRef>
          </c:cat>
          <c:val>
            <c:numRef>
              <c:f>Profitability!$C$2:$C$4</c:f>
              <c:numCache>
                <c:formatCode>General</c:formatCode>
                <c:ptCount val="3"/>
                <c:pt idx="0">
                  <c:v>28.76</c:v>
                </c:pt>
                <c:pt idx="1">
                  <c:v>3.87</c:v>
                </c:pt>
                <c:pt idx="2">
                  <c:v>0.88</c:v>
                </c:pt>
              </c:numCache>
            </c:numRef>
          </c:val>
          <c:extLst>
            <c:ext xmlns:c16="http://schemas.microsoft.com/office/drawing/2014/chart" uri="{C3380CC4-5D6E-409C-BE32-E72D297353CC}">
              <c16:uniqueId val="{0000000D-B1B7-40C9-86A1-F72C4B080C58}"/>
            </c:ext>
          </c:extLst>
        </c:ser>
        <c:ser>
          <c:idx val="2"/>
          <c:order val="2"/>
          <c:tx>
            <c:strRef>
              <c:f>Profitability!$D$1</c:f>
              <c:strCache>
                <c:ptCount val="1"/>
                <c:pt idx="0">
                  <c:v>2022</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F-B1B7-40C9-86A1-F72C4B080C5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1-B1B7-40C9-86A1-F72C4B080C5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3-B1B7-40C9-86A1-F72C4B080C5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Profitability!$A$2:$A$4</c:f>
              <c:strCache>
                <c:ptCount val="3"/>
                <c:pt idx="0">
                  <c:v>Gross Profit Margin</c:v>
                </c:pt>
                <c:pt idx="1">
                  <c:v>Operating Profit Margin</c:v>
                </c:pt>
                <c:pt idx="2">
                  <c:v>Net Profit Margin</c:v>
                </c:pt>
              </c:strCache>
            </c:strRef>
          </c:cat>
          <c:val>
            <c:numRef>
              <c:f>Profitability!$D$2:$D$4</c:f>
              <c:numCache>
                <c:formatCode>General</c:formatCode>
                <c:ptCount val="3"/>
                <c:pt idx="0">
                  <c:v>28.06</c:v>
                </c:pt>
                <c:pt idx="1">
                  <c:v>2.68</c:v>
                </c:pt>
                <c:pt idx="2">
                  <c:v>0.08</c:v>
                </c:pt>
              </c:numCache>
            </c:numRef>
          </c:val>
          <c:extLst>
            <c:ext xmlns:c16="http://schemas.microsoft.com/office/drawing/2014/chart" uri="{C3380CC4-5D6E-409C-BE32-E72D297353CC}">
              <c16:uniqueId val="{00000014-B1B7-40C9-86A1-F72C4B080C58}"/>
            </c:ext>
          </c:extLst>
        </c:ser>
        <c:ser>
          <c:idx val="3"/>
          <c:order val="3"/>
          <c:tx>
            <c:strRef>
              <c:f>Profitability!$E$1</c:f>
              <c:strCache>
                <c:ptCount val="1"/>
                <c:pt idx="0">
                  <c:v>2023</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6-B1B7-40C9-86A1-F72C4B080C5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8-B1B7-40C9-86A1-F72C4B080C5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A-B1B7-40C9-86A1-F72C4B080C5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Profitability!$A$2:$A$4</c:f>
              <c:strCache>
                <c:ptCount val="3"/>
                <c:pt idx="0">
                  <c:v>Gross Profit Margin</c:v>
                </c:pt>
                <c:pt idx="1">
                  <c:v>Operating Profit Margin</c:v>
                </c:pt>
                <c:pt idx="2">
                  <c:v>Net Profit Margin</c:v>
                </c:pt>
              </c:strCache>
            </c:strRef>
          </c:cat>
          <c:val>
            <c:numRef>
              <c:f>Profitability!$E$2:$E$4</c:f>
              <c:numCache>
                <c:formatCode>General</c:formatCode>
                <c:ptCount val="3"/>
                <c:pt idx="0">
                  <c:v>23.2</c:v>
                </c:pt>
                <c:pt idx="1">
                  <c:v>-20.29</c:v>
                </c:pt>
                <c:pt idx="2">
                  <c:v>-23.36</c:v>
                </c:pt>
              </c:numCache>
            </c:numRef>
          </c:val>
          <c:extLst>
            <c:ext xmlns:c16="http://schemas.microsoft.com/office/drawing/2014/chart" uri="{C3380CC4-5D6E-409C-BE32-E72D297353CC}">
              <c16:uniqueId val="{0000001B-B1B7-40C9-86A1-F72C4B080C58}"/>
            </c:ext>
          </c:extLst>
        </c:ser>
        <c:ser>
          <c:idx val="4"/>
          <c:order val="4"/>
          <c:tx>
            <c:strRef>
              <c:f>Profitability!$F$1</c:f>
              <c:strCache>
                <c:ptCount val="1"/>
                <c:pt idx="0">
                  <c:v>2024</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D-B1B7-40C9-86A1-F72C4B080C5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F-B1B7-40C9-86A1-F72C4B080C5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21-B1B7-40C9-86A1-F72C4B080C5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Profitability!$A$2:$A$4</c:f>
              <c:strCache>
                <c:ptCount val="3"/>
                <c:pt idx="0">
                  <c:v>Gross Profit Margin</c:v>
                </c:pt>
                <c:pt idx="1">
                  <c:v>Operating Profit Margin</c:v>
                </c:pt>
                <c:pt idx="2">
                  <c:v>Net Profit Margin</c:v>
                </c:pt>
              </c:strCache>
            </c:strRef>
          </c:cat>
          <c:val>
            <c:numRef>
              <c:f>Profitability!$F$2:$F$4</c:f>
              <c:numCache>
                <c:formatCode>General</c:formatCode>
                <c:ptCount val="3"/>
                <c:pt idx="0">
                  <c:v>28.87</c:v>
                </c:pt>
                <c:pt idx="1">
                  <c:v>-3.87</c:v>
                </c:pt>
                <c:pt idx="2">
                  <c:v>-6.09</c:v>
                </c:pt>
              </c:numCache>
            </c:numRef>
          </c:val>
          <c:extLst>
            <c:ext xmlns:c16="http://schemas.microsoft.com/office/drawing/2014/chart" uri="{C3380CC4-5D6E-409C-BE32-E72D297353CC}">
              <c16:uniqueId val="{00000022-B1B7-40C9-86A1-F72C4B080C5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Liquidity Ratios (2020–2024)</a:t>
            </a:r>
          </a:p>
        </c:rich>
      </c:tx>
      <c:overlay val="1"/>
      <c:spPr>
        <a:noFill/>
        <a:ln>
          <a:noFill/>
        </a:ln>
        <a:effectLst/>
      </c:spPr>
    </c:title>
    <c:autoTitleDeleted val="0"/>
    <c:plotArea>
      <c:layout/>
      <c:barChart>
        <c:barDir val="col"/>
        <c:grouping val="clustered"/>
        <c:varyColors val="1"/>
        <c:ser>
          <c:idx val="0"/>
          <c:order val="0"/>
          <c:tx>
            <c:strRef>
              <c:f>Liquidity!$B$1</c:f>
              <c:strCache>
                <c:ptCount val="1"/>
                <c:pt idx="0">
                  <c:v>2020</c:v>
                </c:pt>
              </c:strCache>
            </c:strRef>
          </c:tx>
          <c:spPr>
            <a:solidFill>
              <a:srgbClr val="4F81BD"/>
            </a:solidFill>
            <a:ln>
              <a:noFill/>
            </a:ln>
            <a:effectLst/>
          </c:spPr>
          <c:invertIfNegative val="1"/>
          <c:cat>
            <c:strRef>
              <c:f>Liquidity!$A$2:$A$4</c:f>
              <c:strCache>
                <c:ptCount val="3"/>
                <c:pt idx="0">
                  <c:v>Current Ratio</c:v>
                </c:pt>
                <c:pt idx="1">
                  <c:v>Quick Ratio</c:v>
                </c:pt>
                <c:pt idx="2">
                  <c:v>Cash Ratio</c:v>
                </c:pt>
              </c:strCache>
            </c:strRef>
          </c:cat>
          <c:val>
            <c:numRef>
              <c:f>Liquidity!$B$2:$B$4</c:f>
              <c:numCache>
                <c:formatCode>General</c:formatCode>
                <c:ptCount val="3"/>
                <c:pt idx="0">
                  <c:v>1.82</c:v>
                </c:pt>
                <c:pt idx="1">
                  <c:v>1.1499999999999999</c:v>
                </c:pt>
                <c:pt idx="2">
                  <c:v>0.32</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c14:spPr>
              </c14:invertSolidFillFmt>
            </c:ext>
            <c:ext xmlns:c16="http://schemas.microsoft.com/office/drawing/2014/chart" uri="{C3380CC4-5D6E-409C-BE32-E72D297353CC}">
              <c16:uniqueId val="{00000000-E65A-49C5-A64A-9C2EF6EF6B22}"/>
            </c:ext>
          </c:extLst>
        </c:ser>
        <c:ser>
          <c:idx val="1"/>
          <c:order val="1"/>
          <c:tx>
            <c:strRef>
              <c:f>Liquidity!$C$1</c:f>
              <c:strCache>
                <c:ptCount val="1"/>
                <c:pt idx="0">
                  <c:v>2021</c:v>
                </c:pt>
              </c:strCache>
            </c:strRef>
          </c:tx>
          <c:spPr>
            <a:solidFill>
              <a:srgbClr val="C0504D"/>
            </a:solidFill>
            <a:ln>
              <a:noFill/>
            </a:ln>
            <a:effectLst/>
          </c:spPr>
          <c:invertIfNegative val="1"/>
          <c:cat>
            <c:strRef>
              <c:f>Liquidity!$A$2:$A$4</c:f>
              <c:strCache>
                <c:ptCount val="3"/>
                <c:pt idx="0">
                  <c:v>Current Ratio</c:v>
                </c:pt>
                <c:pt idx="1">
                  <c:v>Quick Ratio</c:v>
                </c:pt>
                <c:pt idx="2">
                  <c:v>Cash Ratio</c:v>
                </c:pt>
              </c:strCache>
            </c:strRef>
          </c:cat>
          <c:val>
            <c:numRef>
              <c:f>Liquidity!$C$2:$C$4</c:f>
              <c:numCache>
                <c:formatCode>General</c:formatCode>
                <c:ptCount val="3"/>
                <c:pt idx="0">
                  <c:v>1.56</c:v>
                </c:pt>
                <c:pt idx="1">
                  <c:v>0.93</c:v>
                </c:pt>
                <c:pt idx="2">
                  <c:v>0.28000000000000003</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c14:spPr>
              </c14:invertSolidFillFmt>
            </c:ext>
            <c:ext xmlns:c16="http://schemas.microsoft.com/office/drawing/2014/chart" uri="{C3380CC4-5D6E-409C-BE32-E72D297353CC}">
              <c16:uniqueId val="{00000001-E65A-49C5-A64A-9C2EF6EF6B22}"/>
            </c:ext>
          </c:extLst>
        </c:ser>
        <c:ser>
          <c:idx val="2"/>
          <c:order val="2"/>
          <c:tx>
            <c:strRef>
              <c:f>Liquidity!$D$1</c:f>
              <c:strCache>
                <c:ptCount val="1"/>
                <c:pt idx="0">
                  <c:v>2022</c:v>
                </c:pt>
              </c:strCache>
            </c:strRef>
          </c:tx>
          <c:spPr>
            <a:solidFill>
              <a:srgbClr val="9BBB59"/>
            </a:solidFill>
            <a:ln>
              <a:noFill/>
            </a:ln>
            <a:effectLst/>
          </c:spPr>
          <c:invertIfNegative val="1"/>
          <c:cat>
            <c:strRef>
              <c:f>Liquidity!$A$2:$A$4</c:f>
              <c:strCache>
                <c:ptCount val="3"/>
                <c:pt idx="0">
                  <c:v>Current Ratio</c:v>
                </c:pt>
                <c:pt idx="1">
                  <c:v>Quick Ratio</c:v>
                </c:pt>
                <c:pt idx="2">
                  <c:v>Cash Ratio</c:v>
                </c:pt>
              </c:strCache>
            </c:strRef>
          </c:cat>
          <c:val>
            <c:numRef>
              <c:f>Liquidity!$D$2:$D$4</c:f>
              <c:numCache>
                <c:formatCode>General</c:formatCode>
                <c:ptCount val="3"/>
                <c:pt idx="0">
                  <c:v>1.56</c:v>
                </c:pt>
                <c:pt idx="1">
                  <c:v>0.91</c:v>
                </c:pt>
                <c:pt idx="2">
                  <c:v>0.31</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c14:spPr>
              </c14:invertSolidFillFmt>
            </c:ext>
            <c:ext xmlns:c16="http://schemas.microsoft.com/office/drawing/2014/chart" uri="{C3380CC4-5D6E-409C-BE32-E72D297353CC}">
              <c16:uniqueId val="{00000002-E65A-49C5-A64A-9C2EF6EF6B22}"/>
            </c:ext>
          </c:extLst>
        </c:ser>
        <c:ser>
          <c:idx val="3"/>
          <c:order val="3"/>
          <c:tx>
            <c:strRef>
              <c:f>Liquidity!$E$1</c:f>
              <c:strCache>
                <c:ptCount val="1"/>
                <c:pt idx="0">
                  <c:v>2023</c:v>
                </c:pt>
              </c:strCache>
            </c:strRef>
          </c:tx>
          <c:spPr>
            <a:solidFill>
              <a:srgbClr val="8064A2"/>
            </a:solidFill>
            <a:ln>
              <a:noFill/>
            </a:ln>
            <a:effectLst/>
          </c:spPr>
          <c:invertIfNegative val="1"/>
          <c:cat>
            <c:strRef>
              <c:f>Liquidity!$A$2:$A$4</c:f>
              <c:strCache>
                <c:ptCount val="3"/>
                <c:pt idx="0">
                  <c:v>Current Ratio</c:v>
                </c:pt>
                <c:pt idx="1">
                  <c:v>Quick Ratio</c:v>
                </c:pt>
                <c:pt idx="2">
                  <c:v>Cash Ratio</c:v>
                </c:pt>
              </c:strCache>
            </c:strRef>
          </c:cat>
          <c:val>
            <c:numRef>
              <c:f>Liquidity!$E$2:$E$4</c:f>
              <c:numCache>
                <c:formatCode>General</c:formatCode>
                <c:ptCount val="3"/>
                <c:pt idx="0">
                  <c:v>1.61</c:v>
                </c:pt>
                <c:pt idx="1">
                  <c:v>1.06</c:v>
                </c:pt>
                <c:pt idx="2">
                  <c:v>0.27</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c14:spPr>
              </c14:invertSolidFillFmt>
            </c:ext>
            <c:ext xmlns:c16="http://schemas.microsoft.com/office/drawing/2014/chart" uri="{C3380CC4-5D6E-409C-BE32-E72D297353CC}">
              <c16:uniqueId val="{00000003-E65A-49C5-A64A-9C2EF6EF6B22}"/>
            </c:ext>
          </c:extLst>
        </c:ser>
        <c:ser>
          <c:idx val="4"/>
          <c:order val="4"/>
          <c:tx>
            <c:strRef>
              <c:f>Liquidity!$F$1</c:f>
              <c:strCache>
                <c:ptCount val="1"/>
                <c:pt idx="0">
                  <c:v>2024</c:v>
                </c:pt>
              </c:strCache>
            </c:strRef>
          </c:tx>
          <c:spPr>
            <a:solidFill>
              <a:srgbClr val="4BACC6"/>
            </a:solidFill>
            <a:ln>
              <a:noFill/>
            </a:ln>
            <a:effectLst/>
          </c:spPr>
          <c:invertIfNegative val="1"/>
          <c:cat>
            <c:strRef>
              <c:f>Liquidity!$A$2:$A$4</c:f>
              <c:strCache>
                <c:ptCount val="3"/>
                <c:pt idx="0">
                  <c:v>Current Ratio</c:v>
                </c:pt>
                <c:pt idx="1">
                  <c:v>Quick Ratio</c:v>
                </c:pt>
                <c:pt idx="2">
                  <c:v>Cash Ratio</c:v>
                </c:pt>
              </c:strCache>
            </c:strRef>
          </c:cat>
          <c:val>
            <c:numRef>
              <c:f>Liquidity!$F$2:$F$4</c:f>
              <c:numCache>
                <c:formatCode>General</c:formatCode>
                <c:ptCount val="3"/>
                <c:pt idx="0">
                  <c:v>1.53</c:v>
                </c:pt>
                <c:pt idx="1">
                  <c:v>1.03</c:v>
                </c:pt>
                <c:pt idx="2">
                  <c:v>0.17</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c14:spPr>
              </c14:invertSolidFillFmt>
            </c:ext>
            <c:ext xmlns:c16="http://schemas.microsoft.com/office/drawing/2014/chart" uri="{C3380CC4-5D6E-409C-BE32-E72D297353CC}">
              <c16:uniqueId val="{00000004-E65A-49C5-A64A-9C2EF6EF6B22}"/>
            </c:ext>
          </c:extLst>
        </c:ser>
        <c:dLbls>
          <c:showLegendKey val="0"/>
          <c:showVal val="0"/>
          <c:showCatName val="0"/>
          <c:showSerName val="0"/>
          <c:showPercent val="0"/>
          <c:showBubbleSize val="0"/>
        </c:dLbls>
        <c:gapWidth val="267"/>
        <c:overlap val="-43"/>
        <c:axId val="10"/>
        <c:axId val="100"/>
      </c:barChart>
      <c:catAx>
        <c:axId val="10"/>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Year</a:t>
                </a:r>
              </a:p>
            </c:rich>
          </c:tx>
          <c:overlay val="1"/>
          <c:spPr>
            <a:noFill/>
            <a:ln>
              <a:noFill/>
            </a:ln>
            <a:effectLst/>
          </c:sp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00"/>
        <c:crosses val="autoZero"/>
        <c:auto val="1"/>
        <c:lblAlgn val="ctr"/>
        <c:lblOffset val="100"/>
        <c:noMultiLvlLbl val="1"/>
      </c:catAx>
      <c:valAx>
        <c:axId val="100"/>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Value</a:t>
                </a:r>
              </a:p>
            </c:rich>
          </c:tx>
          <c:overlay val="1"/>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0"/>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1"/>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Efficiency Ratios (2020–2024)</a:t>
            </a:r>
          </a:p>
        </c:rich>
      </c:tx>
      <c:overlay val="1"/>
      <c:spPr>
        <a:noFill/>
        <a:ln>
          <a:noFill/>
        </a:ln>
        <a:effectLst/>
      </c:spPr>
    </c:title>
    <c:autoTitleDeleted val="0"/>
    <c:plotArea>
      <c:layout/>
      <c:barChart>
        <c:barDir val="col"/>
        <c:grouping val="clustered"/>
        <c:varyColors val="1"/>
        <c:ser>
          <c:idx val="0"/>
          <c:order val="0"/>
          <c:tx>
            <c:strRef>
              <c:f>Efficiency!$B$1</c:f>
              <c:strCache>
                <c:ptCount val="1"/>
                <c:pt idx="0">
                  <c:v>2020</c:v>
                </c:pt>
              </c:strCache>
            </c:strRef>
          </c:tx>
          <c:spPr>
            <a:solidFill>
              <a:srgbClr val="4F81BD">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Efficiency!$A$2:$A$4</c:f>
              <c:strCache>
                <c:ptCount val="3"/>
                <c:pt idx="0">
                  <c:v>Asset Turnover</c:v>
                </c:pt>
                <c:pt idx="1">
                  <c:v>Receivables Days</c:v>
                </c:pt>
                <c:pt idx="2">
                  <c:v>Inventory Days</c:v>
                </c:pt>
              </c:strCache>
            </c:strRef>
          </c:cat>
          <c:val>
            <c:numRef>
              <c:f>Efficiency!$B$2:$B$4</c:f>
              <c:numCache>
                <c:formatCode>General</c:formatCode>
                <c:ptCount val="3"/>
                <c:pt idx="0">
                  <c:v>1.2</c:v>
                </c:pt>
                <c:pt idx="1">
                  <c:v>76.86</c:v>
                </c:pt>
                <c:pt idx="2">
                  <c:v>100.26</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0-E75F-4B1D-8FDA-183E0800DA28}"/>
            </c:ext>
          </c:extLst>
        </c:ser>
        <c:ser>
          <c:idx val="1"/>
          <c:order val="1"/>
          <c:tx>
            <c:strRef>
              <c:f>Efficiency!$C$1</c:f>
              <c:strCache>
                <c:ptCount val="1"/>
                <c:pt idx="0">
                  <c:v>2021</c:v>
                </c:pt>
              </c:strCache>
            </c:strRef>
          </c:tx>
          <c:spPr>
            <a:solidFill>
              <a:srgbClr val="C0504D">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Efficiency!$A$2:$A$4</c:f>
              <c:strCache>
                <c:ptCount val="3"/>
                <c:pt idx="0">
                  <c:v>Asset Turnover</c:v>
                </c:pt>
                <c:pt idx="1">
                  <c:v>Receivables Days</c:v>
                </c:pt>
                <c:pt idx="2">
                  <c:v>Inventory Days</c:v>
                </c:pt>
              </c:strCache>
            </c:strRef>
          </c:cat>
          <c:val>
            <c:numRef>
              <c:f>Efficiency!$C$2:$C$4</c:f>
              <c:numCache>
                <c:formatCode>General</c:formatCode>
                <c:ptCount val="3"/>
                <c:pt idx="0">
                  <c:v>1.18</c:v>
                </c:pt>
                <c:pt idx="1">
                  <c:v>78.400000000000006</c:v>
                </c:pt>
                <c:pt idx="2">
                  <c:v>114.52</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1-E75F-4B1D-8FDA-183E0800DA28}"/>
            </c:ext>
          </c:extLst>
        </c:ser>
        <c:ser>
          <c:idx val="2"/>
          <c:order val="2"/>
          <c:tx>
            <c:strRef>
              <c:f>Efficiency!$D$1</c:f>
              <c:strCache>
                <c:ptCount val="1"/>
                <c:pt idx="0">
                  <c:v>2022</c:v>
                </c:pt>
              </c:strCache>
            </c:strRef>
          </c:tx>
          <c:spPr>
            <a:solidFill>
              <a:srgbClr val="9BBB59">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Efficiency!$A$2:$A$4</c:f>
              <c:strCache>
                <c:ptCount val="3"/>
                <c:pt idx="0">
                  <c:v>Asset Turnover</c:v>
                </c:pt>
                <c:pt idx="1">
                  <c:v>Receivables Days</c:v>
                </c:pt>
                <c:pt idx="2">
                  <c:v>Inventory Days</c:v>
                </c:pt>
              </c:strCache>
            </c:strRef>
          </c:cat>
          <c:val>
            <c:numRef>
              <c:f>Efficiency!$D$2:$D$4</c:f>
              <c:numCache>
                <c:formatCode>General</c:formatCode>
                <c:ptCount val="3"/>
                <c:pt idx="0">
                  <c:v>1.08</c:v>
                </c:pt>
                <c:pt idx="1">
                  <c:v>75.55</c:v>
                </c:pt>
                <c:pt idx="2">
                  <c:v>131.04</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2-E75F-4B1D-8FDA-183E0800DA28}"/>
            </c:ext>
          </c:extLst>
        </c:ser>
        <c:ser>
          <c:idx val="3"/>
          <c:order val="3"/>
          <c:tx>
            <c:strRef>
              <c:f>Efficiency!$E$1</c:f>
              <c:strCache>
                <c:ptCount val="1"/>
                <c:pt idx="0">
                  <c:v>2023</c:v>
                </c:pt>
              </c:strCache>
            </c:strRef>
          </c:tx>
          <c:spPr>
            <a:solidFill>
              <a:srgbClr val="8064A2">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Efficiency!$A$2:$A$4</c:f>
              <c:strCache>
                <c:ptCount val="3"/>
                <c:pt idx="0">
                  <c:v>Asset Turnover</c:v>
                </c:pt>
                <c:pt idx="1">
                  <c:v>Receivables Days</c:v>
                </c:pt>
                <c:pt idx="2">
                  <c:v>Inventory Days</c:v>
                </c:pt>
              </c:strCache>
            </c:strRef>
          </c:cat>
          <c:val>
            <c:numRef>
              <c:f>Efficiency!$E$2:$E$4</c:f>
              <c:numCache>
                <c:formatCode>General</c:formatCode>
                <c:ptCount val="3"/>
                <c:pt idx="0">
                  <c:v>1.18</c:v>
                </c:pt>
                <c:pt idx="1">
                  <c:v>97.74</c:v>
                </c:pt>
                <c:pt idx="2">
                  <c:v>99.78</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3-E75F-4B1D-8FDA-183E0800DA28}"/>
            </c:ext>
          </c:extLst>
        </c:ser>
        <c:ser>
          <c:idx val="4"/>
          <c:order val="4"/>
          <c:tx>
            <c:strRef>
              <c:f>Efficiency!$F$1</c:f>
              <c:strCache>
                <c:ptCount val="1"/>
                <c:pt idx="0">
                  <c:v>2024</c:v>
                </c:pt>
              </c:strCache>
            </c:strRef>
          </c:tx>
          <c:spPr>
            <a:solidFill>
              <a:srgbClr val="4BACC6">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Efficiency!$A$2:$A$4</c:f>
              <c:strCache>
                <c:ptCount val="3"/>
                <c:pt idx="0">
                  <c:v>Asset Turnover</c:v>
                </c:pt>
                <c:pt idx="1">
                  <c:v>Receivables Days</c:v>
                </c:pt>
                <c:pt idx="2">
                  <c:v>Inventory Days</c:v>
                </c:pt>
              </c:strCache>
            </c:strRef>
          </c:cat>
          <c:val>
            <c:numRef>
              <c:f>Efficiency!$F$2:$F$4</c:f>
              <c:numCache>
                <c:formatCode>General</c:formatCode>
                <c:ptCount val="3"/>
                <c:pt idx="0">
                  <c:v>1.22</c:v>
                </c:pt>
                <c:pt idx="1">
                  <c:v>105.54</c:v>
                </c:pt>
                <c:pt idx="2">
                  <c:v>103.12</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4-E75F-4B1D-8FDA-183E0800DA28}"/>
            </c:ext>
          </c:extLst>
        </c:ser>
        <c:dLbls>
          <c:dLblPos val="inEnd"/>
          <c:showLegendKey val="0"/>
          <c:showVal val="1"/>
          <c:showCatName val="0"/>
          <c:showSerName val="0"/>
          <c:showPercent val="0"/>
          <c:showBubbleSize val="0"/>
        </c:dLbls>
        <c:gapWidth val="65"/>
        <c:axId val="10"/>
        <c:axId val="100"/>
      </c:barChart>
      <c:catAx>
        <c:axId val="1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Year</a:t>
                </a:r>
              </a:p>
            </c:rich>
          </c:tx>
          <c:overlay val="1"/>
          <c:spPr>
            <a:noFill/>
            <a:ln>
              <a:noFill/>
            </a:ln>
            <a:effectLst/>
          </c:sp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0"/>
        <c:crosses val="autoZero"/>
        <c:auto val="1"/>
        <c:lblAlgn val="ctr"/>
        <c:lblOffset val="100"/>
        <c:noMultiLvlLbl val="1"/>
      </c:catAx>
      <c:valAx>
        <c:axId val="10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Value</a:t>
                </a:r>
              </a:p>
            </c:rich>
          </c:tx>
          <c:overlay val="1"/>
          <c:spPr>
            <a:noFill/>
            <a:ln>
              <a:noFill/>
            </a:ln>
            <a:effectLst/>
          </c:spPr>
        </c:title>
        <c:numFmt formatCode="General" sourceLinked="1"/>
        <c:majorTickMark val="none"/>
        <c:minorTickMark val="none"/>
        <c:tickLblPos val="nextTo"/>
        <c:crossAx val="1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1"/>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Gearing Ratios (2020–2024)</a:t>
            </a:r>
          </a:p>
        </c:rich>
      </c:tx>
      <c:overlay val="1"/>
      <c:spPr>
        <a:noFill/>
        <a:ln>
          <a:noFill/>
        </a:ln>
        <a:effectLst/>
      </c:spPr>
    </c:title>
    <c:autoTitleDeleted val="0"/>
    <c:plotArea>
      <c:layout/>
      <c:barChart>
        <c:barDir val="col"/>
        <c:grouping val="clustered"/>
        <c:varyColors val="1"/>
        <c:ser>
          <c:idx val="0"/>
          <c:order val="0"/>
          <c:tx>
            <c:strRef>
              <c:f>Gearing!$B$1</c:f>
              <c:strCache>
                <c:ptCount val="1"/>
                <c:pt idx="0">
                  <c:v>2020</c:v>
                </c:pt>
              </c:strCache>
            </c:strRef>
          </c:tx>
          <c:spPr>
            <a:solidFill>
              <a:srgbClr val="4F81BD">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Gearing!$A$2:$A$3</c:f>
              <c:strCache>
                <c:ptCount val="2"/>
                <c:pt idx="0">
                  <c:v>Debt to Equity</c:v>
                </c:pt>
                <c:pt idx="1">
                  <c:v>Equity Multiplier</c:v>
                </c:pt>
              </c:strCache>
            </c:strRef>
          </c:cat>
          <c:val>
            <c:numRef>
              <c:f>Gearing!$B$2:$B$3</c:f>
              <c:numCache>
                <c:formatCode>General</c:formatCode>
                <c:ptCount val="2"/>
                <c:pt idx="0">
                  <c:v>0.63</c:v>
                </c:pt>
                <c:pt idx="1">
                  <c:v>1.63</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0-C666-45D7-951C-D5B8E97523D3}"/>
            </c:ext>
          </c:extLst>
        </c:ser>
        <c:ser>
          <c:idx val="1"/>
          <c:order val="1"/>
          <c:tx>
            <c:strRef>
              <c:f>Gearing!$C$1</c:f>
              <c:strCache>
                <c:ptCount val="1"/>
                <c:pt idx="0">
                  <c:v>2021</c:v>
                </c:pt>
              </c:strCache>
            </c:strRef>
          </c:tx>
          <c:spPr>
            <a:solidFill>
              <a:srgbClr val="C0504D">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Gearing!$A$2:$A$3</c:f>
              <c:strCache>
                <c:ptCount val="2"/>
                <c:pt idx="0">
                  <c:v>Debt to Equity</c:v>
                </c:pt>
                <c:pt idx="1">
                  <c:v>Equity Multiplier</c:v>
                </c:pt>
              </c:strCache>
            </c:strRef>
          </c:cat>
          <c:val>
            <c:numRef>
              <c:f>Gearing!$C$2:$C$3</c:f>
              <c:numCache>
                <c:formatCode>General</c:formatCode>
                <c:ptCount val="2"/>
                <c:pt idx="0">
                  <c:v>0.85</c:v>
                </c:pt>
                <c:pt idx="1">
                  <c:v>1.85</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1-C666-45D7-951C-D5B8E97523D3}"/>
            </c:ext>
          </c:extLst>
        </c:ser>
        <c:ser>
          <c:idx val="2"/>
          <c:order val="2"/>
          <c:tx>
            <c:strRef>
              <c:f>Gearing!$D$1</c:f>
              <c:strCache>
                <c:ptCount val="1"/>
                <c:pt idx="0">
                  <c:v>2022</c:v>
                </c:pt>
              </c:strCache>
            </c:strRef>
          </c:tx>
          <c:spPr>
            <a:solidFill>
              <a:srgbClr val="9BBB59">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Gearing!$A$2:$A$3</c:f>
              <c:strCache>
                <c:ptCount val="2"/>
                <c:pt idx="0">
                  <c:v>Debt to Equity</c:v>
                </c:pt>
                <c:pt idx="1">
                  <c:v>Equity Multiplier</c:v>
                </c:pt>
              </c:strCache>
            </c:strRef>
          </c:cat>
          <c:val>
            <c:numRef>
              <c:f>Gearing!$D$2:$D$3</c:f>
              <c:numCache>
                <c:formatCode>General</c:formatCode>
                <c:ptCount val="2"/>
                <c:pt idx="0">
                  <c:v>0.88</c:v>
                </c:pt>
                <c:pt idx="1">
                  <c:v>1.88</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2-C666-45D7-951C-D5B8E97523D3}"/>
            </c:ext>
          </c:extLst>
        </c:ser>
        <c:ser>
          <c:idx val="3"/>
          <c:order val="3"/>
          <c:tx>
            <c:strRef>
              <c:f>Gearing!$E$1</c:f>
              <c:strCache>
                <c:ptCount val="1"/>
                <c:pt idx="0">
                  <c:v>2023</c:v>
                </c:pt>
              </c:strCache>
            </c:strRef>
          </c:tx>
          <c:spPr>
            <a:solidFill>
              <a:srgbClr val="8064A2">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Gearing!$A$2:$A$3</c:f>
              <c:strCache>
                <c:ptCount val="2"/>
                <c:pt idx="0">
                  <c:v>Debt to Equity</c:v>
                </c:pt>
                <c:pt idx="1">
                  <c:v>Equity Multiplier</c:v>
                </c:pt>
              </c:strCache>
            </c:strRef>
          </c:cat>
          <c:val>
            <c:numRef>
              <c:f>Gearing!$E$2:$E$3</c:f>
              <c:numCache>
                <c:formatCode>General</c:formatCode>
                <c:ptCount val="2"/>
                <c:pt idx="0">
                  <c:v>0.99</c:v>
                </c:pt>
                <c:pt idx="1">
                  <c:v>1.99</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3-C666-45D7-951C-D5B8E97523D3}"/>
            </c:ext>
          </c:extLst>
        </c:ser>
        <c:ser>
          <c:idx val="4"/>
          <c:order val="4"/>
          <c:tx>
            <c:strRef>
              <c:f>Gearing!$F$1</c:f>
              <c:strCache>
                <c:ptCount val="1"/>
                <c:pt idx="0">
                  <c:v>2024</c:v>
                </c:pt>
              </c:strCache>
            </c:strRef>
          </c:tx>
          <c:spPr>
            <a:solidFill>
              <a:srgbClr val="4BACC6">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Gearing!$A$2:$A$3</c:f>
              <c:strCache>
                <c:ptCount val="2"/>
                <c:pt idx="0">
                  <c:v>Debt to Equity</c:v>
                </c:pt>
                <c:pt idx="1">
                  <c:v>Equity Multiplier</c:v>
                </c:pt>
              </c:strCache>
            </c:strRef>
          </c:cat>
          <c:val>
            <c:numRef>
              <c:f>Gearing!$F$2:$F$3</c:f>
              <c:numCache>
                <c:formatCode>General</c:formatCode>
                <c:ptCount val="2"/>
                <c:pt idx="0">
                  <c:v>1.1100000000000001</c:v>
                </c:pt>
                <c:pt idx="1">
                  <c:v>2.11</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4-C666-45D7-951C-D5B8E97523D3}"/>
            </c:ext>
          </c:extLst>
        </c:ser>
        <c:dLbls>
          <c:dLblPos val="inEnd"/>
          <c:showLegendKey val="0"/>
          <c:showVal val="1"/>
          <c:showCatName val="0"/>
          <c:showSerName val="0"/>
          <c:showPercent val="0"/>
          <c:showBubbleSize val="0"/>
        </c:dLbls>
        <c:gapWidth val="65"/>
        <c:axId val="10"/>
        <c:axId val="100"/>
      </c:barChart>
      <c:catAx>
        <c:axId val="1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Year</a:t>
                </a:r>
              </a:p>
            </c:rich>
          </c:tx>
          <c:overlay val="1"/>
          <c:spPr>
            <a:noFill/>
            <a:ln>
              <a:noFill/>
            </a:ln>
            <a:effectLst/>
          </c:sp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0"/>
        <c:crosses val="autoZero"/>
        <c:auto val="1"/>
        <c:lblAlgn val="ctr"/>
        <c:lblOffset val="100"/>
        <c:noMultiLvlLbl val="1"/>
      </c:catAx>
      <c:valAx>
        <c:axId val="10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Value</a:t>
                </a:r>
              </a:p>
            </c:rich>
          </c:tx>
          <c:overlay val="1"/>
          <c:spPr>
            <a:noFill/>
            <a:ln>
              <a:noFill/>
            </a:ln>
            <a:effectLst/>
          </c:spPr>
        </c:title>
        <c:numFmt formatCode="General" sourceLinked="1"/>
        <c:majorTickMark val="none"/>
        <c:minorTickMark val="none"/>
        <c:tickLblPos val="nextTo"/>
        <c:crossAx val="1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1"/>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CashFlow Ratios (2020–2024)</a:t>
            </a:r>
          </a:p>
        </c:rich>
      </c:tx>
      <c:overlay val="1"/>
      <c:spPr>
        <a:noFill/>
        <a:ln>
          <a:noFill/>
        </a:ln>
        <a:effectLst/>
      </c:spPr>
    </c:title>
    <c:autoTitleDeleted val="0"/>
    <c:plotArea>
      <c:layout/>
      <c:barChart>
        <c:barDir val="col"/>
        <c:grouping val="clustered"/>
        <c:varyColors val="1"/>
        <c:ser>
          <c:idx val="0"/>
          <c:order val="0"/>
          <c:tx>
            <c:strRef>
              <c:f>CashFlow!$B$1</c:f>
              <c:strCache>
                <c:ptCount val="1"/>
                <c:pt idx="0">
                  <c:v>2020</c:v>
                </c:pt>
              </c:strCache>
            </c:strRef>
          </c:tx>
          <c:spPr>
            <a:solidFill>
              <a:srgbClr val="4F81BD">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CashFlow!$A$2:$A$3</c:f>
              <c:strCache>
                <c:ptCount val="2"/>
                <c:pt idx="0">
                  <c:v>Operating Cash Flow Ratio</c:v>
                </c:pt>
                <c:pt idx="1">
                  <c:v>Cash Flow Margin</c:v>
                </c:pt>
              </c:strCache>
            </c:strRef>
          </c:cat>
          <c:val>
            <c:numRef>
              <c:f>CashFlow!$B$2:$B$3</c:f>
              <c:numCache>
                <c:formatCode>General</c:formatCode>
                <c:ptCount val="2"/>
                <c:pt idx="0">
                  <c:v>0.41</c:v>
                </c:pt>
                <c:pt idx="1">
                  <c:v>11.94</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0-2B98-4F06-9AEE-2BDC4D8AC1A0}"/>
            </c:ext>
          </c:extLst>
        </c:ser>
        <c:ser>
          <c:idx val="1"/>
          <c:order val="1"/>
          <c:tx>
            <c:strRef>
              <c:f>CashFlow!$C$1</c:f>
              <c:strCache>
                <c:ptCount val="1"/>
                <c:pt idx="0">
                  <c:v>2021</c:v>
                </c:pt>
              </c:strCache>
            </c:strRef>
          </c:tx>
          <c:spPr>
            <a:solidFill>
              <a:srgbClr val="C0504D">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CashFlow!$A$2:$A$3</c:f>
              <c:strCache>
                <c:ptCount val="2"/>
                <c:pt idx="0">
                  <c:v>Operating Cash Flow Ratio</c:v>
                </c:pt>
                <c:pt idx="1">
                  <c:v>Cash Flow Margin</c:v>
                </c:pt>
              </c:strCache>
            </c:strRef>
          </c:cat>
          <c:val>
            <c:numRef>
              <c:f>CashFlow!$C$2:$C$3</c:f>
              <c:numCache>
                <c:formatCode>General</c:formatCode>
                <c:ptCount val="2"/>
                <c:pt idx="0">
                  <c:v>0.19</c:v>
                </c:pt>
                <c:pt idx="1">
                  <c:v>6.7</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1-2B98-4F06-9AEE-2BDC4D8AC1A0}"/>
            </c:ext>
          </c:extLst>
        </c:ser>
        <c:ser>
          <c:idx val="2"/>
          <c:order val="2"/>
          <c:tx>
            <c:strRef>
              <c:f>CashFlow!$D$1</c:f>
              <c:strCache>
                <c:ptCount val="1"/>
                <c:pt idx="0">
                  <c:v>2022</c:v>
                </c:pt>
              </c:strCache>
            </c:strRef>
          </c:tx>
          <c:spPr>
            <a:solidFill>
              <a:srgbClr val="9BBB59">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CashFlow!$A$2:$A$3</c:f>
              <c:strCache>
                <c:ptCount val="2"/>
                <c:pt idx="0">
                  <c:v>Operating Cash Flow Ratio</c:v>
                </c:pt>
                <c:pt idx="1">
                  <c:v>Cash Flow Margin</c:v>
                </c:pt>
              </c:strCache>
            </c:strRef>
          </c:cat>
          <c:val>
            <c:numRef>
              <c:f>CashFlow!$D$2:$D$3</c:f>
              <c:numCache>
                <c:formatCode>General</c:formatCode>
                <c:ptCount val="2"/>
                <c:pt idx="0">
                  <c:v>0.05</c:v>
                </c:pt>
                <c:pt idx="1">
                  <c:v>2.0099999999999998</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2-2B98-4F06-9AEE-2BDC4D8AC1A0}"/>
            </c:ext>
          </c:extLst>
        </c:ser>
        <c:ser>
          <c:idx val="3"/>
          <c:order val="3"/>
          <c:tx>
            <c:strRef>
              <c:f>CashFlow!$E$1</c:f>
              <c:strCache>
                <c:ptCount val="1"/>
                <c:pt idx="0">
                  <c:v>2023</c:v>
                </c:pt>
              </c:strCache>
            </c:strRef>
          </c:tx>
          <c:spPr>
            <a:solidFill>
              <a:srgbClr val="8064A2">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CashFlow!$A$2:$A$3</c:f>
              <c:strCache>
                <c:ptCount val="2"/>
                <c:pt idx="0">
                  <c:v>Operating Cash Flow Ratio</c:v>
                </c:pt>
                <c:pt idx="1">
                  <c:v>Cash Flow Margin</c:v>
                </c:pt>
              </c:strCache>
            </c:strRef>
          </c:cat>
          <c:val>
            <c:numRef>
              <c:f>CashFlow!$E$2:$E$3</c:f>
              <c:numCache>
                <c:formatCode>General</c:formatCode>
                <c:ptCount val="2"/>
                <c:pt idx="0">
                  <c:v>0.16</c:v>
                </c:pt>
                <c:pt idx="1">
                  <c:v>5.99</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3-2B98-4F06-9AEE-2BDC4D8AC1A0}"/>
            </c:ext>
          </c:extLst>
        </c:ser>
        <c:ser>
          <c:idx val="4"/>
          <c:order val="4"/>
          <c:tx>
            <c:strRef>
              <c:f>CashFlow!$F$1</c:f>
              <c:strCache>
                <c:ptCount val="1"/>
                <c:pt idx="0">
                  <c:v>2024</c:v>
                </c:pt>
              </c:strCache>
            </c:strRef>
          </c:tx>
          <c:spPr>
            <a:solidFill>
              <a:srgbClr val="4BACC6">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CashFlow!$A$2:$A$3</c:f>
              <c:strCache>
                <c:ptCount val="2"/>
                <c:pt idx="0">
                  <c:v>Operating Cash Flow Ratio</c:v>
                </c:pt>
                <c:pt idx="1">
                  <c:v>Cash Flow Margin</c:v>
                </c:pt>
              </c:strCache>
            </c:strRef>
          </c:cat>
          <c:val>
            <c:numRef>
              <c:f>CashFlow!$F$2:$F$3</c:f>
              <c:numCache>
                <c:formatCode>General</c:formatCode>
                <c:ptCount val="2"/>
                <c:pt idx="0">
                  <c:v>0.09</c:v>
                </c:pt>
                <c:pt idx="1">
                  <c:v>3.75</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4-2B98-4F06-9AEE-2BDC4D8AC1A0}"/>
            </c:ext>
          </c:extLst>
        </c:ser>
        <c:dLbls>
          <c:dLblPos val="inEnd"/>
          <c:showLegendKey val="0"/>
          <c:showVal val="1"/>
          <c:showCatName val="0"/>
          <c:showSerName val="0"/>
          <c:showPercent val="0"/>
          <c:showBubbleSize val="0"/>
        </c:dLbls>
        <c:gapWidth val="65"/>
        <c:axId val="10"/>
        <c:axId val="100"/>
      </c:barChart>
      <c:catAx>
        <c:axId val="1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Year</a:t>
                </a:r>
              </a:p>
            </c:rich>
          </c:tx>
          <c:overlay val="1"/>
          <c:spPr>
            <a:noFill/>
            <a:ln>
              <a:noFill/>
            </a:ln>
            <a:effectLst/>
          </c:sp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0"/>
        <c:crosses val="autoZero"/>
        <c:auto val="1"/>
        <c:lblAlgn val="ctr"/>
        <c:lblOffset val="100"/>
        <c:noMultiLvlLbl val="1"/>
      </c:catAx>
      <c:valAx>
        <c:axId val="10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Value</a:t>
                </a:r>
              </a:p>
            </c:rich>
          </c:tx>
          <c:overlay val="1"/>
          <c:spPr>
            <a:noFill/>
            <a:ln>
              <a:noFill/>
            </a:ln>
            <a:effectLst/>
          </c:spPr>
        </c:title>
        <c:numFmt formatCode="General" sourceLinked="1"/>
        <c:majorTickMark val="none"/>
        <c:minorTickMark val="none"/>
        <c:tickLblPos val="nextTo"/>
        <c:crossAx val="1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1"/>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Altman Z-Score Ratios (2020–2024)</a:t>
            </a:r>
          </a:p>
        </c:rich>
      </c:tx>
      <c:overlay val="1"/>
      <c:spPr>
        <a:noFill/>
        <a:ln>
          <a:noFill/>
        </a:ln>
        <a:effectLst/>
      </c:spPr>
    </c:title>
    <c:autoTitleDeleted val="0"/>
    <c:plotArea>
      <c:layout/>
      <c:barChart>
        <c:barDir val="col"/>
        <c:grouping val="clustered"/>
        <c:varyColors val="1"/>
        <c:ser>
          <c:idx val="0"/>
          <c:order val="0"/>
          <c:tx>
            <c:strRef>
              <c:f>'Altman Z-Score'!$B$1</c:f>
              <c:strCache>
                <c:ptCount val="1"/>
                <c:pt idx="0">
                  <c:v>2020</c:v>
                </c:pt>
              </c:strCache>
            </c:strRef>
          </c:tx>
          <c:spPr>
            <a:solidFill>
              <a:srgbClr val="4F81BD">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'Altman Z-Score'!$A$2</c:f>
              <c:strCache>
                <c:ptCount val="1"/>
                <c:pt idx="0">
                  <c:v>Z-Score</c:v>
                </c:pt>
              </c:strCache>
            </c:strRef>
          </c:cat>
          <c:val>
            <c:numRef>
              <c:f>'Altman Z-Score'!$B$2</c:f>
              <c:numCache>
                <c:formatCode>General</c:formatCode>
                <c:ptCount val="1"/>
                <c:pt idx="0">
                  <c:v>7.76</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0-D3AD-4451-A56D-BFD0DD491775}"/>
            </c:ext>
          </c:extLst>
        </c:ser>
        <c:ser>
          <c:idx val="1"/>
          <c:order val="1"/>
          <c:tx>
            <c:strRef>
              <c:f>'Altman Z-Score'!$C$1</c:f>
              <c:strCache>
                <c:ptCount val="1"/>
                <c:pt idx="0">
                  <c:v>2021</c:v>
                </c:pt>
              </c:strCache>
            </c:strRef>
          </c:tx>
          <c:spPr>
            <a:solidFill>
              <a:srgbClr val="C0504D">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'Altman Z-Score'!$A$2</c:f>
              <c:strCache>
                <c:ptCount val="1"/>
                <c:pt idx="0">
                  <c:v>Z-Score</c:v>
                </c:pt>
              </c:strCache>
            </c:strRef>
          </c:cat>
          <c:val>
            <c:numRef>
              <c:f>'Altman Z-Score'!$C$2</c:f>
              <c:numCache>
                <c:formatCode>General</c:formatCode>
                <c:ptCount val="1"/>
                <c:pt idx="0">
                  <c:v>6.65</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1-D3AD-4451-A56D-BFD0DD491775}"/>
            </c:ext>
          </c:extLst>
        </c:ser>
        <c:ser>
          <c:idx val="2"/>
          <c:order val="2"/>
          <c:tx>
            <c:strRef>
              <c:f>'Altman Z-Score'!$D$1</c:f>
              <c:strCache>
                <c:ptCount val="1"/>
                <c:pt idx="0">
                  <c:v>2022</c:v>
                </c:pt>
              </c:strCache>
            </c:strRef>
          </c:tx>
          <c:spPr>
            <a:solidFill>
              <a:srgbClr val="9BBB59">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'Altman Z-Score'!$A$2</c:f>
              <c:strCache>
                <c:ptCount val="1"/>
                <c:pt idx="0">
                  <c:v>Z-Score</c:v>
                </c:pt>
              </c:strCache>
            </c:strRef>
          </c:cat>
          <c:val>
            <c:numRef>
              <c:f>'Altman Z-Score'!$D$2</c:f>
              <c:numCache>
                <c:formatCode>General</c:formatCode>
                <c:ptCount val="1"/>
                <c:pt idx="0">
                  <c:v>6.26</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2-D3AD-4451-A56D-BFD0DD491775}"/>
            </c:ext>
          </c:extLst>
        </c:ser>
        <c:ser>
          <c:idx val="3"/>
          <c:order val="3"/>
          <c:tx>
            <c:strRef>
              <c:f>'Altman Z-Score'!$E$1</c:f>
              <c:strCache>
                <c:ptCount val="1"/>
                <c:pt idx="0">
                  <c:v>2023</c:v>
                </c:pt>
              </c:strCache>
            </c:strRef>
          </c:tx>
          <c:spPr>
            <a:solidFill>
              <a:srgbClr val="8064A2">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'Altman Z-Score'!$A$2</c:f>
              <c:strCache>
                <c:ptCount val="1"/>
                <c:pt idx="0">
                  <c:v>Z-Score</c:v>
                </c:pt>
              </c:strCache>
            </c:strRef>
          </c:cat>
          <c:val>
            <c:numRef>
              <c:f>'Altman Z-Score'!$E$2</c:f>
              <c:numCache>
                <c:formatCode>General</c:formatCode>
                <c:ptCount val="1"/>
                <c:pt idx="0">
                  <c:v>6.87</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3-D3AD-4451-A56D-BFD0DD491775}"/>
            </c:ext>
          </c:extLst>
        </c:ser>
        <c:ser>
          <c:idx val="4"/>
          <c:order val="4"/>
          <c:tx>
            <c:strRef>
              <c:f>'Altman Z-Score'!$F$1</c:f>
              <c:strCache>
                <c:ptCount val="1"/>
                <c:pt idx="0">
                  <c:v>2024</c:v>
                </c:pt>
              </c:strCache>
            </c:strRef>
          </c:tx>
          <c:spPr>
            <a:solidFill>
              <a:srgbClr val="4BACC6">
                <a:alpha val="84706"/>
              </a:srgbClr>
            </a:solidFill>
            <a:ln w="9525" cap="flat" cmpd="sng" algn="ctr">
              <a:solidFill>
                <a:schemeClr val="lt1">
                  <a:alpha val="50000"/>
                </a:schemeClr>
              </a:solidFill>
              <a:round/>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'Altman Z-Score'!$A$2</c:f>
              <c:strCache>
                <c:ptCount val="1"/>
                <c:pt idx="0">
                  <c:v>Z-Score</c:v>
                </c:pt>
              </c:strCache>
            </c:strRef>
          </c:cat>
          <c:val>
            <c:numRef>
              <c:f>'Altman Z-Score'!$F$2</c:f>
              <c:numCache>
                <c:formatCode>General</c:formatCode>
                <c:ptCount val="1"/>
                <c:pt idx="0">
                  <c:v>7.76</c:v>
                </c:pt>
              </c:numCache>
            </c:numRef>
          </c:val>
          <c:extLst>
            <c:ext xmlns:c14="http://schemas.microsoft.com/office/drawing/2007/8/2/chart" uri="{6F2FDCE9-48DA-4B69-8628-5D25D57E5C99}">
              <c14:invertSolidFillFmt>
                <c14:spPr xmlns:c14="http://schemas.microsoft.com/office/drawing/2007/8/2/chart">
                  <a:solidFill>
                    <a:srgbClr val="FFFFFF"/>
                  </a:solidFill>
                  <a:ln w="9525" cap="flat" cmpd="sng" algn="ctr">
                    <a:solidFill>
                      <a:schemeClr val="lt1">
                        <a:alpha val="50000"/>
                      </a:schemeClr>
                    </a:solidFill>
                    <a:round/>
                  </a:ln>
                  <a:effectLst/>
                </c14:spPr>
              </c14:invertSolidFillFmt>
            </c:ext>
            <c:ext xmlns:c16="http://schemas.microsoft.com/office/drawing/2014/chart" uri="{C3380CC4-5D6E-409C-BE32-E72D297353CC}">
              <c16:uniqueId val="{00000004-D3AD-4451-A56D-BFD0DD491775}"/>
            </c:ext>
          </c:extLst>
        </c:ser>
        <c:dLbls>
          <c:dLblPos val="inEnd"/>
          <c:showLegendKey val="0"/>
          <c:showVal val="1"/>
          <c:showCatName val="0"/>
          <c:showSerName val="0"/>
          <c:showPercent val="0"/>
          <c:showBubbleSize val="0"/>
        </c:dLbls>
        <c:gapWidth val="65"/>
        <c:axId val="10"/>
        <c:axId val="100"/>
      </c:barChart>
      <c:catAx>
        <c:axId val="1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Year</a:t>
                </a:r>
              </a:p>
            </c:rich>
          </c:tx>
          <c:overlay val="1"/>
          <c:spPr>
            <a:noFill/>
            <a:ln>
              <a:noFill/>
            </a:ln>
            <a:effectLst/>
          </c:sp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0"/>
        <c:crosses val="autoZero"/>
        <c:auto val="1"/>
        <c:lblAlgn val="ctr"/>
        <c:lblOffset val="100"/>
        <c:noMultiLvlLbl val="1"/>
      </c:catAx>
      <c:valAx>
        <c:axId val="10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Value</a:t>
                </a:r>
              </a:p>
            </c:rich>
          </c:tx>
          <c:overlay val="1"/>
          <c:spPr>
            <a:noFill/>
            <a:ln>
              <a:noFill/>
            </a:ln>
            <a:effectLst/>
          </c:spPr>
        </c:title>
        <c:numFmt formatCode="General" sourceLinked="1"/>
        <c:majorTickMark val="none"/>
        <c:minorTickMark val="none"/>
        <c:tickLblPos val="nextTo"/>
        <c:crossAx val="1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1"/>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B71C1-A246-49F7-8DC5-58F1DC323D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9721</Words>
  <Characters>55416</Characters>
  <Application>Microsoft Office Word</Application>
  <DocSecurity>0</DocSecurity>
  <Lines>461</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MUTA LEB</cp:lastModifiedBy>
  <cp:revision>2</cp:revision>
  <cp:lastPrinted>2025-12-22T01:06:00Z</cp:lastPrinted>
  <dcterms:created xsi:type="dcterms:W3CDTF">2025-12-22T13:32:00Z</dcterms:created>
  <dcterms:modified xsi:type="dcterms:W3CDTF">2025-12-22T13:32:00Z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8380bb36-87a2-432d-b373-539721dd4e26</vt:lpwstr>
  </property>
</Properties>
</file>