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FF041" w14:textId="77777777" w:rsidR="00C3664D" w:rsidRDefault="00C3664D" w:rsidP="00C3664D">
      <w:pPr>
        <w:spacing w:after="160" w:line="360" w:lineRule="auto"/>
        <w:rPr>
          <w:rFonts w:ascii="Times New Roman" w:eastAsia="Times New Roman" w:hAnsi="Times New Roman" w:cs="Times New Roman"/>
          <w:sz w:val="24"/>
          <w:szCs w:val="24"/>
        </w:rPr>
      </w:pPr>
    </w:p>
    <w:p w14:paraId="18C0E4D4" w14:textId="77777777" w:rsidR="00C3664D" w:rsidRPr="007E4781" w:rsidRDefault="00C3664D" w:rsidP="00C3664D">
      <w:pPr>
        <w:spacing w:after="160" w:line="259" w:lineRule="auto"/>
        <w:rPr>
          <w:rFonts w:asciiTheme="minorHAnsi" w:eastAsia="Times New Roman" w:hAnsiTheme="minorHAnsi" w:cs="Times New Roman"/>
          <w:lang w:eastAsia="en-US"/>
        </w:rPr>
      </w:pPr>
      <w:r w:rsidRPr="007E4781">
        <w:rPr>
          <w:rFonts w:asciiTheme="minorHAnsi" w:eastAsia="Times New Roman" w:hAnsiTheme="minorHAnsi" w:cs="Times New Roman"/>
          <w:caps/>
          <w:noProof/>
          <w:sz w:val="40"/>
          <w:szCs w:val="40"/>
          <w:lang w:eastAsia="en-US"/>
        </w:rPr>
        <w:drawing>
          <wp:inline distT="0" distB="0" distL="0" distR="0" wp14:anchorId="29064301" wp14:editId="7045528E">
            <wp:extent cx="5394960" cy="12954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4960" cy="1295400"/>
                    </a:xfrm>
                    <a:prstGeom prst="rect">
                      <a:avLst/>
                    </a:prstGeom>
                    <a:noFill/>
                    <a:ln>
                      <a:noFill/>
                    </a:ln>
                  </pic:spPr>
                </pic:pic>
              </a:graphicData>
            </a:graphic>
          </wp:inline>
        </w:drawing>
      </w:r>
    </w:p>
    <w:p w14:paraId="3B174C1E" w14:textId="77777777" w:rsidR="00C3664D" w:rsidRPr="007E4781" w:rsidRDefault="00C3664D" w:rsidP="00C3664D">
      <w:pPr>
        <w:spacing w:after="160" w:line="259" w:lineRule="auto"/>
        <w:jc w:val="center"/>
        <w:rPr>
          <w:rFonts w:eastAsiaTheme="minorEastAsia"/>
          <w:noProof/>
          <w:sz w:val="36"/>
          <w:szCs w:val="36"/>
        </w:rPr>
      </w:pPr>
      <w:r w:rsidRPr="007E4781">
        <w:rPr>
          <w:rFonts w:eastAsiaTheme="minorEastAsia"/>
          <w:b/>
          <w:bCs/>
          <w:color w:val="262626"/>
          <w:kern w:val="24"/>
          <w:position w:val="1"/>
          <w:sz w:val="36"/>
          <w:szCs w:val="36"/>
        </w:rPr>
        <w:t>BA (Hons) Business Management</w:t>
      </w:r>
      <w:r w:rsidRPr="007E4781">
        <w:rPr>
          <w:rFonts w:eastAsiaTheme="minorEastAsia"/>
          <w:noProof/>
          <w:sz w:val="36"/>
          <w:szCs w:val="36"/>
        </w:rPr>
        <w:t xml:space="preserve"> </w:t>
      </w:r>
    </w:p>
    <w:p w14:paraId="07CFF018" w14:textId="77777777" w:rsidR="00C3664D" w:rsidRPr="007E4781" w:rsidRDefault="00C3664D" w:rsidP="00C3664D">
      <w:pPr>
        <w:spacing w:after="160" w:line="259" w:lineRule="auto"/>
        <w:rPr>
          <w:rFonts w:eastAsia="Times New Roman"/>
          <w:lang w:eastAsia="en-US"/>
        </w:rPr>
      </w:pPr>
    </w:p>
    <w:p w14:paraId="14C0990D" w14:textId="77777777" w:rsidR="00C3664D" w:rsidRDefault="00C3664D" w:rsidP="00C3664D">
      <w:pPr>
        <w:pStyle w:val="Default"/>
      </w:pPr>
    </w:p>
    <w:tbl>
      <w:tblPr>
        <w:tblW w:w="9606" w:type="dxa"/>
        <w:tblInd w:w="-60"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9606"/>
      </w:tblGrid>
      <w:tr w:rsidR="00C3664D" w14:paraId="3FBEFF1F" w14:textId="77777777" w:rsidTr="001E6DB8">
        <w:trPr>
          <w:trHeight w:val="103"/>
        </w:trPr>
        <w:tc>
          <w:tcPr>
            <w:tcW w:w="9606" w:type="dxa"/>
            <w:tcBorders>
              <w:top w:val="none" w:sz="6" w:space="0" w:color="auto"/>
              <w:bottom w:val="none" w:sz="6" w:space="0" w:color="auto"/>
            </w:tcBorders>
          </w:tcPr>
          <w:p w14:paraId="5DF93F5B" w14:textId="77777777" w:rsidR="00087491" w:rsidRPr="00087491" w:rsidRDefault="00C3664D" w:rsidP="00087491">
            <w:pPr>
              <w:spacing w:line="240" w:lineRule="auto"/>
              <w:rPr>
                <w:rFonts w:ascii="Segoe UI" w:eastAsia="Times New Roman" w:hAnsi="Segoe UI" w:cs="Segoe UI"/>
                <w:color w:val="212529"/>
                <w:sz w:val="23"/>
                <w:szCs w:val="23"/>
              </w:rPr>
            </w:pPr>
            <w:r w:rsidRPr="0091443C">
              <w:rPr>
                <w:sz w:val="44"/>
                <w:szCs w:val="44"/>
              </w:rPr>
              <w:t xml:space="preserve"> </w:t>
            </w:r>
            <w:r>
              <w:rPr>
                <w:sz w:val="44"/>
                <w:szCs w:val="44"/>
              </w:rPr>
              <w:t xml:space="preserve">     </w:t>
            </w:r>
            <w:r w:rsidR="00087491" w:rsidRPr="00087491">
              <w:rPr>
                <w:rFonts w:ascii="Times New Roman" w:eastAsia="Times New Roman" w:hAnsi="Times New Roman" w:cs="Times New Roman"/>
                <w:sz w:val="24"/>
                <w:szCs w:val="24"/>
              </w:rPr>
              <w:fldChar w:fldCharType="begin"/>
            </w:r>
            <w:r w:rsidR="00087491" w:rsidRPr="00087491">
              <w:rPr>
                <w:rFonts w:ascii="Times New Roman" w:eastAsia="Times New Roman" w:hAnsi="Times New Roman" w:cs="Times New Roman"/>
                <w:sz w:val="24"/>
                <w:szCs w:val="24"/>
              </w:rPr>
              <w:instrText xml:space="preserve"> HYPERLINK "https://moodle.uwtsd.ac.uk/course/view.php?id=3822" </w:instrText>
            </w:r>
            <w:r w:rsidR="00087491" w:rsidRPr="00087491">
              <w:rPr>
                <w:rFonts w:ascii="Times New Roman" w:eastAsia="Times New Roman" w:hAnsi="Times New Roman" w:cs="Times New Roman"/>
                <w:sz w:val="24"/>
                <w:szCs w:val="24"/>
              </w:rPr>
              <w:fldChar w:fldCharType="separate"/>
            </w:r>
          </w:p>
          <w:p w14:paraId="3E00667E" w14:textId="6D5C0F34" w:rsidR="00087491" w:rsidRPr="00087491" w:rsidRDefault="00087491" w:rsidP="00087491">
            <w:pPr>
              <w:spacing w:after="100" w:afterAutospacing="1" w:line="240" w:lineRule="auto"/>
              <w:textAlignment w:val="center"/>
              <w:outlineLvl w:val="0"/>
              <w:rPr>
                <w:rFonts w:ascii="Times New Roman" w:eastAsia="Times New Roman" w:hAnsi="Times New Roman" w:cs="Times New Roman"/>
                <w:kern w:val="36"/>
                <w:sz w:val="48"/>
                <w:szCs w:val="48"/>
              </w:rPr>
            </w:pPr>
            <w:r>
              <w:rPr>
                <w:rFonts w:ascii="Segoe UI" w:eastAsia="Times New Roman" w:hAnsi="Segoe UI" w:cs="Segoe UI"/>
                <w:color w:val="212529"/>
                <w:kern w:val="36"/>
                <w:sz w:val="48"/>
                <w:szCs w:val="48"/>
              </w:rPr>
              <w:t xml:space="preserve">     </w:t>
            </w:r>
            <w:r w:rsidRPr="00087491">
              <w:rPr>
                <w:rFonts w:ascii="Segoe UI" w:eastAsia="Times New Roman" w:hAnsi="Segoe UI" w:cs="Segoe UI"/>
                <w:color w:val="212529"/>
                <w:kern w:val="36"/>
                <w:sz w:val="48"/>
                <w:szCs w:val="48"/>
              </w:rPr>
              <w:t>International Financial Management</w:t>
            </w:r>
          </w:p>
          <w:p w14:paraId="3BBC3EB8" w14:textId="3068C0D9" w:rsidR="00C3664D" w:rsidRPr="0091443C" w:rsidRDefault="00087491" w:rsidP="00087491">
            <w:pPr>
              <w:pStyle w:val="Default"/>
              <w:rPr>
                <w:sz w:val="44"/>
                <w:szCs w:val="44"/>
              </w:rPr>
            </w:pPr>
            <w:r w:rsidRPr="00087491">
              <w:rPr>
                <w:rFonts w:ascii="Times New Roman" w:eastAsia="Times New Roman" w:hAnsi="Times New Roman" w:cs="Times New Roman"/>
                <w:color w:val="auto"/>
              </w:rPr>
              <w:fldChar w:fldCharType="end"/>
            </w:r>
          </w:p>
        </w:tc>
      </w:tr>
    </w:tbl>
    <w:p w14:paraId="1D4E1FC8" w14:textId="2C422BF2" w:rsidR="00C3664D" w:rsidRPr="007E4781" w:rsidRDefault="00C3664D" w:rsidP="00C3664D">
      <w:pPr>
        <w:spacing w:after="160" w:line="259" w:lineRule="auto"/>
        <w:jc w:val="center"/>
        <w:rPr>
          <w:rFonts w:eastAsiaTheme="minorEastAsia"/>
          <w:sz w:val="32"/>
          <w:szCs w:val="32"/>
          <w:lang w:eastAsia="en-US"/>
        </w:rPr>
      </w:pPr>
      <w:r w:rsidRPr="00731FE8">
        <w:t xml:space="preserve"> </w:t>
      </w:r>
      <w:r w:rsidRPr="007E4781">
        <w:rPr>
          <w:rFonts w:eastAsiaTheme="minorEastAsia"/>
          <w:sz w:val="32"/>
          <w:szCs w:val="32"/>
          <w:lang w:eastAsia="en-US"/>
        </w:rPr>
        <w:t>Modul</w:t>
      </w:r>
      <w:r>
        <w:rPr>
          <w:rFonts w:eastAsiaTheme="minorEastAsia"/>
          <w:sz w:val="32"/>
          <w:szCs w:val="32"/>
          <w:lang w:eastAsia="en-US"/>
        </w:rPr>
        <w:t>e</w:t>
      </w:r>
      <w:r w:rsidRPr="007E4781">
        <w:rPr>
          <w:rFonts w:eastAsiaTheme="minorEastAsia"/>
          <w:sz w:val="32"/>
          <w:szCs w:val="32"/>
          <w:lang w:eastAsia="en-US"/>
        </w:rPr>
        <w:t xml:space="preserve"> Code: </w:t>
      </w:r>
      <w:r w:rsidRPr="00731FE8">
        <w:rPr>
          <w:sz w:val="32"/>
          <w:szCs w:val="32"/>
        </w:rPr>
        <w:t>LCBB</w:t>
      </w:r>
      <w:r>
        <w:rPr>
          <w:sz w:val="32"/>
          <w:szCs w:val="32"/>
        </w:rPr>
        <w:t>6</w:t>
      </w:r>
      <w:r w:rsidRPr="00731FE8">
        <w:rPr>
          <w:sz w:val="32"/>
          <w:szCs w:val="32"/>
        </w:rPr>
        <w:t>00</w:t>
      </w:r>
      <w:r w:rsidR="00087491">
        <w:rPr>
          <w:sz w:val="32"/>
          <w:szCs w:val="32"/>
        </w:rPr>
        <w:t>2</w:t>
      </w:r>
    </w:p>
    <w:p w14:paraId="5925F520" w14:textId="77777777" w:rsidR="00C3664D" w:rsidRPr="00087491" w:rsidRDefault="00C3664D" w:rsidP="00C3664D">
      <w:pPr>
        <w:pStyle w:val="Default"/>
        <w:rPr>
          <w:sz w:val="44"/>
          <w:szCs w:val="44"/>
        </w:rPr>
      </w:pPr>
    </w:p>
    <w:p w14:paraId="2039B2AE" w14:textId="77777777" w:rsidR="00C3664D" w:rsidRPr="00087491" w:rsidRDefault="00C3664D" w:rsidP="00C3664D">
      <w:pPr>
        <w:spacing w:after="160" w:line="259" w:lineRule="auto"/>
        <w:jc w:val="center"/>
        <w:rPr>
          <w:rFonts w:eastAsiaTheme="minorEastAsia"/>
          <w:sz w:val="44"/>
          <w:szCs w:val="44"/>
          <w:lang w:eastAsia="en-US"/>
        </w:rPr>
      </w:pPr>
      <w:r w:rsidRPr="00087491">
        <w:rPr>
          <w:rFonts w:eastAsiaTheme="minorEastAsia"/>
          <w:sz w:val="44"/>
          <w:szCs w:val="44"/>
          <w:lang w:eastAsia="en-US"/>
        </w:rPr>
        <w:t>Assessment 1</w:t>
      </w:r>
    </w:p>
    <w:p w14:paraId="6D56BED7" w14:textId="66CBA024" w:rsidR="00087491" w:rsidRPr="00087491" w:rsidRDefault="00087491" w:rsidP="00087491">
      <w:pPr>
        <w:spacing w:after="160" w:line="360" w:lineRule="auto"/>
        <w:rPr>
          <w:rFonts w:eastAsia="Times New Roman"/>
          <w:bCs/>
          <w:sz w:val="32"/>
          <w:szCs w:val="32"/>
        </w:rPr>
      </w:pPr>
    </w:p>
    <w:p w14:paraId="33E4256F" w14:textId="77777777" w:rsidR="00087491" w:rsidRPr="00087491" w:rsidRDefault="00087491" w:rsidP="00087491">
      <w:pPr>
        <w:spacing w:after="160" w:line="360" w:lineRule="auto"/>
        <w:jc w:val="center"/>
        <w:rPr>
          <w:rFonts w:eastAsia="Times New Roman"/>
          <w:b/>
          <w:sz w:val="40"/>
          <w:szCs w:val="40"/>
        </w:rPr>
      </w:pPr>
      <w:r w:rsidRPr="00087491">
        <w:rPr>
          <w:rFonts w:eastAsia="Times New Roman"/>
          <w:b/>
          <w:sz w:val="40"/>
          <w:szCs w:val="40"/>
        </w:rPr>
        <w:t>Case study of Rio Tinto Group</w:t>
      </w:r>
    </w:p>
    <w:p w14:paraId="60887FD2" w14:textId="77777777" w:rsidR="00C3664D" w:rsidRPr="0091443C" w:rsidRDefault="00C3664D" w:rsidP="00C3664D">
      <w:pPr>
        <w:spacing w:after="160" w:line="259" w:lineRule="auto"/>
        <w:jc w:val="center"/>
        <w:rPr>
          <w:rFonts w:eastAsiaTheme="minorEastAsia"/>
          <w:sz w:val="32"/>
          <w:szCs w:val="32"/>
          <w:lang w:eastAsia="en-US"/>
        </w:rPr>
      </w:pPr>
    </w:p>
    <w:p w14:paraId="630684F9" w14:textId="77777777" w:rsidR="00C3664D" w:rsidRPr="007E4781" w:rsidRDefault="00C3664D" w:rsidP="00C3664D">
      <w:pPr>
        <w:spacing w:after="160" w:line="259" w:lineRule="auto"/>
        <w:rPr>
          <w:rFonts w:eastAsiaTheme="minorEastAsia"/>
          <w:b/>
          <w:bCs/>
          <w:sz w:val="32"/>
          <w:szCs w:val="32"/>
          <w:lang w:eastAsia="en-US"/>
        </w:rPr>
      </w:pPr>
    </w:p>
    <w:p w14:paraId="0C283813" w14:textId="77777777" w:rsidR="00C3664D" w:rsidRPr="007E4781" w:rsidRDefault="00C3664D" w:rsidP="00C3664D">
      <w:pPr>
        <w:spacing w:after="160" w:line="259" w:lineRule="auto"/>
        <w:rPr>
          <w:rFonts w:eastAsiaTheme="minorEastAsia"/>
          <w:sz w:val="36"/>
          <w:szCs w:val="36"/>
          <w:lang w:eastAsia="en-US"/>
        </w:rPr>
      </w:pPr>
      <w:r w:rsidRPr="007E4781">
        <w:rPr>
          <w:rFonts w:eastAsiaTheme="minorEastAsia"/>
          <w:sz w:val="36"/>
          <w:szCs w:val="36"/>
          <w:lang w:eastAsia="en-US"/>
        </w:rPr>
        <w:t>Student name: Miglena Toteva</w:t>
      </w:r>
    </w:p>
    <w:p w14:paraId="7DFBEECA" w14:textId="77777777" w:rsidR="00C3664D" w:rsidRPr="007E4781" w:rsidRDefault="00C3664D" w:rsidP="00C3664D">
      <w:pPr>
        <w:spacing w:after="160" w:line="259" w:lineRule="auto"/>
        <w:rPr>
          <w:rFonts w:eastAsiaTheme="minorEastAsia"/>
          <w:sz w:val="36"/>
          <w:szCs w:val="36"/>
          <w:lang w:eastAsia="en-US"/>
        </w:rPr>
      </w:pPr>
      <w:r w:rsidRPr="007E4781">
        <w:rPr>
          <w:rFonts w:eastAsiaTheme="minorEastAsia"/>
          <w:sz w:val="36"/>
          <w:szCs w:val="36"/>
          <w:lang w:eastAsia="en-US"/>
        </w:rPr>
        <w:t>Student ID:2023087</w:t>
      </w:r>
    </w:p>
    <w:p w14:paraId="4504BCEF" w14:textId="77777777" w:rsidR="00C3664D" w:rsidRDefault="00C3664D" w:rsidP="00C3664D">
      <w:pPr>
        <w:spacing w:after="160" w:line="259" w:lineRule="auto"/>
        <w:rPr>
          <w:rFonts w:eastAsia="Times New Roman"/>
          <w:sz w:val="48"/>
          <w:szCs w:val="48"/>
          <w:lang w:val="bg-BG" w:eastAsia="en-US"/>
        </w:rPr>
      </w:pPr>
    </w:p>
    <w:p w14:paraId="61D0F8E9" w14:textId="77777777" w:rsidR="00C3664D" w:rsidRPr="00087491" w:rsidRDefault="00C3664D" w:rsidP="00C3664D">
      <w:pPr>
        <w:spacing w:after="160" w:line="259" w:lineRule="auto"/>
        <w:rPr>
          <w:rFonts w:eastAsia="Times New Roman"/>
          <w:sz w:val="28"/>
          <w:szCs w:val="28"/>
          <w:lang w:val="bg-BG" w:eastAsia="en-US"/>
        </w:rPr>
      </w:pPr>
    </w:p>
    <w:p w14:paraId="28E9E58D" w14:textId="122170AC" w:rsidR="00C3664D" w:rsidRPr="00087491" w:rsidRDefault="00C3664D" w:rsidP="00C3664D">
      <w:pPr>
        <w:spacing w:after="160" w:line="259" w:lineRule="auto"/>
        <w:rPr>
          <w:rFonts w:eastAsiaTheme="minorEastAsia"/>
          <w:sz w:val="28"/>
          <w:szCs w:val="28"/>
        </w:rPr>
      </w:pPr>
      <w:r w:rsidRPr="00087491">
        <w:rPr>
          <w:rFonts w:eastAsiaTheme="minorEastAsia"/>
          <w:color w:val="000000"/>
          <w:kern w:val="24"/>
          <w:sz w:val="28"/>
          <w:szCs w:val="28"/>
          <w:lang w:val="en-US" w:eastAsia="en-US"/>
        </w:rPr>
        <w:t>Lecture name</w:t>
      </w:r>
      <w:r w:rsidRPr="00087491">
        <w:rPr>
          <w:rFonts w:eastAsiaTheme="minorEastAsia"/>
          <w:sz w:val="28"/>
          <w:szCs w:val="28"/>
          <w:lang w:eastAsia="en-US"/>
        </w:rPr>
        <w:t xml:space="preserve">: </w:t>
      </w:r>
      <w:proofErr w:type="spellStart"/>
      <w:proofErr w:type="gramStart"/>
      <w:r w:rsidR="00087491" w:rsidRPr="00087491">
        <w:rPr>
          <w:color w:val="373A3C"/>
          <w:sz w:val="28"/>
          <w:szCs w:val="28"/>
          <w:shd w:val="clear" w:color="auto" w:fill="F9F9F9"/>
        </w:rPr>
        <w:t>Dr</w:t>
      </w:r>
      <w:r w:rsidR="00087491">
        <w:rPr>
          <w:color w:val="373A3C"/>
          <w:sz w:val="28"/>
          <w:szCs w:val="28"/>
          <w:shd w:val="clear" w:color="auto" w:fill="F9F9F9"/>
        </w:rPr>
        <w:t>.</w:t>
      </w:r>
      <w:proofErr w:type="spellEnd"/>
      <w:r w:rsidR="00087491" w:rsidRPr="00087491">
        <w:rPr>
          <w:color w:val="373A3C"/>
          <w:sz w:val="28"/>
          <w:szCs w:val="28"/>
          <w:shd w:val="clear" w:color="auto" w:fill="F9F9F9"/>
        </w:rPr>
        <w:t>.</w:t>
      </w:r>
      <w:proofErr w:type="gramEnd"/>
      <w:r w:rsidR="00087491" w:rsidRPr="00087491">
        <w:rPr>
          <w:color w:val="373A3C"/>
          <w:sz w:val="28"/>
          <w:szCs w:val="28"/>
          <w:shd w:val="clear" w:color="auto" w:fill="F9F9F9"/>
        </w:rPr>
        <w:t xml:space="preserve"> Rexon Nting</w:t>
      </w:r>
    </w:p>
    <w:p w14:paraId="30182312" w14:textId="2A97B846" w:rsidR="00C3664D" w:rsidRDefault="00C3664D" w:rsidP="00C3664D">
      <w:pPr>
        <w:spacing w:after="160" w:line="259" w:lineRule="auto"/>
        <w:rPr>
          <w:rFonts w:eastAsiaTheme="minorEastAsia"/>
          <w:sz w:val="28"/>
          <w:szCs w:val="28"/>
        </w:rPr>
      </w:pPr>
      <w:r w:rsidRPr="00087491">
        <w:rPr>
          <w:rFonts w:eastAsiaTheme="minorEastAsia"/>
          <w:sz w:val="28"/>
          <w:szCs w:val="28"/>
        </w:rPr>
        <w:t xml:space="preserve">Date of submission: </w:t>
      </w:r>
      <w:r w:rsidR="00087491" w:rsidRPr="00087491">
        <w:rPr>
          <w:rFonts w:eastAsiaTheme="minorEastAsia"/>
          <w:sz w:val="28"/>
          <w:szCs w:val="28"/>
        </w:rPr>
        <w:t>May</w:t>
      </w:r>
      <w:r w:rsidRPr="00087491">
        <w:rPr>
          <w:rFonts w:eastAsiaTheme="minorEastAsia"/>
          <w:sz w:val="28"/>
          <w:szCs w:val="28"/>
        </w:rPr>
        <w:t xml:space="preserve"> 2023</w:t>
      </w:r>
    </w:p>
    <w:p w14:paraId="2B5CCB83" w14:textId="77777777" w:rsidR="00087491" w:rsidRPr="00087491" w:rsidRDefault="00087491" w:rsidP="00C3664D">
      <w:pPr>
        <w:spacing w:after="160" w:line="259" w:lineRule="auto"/>
        <w:rPr>
          <w:rFonts w:eastAsiaTheme="minorEastAsia"/>
          <w:sz w:val="28"/>
          <w:szCs w:val="28"/>
        </w:rPr>
      </w:pPr>
    </w:p>
    <w:p w14:paraId="21F82693" w14:textId="77777777" w:rsidR="00087491" w:rsidRPr="00A333CA" w:rsidRDefault="00087491" w:rsidP="00087491">
      <w:pPr>
        <w:spacing w:after="160" w:line="360" w:lineRule="auto"/>
        <w:rPr>
          <w:rFonts w:eastAsia="Times New Roman"/>
          <w:b/>
          <w:sz w:val="32"/>
          <w:szCs w:val="32"/>
        </w:rPr>
      </w:pPr>
      <w:r w:rsidRPr="00A333CA">
        <w:rPr>
          <w:rFonts w:eastAsia="Times New Roman"/>
          <w:b/>
          <w:sz w:val="32"/>
          <w:szCs w:val="32"/>
        </w:rPr>
        <w:t xml:space="preserve">Table of contents </w:t>
      </w:r>
    </w:p>
    <w:p w14:paraId="17925173" w14:textId="77777777" w:rsidR="00A333CA" w:rsidRDefault="00A333CA" w:rsidP="00087491">
      <w:pPr>
        <w:spacing w:after="160" w:line="360" w:lineRule="auto"/>
        <w:rPr>
          <w:rFonts w:eastAsia="Times New Roman"/>
          <w:b/>
          <w:sz w:val="24"/>
          <w:szCs w:val="24"/>
        </w:rPr>
      </w:pPr>
    </w:p>
    <w:p w14:paraId="5F01E58F" w14:textId="77777777" w:rsidR="00A333CA" w:rsidRPr="00087491" w:rsidRDefault="00A333CA" w:rsidP="00087491">
      <w:pPr>
        <w:spacing w:after="160" w:line="360" w:lineRule="auto"/>
        <w:rPr>
          <w:rFonts w:eastAsia="Times New Roman"/>
          <w:sz w:val="24"/>
          <w:szCs w:val="24"/>
        </w:rPr>
      </w:pPr>
    </w:p>
    <w:sdt>
      <w:sdtPr>
        <w:id w:val="-1902668154"/>
        <w:docPartObj>
          <w:docPartGallery w:val="Table of Contents"/>
          <w:docPartUnique/>
        </w:docPartObj>
      </w:sdtPr>
      <w:sdtEndPr>
        <w:rPr>
          <w:sz w:val="24"/>
          <w:szCs w:val="24"/>
        </w:rPr>
      </w:sdtEndPr>
      <w:sdtContent>
        <w:p w14:paraId="47ECA1E7" w14:textId="232BD35F" w:rsidR="00087491" w:rsidRPr="00A333CA" w:rsidRDefault="00A333CA" w:rsidP="00A333CA">
          <w:pPr>
            <w:widowControl w:val="0"/>
            <w:tabs>
              <w:tab w:val="right" w:pos="12000"/>
            </w:tabs>
            <w:spacing w:before="60" w:line="360" w:lineRule="auto"/>
            <w:rPr>
              <w:b/>
              <w:color w:val="000000"/>
              <w:sz w:val="24"/>
              <w:szCs w:val="24"/>
            </w:rPr>
          </w:pPr>
          <w:r>
            <w:t>1.</w:t>
          </w:r>
          <w:r w:rsidR="00C91A0C">
            <w:t>Introduction……………………………………………</w:t>
          </w:r>
          <w:r>
            <w:t>……..</w:t>
          </w:r>
          <w:r w:rsidR="00C91A0C">
            <w:t>………………………</w:t>
          </w:r>
          <w:r>
            <w:t>..</w:t>
          </w:r>
          <w:r w:rsidR="00C91A0C">
            <w:t>……………2</w:t>
          </w:r>
          <w:r w:rsidR="00087491" w:rsidRPr="00A333CA">
            <w:rPr>
              <w:sz w:val="24"/>
              <w:szCs w:val="24"/>
            </w:rPr>
            <w:fldChar w:fldCharType="begin"/>
          </w:r>
          <w:r w:rsidR="00087491" w:rsidRPr="00A333CA">
            <w:rPr>
              <w:sz w:val="24"/>
              <w:szCs w:val="24"/>
            </w:rPr>
            <w:instrText xml:space="preserve"> TOC \h \u \z \t "Heading 1,1,Heading 2,2,Heading 3,3,Heading 4,4,Heading 5,5,Heading 6,6,"</w:instrText>
          </w:r>
          <w:r w:rsidR="00087491" w:rsidRPr="00A333CA">
            <w:rPr>
              <w:sz w:val="24"/>
              <w:szCs w:val="24"/>
            </w:rPr>
            <w:fldChar w:fldCharType="separate"/>
          </w:r>
          <w:hyperlink w:anchor="_gjdgxs"/>
        </w:p>
        <w:p w14:paraId="5C0C0637" w14:textId="1F5801A9" w:rsidR="00087491" w:rsidRPr="00087491" w:rsidRDefault="00087491" w:rsidP="00087491">
          <w:pPr>
            <w:widowControl w:val="0"/>
            <w:tabs>
              <w:tab w:val="right" w:pos="12000"/>
            </w:tabs>
            <w:spacing w:before="60" w:line="360" w:lineRule="auto"/>
            <w:rPr>
              <w:b/>
              <w:color w:val="000000"/>
              <w:sz w:val="24"/>
              <w:szCs w:val="24"/>
            </w:rPr>
          </w:pPr>
          <w:hyperlink w:anchor="_30j0zll">
            <w:r w:rsidRPr="00087491">
              <w:rPr>
                <w:rFonts w:eastAsia="Times New Roman"/>
                <w:color w:val="000000"/>
                <w:sz w:val="24"/>
                <w:szCs w:val="24"/>
              </w:rPr>
              <w:t>2. Critical Analysis and Evaluation of Rio Tinto's Dividend Distribution Polic</w:t>
            </w:r>
            <w:r w:rsidR="00E110EE">
              <w:rPr>
                <w:rFonts w:eastAsia="Times New Roman"/>
                <w:color w:val="000000"/>
                <w:sz w:val="24"/>
                <w:szCs w:val="24"/>
              </w:rPr>
              <w:t>y</w:t>
            </w:r>
          </w:hyperlink>
          <w:r w:rsidR="00A333CA">
            <w:rPr>
              <w:rFonts w:eastAsia="Times New Roman"/>
              <w:color w:val="000000"/>
              <w:sz w:val="24"/>
              <w:szCs w:val="24"/>
            </w:rPr>
            <w:t>……….2</w:t>
          </w:r>
        </w:p>
        <w:p w14:paraId="54574A04" w14:textId="7BBA29E3" w:rsidR="00087491" w:rsidRPr="00087491" w:rsidRDefault="00087491" w:rsidP="00087491">
          <w:pPr>
            <w:widowControl w:val="0"/>
            <w:tabs>
              <w:tab w:val="right" w:pos="12000"/>
            </w:tabs>
            <w:spacing w:before="60" w:line="360" w:lineRule="auto"/>
            <w:rPr>
              <w:b/>
              <w:color w:val="000000"/>
              <w:sz w:val="24"/>
              <w:szCs w:val="24"/>
            </w:rPr>
          </w:pPr>
          <w:hyperlink w:anchor="_1fob9te">
            <w:r w:rsidRPr="00087491">
              <w:rPr>
                <w:rFonts w:eastAsia="Times New Roman"/>
                <w:color w:val="000000"/>
                <w:sz w:val="24"/>
                <w:szCs w:val="24"/>
              </w:rPr>
              <w:t>3. Critical Analysis of the Efficient Market Hypothesis Theory in the Context of Rio Tinto's Operations</w:t>
            </w:r>
            <w:r w:rsidR="00A333CA">
              <w:rPr>
                <w:rFonts w:eastAsia="Times New Roman"/>
                <w:color w:val="000000"/>
                <w:sz w:val="24"/>
                <w:szCs w:val="24"/>
              </w:rPr>
              <w:t>…………………………………………………………………………...3</w:t>
            </w:r>
          </w:hyperlink>
        </w:p>
        <w:p w14:paraId="33BF53B8" w14:textId="60A41B18" w:rsidR="00087491" w:rsidRPr="00087491" w:rsidRDefault="00087491" w:rsidP="00087491">
          <w:pPr>
            <w:widowControl w:val="0"/>
            <w:tabs>
              <w:tab w:val="right" w:pos="12000"/>
            </w:tabs>
            <w:spacing w:before="60" w:line="360" w:lineRule="auto"/>
            <w:rPr>
              <w:b/>
              <w:color w:val="000000"/>
              <w:sz w:val="24"/>
              <w:szCs w:val="24"/>
            </w:rPr>
          </w:pPr>
          <w:hyperlink w:anchor="_d6rnquu1liaz">
            <w:r w:rsidRPr="00087491">
              <w:rPr>
                <w:rFonts w:eastAsia="Times New Roman"/>
                <w:color w:val="000000"/>
                <w:sz w:val="24"/>
                <w:szCs w:val="24"/>
              </w:rPr>
              <w:t>4.</w:t>
            </w:r>
            <w:r>
              <w:rPr>
                <w:rFonts w:eastAsia="Times New Roman"/>
                <w:color w:val="000000"/>
                <w:sz w:val="24"/>
                <w:szCs w:val="24"/>
              </w:rPr>
              <w:t xml:space="preserve"> </w:t>
            </w:r>
            <w:r w:rsidRPr="00087491">
              <w:rPr>
                <w:rFonts w:eastAsia="Times New Roman"/>
                <w:color w:val="000000"/>
                <w:sz w:val="24"/>
                <w:szCs w:val="24"/>
              </w:rPr>
              <w:t>Critical analysis and evaluation of Rio Tinto’s methods of appraising projects</w:t>
            </w:r>
            <w:r w:rsidRPr="00087491">
              <w:rPr>
                <w:rFonts w:eastAsia="Times New Roman"/>
                <w:color w:val="000000"/>
                <w:sz w:val="24"/>
                <w:szCs w:val="24"/>
              </w:rPr>
              <w:tab/>
            </w:r>
            <w:r w:rsidR="00A333CA">
              <w:rPr>
                <w:rFonts w:eastAsia="Times New Roman"/>
                <w:color w:val="000000"/>
                <w:sz w:val="24"/>
                <w:szCs w:val="24"/>
              </w:rPr>
              <w:t>4</w:t>
            </w:r>
          </w:hyperlink>
        </w:p>
        <w:p w14:paraId="4DFB92A2" w14:textId="576FD9C4" w:rsidR="00087491" w:rsidRPr="00087491" w:rsidRDefault="00087491" w:rsidP="00087491">
          <w:pPr>
            <w:widowControl w:val="0"/>
            <w:tabs>
              <w:tab w:val="right" w:pos="12000"/>
            </w:tabs>
            <w:spacing w:before="60" w:line="360" w:lineRule="auto"/>
            <w:rPr>
              <w:b/>
              <w:color w:val="000000"/>
              <w:sz w:val="24"/>
              <w:szCs w:val="24"/>
            </w:rPr>
          </w:pPr>
          <w:hyperlink w:anchor="_2et92p0">
            <w:r w:rsidRPr="00087491">
              <w:rPr>
                <w:rFonts w:eastAsia="Times New Roman"/>
                <w:color w:val="000000"/>
                <w:sz w:val="24"/>
                <w:szCs w:val="24"/>
              </w:rPr>
              <w:t>5. Conclusion</w:t>
            </w:r>
            <w:r w:rsidR="00A333CA">
              <w:rPr>
                <w:rFonts w:eastAsia="Times New Roman"/>
                <w:color w:val="000000"/>
                <w:sz w:val="24"/>
                <w:szCs w:val="24"/>
              </w:rPr>
              <w:t>………………………………………………………………………………...5</w:t>
            </w:r>
          </w:hyperlink>
        </w:p>
        <w:p w14:paraId="4735340E" w14:textId="3E57FD30" w:rsidR="00087491" w:rsidRPr="00087491" w:rsidRDefault="00087491" w:rsidP="00087491">
          <w:pPr>
            <w:widowControl w:val="0"/>
            <w:tabs>
              <w:tab w:val="right" w:pos="12000"/>
            </w:tabs>
            <w:spacing w:before="60" w:line="360" w:lineRule="auto"/>
            <w:rPr>
              <w:b/>
              <w:color w:val="000000"/>
              <w:sz w:val="24"/>
              <w:szCs w:val="24"/>
            </w:rPr>
          </w:pPr>
          <w:hyperlink w:anchor="_tyjcwt">
            <w:r w:rsidRPr="00087491">
              <w:rPr>
                <w:rFonts w:eastAsia="Times New Roman"/>
                <w:color w:val="000000"/>
                <w:sz w:val="24"/>
                <w:szCs w:val="24"/>
              </w:rPr>
              <w:t>6. Reference list</w:t>
            </w:r>
            <w:r w:rsidR="00A333CA">
              <w:rPr>
                <w:rFonts w:eastAsia="Times New Roman"/>
                <w:color w:val="000000"/>
                <w:sz w:val="24"/>
                <w:szCs w:val="24"/>
              </w:rPr>
              <w:t>……………………………………………………………………………..6</w:t>
            </w:r>
          </w:hyperlink>
          <w:r w:rsidRPr="00087491">
            <w:rPr>
              <w:sz w:val="24"/>
              <w:szCs w:val="24"/>
            </w:rPr>
            <w:fldChar w:fldCharType="end"/>
          </w:r>
        </w:p>
      </w:sdtContent>
    </w:sdt>
    <w:p w14:paraId="5F1AE9CE" w14:textId="77777777" w:rsidR="00087491" w:rsidRDefault="00087491" w:rsidP="00087491">
      <w:pPr>
        <w:spacing w:after="160" w:line="360" w:lineRule="auto"/>
        <w:rPr>
          <w:rFonts w:ascii="Times New Roman" w:eastAsia="Times New Roman" w:hAnsi="Times New Roman" w:cs="Times New Roman"/>
          <w:sz w:val="24"/>
          <w:szCs w:val="24"/>
        </w:rPr>
      </w:pPr>
    </w:p>
    <w:p w14:paraId="5056A8A7" w14:textId="77777777" w:rsidR="00E77264" w:rsidRDefault="00E77264"/>
    <w:p w14:paraId="079CA1D1" w14:textId="77777777" w:rsidR="002F73C0" w:rsidRDefault="002F73C0"/>
    <w:p w14:paraId="4095453C" w14:textId="77777777" w:rsidR="002F73C0" w:rsidRDefault="002F73C0"/>
    <w:p w14:paraId="132E31E2" w14:textId="77777777" w:rsidR="002F73C0" w:rsidRDefault="002F73C0"/>
    <w:p w14:paraId="1DB47D8D" w14:textId="77777777" w:rsidR="002F73C0" w:rsidRDefault="002F73C0"/>
    <w:p w14:paraId="546CB0BB" w14:textId="77777777" w:rsidR="002F73C0" w:rsidRDefault="002F73C0"/>
    <w:p w14:paraId="60F67584" w14:textId="77777777" w:rsidR="002F73C0" w:rsidRDefault="002F73C0"/>
    <w:p w14:paraId="2F3612C3" w14:textId="77777777" w:rsidR="002F73C0" w:rsidRDefault="002F73C0"/>
    <w:p w14:paraId="238BC8DE" w14:textId="77777777" w:rsidR="002F73C0" w:rsidRDefault="002F73C0"/>
    <w:p w14:paraId="22DFA792" w14:textId="77777777" w:rsidR="002F73C0" w:rsidRDefault="002F73C0"/>
    <w:p w14:paraId="36F6FE4A" w14:textId="77777777" w:rsidR="002F73C0" w:rsidRDefault="002F73C0"/>
    <w:p w14:paraId="05249AEA" w14:textId="77777777" w:rsidR="002F73C0" w:rsidRDefault="002F73C0"/>
    <w:p w14:paraId="0A39AB1E" w14:textId="77777777" w:rsidR="002F73C0" w:rsidRDefault="002F73C0"/>
    <w:p w14:paraId="3E9B149D" w14:textId="77777777" w:rsidR="002F73C0" w:rsidRDefault="002F73C0"/>
    <w:p w14:paraId="6D770AB4" w14:textId="77777777" w:rsidR="002F73C0" w:rsidRDefault="002F73C0"/>
    <w:p w14:paraId="2E89D53B" w14:textId="77777777" w:rsidR="002F73C0" w:rsidRDefault="002F73C0"/>
    <w:p w14:paraId="6061C87D" w14:textId="77777777" w:rsidR="002F73C0" w:rsidRDefault="002F73C0"/>
    <w:p w14:paraId="3F8DDEB6" w14:textId="77777777" w:rsidR="002F73C0" w:rsidRDefault="002F73C0"/>
    <w:p w14:paraId="2F7D7E26" w14:textId="77777777" w:rsidR="002F73C0" w:rsidRDefault="002F73C0"/>
    <w:p w14:paraId="1EF02835" w14:textId="77777777" w:rsidR="002F73C0" w:rsidRDefault="002F73C0"/>
    <w:p w14:paraId="751A30F1" w14:textId="77777777" w:rsidR="002F73C0" w:rsidRDefault="002F73C0"/>
    <w:p w14:paraId="5E79E969" w14:textId="77777777" w:rsidR="002F73C0" w:rsidRDefault="002F73C0"/>
    <w:p w14:paraId="386CC759" w14:textId="77777777" w:rsidR="002F73C0" w:rsidRDefault="002F73C0"/>
    <w:p w14:paraId="6C96F251" w14:textId="77777777" w:rsidR="002F73C0" w:rsidRDefault="002F73C0"/>
    <w:p w14:paraId="6E115D8B" w14:textId="77777777" w:rsidR="002F73C0" w:rsidRDefault="002F73C0"/>
    <w:p w14:paraId="1954CEE2" w14:textId="77777777" w:rsidR="002F73C0" w:rsidRDefault="002F73C0"/>
    <w:p w14:paraId="2292285B" w14:textId="77777777" w:rsidR="002F73C0" w:rsidRDefault="002F73C0"/>
    <w:p w14:paraId="7E568089" w14:textId="0E25EAAB" w:rsidR="002F73C0" w:rsidRPr="00360E0A" w:rsidRDefault="002F73C0" w:rsidP="00360E0A">
      <w:pPr>
        <w:spacing w:line="360" w:lineRule="auto"/>
        <w:rPr>
          <w:sz w:val="32"/>
          <w:szCs w:val="32"/>
        </w:rPr>
      </w:pPr>
      <w:r w:rsidRPr="00360E0A">
        <w:rPr>
          <w:sz w:val="32"/>
          <w:szCs w:val="32"/>
        </w:rPr>
        <w:lastRenderedPageBreak/>
        <w:t>Introduction</w:t>
      </w:r>
    </w:p>
    <w:p w14:paraId="28A52DEE" w14:textId="77777777" w:rsidR="002F73C0" w:rsidRPr="00360E0A" w:rsidRDefault="002F73C0" w:rsidP="00360E0A">
      <w:pPr>
        <w:pStyle w:val="ListParagraph"/>
        <w:spacing w:line="360" w:lineRule="auto"/>
        <w:ind w:left="372"/>
        <w:rPr>
          <w:sz w:val="24"/>
          <w:szCs w:val="24"/>
        </w:rPr>
      </w:pPr>
    </w:p>
    <w:p w14:paraId="41A5F518" w14:textId="6ACBBFB7" w:rsidR="002F73C0" w:rsidRPr="00360E0A" w:rsidRDefault="002F73C0" w:rsidP="00360E0A">
      <w:pPr>
        <w:spacing w:line="360" w:lineRule="auto"/>
        <w:rPr>
          <w:sz w:val="24"/>
          <w:szCs w:val="24"/>
        </w:rPr>
      </w:pPr>
      <w:r w:rsidRPr="00360E0A">
        <w:rPr>
          <w:sz w:val="24"/>
          <w:szCs w:val="24"/>
        </w:rPr>
        <w:t>Multinational businesses (MNCs) operating in a globalised environment need international financial management</w:t>
      </w:r>
      <w:r w:rsidR="00D92B3C">
        <w:rPr>
          <w:sz w:val="24"/>
          <w:szCs w:val="24"/>
        </w:rPr>
        <w:t xml:space="preserve"> (</w:t>
      </w:r>
      <w:proofErr w:type="gramStart"/>
      <w:r w:rsidR="00D92B3C">
        <w:rPr>
          <w:sz w:val="24"/>
          <w:szCs w:val="24"/>
        </w:rPr>
        <w:t xml:space="preserve">IFM) </w:t>
      </w:r>
      <w:r w:rsidRPr="00360E0A">
        <w:rPr>
          <w:sz w:val="24"/>
          <w:szCs w:val="24"/>
        </w:rPr>
        <w:t xml:space="preserve"> to</w:t>
      </w:r>
      <w:proofErr w:type="gramEnd"/>
      <w:r w:rsidRPr="00360E0A">
        <w:rPr>
          <w:sz w:val="24"/>
          <w:szCs w:val="24"/>
        </w:rPr>
        <w:t xml:space="preserve"> manage their financial resources and the risks involved in transnational commercial operations. MNCs' successful operation and long-term survival depend on competent financial resource management. The significance </w:t>
      </w:r>
      <w:r w:rsidR="00360E0A" w:rsidRPr="00360E0A">
        <w:rPr>
          <w:sz w:val="24"/>
          <w:szCs w:val="24"/>
        </w:rPr>
        <w:t>of International</w:t>
      </w:r>
      <w:r w:rsidRPr="00360E0A">
        <w:rPr>
          <w:sz w:val="24"/>
          <w:szCs w:val="24"/>
        </w:rPr>
        <w:t xml:space="preserve"> Financial Management to Rio Tinto Group, one of the world's biggest mining and metals companies with headquarters in the UK, is examined further down in this research paper. In the context of its operations, the research examines Rio Tinto's dividend distribution policy, project appraisal techniques, and efficient market hypothesis theory. This study critically evaluates Rio Tinto's financial strategies and determines any obstacles the company may encounter in various global financial markets.</w:t>
      </w:r>
    </w:p>
    <w:p w14:paraId="3F7AAC7F" w14:textId="77777777" w:rsidR="002F73C0" w:rsidRDefault="002F73C0" w:rsidP="00360E0A">
      <w:pPr>
        <w:spacing w:line="360" w:lineRule="auto"/>
        <w:rPr>
          <w:sz w:val="24"/>
          <w:szCs w:val="24"/>
        </w:rPr>
      </w:pPr>
    </w:p>
    <w:p w14:paraId="44143541" w14:textId="77777777" w:rsidR="00C91A0C" w:rsidRDefault="00C91A0C" w:rsidP="00360E0A">
      <w:pPr>
        <w:spacing w:line="360" w:lineRule="auto"/>
        <w:rPr>
          <w:sz w:val="24"/>
          <w:szCs w:val="24"/>
        </w:rPr>
      </w:pPr>
    </w:p>
    <w:p w14:paraId="3406EAFB" w14:textId="77777777" w:rsidR="00C91A0C" w:rsidRPr="00C91A0C" w:rsidRDefault="00C91A0C" w:rsidP="00360E0A">
      <w:pPr>
        <w:spacing w:line="360" w:lineRule="auto"/>
        <w:rPr>
          <w:sz w:val="28"/>
          <w:szCs w:val="28"/>
        </w:rPr>
      </w:pPr>
    </w:p>
    <w:p w14:paraId="03879501" w14:textId="77777777" w:rsidR="00C91A0C" w:rsidRPr="00C91A0C" w:rsidRDefault="00C91A0C" w:rsidP="00360E0A">
      <w:pPr>
        <w:spacing w:line="360" w:lineRule="auto"/>
        <w:rPr>
          <w:sz w:val="28"/>
          <w:szCs w:val="28"/>
        </w:rPr>
      </w:pPr>
    </w:p>
    <w:p w14:paraId="1424A9EC" w14:textId="0A93A4EB" w:rsidR="00C91A0C" w:rsidRDefault="00C91A0C" w:rsidP="00C91A0C">
      <w:pPr>
        <w:spacing w:line="360" w:lineRule="auto"/>
        <w:rPr>
          <w:sz w:val="28"/>
          <w:szCs w:val="28"/>
        </w:rPr>
      </w:pPr>
      <w:r w:rsidRPr="00C91A0C">
        <w:rPr>
          <w:sz w:val="28"/>
          <w:szCs w:val="28"/>
        </w:rPr>
        <w:t>2. Critical Analysis and Evaluation of Rio Tinto's Dividend Distribution Policy</w:t>
      </w:r>
    </w:p>
    <w:p w14:paraId="265C06CE" w14:textId="77777777" w:rsidR="00C91A0C" w:rsidRPr="00C91A0C" w:rsidRDefault="00C91A0C" w:rsidP="00C91A0C">
      <w:pPr>
        <w:spacing w:line="360" w:lineRule="auto"/>
        <w:rPr>
          <w:sz w:val="28"/>
          <w:szCs w:val="28"/>
        </w:rPr>
      </w:pPr>
    </w:p>
    <w:p w14:paraId="5D97771C" w14:textId="77777777" w:rsidR="00C91A0C" w:rsidRPr="00C91A0C" w:rsidRDefault="00C91A0C" w:rsidP="00C91A0C">
      <w:pPr>
        <w:spacing w:line="360" w:lineRule="auto"/>
        <w:rPr>
          <w:sz w:val="24"/>
          <w:szCs w:val="24"/>
        </w:rPr>
      </w:pPr>
      <w:r w:rsidRPr="00C91A0C">
        <w:rPr>
          <w:sz w:val="24"/>
          <w:szCs w:val="24"/>
        </w:rPr>
        <w:t xml:space="preserve">As part of its IFM strategy, Rio Tinto is committed to distributing dividends to shareholders, with these dividends being stable and expanding over time, all while maintaining a balance sheet and a position of liquidity. According to the agency theory, which contends that businesses should maximise shareholder value (Arnold, 2012), it can be safely asserted that Rio Tinto acts in line with this theory. The fact that Rio Tinto's dividend yield is higher than the industry average demonstrates the company's dedication to providing its shareholders with greater returns. With a total dividend payment of US$9.1 billion made in 2021, Rio Tinto had a dividend yield of 4.1%. (Biesheuvel and Thornhill, 2021). Yet, currency risk and tax laws make Rio Tinto's dividend programme challenging to implement in various foreign financial markets. The dividend </w:t>
      </w:r>
      <w:proofErr w:type="spellStart"/>
      <w:r w:rsidRPr="00C91A0C">
        <w:rPr>
          <w:sz w:val="24"/>
          <w:szCs w:val="24"/>
        </w:rPr>
        <w:t>payout</w:t>
      </w:r>
      <w:proofErr w:type="spellEnd"/>
      <w:r w:rsidRPr="00C91A0C">
        <w:rPr>
          <w:sz w:val="24"/>
          <w:szCs w:val="24"/>
        </w:rPr>
        <w:t xml:space="preserve"> ratio of Rio Tinto may be impacted by its operations in various nations, each of which has a special dividend tax rate.</w:t>
      </w:r>
    </w:p>
    <w:p w14:paraId="16C145BD" w14:textId="77777777" w:rsidR="00C91A0C" w:rsidRDefault="00C91A0C" w:rsidP="00C91A0C">
      <w:pPr>
        <w:spacing w:line="360" w:lineRule="auto"/>
        <w:rPr>
          <w:sz w:val="24"/>
          <w:szCs w:val="24"/>
        </w:rPr>
      </w:pPr>
      <w:r w:rsidRPr="00C91A0C">
        <w:rPr>
          <w:sz w:val="24"/>
          <w:szCs w:val="24"/>
        </w:rPr>
        <w:lastRenderedPageBreak/>
        <w:t xml:space="preserve">Furthermore, changes in foreign currency rates may affect the value of dividends paid in other currencies. However, these difficulties can be reduced by implementing suitable hedging techniques, such as currency swaps and forward contracts (Rio Tinto, 2023). By implementing the tactics mentioned above, the business </w:t>
      </w:r>
      <w:proofErr w:type="gramStart"/>
      <w:r w:rsidRPr="00C91A0C">
        <w:rPr>
          <w:sz w:val="24"/>
          <w:szCs w:val="24"/>
        </w:rPr>
        <w:t>is able to</w:t>
      </w:r>
      <w:proofErr w:type="gramEnd"/>
      <w:r w:rsidRPr="00C91A0C">
        <w:rPr>
          <w:sz w:val="24"/>
          <w:szCs w:val="24"/>
        </w:rPr>
        <w:t xml:space="preserve"> lower the risk associated with currency fluctuations and maintain a steady dividend </w:t>
      </w:r>
      <w:proofErr w:type="spellStart"/>
      <w:r w:rsidRPr="00C91A0C">
        <w:rPr>
          <w:sz w:val="24"/>
          <w:szCs w:val="24"/>
        </w:rPr>
        <w:t>payout</w:t>
      </w:r>
      <w:proofErr w:type="spellEnd"/>
      <w:r w:rsidRPr="00C91A0C">
        <w:rPr>
          <w:sz w:val="24"/>
          <w:szCs w:val="24"/>
        </w:rPr>
        <w:t>. Additionally, Rio Tinto can finance its dividend payments without the need for outside funding sources like debt or stock issuance, thanks to its solid cash position.</w:t>
      </w:r>
    </w:p>
    <w:p w14:paraId="0BFFDEA6" w14:textId="77777777" w:rsidR="00C91A0C" w:rsidRDefault="00C91A0C" w:rsidP="00C91A0C">
      <w:pPr>
        <w:spacing w:line="360" w:lineRule="auto"/>
        <w:rPr>
          <w:sz w:val="24"/>
          <w:szCs w:val="24"/>
        </w:rPr>
      </w:pPr>
    </w:p>
    <w:p w14:paraId="0004241E" w14:textId="77777777" w:rsidR="00C91A0C" w:rsidRPr="00C91A0C" w:rsidRDefault="00C91A0C" w:rsidP="00C91A0C">
      <w:pPr>
        <w:spacing w:line="360" w:lineRule="auto"/>
        <w:rPr>
          <w:sz w:val="24"/>
          <w:szCs w:val="24"/>
        </w:rPr>
      </w:pPr>
    </w:p>
    <w:p w14:paraId="0F9D31F7" w14:textId="77777777" w:rsidR="00C91A0C" w:rsidRPr="00C91A0C" w:rsidRDefault="00C91A0C" w:rsidP="00C91A0C">
      <w:pPr>
        <w:spacing w:line="360" w:lineRule="auto"/>
        <w:rPr>
          <w:sz w:val="24"/>
          <w:szCs w:val="24"/>
        </w:rPr>
      </w:pPr>
    </w:p>
    <w:p w14:paraId="1C927D17" w14:textId="44A6D305" w:rsidR="00C91A0C" w:rsidRDefault="00C91A0C" w:rsidP="00C91A0C">
      <w:pPr>
        <w:spacing w:line="360" w:lineRule="auto"/>
        <w:rPr>
          <w:sz w:val="28"/>
          <w:szCs w:val="28"/>
        </w:rPr>
      </w:pPr>
      <w:r w:rsidRPr="00C91A0C">
        <w:rPr>
          <w:sz w:val="28"/>
          <w:szCs w:val="28"/>
        </w:rPr>
        <w:t>3. Critical Analysis of the Efficient Market Hypothesis Theory in the Context of Rio Tinto's Operations</w:t>
      </w:r>
    </w:p>
    <w:p w14:paraId="726C94BE" w14:textId="77777777" w:rsidR="00C91A0C" w:rsidRPr="00C91A0C" w:rsidRDefault="00C91A0C" w:rsidP="00C91A0C">
      <w:pPr>
        <w:spacing w:line="360" w:lineRule="auto"/>
        <w:rPr>
          <w:sz w:val="28"/>
          <w:szCs w:val="28"/>
        </w:rPr>
      </w:pPr>
    </w:p>
    <w:p w14:paraId="3AD5A336" w14:textId="77777777" w:rsidR="00C91A0C" w:rsidRPr="00C91A0C" w:rsidRDefault="00C91A0C" w:rsidP="00C91A0C">
      <w:pPr>
        <w:spacing w:line="360" w:lineRule="auto"/>
        <w:rPr>
          <w:sz w:val="24"/>
          <w:szCs w:val="24"/>
        </w:rPr>
      </w:pPr>
      <w:r w:rsidRPr="00C91A0C">
        <w:rPr>
          <w:sz w:val="24"/>
          <w:szCs w:val="24"/>
        </w:rPr>
        <w:t xml:space="preserve">According to the efficient market hypothesis (EMH), asset prices accurately reflect all available information, and financial markets are decidedly efficient (Madura &amp; Fox, 2011). The hypothesis asserts that asset prices always reflect their fair worth since rational investors can access the same information. There are three variations of the EMH theory: weak, semi-strong, and strong. According to the weak version of the EMH, asset prices reflect price and volume information from previous trades. The semi-strong form implies that asset prices consider all information readily accessible to the </w:t>
      </w:r>
      <w:proofErr w:type="gramStart"/>
      <w:r w:rsidRPr="00C91A0C">
        <w:rPr>
          <w:sz w:val="24"/>
          <w:szCs w:val="24"/>
        </w:rPr>
        <w:t>general public</w:t>
      </w:r>
      <w:proofErr w:type="gramEnd"/>
      <w:r w:rsidRPr="00C91A0C">
        <w:rPr>
          <w:sz w:val="24"/>
          <w:szCs w:val="24"/>
        </w:rPr>
        <w:t>, such as financial statements and other corporate disclosures. Due to the strong form of the EMH, asset prices consider all available information, including insider information. Rio Tinto's business activities offer empirical support for the intense degree of the EMH theory, as the company's stock prices consider all available data, including insider information from themselves.</w:t>
      </w:r>
    </w:p>
    <w:p w14:paraId="30E32FE0" w14:textId="77777777" w:rsidR="00C91A0C" w:rsidRPr="00C91A0C" w:rsidRDefault="00C91A0C" w:rsidP="00C91A0C">
      <w:pPr>
        <w:spacing w:line="360" w:lineRule="auto"/>
        <w:rPr>
          <w:sz w:val="24"/>
          <w:szCs w:val="24"/>
        </w:rPr>
      </w:pPr>
      <w:r w:rsidRPr="00C91A0C">
        <w:rPr>
          <w:sz w:val="24"/>
          <w:szCs w:val="24"/>
        </w:rPr>
        <w:t xml:space="preserve">Generally, it can be safely asserted that many variables, including commodity prices, exchange rates, and geopolitical threats, impact Rio Tinto's stock price (Rio Tinto, 2023). These elements impact the company's cash flows and profitability, affecting its stock prices. Rio Tinto also works in a cutthroat market where businesses must constantly develop and spend money on new technology to stay competitive. To evaluate Rio Tinto's long-term prospects, investors regularly follow company operations and financial performance, with Rio Tinto's stock price performance demonstrating the company's adherence to the EMH thesis. Investors have priced in </w:t>
      </w:r>
      <w:r w:rsidRPr="00C91A0C">
        <w:rPr>
          <w:sz w:val="24"/>
          <w:szCs w:val="24"/>
        </w:rPr>
        <w:lastRenderedPageBreak/>
        <w:t>all available information based on the company's stock prices' minimal volatility and strong liquidity (Simply Wall St., 2023).</w:t>
      </w:r>
    </w:p>
    <w:p w14:paraId="6F237E59" w14:textId="65674A14" w:rsidR="002F73C0" w:rsidRPr="00360E0A" w:rsidRDefault="00C91A0C" w:rsidP="00C91A0C">
      <w:pPr>
        <w:spacing w:line="360" w:lineRule="auto"/>
        <w:rPr>
          <w:sz w:val="24"/>
          <w:szCs w:val="24"/>
        </w:rPr>
      </w:pPr>
      <w:r w:rsidRPr="00C91A0C">
        <w:rPr>
          <w:sz w:val="24"/>
          <w:szCs w:val="24"/>
        </w:rPr>
        <w:t xml:space="preserve">Furthermore, Rio Tinto's financial disclosures are transparent, giving investors reliable returns and upholding a consistent dividend policy over time. The company's dividend </w:t>
      </w:r>
      <w:proofErr w:type="spellStart"/>
      <w:r w:rsidRPr="00C91A0C">
        <w:rPr>
          <w:sz w:val="24"/>
          <w:szCs w:val="24"/>
        </w:rPr>
        <w:t>payout</w:t>
      </w:r>
      <w:proofErr w:type="spellEnd"/>
      <w:r w:rsidRPr="00C91A0C">
        <w:rPr>
          <w:sz w:val="24"/>
          <w:szCs w:val="24"/>
        </w:rPr>
        <w:t xml:space="preserve"> ratio has remained steady for the past ten years, averaging about 56% (Simply Wall St., 2023). The company has kept its dividend yield high throughout the past ten years, fluctuating between 4% and 8% (Simply Wall St., 2023). This shows that Rio Tinto has effectively upheld a steady dividend policy that </w:t>
      </w:r>
      <w:r w:rsidRPr="00C91A0C">
        <w:rPr>
          <w:sz w:val="24"/>
          <w:szCs w:val="24"/>
        </w:rPr>
        <w:t>offers.</w:t>
      </w:r>
    </w:p>
    <w:p w14:paraId="55DEBF91" w14:textId="77777777" w:rsidR="002F73C0" w:rsidRPr="00360E0A" w:rsidRDefault="002F73C0" w:rsidP="00360E0A">
      <w:pPr>
        <w:spacing w:line="360" w:lineRule="auto"/>
        <w:rPr>
          <w:sz w:val="24"/>
          <w:szCs w:val="24"/>
        </w:rPr>
      </w:pPr>
    </w:p>
    <w:p w14:paraId="79DFA57E" w14:textId="77777777" w:rsidR="002F73C0" w:rsidRPr="00360E0A" w:rsidRDefault="002F73C0" w:rsidP="00360E0A">
      <w:pPr>
        <w:spacing w:line="360" w:lineRule="auto"/>
        <w:rPr>
          <w:sz w:val="24"/>
          <w:szCs w:val="24"/>
        </w:rPr>
      </w:pPr>
    </w:p>
    <w:p w14:paraId="4888D0E6" w14:textId="525C64C9" w:rsidR="00A333CA" w:rsidRDefault="00A333CA" w:rsidP="00A333CA">
      <w:pPr>
        <w:spacing w:line="240" w:lineRule="auto"/>
        <w:outlineLvl w:val="0"/>
        <w:rPr>
          <w:rFonts w:eastAsia="Times New Roman"/>
          <w:color w:val="0E101A"/>
          <w:kern w:val="36"/>
          <w:sz w:val="32"/>
          <w:szCs w:val="32"/>
        </w:rPr>
      </w:pPr>
      <w:r w:rsidRPr="00A333CA">
        <w:rPr>
          <w:rFonts w:ascii="Times New Roman" w:eastAsia="Times New Roman" w:hAnsi="Times New Roman" w:cs="Times New Roman"/>
          <w:color w:val="0E101A"/>
          <w:kern w:val="36"/>
          <w:sz w:val="32"/>
          <w:szCs w:val="32"/>
        </w:rPr>
        <w:t>4.</w:t>
      </w:r>
      <w:r>
        <w:rPr>
          <w:rFonts w:ascii="Times New Roman" w:eastAsia="Times New Roman" w:hAnsi="Times New Roman" w:cs="Times New Roman"/>
          <w:b/>
          <w:bCs/>
          <w:color w:val="0E101A"/>
          <w:kern w:val="36"/>
          <w:sz w:val="48"/>
          <w:szCs w:val="48"/>
        </w:rPr>
        <w:t xml:space="preserve"> </w:t>
      </w:r>
      <w:r w:rsidRPr="00A333CA">
        <w:rPr>
          <w:rFonts w:eastAsia="Times New Roman"/>
          <w:color w:val="0E101A"/>
          <w:kern w:val="36"/>
          <w:sz w:val="32"/>
          <w:szCs w:val="32"/>
        </w:rPr>
        <w:t>Critical analysis and evaluation of Rio Tinto's methods of appraising projects</w:t>
      </w:r>
    </w:p>
    <w:p w14:paraId="20C7595A" w14:textId="77777777" w:rsidR="00A333CA" w:rsidRPr="00A333CA" w:rsidRDefault="00A333CA" w:rsidP="00A333CA">
      <w:pPr>
        <w:spacing w:line="240" w:lineRule="auto"/>
        <w:outlineLvl w:val="0"/>
        <w:rPr>
          <w:rFonts w:ascii="Times New Roman" w:eastAsia="Times New Roman" w:hAnsi="Times New Roman" w:cs="Times New Roman"/>
          <w:color w:val="0E101A"/>
          <w:kern w:val="36"/>
          <w:sz w:val="48"/>
          <w:szCs w:val="48"/>
        </w:rPr>
      </w:pPr>
    </w:p>
    <w:p w14:paraId="43C2DA17" w14:textId="26BA1D1E" w:rsidR="00A333CA" w:rsidRPr="00A333CA" w:rsidRDefault="00A333CA" w:rsidP="00A333CA">
      <w:pPr>
        <w:spacing w:line="360" w:lineRule="auto"/>
        <w:rPr>
          <w:rFonts w:eastAsia="Times New Roman"/>
          <w:color w:val="0E101A"/>
          <w:sz w:val="24"/>
          <w:szCs w:val="24"/>
        </w:rPr>
      </w:pPr>
      <w:r w:rsidRPr="00A333CA">
        <w:rPr>
          <w:rFonts w:eastAsia="Times New Roman"/>
          <w:color w:val="0E101A"/>
          <w:sz w:val="24"/>
          <w:szCs w:val="24"/>
        </w:rPr>
        <w:t xml:space="preserve">The process of determining </w:t>
      </w:r>
      <w:proofErr w:type="gramStart"/>
      <w:r w:rsidRPr="00A333CA">
        <w:rPr>
          <w:rFonts w:eastAsia="Times New Roman"/>
          <w:color w:val="0E101A"/>
          <w:sz w:val="24"/>
          <w:szCs w:val="24"/>
        </w:rPr>
        <w:t>whether or not</w:t>
      </w:r>
      <w:proofErr w:type="gramEnd"/>
      <w:r w:rsidRPr="00A333CA">
        <w:rPr>
          <w:rFonts w:eastAsia="Times New Roman"/>
          <w:color w:val="0E101A"/>
          <w:sz w:val="24"/>
          <w:szCs w:val="24"/>
        </w:rPr>
        <w:t xml:space="preserve"> a proposed investment project will be feasible and profitable is known as project appraisal. Rio Tinto evaluates its investment prospects using a variety of project assessment techniques, such as net present value (NPV), internal rate of return (IRR), payback duration, and profitability index (PI). By using these techniques, Rio Tinto </w:t>
      </w:r>
      <w:proofErr w:type="gramStart"/>
      <w:r w:rsidRPr="00A333CA">
        <w:rPr>
          <w:rFonts w:eastAsia="Times New Roman"/>
          <w:color w:val="0E101A"/>
          <w:sz w:val="24"/>
          <w:szCs w:val="24"/>
        </w:rPr>
        <w:t>is able to</w:t>
      </w:r>
      <w:proofErr w:type="gramEnd"/>
      <w:r w:rsidRPr="00A333CA">
        <w:rPr>
          <w:rFonts w:eastAsia="Times New Roman"/>
          <w:color w:val="0E101A"/>
          <w:sz w:val="24"/>
          <w:szCs w:val="24"/>
        </w:rPr>
        <w:t xml:space="preserve"> identify the projects that are most financially advantageous for the organisation and will yield the greatest return on investment by assessing new projects using the </w:t>
      </w:r>
      <w:r w:rsidRPr="00A333CA">
        <w:rPr>
          <w:rFonts w:eastAsia="Times New Roman"/>
          <w:color w:val="0E101A"/>
          <w:sz w:val="24"/>
          <w:szCs w:val="24"/>
        </w:rPr>
        <w:t>previously mentioned</w:t>
      </w:r>
      <w:r w:rsidRPr="00A333CA">
        <w:rPr>
          <w:rFonts w:eastAsia="Times New Roman"/>
          <w:color w:val="0E101A"/>
          <w:sz w:val="24"/>
          <w:szCs w:val="24"/>
        </w:rPr>
        <w:t xml:space="preserve"> techniques. Whenever they are evaluating future investment projects, Rio Tinto </w:t>
      </w:r>
      <w:proofErr w:type="gramStart"/>
      <w:r w:rsidRPr="00A333CA">
        <w:rPr>
          <w:rFonts w:eastAsia="Times New Roman"/>
          <w:color w:val="0E101A"/>
          <w:sz w:val="24"/>
          <w:szCs w:val="24"/>
        </w:rPr>
        <w:t>takes into account</w:t>
      </w:r>
      <w:proofErr w:type="gramEnd"/>
      <w:r w:rsidRPr="00A333CA">
        <w:rPr>
          <w:rFonts w:eastAsia="Times New Roman"/>
          <w:color w:val="0E101A"/>
          <w:sz w:val="24"/>
          <w:szCs w:val="24"/>
        </w:rPr>
        <w:t xml:space="preserve"> aspects such as resource availability, the effect on the environment, and stakeholder interests (Rio Tinto, 2023).</w:t>
      </w:r>
    </w:p>
    <w:p w14:paraId="25356DF0" w14:textId="77777777" w:rsidR="00A333CA" w:rsidRPr="00A333CA" w:rsidRDefault="00A333CA" w:rsidP="00A333CA">
      <w:pPr>
        <w:spacing w:line="360" w:lineRule="auto"/>
        <w:rPr>
          <w:rFonts w:eastAsia="Times New Roman"/>
          <w:color w:val="0E101A"/>
          <w:sz w:val="24"/>
          <w:szCs w:val="24"/>
        </w:rPr>
      </w:pPr>
      <w:r w:rsidRPr="00A333CA">
        <w:rPr>
          <w:rFonts w:eastAsia="Times New Roman"/>
          <w:color w:val="0E101A"/>
          <w:sz w:val="24"/>
          <w:szCs w:val="24"/>
        </w:rPr>
        <w:t>For example, the company places priority on initiatives that conserve resources and have no negative impact on the environment, as these initiatives have shown to be advantageous for businesses in numerous ways (Campbell, 2007), especially when it comes to appeasing stakeholders such as local communities and policies. One of the most used methods for project appraisal within Rio Tinto is the net present value (NPV) method. When using the NPV technique, the original investment is subtracted from the present value of the projected future cash flows from the investment project, with the project being considered financially appropriate and will yield a profit if the NPV is positive (Bekaert and Hodrick, 2011). </w:t>
      </w:r>
    </w:p>
    <w:p w14:paraId="0DC751E7" w14:textId="77777777" w:rsidR="00A333CA" w:rsidRDefault="00A333CA" w:rsidP="00A333CA">
      <w:pPr>
        <w:spacing w:line="360" w:lineRule="auto"/>
        <w:rPr>
          <w:rFonts w:eastAsia="Times New Roman"/>
          <w:color w:val="0E101A"/>
          <w:sz w:val="24"/>
          <w:szCs w:val="24"/>
        </w:rPr>
      </w:pPr>
      <w:r w:rsidRPr="00A333CA">
        <w:rPr>
          <w:rFonts w:eastAsia="Times New Roman"/>
          <w:color w:val="0E101A"/>
          <w:sz w:val="24"/>
          <w:szCs w:val="24"/>
        </w:rPr>
        <w:lastRenderedPageBreak/>
        <w:t>Rio Tinto frequently uses the internal rate of return (IRR) method for project appraisal, where the discount rate that reduces a project's NPV to zero is known as the IRR. The project is deemed financially feasible if the IRR exceeds the firm's cost of capital (Bekaert and Hodrick, 2011). The payback period approach, a straightforward project evaluation tool, calculates how long it will take an investment project to recoup its initial cost. Rio Tinto frequently applies this strategy to projects with shorter investment horizons (Bekaert and Hodrick, 2011). Rio Tinto also employs the profitability index (PI) tool to evaluate projects, with the PI determining the ratio of the initial investment to the current value of the expected future cash inflows. The project is thought to be financially feasible if the PI is bigger than one (Bekaert and Hodrick, 2011).</w:t>
      </w:r>
    </w:p>
    <w:p w14:paraId="113AA1A7" w14:textId="77777777" w:rsidR="00A333CA" w:rsidRPr="00A333CA" w:rsidRDefault="00A333CA" w:rsidP="00A333CA">
      <w:pPr>
        <w:spacing w:line="360" w:lineRule="auto"/>
        <w:rPr>
          <w:rFonts w:eastAsia="Times New Roman"/>
          <w:color w:val="0E101A"/>
          <w:sz w:val="24"/>
          <w:szCs w:val="24"/>
        </w:rPr>
      </w:pPr>
    </w:p>
    <w:p w14:paraId="329DC9DC" w14:textId="77777777" w:rsidR="00A333CA" w:rsidRPr="00A333CA" w:rsidRDefault="00A333CA" w:rsidP="00A333CA">
      <w:pPr>
        <w:spacing w:line="360" w:lineRule="auto"/>
        <w:rPr>
          <w:rFonts w:eastAsia="Times New Roman"/>
          <w:color w:val="0E101A"/>
          <w:sz w:val="24"/>
          <w:szCs w:val="24"/>
        </w:rPr>
      </w:pPr>
    </w:p>
    <w:p w14:paraId="6A55C693" w14:textId="3F29D9DD" w:rsidR="00A333CA" w:rsidRDefault="00A333CA" w:rsidP="00A333CA">
      <w:pPr>
        <w:spacing w:line="360" w:lineRule="auto"/>
        <w:outlineLvl w:val="0"/>
        <w:rPr>
          <w:rFonts w:eastAsia="Times New Roman"/>
          <w:color w:val="0E101A"/>
          <w:kern w:val="36"/>
          <w:sz w:val="32"/>
          <w:szCs w:val="32"/>
        </w:rPr>
      </w:pPr>
      <w:r w:rsidRPr="00A333CA">
        <w:rPr>
          <w:rFonts w:eastAsia="Times New Roman"/>
          <w:color w:val="0E101A"/>
          <w:kern w:val="36"/>
          <w:sz w:val="32"/>
          <w:szCs w:val="32"/>
        </w:rPr>
        <w:t>5.</w:t>
      </w:r>
      <w:r>
        <w:rPr>
          <w:rFonts w:eastAsia="Times New Roman"/>
          <w:color w:val="0E101A"/>
          <w:kern w:val="36"/>
          <w:sz w:val="32"/>
          <w:szCs w:val="32"/>
        </w:rPr>
        <w:t xml:space="preserve"> </w:t>
      </w:r>
      <w:r w:rsidRPr="00A333CA">
        <w:rPr>
          <w:rFonts w:eastAsia="Times New Roman"/>
          <w:color w:val="0E101A"/>
          <w:kern w:val="36"/>
          <w:sz w:val="32"/>
          <w:szCs w:val="32"/>
        </w:rPr>
        <w:t>Conclusion</w:t>
      </w:r>
    </w:p>
    <w:p w14:paraId="301E27E3" w14:textId="77777777" w:rsidR="00A333CA" w:rsidRPr="00A333CA" w:rsidRDefault="00A333CA" w:rsidP="00A333CA">
      <w:pPr>
        <w:spacing w:line="360" w:lineRule="auto"/>
        <w:outlineLvl w:val="0"/>
        <w:rPr>
          <w:rFonts w:eastAsia="Times New Roman"/>
          <w:color w:val="0E101A"/>
          <w:kern w:val="36"/>
          <w:sz w:val="32"/>
          <w:szCs w:val="32"/>
        </w:rPr>
      </w:pPr>
    </w:p>
    <w:p w14:paraId="77AFE471" w14:textId="77777777" w:rsidR="00A333CA" w:rsidRPr="00A333CA" w:rsidRDefault="00A333CA" w:rsidP="00A333CA">
      <w:pPr>
        <w:spacing w:line="360" w:lineRule="auto"/>
        <w:rPr>
          <w:rFonts w:eastAsia="Times New Roman"/>
          <w:color w:val="0E101A"/>
          <w:sz w:val="24"/>
          <w:szCs w:val="24"/>
        </w:rPr>
      </w:pPr>
      <w:r w:rsidRPr="00A333CA">
        <w:rPr>
          <w:rFonts w:eastAsia="Times New Roman"/>
          <w:color w:val="0E101A"/>
          <w:sz w:val="24"/>
          <w:szCs w:val="24"/>
        </w:rPr>
        <w:t>Multinational companies like Rio Tinto Group largely succeed due to effective international finance management. Rio Tinto's dividend policy has proven to be a successful method of delivering income to shareholders while upholding the company's financial stability. Since Rio Tinto's operations involve many variables that go beyond what is readily available to the public, the efficient market hypothesis notion has been called into question. Making wise investment decisions depends on Rio Tinto's methods of project appraisal using financial analysis techniques, including NPV, IRR, payback time, and PI. Fluctuating commodity prices, shifting governmental regulations, and currency exchange rate risk are just a few of the difficulties that Rio Tinto must deal with when interacting with the global financial markets. Nonetheless, the firm has been able to overcome these obstacles and maintain its position as a major participant in the global mining industry thanks to its strong financial position, varied portfolio of assets, and efficient financial management practices.</w:t>
      </w:r>
    </w:p>
    <w:p w14:paraId="1640D90E" w14:textId="77777777" w:rsidR="002F73C0" w:rsidRPr="00A333CA" w:rsidRDefault="002F73C0" w:rsidP="00A333CA">
      <w:pPr>
        <w:spacing w:line="360" w:lineRule="auto"/>
        <w:rPr>
          <w:sz w:val="24"/>
          <w:szCs w:val="24"/>
        </w:rPr>
      </w:pPr>
    </w:p>
    <w:p w14:paraId="6362720A" w14:textId="77777777" w:rsidR="002F73C0" w:rsidRPr="00360E0A" w:rsidRDefault="002F73C0" w:rsidP="00360E0A">
      <w:pPr>
        <w:spacing w:line="360" w:lineRule="auto"/>
        <w:rPr>
          <w:sz w:val="24"/>
          <w:szCs w:val="24"/>
        </w:rPr>
      </w:pPr>
    </w:p>
    <w:p w14:paraId="5A44EDF9" w14:textId="77777777" w:rsidR="002F73C0" w:rsidRDefault="002F73C0"/>
    <w:p w14:paraId="08228411" w14:textId="77777777" w:rsidR="002F73C0" w:rsidRDefault="002F73C0"/>
    <w:p w14:paraId="0B2D5B26" w14:textId="77777777" w:rsidR="002F73C0" w:rsidRDefault="002F73C0"/>
    <w:p w14:paraId="540B5A44" w14:textId="77777777" w:rsidR="002F73C0" w:rsidRDefault="002F73C0"/>
    <w:p w14:paraId="17D03E19" w14:textId="6ECB6C6A" w:rsidR="00A333CA" w:rsidRDefault="00A333CA" w:rsidP="00A333CA">
      <w:pPr>
        <w:pStyle w:val="Heading1"/>
        <w:spacing w:after="160" w:line="360" w:lineRule="auto"/>
        <w:rPr>
          <w:rFonts w:eastAsia="Times New Roman"/>
          <w:bCs/>
          <w:sz w:val="32"/>
          <w:szCs w:val="32"/>
        </w:rPr>
      </w:pPr>
      <w:r w:rsidRPr="00A333CA">
        <w:rPr>
          <w:rFonts w:eastAsia="Times New Roman"/>
          <w:bCs/>
          <w:sz w:val="32"/>
          <w:szCs w:val="32"/>
        </w:rPr>
        <w:t xml:space="preserve"> Reference list</w:t>
      </w:r>
    </w:p>
    <w:p w14:paraId="7D332E9E" w14:textId="77777777" w:rsidR="00A333CA" w:rsidRDefault="00A333CA" w:rsidP="00A333CA"/>
    <w:p w14:paraId="527D6EEE" w14:textId="77777777" w:rsidR="00A333CA" w:rsidRDefault="00A333CA" w:rsidP="00A333CA"/>
    <w:p w14:paraId="1F2FD716" w14:textId="77777777" w:rsidR="00A333CA" w:rsidRPr="00A333CA" w:rsidRDefault="00A333CA" w:rsidP="00A333CA"/>
    <w:p w14:paraId="2AEB02D3" w14:textId="77777777" w:rsidR="00A333CA" w:rsidRPr="00A333CA" w:rsidRDefault="00A333CA" w:rsidP="00A333CA">
      <w:pPr>
        <w:spacing w:after="300"/>
        <w:rPr>
          <w:rFonts w:eastAsia="Times New Roman"/>
          <w:sz w:val="24"/>
          <w:szCs w:val="24"/>
        </w:rPr>
      </w:pPr>
      <w:r w:rsidRPr="00A333CA">
        <w:rPr>
          <w:rFonts w:eastAsia="Times New Roman"/>
          <w:sz w:val="24"/>
          <w:szCs w:val="24"/>
        </w:rPr>
        <w:t>Arnold, G. (2012). Corporate Financial Management, Aston, Financial Times, Prentice Hall.</w:t>
      </w:r>
    </w:p>
    <w:p w14:paraId="14D825E8" w14:textId="77777777" w:rsidR="00A333CA" w:rsidRPr="00A333CA" w:rsidRDefault="00A333CA" w:rsidP="00A333CA">
      <w:pPr>
        <w:spacing w:after="300"/>
        <w:rPr>
          <w:rFonts w:eastAsia="Times New Roman"/>
          <w:sz w:val="24"/>
          <w:szCs w:val="24"/>
        </w:rPr>
      </w:pPr>
      <w:proofErr w:type="spellStart"/>
      <w:r w:rsidRPr="00A333CA">
        <w:rPr>
          <w:rFonts w:eastAsia="Times New Roman"/>
          <w:sz w:val="24"/>
          <w:szCs w:val="24"/>
        </w:rPr>
        <w:t>Bekaert.G</w:t>
      </w:r>
      <w:proofErr w:type="spellEnd"/>
      <w:r w:rsidRPr="00A333CA">
        <w:rPr>
          <w:rFonts w:eastAsia="Times New Roman"/>
          <w:sz w:val="24"/>
          <w:szCs w:val="24"/>
        </w:rPr>
        <w:t xml:space="preserve">. and Hodrick. R. (2011). International Financial Management, 2nd Ed., Prentice Hall </w:t>
      </w:r>
    </w:p>
    <w:p w14:paraId="4332F32C" w14:textId="145FF752" w:rsidR="00A333CA" w:rsidRPr="00A333CA" w:rsidRDefault="00A333CA" w:rsidP="00A333CA">
      <w:pPr>
        <w:spacing w:after="300"/>
        <w:rPr>
          <w:rFonts w:eastAsia="Times New Roman"/>
          <w:sz w:val="24"/>
          <w:szCs w:val="24"/>
        </w:rPr>
      </w:pPr>
      <w:r w:rsidRPr="00A333CA">
        <w:rPr>
          <w:rFonts w:eastAsia="Times New Roman"/>
          <w:sz w:val="24"/>
          <w:szCs w:val="24"/>
        </w:rPr>
        <w:t xml:space="preserve">Biesheuvel, T. and Thornhill, J. (2021). Rio Tinto pays US$9.1 billion dividend as profit hits record. Bloomberg News. [Online] Available at: https://www.bnnbloomberg.ca/rio-tinto-pays-us-9-1-billion-dividend-as-profit-hits-record-1.1633701 [Accessed on: 15 </w:t>
      </w:r>
      <w:r>
        <w:rPr>
          <w:rFonts w:eastAsia="Times New Roman"/>
          <w:sz w:val="24"/>
          <w:szCs w:val="24"/>
        </w:rPr>
        <w:t>April</w:t>
      </w:r>
      <w:r w:rsidRPr="00A333CA">
        <w:rPr>
          <w:rFonts w:eastAsia="Times New Roman"/>
          <w:sz w:val="24"/>
          <w:szCs w:val="24"/>
        </w:rPr>
        <w:t xml:space="preserve"> 2023].</w:t>
      </w:r>
    </w:p>
    <w:p w14:paraId="14A7BA2D" w14:textId="77777777" w:rsidR="00A333CA" w:rsidRPr="00A333CA" w:rsidRDefault="00A333CA" w:rsidP="00A333CA">
      <w:pPr>
        <w:spacing w:after="300"/>
        <w:rPr>
          <w:rFonts w:eastAsia="Times New Roman"/>
          <w:sz w:val="24"/>
          <w:szCs w:val="24"/>
        </w:rPr>
      </w:pPr>
      <w:r w:rsidRPr="00A333CA">
        <w:rPr>
          <w:rFonts w:eastAsia="Times New Roman"/>
          <w:sz w:val="24"/>
          <w:szCs w:val="24"/>
        </w:rPr>
        <w:t xml:space="preserve">Campbell, J. (2007). Why would corporations behave in socially responsible ways: An institutional theory of corporate social responsibility. Academy of Management Review, 32, 946-967 </w:t>
      </w:r>
    </w:p>
    <w:p w14:paraId="019E0600" w14:textId="77777777" w:rsidR="00A333CA" w:rsidRPr="00A333CA" w:rsidRDefault="00A333CA" w:rsidP="00A333CA">
      <w:pPr>
        <w:spacing w:after="300"/>
        <w:rPr>
          <w:rFonts w:eastAsia="Times New Roman"/>
          <w:sz w:val="24"/>
          <w:szCs w:val="24"/>
        </w:rPr>
      </w:pPr>
      <w:r w:rsidRPr="00A333CA">
        <w:rPr>
          <w:rFonts w:eastAsia="Times New Roman"/>
          <w:sz w:val="24"/>
          <w:szCs w:val="24"/>
        </w:rPr>
        <w:t>Madura &amp; Fox (2011) Roland, International Financial Management, 2nd edition, Cengage Learning EMEA.</w:t>
      </w:r>
    </w:p>
    <w:p w14:paraId="2658E393" w14:textId="2ECEF2A4" w:rsidR="00A333CA" w:rsidRPr="00A333CA" w:rsidRDefault="00A333CA" w:rsidP="00A333CA">
      <w:pPr>
        <w:spacing w:after="300"/>
        <w:rPr>
          <w:rFonts w:eastAsia="Times New Roman"/>
          <w:sz w:val="24"/>
          <w:szCs w:val="24"/>
        </w:rPr>
      </w:pPr>
      <w:r w:rsidRPr="00A333CA">
        <w:rPr>
          <w:rFonts w:eastAsia="Times New Roman"/>
          <w:sz w:val="24"/>
          <w:szCs w:val="24"/>
        </w:rPr>
        <w:t xml:space="preserve">Rio Tinto (2023). Business Strategy. [Online] Available at: </w:t>
      </w:r>
      <w:hyperlink r:id="rId8">
        <w:r w:rsidRPr="00A333CA">
          <w:rPr>
            <w:rFonts w:eastAsia="Times New Roman"/>
            <w:color w:val="1155CC"/>
            <w:sz w:val="24"/>
            <w:szCs w:val="24"/>
            <w:u w:val="single"/>
          </w:rPr>
          <w:t>https://www.riotinto.com/en/about/business-strategy</w:t>
        </w:r>
      </w:hyperlink>
      <w:r w:rsidRPr="00A333CA">
        <w:rPr>
          <w:rFonts w:eastAsia="Times New Roman"/>
          <w:sz w:val="24"/>
          <w:szCs w:val="24"/>
        </w:rPr>
        <w:t xml:space="preserve"> [Accessed on: 15 </w:t>
      </w:r>
      <w:r>
        <w:rPr>
          <w:rFonts w:eastAsia="Times New Roman"/>
          <w:sz w:val="24"/>
          <w:szCs w:val="24"/>
        </w:rPr>
        <w:t xml:space="preserve">April </w:t>
      </w:r>
      <w:r w:rsidRPr="00A333CA">
        <w:rPr>
          <w:rFonts w:eastAsia="Times New Roman"/>
          <w:sz w:val="24"/>
          <w:szCs w:val="24"/>
        </w:rPr>
        <w:t>2023]</w:t>
      </w:r>
    </w:p>
    <w:p w14:paraId="3B1F535F" w14:textId="1C6F1BCF" w:rsidR="00A333CA" w:rsidRPr="00A333CA" w:rsidRDefault="00A333CA" w:rsidP="00A333CA">
      <w:pPr>
        <w:spacing w:after="300"/>
        <w:rPr>
          <w:rFonts w:eastAsia="Times New Roman"/>
          <w:sz w:val="24"/>
          <w:szCs w:val="24"/>
        </w:rPr>
      </w:pPr>
      <w:r w:rsidRPr="00A333CA">
        <w:rPr>
          <w:rFonts w:eastAsia="Times New Roman"/>
          <w:sz w:val="24"/>
          <w:szCs w:val="24"/>
        </w:rPr>
        <w:t xml:space="preserve">Simply Wall St. (2023) Rio Tinto company overview [Online] Available at: </w:t>
      </w:r>
      <w:hyperlink r:id="rId9">
        <w:r w:rsidRPr="00A333CA">
          <w:rPr>
            <w:rFonts w:eastAsia="Times New Roman"/>
            <w:color w:val="1155CC"/>
            <w:sz w:val="24"/>
            <w:szCs w:val="24"/>
            <w:u w:val="single"/>
          </w:rPr>
          <w:t>https://simplywall.st/stocks/bg/materials/bul-rio1/rio-tinto-group-shares</w:t>
        </w:r>
      </w:hyperlink>
      <w:r w:rsidRPr="00A333CA">
        <w:rPr>
          <w:rFonts w:eastAsia="Times New Roman"/>
          <w:sz w:val="24"/>
          <w:szCs w:val="24"/>
        </w:rPr>
        <w:t xml:space="preserve"> [Accessed on: 16 </w:t>
      </w:r>
      <w:r>
        <w:rPr>
          <w:rFonts w:eastAsia="Times New Roman"/>
          <w:sz w:val="24"/>
          <w:szCs w:val="24"/>
        </w:rPr>
        <w:t xml:space="preserve">April </w:t>
      </w:r>
      <w:r w:rsidRPr="00A333CA">
        <w:rPr>
          <w:rFonts w:eastAsia="Times New Roman"/>
          <w:sz w:val="24"/>
          <w:szCs w:val="24"/>
        </w:rPr>
        <w:t>2023]</w:t>
      </w:r>
    </w:p>
    <w:p w14:paraId="647739B9" w14:textId="77777777" w:rsidR="002F73C0" w:rsidRDefault="002F73C0"/>
    <w:p w14:paraId="703FB8A3" w14:textId="77777777" w:rsidR="002F73C0" w:rsidRDefault="002F73C0"/>
    <w:p w14:paraId="76A3FB01" w14:textId="77777777" w:rsidR="002F73C0" w:rsidRDefault="002F73C0"/>
    <w:p w14:paraId="5B3B346C" w14:textId="77777777" w:rsidR="002F73C0" w:rsidRDefault="002F73C0"/>
    <w:p w14:paraId="6AC2B62E" w14:textId="77777777" w:rsidR="002F73C0" w:rsidRDefault="002F73C0"/>
    <w:p w14:paraId="3E61AC25" w14:textId="77777777" w:rsidR="002F73C0" w:rsidRDefault="002F73C0"/>
    <w:p w14:paraId="130F1FC2" w14:textId="77777777" w:rsidR="002F73C0" w:rsidRDefault="002F73C0"/>
    <w:p w14:paraId="703894F9" w14:textId="77777777" w:rsidR="002F73C0" w:rsidRDefault="002F73C0"/>
    <w:p w14:paraId="3DC1B9F9" w14:textId="77777777" w:rsidR="002F73C0" w:rsidRDefault="002F73C0"/>
    <w:p w14:paraId="775F623C" w14:textId="77777777" w:rsidR="002F73C0" w:rsidRDefault="002F73C0"/>
    <w:p w14:paraId="7A7A5878" w14:textId="77777777" w:rsidR="002F73C0" w:rsidRDefault="002F73C0"/>
    <w:p w14:paraId="31FDDEB8" w14:textId="77777777" w:rsidR="002F73C0" w:rsidRDefault="002F73C0"/>
    <w:sectPr w:rsidR="002F73C0" w:rsidSect="00C91A0C">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67274" w14:textId="77777777" w:rsidR="00826C93" w:rsidRDefault="00826C93" w:rsidP="00C91A0C">
      <w:pPr>
        <w:spacing w:line="240" w:lineRule="auto"/>
      </w:pPr>
      <w:r>
        <w:separator/>
      </w:r>
    </w:p>
  </w:endnote>
  <w:endnote w:type="continuationSeparator" w:id="0">
    <w:p w14:paraId="4DBF61D0" w14:textId="77777777" w:rsidR="00826C93" w:rsidRDefault="00826C93" w:rsidP="00C91A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9871240"/>
      <w:docPartObj>
        <w:docPartGallery w:val="Page Numbers (Bottom of Page)"/>
        <w:docPartUnique/>
      </w:docPartObj>
    </w:sdtPr>
    <w:sdtEndPr>
      <w:rPr>
        <w:noProof/>
      </w:rPr>
    </w:sdtEndPr>
    <w:sdtContent>
      <w:p w14:paraId="125028D6" w14:textId="2B5DE2FF" w:rsidR="00C91A0C" w:rsidRDefault="00C91A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221CF" w14:textId="77777777" w:rsidR="00C91A0C" w:rsidRDefault="00C91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032FB" w14:textId="77777777" w:rsidR="00826C93" w:rsidRDefault="00826C93" w:rsidP="00C91A0C">
      <w:pPr>
        <w:spacing w:line="240" w:lineRule="auto"/>
      </w:pPr>
      <w:r>
        <w:separator/>
      </w:r>
    </w:p>
  </w:footnote>
  <w:footnote w:type="continuationSeparator" w:id="0">
    <w:p w14:paraId="2784C7FE" w14:textId="77777777" w:rsidR="00826C93" w:rsidRDefault="00826C93" w:rsidP="00C91A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20FCC"/>
    <w:multiLevelType w:val="hybridMultilevel"/>
    <w:tmpl w:val="620009A6"/>
    <w:lvl w:ilvl="0" w:tplc="97422928">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1" w15:restartNumberingAfterBreak="0">
    <w:nsid w:val="0A0351D4"/>
    <w:multiLevelType w:val="hybridMultilevel"/>
    <w:tmpl w:val="D43241A8"/>
    <w:lvl w:ilvl="0" w:tplc="A4665A90">
      <w:start w:val="1"/>
      <w:numFmt w:val="decimal"/>
      <w:lvlText w:val="%1."/>
      <w:lvlJc w:val="left"/>
      <w:pPr>
        <w:ind w:left="720" w:hanging="360"/>
      </w:pPr>
      <w:rPr>
        <w:rFonts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9E08D4"/>
    <w:multiLevelType w:val="hybridMultilevel"/>
    <w:tmpl w:val="11B0FD22"/>
    <w:lvl w:ilvl="0" w:tplc="0809000F">
      <w:start w:val="1"/>
      <w:numFmt w:val="decimal"/>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F9409E"/>
    <w:multiLevelType w:val="hybridMultilevel"/>
    <w:tmpl w:val="524CB29E"/>
    <w:lvl w:ilvl="0" w:tplc="86201D16">
      <w:start w:val="1"/>
      <w:numFmt w:val="decimal"/>
      <w:lvlText w:val="%1."/>
      <w:lvlJc w:val="left"/>
      <w:pPr>
        <w:ind w:left="720" w:hanging="360"/>
      </w:pPr>
      <w:rPr>
        <w:rFonts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6B3760"/>
    <w:multiLevelType w:val="hybridMultilevel"/>
    <w:tmpl w:val="7AA0D834"/>
    <w:lvl w:ilvl="0" w:tplc="42DAF242">
      <w:start w:val="1"/>
      <w:numFmt w:val="decimal"/>
      <w:lvlText w:val="%1."/>
      <w:lvlJc w:val="left"/>
      <w:pPr>
        <w:ind w:left="720" w:hanging="360"/>
      </w:pPr>
      <w:rPr>
        <w:rFonts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D410CD"/>
    <w:multiLevelType w:val="multilevel"/>
    <w:tmpl w:val="7AF0B886"/>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66307496">
    <w:abstractNumId w:val="5"/>
  </w:num>
  <w:num w:numId="2" w16cid:durableId="928392983">
    <w:abstractNumId w:val="0"/>
  </w:num>
  <w:num w:numId="3" w16cid:durableId="2008752299">
    <w:abstractNumId w:val="2"/>
  </w:num>
  <w:num w:numId="4" w16cid:durableId="564415236">
    <w:abstractNumId w:val="4"/>
  </w:num>
  <w:num w:numId="5" w16cid:durableId="545072675">
    <w:abstractNumId w:val="1"/>
  </w:num>
  <w:num w:numId="6" w16cid:durableId="11156325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01F"/>
    <w:rsid w:val="00087491"/>
    <w:rsid w:val="002F73C0"/>
    <w:rsid w:val="00302934"/>
    <w:rsid w:val="00360E0A"/>
    <w:rsid w:val="004442EC"/>
    <w:rsid w:val="00826C93"/>
    <w:rsid w:val="0090001F"/>
    <w:rsid w:val="00A333CA"/>
    <w:rsid w:val="00C3664D"/>
    <w:rsid w:val="00C91A0C"/>
    <w:rsid w:val="00D92B3C"/>
    <w:rsid w:val="00E110EE"/>
    <w:rsid w:val="00E77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B0CD7"/>
  <w15:chartTrackingRefBased/>
  <w15:docId w15:val="{2B7EE202-232B-4FE2-A835-97738277E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64D"/>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A333CA"/>
    <w:pPr>
      <w:keepNext/>
      <w:keepLines/>
      <w:spacing w:before="400" w:after="120"/>
      <w:outlineLvl w:val="0"/>
    </w:pPr>
    <w:rPr>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3664D"/>
    <w:pPr>
      <w:autoSpaceDE w:val="0"/>
      <w:autoSpaceDN w:val="0"/>
      <w:adjustRightInd w:val="0"/>
      <w:spacing w:after="0" w:line="240" w:lineRule="auto"/>
    </w:pPr>
    <w:rPr>
      <w:rFonts w:ascii="Arial" w:eastAsia="Arial" w:hAnsi="Arial" w:cs="Arial"/>
      <w:color w:val="000000"/>
      <w:kern w:val="0"/>
      <w:sz w:val="24"/>
      <w:szCs w:val="24"/>
      <w:lang w:eastAsia="en-GB"/>
      <w14:ligatures w14:val="none"/>
    </w:rPr>
  </w:style>
  <w:style w:type="paragraph" w:styleId="ListParagraph">
    <w:name w:val="List Paragraph"/>
    <w:basedOn w:val="Normal"/>
    <w:uiPriority w:val="34"/>
    <w:qFormat/>
    <w:rsid w:val="002F73C0"/>
    <w:pPr>
      <w:ind w:left="720"/>
      <w:contextualSpacing/>
    </w:pPr>
  </w:style>
  <w:style w:type="paragraph" w:styleId="Header">
    <w:name w:val="header"/>
    <w:basedOn w:val="Normal"/>
    <w:link w:val="HeaderChar"/>
    <w:uiPriority w:val="99"/>
    <w:unhideWhenUsed/>
    <w:rsid w:val="00C91A0C"/>
    <w:pPr>
      <w:tabs>
        <w:tab w:val="center" w:pos="4513"/>
        <w:tab w:val="right" w:pos="9026"/>
      </w:tabs>
      <w:spacing w:line="240" w:lineRule="auto"/>
    </w:pPr>
  </w:style>
  <w:style w:type="character" w:customStyle="1" w:styleId="HeaderChar">
    <w:name w:val="Header Char"/>
    <w:basedOn w:val="DefaultParagraphFont"/>
    <w:link w:val="Header"/>
    <w:uiPriority w:val="99"/>
    <w:rsid w:val="00C91A0C"/>
    <w:rPr>
      <w:rFonts w:ascii="Arial" w:eastAsia="Arial" w:hAnsi="Arial" w:cs="Arial"/>
      <w:kern w:val="0"/>
      <w:lang w:eastAsia="en-GB"/>
      <w14:ligatures w14:val="none"/>
    </w:rPr>
  </w:style>
  <w:style w:type="paragraph" w:styleId="Footer">
    <w:name w:val="footer"/>
    <w:basedOn w:val="Normal"/>
    <w:link w:val="FooterChar"/>
    <w:uiPriority w:val="99"/>
    <w:unhideWhenUsed/>
    <w:rsid w:val="00C91A0C"/>
    <w:pPr>
      <w:tabs>
        <w:tab w:val="center" w:pos="4513"/>
        <w:tab w:val="right" w:pos="9026"/>
      </w:tabs>
      <w:spacing w:line="240" w:lineRule="auto"/>
    </w:pPr>
  </w:style>
  <w:style w:type="character" w:customStyle="1" w:styleId="FooterChar">
    <w:name w:val="Footer Char"/>
    <w:basedOn w:val="DefaultParagraphFont"/>
    <w:link w:val="Footer"/>
    <w:uiPriority w:val="99"/>
    <w:rsid w:val="00C91A0C"/>
    <w:rPr>
      <w:rFonts w:ascii="Arial" w:eastAsia="Arial" w:hAnsi="Arial" w:cs="Arial"/>
      <w:kern w:val="0"/>
      <w:lang w:eastAsia="en-GB"/>
      <w14:ligatures w14:val="none"/>
    </w:rPr>
  </w:style>
  <w:style w:type="character" w:customStyle="1" w:styleId="Heading1Char">
    <w:name w:val="Heading 1 Char"/>
    <w:basedOn w:val="DefaultParagraphFont"/>
    <w:link w:val="Heading1"/>
    <w:uiPriority w:val="9"/>
    <w:rsid w:val="00A333CA"/>
    <w:rPr>
      <w:rFonts w:ascii="Arial" w:eastAsia="Arial" w:hAnsi="Arial" w:cs="Arial"/>
      <w:kern w:val="0"/>
      <w:sz w:val="40"/>
      <w:szCs w:val="4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015058">
      <w:bodyDiv w:val="1"/>
      <w:marLeft w:val="0"/>
      <w:marRight w:val="0"/>
      <w:marTop w:val="0"/>
      <w:marBottom w:val="0"/>
      <w:divBdr>
        <w:top w:val="none" w:sz="0" w:space="0" w:color="auto"/>
        <w:left w:val="none" w:sz="0" w:space="0" w:color="auto"/>
        <w:bottom w:val="none" w:sz="0" w:space="0" w:color="auto"/>
        <w:right w:val="none" w:sz="0" w:space="0" w:color="auto"/>
      </w:divBdr>
    </w:div>
    <w:div w:id="1279945476">
      <w:bodyDiv w:val="1"/>
      <w:marLeft w:val="0"/>
      <w:marRight w:val="0"/>
      <w:marTop w:val="0"/>
      <w:marBottom w:val="0"/>
      <w:divBdr>
        <w:top w:val="none" w:sz="0" w:space="0" w:color="auto"/>
        <w:left w:val="none" w:sz="0" w:space="0" w:color="auto"/>
        <w:bottom w:val="none" w:sz="0" w:space="0" w:color="auto"/>
        <w:right w:val="none" w:sz="0" w:space="0" w:color="auto"/>
      </w:divBdr>
      <w:divsChild>
        <w:div w:id="1711563495">
          <w:marLeft w:val="0"/>
          <w:marRight w:val="0"/>
          <w:marTop w:val="0"/>
          <w:marBottom w:val="0"/>
          <w:divBdr>
            <w:top w:val="none" w:sz="0" w:space="0" w:color="auto"/>
            <w:left w:val="none" w:sz="0" w:space="0" w:color="auto"/>
            <w:bottom w:val="none" w:sz="0" w:space="0" w:color="auto"/>
            <w:right w:val="none" w:sz="0" w:space="0" w:color="auto"/>
          </w:divBdr>
          <w:divsChild>
            <w:div w:id="91856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otinto.com/en/about/business-strateg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implywall.st/stocks/bg/materials/bul-rio1/rio-tinto-group-sha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7</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dc:creator>
  <cp:keywords/>
  <dc:description/>
  <cp:lastModifiedBy>Miglena Toteva</cp:lastModifiedBy>
  <cp:revision>6</cp:revision>
  <cp:lastPrinted>2023-05-05T14:05:00Z</cp:lastPrinted>
  <dcterms:created xsi:type="dcterms:W3CDTF">2023-05-05T12:04:00Z</dcterms:created>
  <dcterms:modified xsi:type="dcterms:W3CDTF">2023-05-05T14:08:00Z</dcterms:modified>
</cp:coreProperties>
</file>