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04A27" w14:textId="057D9FFA" w:rsidR="00B62048" w:rsidRDefault="004D5EBD" w:rsidP="009F4F9E">
      <w:pPr>
        <w:pStyle w:val="COVERPAGETEXT"/>
      </w:pPr>
      <w:r>
        <w:rPr>
          <w:noProof/>
        </w:rPr>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4727CF" w:rsidRDefault="00B62048" w:rsidP="009F4F9E">
      <w:pPr>
        <w:pStyle w:val="COVERPAGETEXT"/>
        <w:rPr>
          <w:rFonts w:asciiTheme="majorBidi" w:hAnsiTheme="majorBidi" w:cstheme="majorBidi"/>
        </w:rPr>
      </w:pPr>
    </w:p>
    <w:p w14:paraId="4B11A8C4" w14:textId="77777777" w:rsidR="00AD6D75" w:rsidRPr="004727CF" w:rsidRDefault="00AD6D75" w:rsidP="009F4F9E">
      <w:pPr>
        <w:pStyle w:val="COVERPAGETEXT"/>
        <w:rPr>
          <w:rFonts w:asciiTheme="majorBidi" w:hAnsiTheme="majorBidi" w:cstheme="majorBidi"/>
        </w:rPr>
      </w:pPr>
    </w:p>
    <w:p w14:paraId="7F84539F" w14:textId="49C3B873" w:rsidR="00AD6D75" w:rsidRPr="004727CF" w:rsidRDefault="004727CF" w:rsidP="009F4F9E">
      <w:pPr>
        <w:pStyle w:val="COVERPAGETEXT"/>
        <w:rPr>
          <w:rFonts w:asciiTheme="majorBidi" w:hAnsiTheme="majorBidi" w:cstheme="majorBidi"/>
        </w:rPr>
      </w:pPr>
      <w:r>
        <w:rPr>
          <w:rFonts w:asciiTheme="majorBidi" w:hAnsiTheme="majorBidi" w:cstheme="majorBidi"/>
        </w:rPr>
        <w:t>University of Wales Trinity Saint Davids</w:t>
      </w:r>
    </w:p>
    <w:p w14:paraId="1288F499" w14:textId="6A620587" w:rsidR="00AD6D75" w:rsidRPr="004727CF" w:rsidRDefault="004727CF" w:rsidP="009F4F9E">
      <w:pPr>
        <w:pStyle w:val="COVERPAGETEXT"/>
        <w:rPr>
          <w:rFonts w:asciiTheme="majorBidi" w:hAnsiTheme="majorBidi" w:cstheme="majorBidi"/>
        </w:rPr>
      </w:pPr>
      <w:r>
        <w:rPr>
          <w:rFonts w:asciiTheme="majorBidi" w:hAnsiTheme="majorBidi" w:cstheme="majorBidi"/>
        </w:rPr>
        <w:t xml:space="preserve">Ordnance, Munitions and Explosives Principals </w:t>
      </w:r>
    </w:p>
    <w:p w14:paraId="6CAC073B" w14:textId="77777777" w:rsidR="00AD6D75" w:rsidRPr="004727CF" w:rsidRDefault="00AD6D75" w:rsidP="004727CF">
      <w:pPr>
        <w:pStyle w:val="COVERPAGETEXT"/>
        <w:jc w:val="both"/>
        <w:rPr>
          <w:rFonts w:asciiTheme="majorBidi" w:hAnsiTheme="majorBidi" w:cstheme="majorBidi"/>
        </w:rPr>
      </w:pPr>
    </w:p>
    <w:p w14:paraId="1E9E5CF2" w14:textId="6F2594BE"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Academic Year </w:t>
      </w:r>
      <w:r w:rsidR="004727CF">
        <w:rPr>
          <w:rFonts w:asciiTheme="majorBidi" w:hAnsiTheme="majorBidi" w:cstheme="majorBidi"/>
        </w:rPr>
        <w:t>202</w:t>
      </w:r>
      <w:r w:rsidR="009A1B4D">
        <w:rPr>
          <w:rFonts w:asciiTheme="majorBidi" w:hAnsiTheme="majorBidi" w:cstheme="majorBidi"/>
        </w:rPr>
        <w:t>6</w:t>
      </w:r>
    </w:p>
    <w:p w14:paraId="3C6062CA" w14:textId="77777777" w:rsidR="00AD6D75" w:rsidRPr="004727CF" w:rsidRDefault="00AD6D75" w:rsidP="009F4F9E">
      <w:pPr>
        <w:pStyle w:val="COVERPAGETEXT"/>
        <w:rPr>
          <w:rFonts w:asciiTheme="majorBidi" w:hAnsiTheme="majorBidi" w:cstheme="majorBidi"/>
        </w:rPr>
      </w:pPr>
    </w:p>
    <w:p w14:paraId="58BAC609" w14:textId="77777777" w:rsidR="00AD6D75" w:rsidRPr="004727CF" w:rsidRDefault="00AD6D75" w:rsidP="009F4F9E">
      <w:pPr>
        <w:pStyle w:val="COVERPAGETEXT"/>
        <w:rPr>
          <w:rFonts w:asciiTheme="majorBidi" w:hAnsiTheme="majorBidi" w:cstheme="majorBidi"/>
        </w:rPr>
      </w:pPr>
    </w:p>
    <w:p w14:paraId="75AEB9F6" w14:textId="1B3DAC1B" w:rsidR="004A1164" w:rsidRPr="004727CF" w:rsidRDefault="004727CF" w:rsidP="004A1164">
      <w:pPr>
        <w:pStyle w:val="COVERPAGETEXT"/>
        <w:rPr>
          <w:rFonts w:asciiTheme="majorBidi" w:hAnsiTheme="majorBidi" w:cstheme="majorBidi"/>
        </w:rPr>
      </w:pPr>
      <w:r>
        <w:rPr>
          <w:rFonts w:asciiTheme="majorBidi" w:hAnsiTheme="majorBidi" w:cstheme="majorBidi"/>
        </w:rPr>
        <w:t>Eryn Legg</w:t>
      </w:r>
    </w:p>
    <w:p w14:paraId="52BECAEE" w14:textId="77777777" w:rsidR="00AD6D75" w:rsidRPr="004727CF" w:rsidRDefault="00AD6D75" w:rsidP="009F4F9E">
      <w:pPr>
        <w:pStyle w:val="COVERPAGETEXT"/>
        <w:rPr>
          <w:rFonts w:asciiTheme="majorBidi" w:hAnsiTheme="majorBidi" w:cstheme="majorBidi"/>
        </w:rPr>
      </w:pPr>
    </w:p>
    <w:p w14:paraId="7C7BF462" w14:textId="77777777" w:rsidR="00AD6D75" w:rsidRPr="004727CF" w:rsidRDefault="00AD6D75" w:rsidP="009F4F9E">
      <w:pPr>
        <w:pStyle w:val="COVERPAGETEXT"/>
        <w:rPr>
          <w:rFonts w:asciiTheme="majorBidi" w:hAnsiTheme="majorBidi" w:cstheme="majorBidi"/>
        </w:rPr>
      </w:pPr>
    </w:p>
    <w:p w14:paraId="5C4BFBED" w14:textId="1A6199A1" w:rsidR="00AD6D75" w:rsidRPr="004727CF" w:rsidRDefault="00161B9D" w:rsidP="009F4F9E">
      <w:pPr>
        <w:pStyle w:val="COVERPAGETEXT"/>
        <w:rPr>
          <w:rFonts w:asciiTheme="majorBidi" w:hAnsiTheme="majorBidi" w:cstheme="majorBidi"/>
        </w:rPr>
      </w:pPr>
      <w:r w:rsidRPr="00161B9D">
        <w:rPr>
          <w:rFonts w:asciiTheme="majorBidi" w:hAnsiTheme="majorBidi" w:cstheme="majorBidi"/>
        </w:rPr>
        <w:t>Risk Assessment &amp; ALARP Justification</w:t>
      </w:r>
    </w:p>
    <w:p w14:paraId="6A0C88F7" w14:textId="77777777" w:rsidR="00AD6D75" w:rsidRPr="004727CF" w:rsidRDefault="00AD6D75" w:rsidP="009F4F9E">
      <w:pPr>
        <w:pStyle w:val="COVERPAGETEXT"/>
        <w:rPr>
          <w:rFonts w:asciiTheme="majorBidi" w:hAnsiTheme="majorBidi" w:cstheme="majorBidi"/>
        </w:rPr>
      </w:pPr>
    </w:p>
    <w:p w14:paraId="006ED54E" w14:textId="77A06731" w:rsidR="00AD6D75" w:rsidRPr="004727CF" w:rsidRDefault="00AD6D75" w:rsidP="00E71C90">
      <w:pPr>
        <w:pStyle w:val="COVERPAGETEXT"/>
        <w:rPr>
          <w:rFonts w:asciiTheme="majorBidi" w:hAnsiTheme="majorBidi" w:cstheme="majorBidi"/>
        </w:rPr>
      </w:pPr>
      <w:r w:rsidRPr="004727CF">
        <w:rPr>
          <w:rFonts w:asciiTheme="majorBidi" w:hAnsiTheme="majorBidi" w:cstheme="majorBidi"/>
        </w:rPr>
        <w:t>Supervisor:</w:t>
      </w:r>
      <w:bookmarkStart w:id="0" w:name="Text1"/>
      <w:r w:rsidRPr="004727CF">
        <w:rPr>
          <w:rFonts w:asciiTheme="majorBidi" w:hAnsiTheme="majorBidi" w:cstheme="majorBidi"/>
        </w:rPr>
        <w:t xml:space="preserve"> </w:t>
      </w:r>
      <w:bookmarkEnd w:id="0"/>
      <w:r w:rsidR="00161B9D" w:rsidRPr="00161B9D">
        <w:rPr>
          <w:rFonts w:asciiTheme="majorBidi" w:hAnsiTheme="majorBidi" w:cstheme="majorBidi"/>
        </w:rPr>
        <w:t>Austin Clark</w:t>
      </w:r>
    </w:p>
    <w:p w14:paraId="25FC419B" w14:textId="77777777" w:rsidR="00404309" w:rsidRPr="004727CF" w:rsidRDefault="00404309" w:rsidP="00E71C90">
      <w:pPr>
        <w:pStyle w:val="COVERPAGETEXT"/>
        <w:rPr>
          <w:rFonts w:asciiTheme="majorBidi" w:hAnsiTheme="majorBidi" w:cstheme="majorBidi"/>
        </w:rPr>
      </w:pPr>
    </w:p>
    <w:p w14:paraId="36F9C350" w14:textId="717494DE"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This thesis is submitted in partial fulfilment of the requirements for the degree of </w:t>
      </w:r>
      <w:r w:rsidR="00EE6208">
        <w:rPr>
          <w:rFonts w:asciiTheme="majorBidi" w:hAnsiTheme="majorBidi" w:cstheme="majorBidi"/>
        </w:rPr>
        <w:t>Ordnance, Munitions and Explosives BEng</w:t>
      </w:r>
    </w:p>
    <w:p w14:paraId="26C6B3D3" w14:textId="207FED6E" w:rsidR="00AD6D75" w:rsidRPr="004727CF" w:rsidRDefault="00AD6D75" w:rsidP="009F4F9E">
      <w:pPr>
        <w:pStyle w:val="COVERPAGETEXT"/>
        <w:rPr>
          <w:rFonts w:asciiTheme="majorBidi" w:hAnsiTheme="majorBidi" w:cstheme="majorBidi"/>
          <w:b/>
          <w:i/>
          <w:sz w:val="22"/>
          <w:szCs w:val="22"/>
        </w:rPr>
      </w:pPr>
    </w:p>
    <w:p w14:paraId="2FED69D7" w14:textId="77777777" w:rsidR="00AD6D75" w:rsidRPr="004727CF" w:rsidRDefault="00AD6D75" w:rsidP="009F4F9E">
      <w:pPr>
        <w:pStyle w:val="COVERPAGETEXT"/>
        <w:rPr>
          <w:rFonts w:asciiTheme="majorBidi" w:hAnsiTheme="majorBidi" w:cstheme="majorBidi"/>
        </w:rPr>
      </w:pPr>
    </w:p>
    <w:p w14:paraId="42021BD2" w14:textId="5CFD6E6F"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 </w:t>
      </w:r>
      <w:r w:rsidR="004D5EBD" w:rsidRPr="004727CF">
        <w:rPr>
          <w:rFonts w:asciiTheme="majorBidi" w:hAnsiTheme="majorBidi" w:cstheme="majorBidi"/>
        </w:rPr>
        <w:t>UWTSD</w:t>
      </w:r>
      <w:r w:rsidRPr="004727CF">
        <w:rPr>
          <w:rFonts w:asciiTheme="majorBidi" w:hAnsiTheme="majorBidi" w:cstheme="majorBidi"/>
        </w:rPr>
        <w:t xml:space="preserve"> </w:t>
      </w:r>
      <w:r w:rsidR="00EE6208">
        <w:rPr>
          <w:rFonts w:asciiTheme="majorBidi" w:hAnsiTheme="majorBidi" w:cstheme="majorBidi"/>
        </w:rPr>
        <w:t>2025</w:t>
      </w:r>
      <w:r w:rsidRPr="004727CF">
        <w:rPr>
          <w:rFonts w:asciiTheme="majorBidi" w:hAnsiTheme="majorBidi" w:cstheme="majorBidi"/>
        </w:rPr>
        <w:t>. All rights reserved. No part of this publication may be reproduced without the written permission of the copyright owner.</w:t>
      </w:r>
    </w:p>
    <w:p w14:paraId="52B1F4ED" w14:textId="77777777" w:rsidR="00DA28B2" w:rsidRPr="004727CF" w:rsidRDefault="00DA28B2" w:rsidP="00DA28B2">
      <w:pPr>
        <w:pStyle w:val="Heading1nonumber"/>
        <w:rPr>
          <w:rFonts w:asciiTheme="majorBidi" w:hAnsiTheme="majorBidi" w:cstheme="majorBidi"/>
        </w:rPr>
        <w:sectPr w:rsidR="00DA28B2" w:rsidRPr="004727CF"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Pr="004727CF" w:rsidRDefault="005C6FA2" w:rsidP="0088087A">
      <w:pPr>
        <w:pStyle w:val="Heading1nonumber"/>
        <w:rPr>
          <w:rFonts w:asciiTheme="majorBidi" w:hAnsiTheme="majorBidi" w:cstheme="majorBidi"/>
        </w:rP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234999876"/>
      <w:r w:rsidRPr="004727CF">
        <w:rPr>
          <w:rFonts w:asciiTheme="majorBidi" w:hAnsiTheme="majorBidi" w:cstheme="majorBidi"/>
        </w:rPr>
        <w:lastRenderedPageBreak/>
        <w:t>A</w:t>
      </w:r>
      <w:r w:rsidR="005E3ACA" w:rsidRPr="004727CF">
        <w:rPr>
          <w:rFonts w:asciiTheme="majorBidi" w:hAnsiTheme="majorBidi" w:cstheme="majorBidi"/>
        </w:rPr>
        <w:t>cademic integrity declaration</w:t>
      </w:r>
      <w:bookmarkEnd w:id="1"/>
      <w:bookmarkEnd w:id="8"/>
    </w:p>
    <w:p w14:paraId="287E2C73" w14:textId="77777777" w:rsidR="0088087A" w:rsidRPr="004727CF" w:rsidRDefault="0088087A" w:rsidP="0088087A">
      <w:pPr>
        <w:rPr>
          <w:rFonts w:asciiTheme="majorBidi" w:hAnsiTheme="majorBidi" w:cstheme="majorBidi"/>
        </w:rPr>
      </w:pPr>
      <w:r w:rsidRPr="004727CF">
        <w:rPr>
          <w:rFonts w:asciiTheme="majorBidi" w:hAnsiTheme="majorBidi" w:cstheme="majorBidi"/>
        </w:rPr>
        <w:t>I declare that:</w:t>
      </w:r>
    </w:p>
    <w:p w14:paraId="0B7C0C3A"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the thesis submitted has been written by me alone.</w:t>
      </w:r>
    </w:p>
    <w:p w14:paraId="30EDB562"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the thesis submitted has not been previously submitted to this university or any other.</w:t>
      </w:r>
    </w:p>
    <w:p w14:paraId="2A543FCD"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that all content, including primary and/or secondary data, is true to the best of my knowledge.</w:t>
      </w:r>
    </w:p>
    <w:p w14:paraId="7D207515"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that all quotations and references have been duly acknowledged according to the requirements of academic research.</w:t>
      </w:r>
    </w:p>
    <w:p w14:paraId="6138B01F" w14:textId="77777777" w:rsidR="0088087A" w:rsidRPr="004727CF" w:rsidRDefault="0088087A" w:rsidP="0088087A">
      <w:pPr>
        <w:rPr>
          <w:rFonts w:asciiTheme="majorBidi" w:hAnsiTheme="majorBidi" w:cstheme="majorBidi"/>
        </w:rPr>
      </w:pPr>
      <w:r w:rsidRPr="004727CF">
        <w:rPr>
          <w:rFonts w:asciiTheme="majorBidi" w:hAnsiTheme="majorBidi" w:cstheme="majorBidi"/>
        </w:rPr>
        <w:t>I understand that to knowingly submit work in violation of the above statement will be considered by examiners as academic misconduct.</w:t>
      </w:r>
    </w:p>
    <w:p w14:paraId="7D96CE18" w14:textId="6963B039" w:rsidR="001B0633" w:rsidRPr="004727CF" w:rsidRDefault="001B0633" w:rsidP="001B0633">
      <w:pPr>
        <w:rPr>
          <w:rFonts w:asciiTheme="majorBidi" w:hAnsiTheme="majorBidi" w:cstheme="majorBidi"/>
        </w:rPr>
      </w:pPr>
    </w:p>
    <w:p w14:paraId="002A004E" w14:textId="77777777" w:rsidR="001B0633" w:rsidRPr="004727CF" w:rsidRDefault="001B0633" w:rsidP="001B0633">
      <w:pPr>
        <w:rPr>
          <w:rFonts w:asciiTheme="majorBidi" w:hAnsiTheme="majorBidi" w:cstheme="majorBidi"/>
        </w:rPr>
        <w:sectPr w:rsidR="001B0633" w:rsidRPr="004727CF" w:rsidSect="00623A81">
          <w:footerReference w:type="default" r:id="rId19"/>
          <w:pgSz w:w="11906" w:h="16838" w:code="9"/>
          <w:pgMar w:top="1701" w:right="1701" w:bottom="1701" w:left="1701" w:header="709" w:footer="851" w:gutter="0"/>
          <w:pgNumType w:fmt="lowerRoman" w:start="1"/>
          <w:cols w:space="708"/>
          <w:docGrid w:linePitch="360"/>
        </w:sectPr>
      </w:pPr>
    </w:p>
    <w:p w14:paraId="100DFCB2" w14:textId="16710311" w:rsidR="00DA28B2" w:rsidRDefault="005E3ACA" w:rsidP="00DA28B2">
      <w:pPr>
        <w:pStyle w:val="Heading1nonumber"/>
        <w:rPr>
          <w:rFonts w:asciiTheme="majorBidi" w:hAnsiTheme="majorBidi" w:cstheme="majorBidi"/>
          <w:b w:val="0"/>
          <w:bCs w:val="0"/>
          <w:color w:val="EE0000"/>
        </w:rPr>
      </w:pPr>
      <w:bookmarkStart w:id="9" w:name="_Toc234999877"/>
      <w:r w:rsidRPr="004727CF">
        <w:rPr>
          <w:rFonts w:asciiTheme="majorBidi" w:hAnsiTheme="majorBidi" w:cstheme="majorBidi"/>
        </w:rPr>
        <w:lastRenderedPageBreak/>
        <w:t>Abstract</w:t>
      </w:r>
      <w:bookmarkEnd w:id="2"/>
      <w:bookmarkEnd w:id="3"/>
      <w:bookmarkEnd w:id="4"/>
      <w:bookmarkEnd w:id="5"/>
      <w:bookmarkEnd w:id="6"/>
      <w:bookmarkEnd w:id="7"/>
      <w:bookmarkEnd w:id="9"/>
      <w:r w:rsidR="00624CB0">
        <w:rPr>
          <w:rFonts w:asciiTheme="majorBidi" w:hAnsiTheme="majorBidi" w:cstheme="majorBidi"/>
        </w:rPr>
        <w:t xml:space="preserve"> </w:t>
      </w:r>
    </w:p>
    <w:p w14:paraId="7CCE43EA" w14:textId="34F54C87" w:rsidR="00F95306" w:rsidRPr="00F95306" w:rsidRDefault="00F95306" w:rsidP="00F95306">
      <w:pPr>
        <w:rPr>
          <w:rFonts w:asciiTheme="majorBidi" w:hAnsiTheme="majorBidi" w:cstheme="majorBidi"/>
          <w:sz w:val="20"/>
          <w:szCs w:val="20"/>
        </w:rPr>
      </w:pPr>
      <w:r>
        <w:rPr>
          <w:rFonts w:asciiTheme="majorBidi" w:hAnsiTheme="majorBidi" w:cstheme="majorBidi"/>
          <w:sz w:val="20"/>
          <w:szCs w:val="20"/>
        </w:rPr>
        <w:t xml:space="preserve">This documentation contains a two-part review of hazards and risks associated with a fire control system calibration trial involving the CT40 and Ajax armoured vehicle. The primary section contains a tabular risk assessment reviewing five different areas of risk each investigated with associated hazards. From that, the secondary section focuses on an ALARP justification of ammunition storage and the associated environmental cycle the product is exposed to. This report concludes to further recommendations and acknowledgement of current standard practice. </w:t>
      </w:r>
    </w:p>
    <w:p w14:paraId="0660F225" w14:textId="0CC2AB50" w:rsidR="00DA1B85" w:rsidRPr="00DA1B85" w:rsidRDefault="00DA1B85" w:rsidP="00C20EF8">
      <w:pPr>
        <w:rPr>
          <w:rFonts w:asciiTheme="majorBidi" w:hAnsiTheme="majorBidi" w:cstheme="majorBidi"/>
          <w:sz w:val="22"/>
          <w:szCs w:val="22"/>
        </w:rPr>
      </w:pPr>
    </w:p>
    <w:p w14:paraId="348ECC03" w14:textId="0E51CD5B" w:rsidR="00DA28B2" w:rsidRPr="004727CF" w:rsidRDefault="00F65825" w:rsidP="006454D8">
      <w:pPr>
        <w:pStyle w:val="TABLEOFCONTENTSHEADING"/>
        <w:spacing w:line="276" w:lineRule="auto"/>
        <w:rPr>
          <w:rFonts w:asciiTheme="majorBidi" w:hAnsiTheme="majorBidi" w:cstheme="majorBidi"/>
        </w:rPr>
      </w:pPr>
      <w:r w:rsidRPr="004727CF">
        <w:rPr>
          <w:rFonts w:asciiTheme="majorBidi" w:hAnsiTheme="majorBidi" w:cstheme="majorBidi"/>
        </w:rPr>
        <w:t>Table of Contents</w:t>
      </w:r>
    </w:p>
    <w:p w14:paraId="6C4FDE97" w14:textId="6E3D1A74" w:rsidR="00B018D1" w:rsidRDefault="00B765F2">
      <w:pPr>
        <w:pStyle w:val="TOC1"/>
        <w:rPr>
          <w:rFonts w:asciiTheme="minorHAnsi" w:eastAsiaTheme="minorEastAsia" w:hAnsiTheme="minorHAnsi" w:cstheme="minorBidi"/>
          <w:kern w:val="2"/>
          <w:lang w:eastAsia="en-GB"/>
          <w14:ligatures w14:val="standardContextual"/>
        </w:rPr>
      </w:pPr>
      <w:r w:rsidRPr="004727CF">
        <w:rPr>
          <w:rFonts w:asciiTheme="majorBidi" w:hAnsiTheme="majorBidi" w:cstheme="majorBidi"/>
        </w:rPr>
        <w:fldChar w:fldCharType="begin"/>
      </w:r>
      <w:r w:rsidR="00CC21F1" w:rsidRPr="004727CF">
        <w:rPr>
          <w:rFonts w:asciiTheme="majorBidi" w:hAnsiTheme="majorBidi" w:cstheme="majorBidi"/>
        </w:rPr>
        <w:instrText xml:space="preserve"> TOC \o "1-3" \h \z \u \t "Heading 7,2" </w:instrText>
      </w:r>
      <w:r w:rsidRPr="004727CF">
        <w:rPr>
          <w:rFonts w:asciiTheme="majorBidi" w:hAnsiTheme="majorBidi" w:cstheme="majorBidi"/>
        </w:rPr>
        <w:fldChar w:fldCharType="separate"/>
      </w:r>
      <w:hyperlink w:anchor="_Toc234999876" w:history="1">
        <w:r w:rsidR="00B018D1" w:rsidRPr="002E4097">
          <w:rPr>
            <w:rStyle w:val="Hyperlink"/>
            <w:rFonts w:asciiTheme="majorBidi" w:hAnsiTheme="majorBidi" w:cstheme="majorBidi"/>
          </w:rPr>
          <w:t>Academic integrity declaration</w:t>
        </w:r>
        <w:r w:rsidR="00B018D1">
          <w:rPr>
            <w:webHidden/>
          </w:rPr>
          <w:tab/>
        </w:r>
        <w:r w:rsidR="00B018D1">
          <w:rPr>
            <w:webHidden/>
          </w:rPr>
          <w:fldChar w:fldCharType="begin"/>
        </w:r>
        <w:r w:rsidR="00B018D1">
          <w:rPr>
            <w:webHidden/>
          </w:rPr>
          <w:instrText xml:space="preserve"> PAGEREF _Toc234999876 \h </w:instrText>
        </w:r>
        <w:r w:rsidR="00B018D1">
          <w:rPr>
            <w:webHidden/>
          </w:rPr>
        </w:r>
        <w:r w:rsidR="00B018D1">
          <w:rPr>
            <w:webHidden/>
          </w:rPr>
          <w:fldChar w:fldCharType="separate"/>
        </w:r>
        <w:r w:rsidR="00B018D1">
          <w:rPr>
            <w:webHidden/>
          </w:rPr>
          <w:t>i</w:t>
        </w:r>
        <w:r w:rsidR="00B018D1">
          <w:rPr>
            <w:webHidden/>
          </w:rPr>
          <w:fldChar w:fldCharType="end"/>
        </w:r>
      </w:hyperlink>
    </w:p>
    <w:p w14:paraId="4F1B37EC" w14:textId="04404F4F" w:rsidR="00B018D1" w:rsidRDefault="00B018D1">
      <w:pPr>
        <w:pStyle w:val="TOC1"/>
        <w:rPr>
          <w:rFonts w:asciiTheme="minorHAnsi" w:eastAsiaTheme="minorEastAsia" w:hAnsiTheme="minorHAnsi" w:cstheme="minorBidi"/>
          <w:kern w:val="2"/>
          <w:lang w:eastAsia="en-GB"/>
          <w14:ligatures w14:val="standardContextual"/>
        </w:rPr>
      </w:pPr>
      <w:hyperlink w:anchor="_Toc234999877" w:history="1">
        <w:r w:rsidRPr="002E4097">
          <w:rPr>
            <w:rStyle w:val="Hyperlink"/>
            <w:rFonts w:asciiTheme="majorBidi" w:hAnsiTheme="majorBidi" w:cstheme="majorBidi"/>
          </w:rPr>
          <w:t>Abstract</w:t>
        </w:r>
        <w:r>
          <w:rPr>
            <w:webHidden/>
          </w:rPr>
          <w:tab/>
        </w:r>
        <w:r>
          <w:rPr>
            <w:webHidden/>
          </w:rPr>
          <w:fldChar w:fldCharType="begin"/>
        </w:r>
        <w:r>
          <w:rPr>
            <w:webHidden/>
          </w:rPr>
          <w:instrText xml:space="preserve"> PAGEREF _Toc234999877 \h </w:instrText>
        </w:r>
        <w:r>
          <w:rPr>
            <w:webHidden/>
          </w:rPr>
        </w:r>
        <w:r>
          <w:rPr>
            <w:webHidden/>
          </w:rPr>
          <w:fldChar w:fldCharType="separate"/>
        </w:r>
        <w:r>
          <w:rPr>
            <w:webHidden/>
          </w:rPr>
          <w:t>ii</w:t>
        </w:r>
        <w:r>
          <w:rPr>
            <w:webHidden/>
          </w:rPr>
          <w:fldChar w:fldCharType="end"/>
        </w:r>
      </w:hyperlink>
    </w:p>
    <w:p w14:paraId="623D3651" w14:textId="58566403" w:rsidR="00B018D1" w:rsidRDefault="00B018D1">
      <w:pPr>
        <w:pStyle w:val="TOC1"/>
        <w:rPr>
          <w:rFonts w:asciiTheme="minorHAnsi" w:eastAsiaTheme="minorEastAsia" w:hAnsiTheme="minorHAnsi" w:cstheme="minorBidi"/>
          <w:kern w:val="2"/>
          <w:lang w:eastAsia="en-GB"/>
          <w14:ligatures w14:val="standardContextual"/>
        </w:rPr>
      </w:pPr>
      <w:hyperlink w:anchor="_Toc234999878" w:history="1">
        <w:r w:rsidRPr="002E4097">
          <w:rPr>
            <w:rStyle w:val="Hyperlink"/>
            <w:rFonts w:asciiTheme="majorBidi" w:hAnsiTheme="majorBidi" w:cstheme="majorBidi"/>
          </w:rPr>
          <w:t>List of Abbreviations</w:t>
        </w:r>
        <w:r>
          <w:rPr>
            <w:webHidden/>
          </w:rPr>
          <w:tab/>
        </w:r>
        <w:r>
          <w:rPr>
            <w:webHidden/>
          </w:rPr>
          <w:fldChar w:fldCharType="begin"/>
        </w:r>
        <w:r>
          <w:rPr>
            <w:webHidden/>
          </w:rPr>
          <w:instrText xml:space="preserve"> PAGEREF _Toc234999878 \h </w:instrText>
        </w:r>
        <w:r>
          <w:rPr>
            <w:webHidden/>
          </w:rPr>
        </w:r>
        <w:r>
          <w:rPr>
            <w:webHidden/>
          </w:rPr>
          <w:fldChar w:fldCharType="separate"/>
        </w:r>
        <w:r>
          <w:rPr>
            <w:webHidden/>
          </w:rPr>
          <w:t>iii</w:t>
        </w:r>
        <w:r>
          <w:rPr>
            <w:webHidden/>
          </w:rPr>
          <w:fldChar w:fldCharType="end"/>
        </w:r>
      </w:hyperlink>
    </w:p>
    <w:p w14:paraId="6159BC9B" w14:textId="28A4F43F" w:rsidR="00B018D1" w:rsidRDefault="00B018D1">
      <w:pPr>
        <w:pStyle w:val="TOC1"/>
        <w:rPr>
          <w:rFonts w:asciiTheme="minorHAnsi" w:eastAsiaTheme="minorEastAsia" w:hAnsiTheme="minorHAnsi" w:cstheme="minorBidi"/>
          <w:kern w:val="2"/>
          <w:lang w:eastAsia="en-GB"/>
          <w14:ligatures w14:val="standardContextual"/>
        </w:rPr>
      </w:pPr>
      <w:hyperlink w:anchor="_Toc234999879" w:history="1">
        <w:r w:rsidRPr="002E4097">
          <w:rPr>
            <w:rStyle w:val="Hyperlink"/>
            <w:rFonts w:ascii="Times New Roman" w:hAnsi="Times New Roman"/>
            <w:lang w:val="en-US"/>
          </w:rPr>
          <w:t>1 Risk Assessment section on a Fire Control System calibration trial</w:t>
        </w:r>
        <w:r>
          <w:rPr>
            <w:webHidden/>
          </w:rPr>
          <w:tab/>
        </w:r>
        <w:r>
          <w:rPr>
            <w:webHidden/>
          </w:rPr>
          <w:fldChar w:fldCharType="begin"/>
        </w:r>
        <w:r>
          <w:rPr>
            <w:webHidden/>
          </w:rPr>
          <w:instrText xml:space="preserve"> PAGEREF _Toc234999879 \h </w:instrText>
        </w:r>
        <w:r>
          <w:rPr>
            <w:webHidden/>
          </w:rPr>
        </w:r>
        <w:r>
          <w:rPr>
            <w:webHidden/>
          </w:rPr>
          <w:fldChar w:fldCharType="separate"/>
        </w:r>
        <w:r>
          <w:rPr>
            <w:webHidden/>
          </w:rPr>
          <w:t>4</w:t>
        </w:r>
        <w:r>
          <w:rPr>
            <w:webHidden/>
          </w:rPr>
          <w:fldChar w:fldCharType="end"/>
        </w:r>
      </w:hyperlink>
    </w:p>
    <w:p w14:paraId="4AA577D3" w14:textId="7BA66C9D" w:rsidR="00B018D1" w:rsidRDefault="00B018D1">
      <w:pPr>
        <w:pStyle w:val="TOC1"/>
        <w:rPr>
          <w:rFonts w:asciiTheme="minorHAnsi" w:eastAsiaTheme="minorEastAsia" w:hAnsiTheme="minorHAnsi" w:cstheme="minorBidi"/>
          <w:kern w:val="2"/>
          <w:lang w:eastAsia="en-GB"/>
          <w14:ligatures w14:val="standardContextual"/>
        </w:rPr>
      </w:pPr>
      <w:hyperlink w:anchor="_Toc234999880" w:history="1">
        <w:r w:rsidRPr="002E4097">
          <w:rPr>
            <w:rStyle w:val="Hyperlink"/>
            <w:rFonts w:ascii="Times New Roman" w:hAnsi="Times New Roman"/>
            <w:lang w:val="en-US"/>
          </w:rPr>
          <w:t>2 Introduction to ALARP justification report</w:t>
        </w:r>
        <w:r>
          <w:rPr>
            <w:webHidden/>
          </w:rPr>
          <w:tab/>
        </w:r>
        <w:r>
          <w:rPr>
            <w:webHidden/>
          </w:rPr>
          <w:fldChar w:fldCharType="begin"/>
        </w:r>
        <w:r>
          <w:rPr>
            <w:webHidden/>
          </w:rPr>
          <w:instrText xml:space="preserve"> PAGEREF _Toc234999880 \h </w:instrText>
        </w:r>
        <w:r>
          <w:rPr>
            <w:webHidden/>
          </w:rPr>
        </w:r>
        <w:r>
          <w:rPr>
            <w:webHidden/>
          </w:rPr>
          <w:fldChar w:fldCharType="separate"/>
        </w:r>
        <w:r>
          <w:rPr>
            <w:webHidden/>
          </w:rPr>
          <w:t>10</w:t>
        </w:r>
        <w:r>
          <w:rPr>
            <w:webHidden/>
          </w:rPr>
          <w:fldChar w:fldCharType="end"/>
        </w:r>
      </w:hyperlink>
    </w:p>
    <w:p w14:paraId="48F2BA9C" w14:textId="6AFCAAA2" w:rsidR="00B018D1" w:rsidRDefault="00B018D1">
      <w:pPr>
        <w:pStyle w:val="TOC2"/>
        <w:rPr>
          <w:rFonts w:asciiTheme="minorHAnsi" w:eastAsiaTheme="minorEastAsia" w:hAnsiTheme="minorHAnsi" w:cstheme="minorBidi"/>
          <w:noProof/>
          <w:kern w:val="2"/>
          <w:lang w:eastAsia="en-GB"/>
          <w14:ligatures w14:val="standardContextual"/>
        </w:rPr>
      </w:pPr>
      <w:hyperlink w:anchor="_Toc234999881" w:history="1">
        <w:r w:rsidRPr="002E4097">
          <w:rPr>
            <w:rStyle w:val="Hyperlink"/>
            <w:rFonts w:ascii="Times New Roman" w:hAnsi="Times New Roman"/>
            <w:noProof/>
            <w:lang w:val="en-US"/>
          </w:rPr>
          <w:t>2.1 Definition and cruciality of ALARP in hazard identification and mitigation</w:t>
        </w:r>
        <w:r>
          <w:rPr>
            <w:noProof/>
            <w:webHidden/>
          </w:rPr>
          <w:tab/>
        </w:r>
        <w:r>
          <w:rPr>
            <w:noProof/>
            <w:webHidden/>
          </w:rPr>
          <w:fldChar w:fldCharType="begin"/>
        </w:r>
        <w:r>
          <w:rPr>
            <w:noProof/>
            <w:webHidden/>
          </w:rPr>
          <w:instrText xml:space="preserve"> PAGEREF _Toc234999881 \h </w:instrText>
        </w:r>
        <w:r>
          <w:rPr>
            <w:noProof/>
            <w:webHidden/>
          </w:rPr>
        </w:r>
        <w:r>
          <w:rPr>
            <w:noProof/>
            <w:webHidden/>
          </w:rPr>
          <w:fldChar w:fldCharType="separate"/>
        </w:r>
        <w:r>
          <w:rPr>
            <w:noProof/>
            <w:webHidden/>
          </w:rPr>
          <w:t>10</w:t>
        </w:r>
        <w:r>
          <w:rPr>
            <w:noProof/>
            <w:webHidden/>
          </w:rPr>
          <w:fldChar w:fldCharType="end"/>
        </w:r>
      </w:hyperlink>
    </w:p>
    <w:p w14:paraId="22EDCE29" w14:textId="5B360763" w:rsidR="00B018D1" w:rsidRDefault="00B018D1">
      <w:pPr>
        <w:pStyle w:val="TOC2"/>
        <w:rPr>
          <w:rFonts w:asciiTheme="minorHAnsi" w:eastAsiaTheme="minorEastAsia" w:hAnsiTheme="minorHAnsi" w:cstheme="minorBidi"/>
          <w:noProof/>
          <w:kern w:val="2"/>
          <w:lang w:eastAsia="en-GB"/>
          <w14:ligatures w14:val="standardContextual"/>
        </w:rPr>
      </w:pPr>
      <w:hyperlink w:anchor="_Toc234999882" w:history="1">
        <w:r w:rsidRPr="002E4097">
          <w:rPr>
            <w:rStyle w:val="Hyperlink"/>
            <w:rFonts w:ascii="Times New Roman" w:hAnsi="Times New Roman"/>
            <w:noProof/>
            <w:lang w:val="en-US"/>
          </w:rPr>
          <w:t>2.2 Selection and justification of hazard</w:t>
        </w:r>
        <w:r>
          <w:rPr>
            <w:noProof/>
            <w:webHidden/>
          </w:rPr>
          <w:tab/>
        </w:r>
        <w:r>
          <w:rPr>
            <w:noProof/>
            <w:webHidden/>
          </w:rPr>
          <w:fldChar w:fldCharType="begin"/>
        </w:r>
        <w:r>
          <w:rPr>
            <w:noProof/>
            <w:webHidden/>
          </w:rPr>
          <w:instrText xml:space="preserve"> PAGEREF _Toc234999882 \h </w:instrText>
        </w:r>
        <w:r>
          <w:rPr>
            <w:noProof/>
            <w:webHidden/>
          </w:rPr>
        </w:r>
        <w:r>
          <w:rPr>
            <w:noProof/>
            <w:webHidden/>
          </w:rPr>
          <w:fldChar w:fldCharType="separate"/>
        </w:r>
        <w:r>
          <w:rPr>
            <w:noProof/>
            <w:webHidden/>
          </w:rPr>
          <w:t>10</w:t>
        </w:r>
        <w:r>
          <w:rPr>
            <w:noProof/>
            <w:webHidden/>
          </w:rPr>
          <w:fldChar w:fldCharType="end"/>
        </w:r>
      </w:hyperlink>
    </w:p>
    <w:p w14:paraId="180ACC6B" w14:textId="4C4EA58A" w:rsidR="00B018D1" w:rsidRDefault="00B018D1">
      <w:pPr>
        <w:pStyle w:val="TOC1"/>
        <w:rPr>
          <w:rFonts w:asciiTheme="minorHAnsi" w:eastAsiaTheme="minorEastAsia" w:hAnsiTheme="minorHAnsi" w:cstheme="minorBidi"/>
          <w:kern w:val="2"/>
          <w:lang w:eastAsia="en-GB"/>
          <w14:ligatures w14:val="standardContextual"/>
        </w:rPr>
      </w:pPr>
      <w:hyperlink w:anchor="_Toc234999883" w:history="1">
        <w:r w:rsidRPr="002E4097">
          <w:rPr>
            <w:rStyle w:val="Hyperlink"/>
            <w:rFonts w:ascii="Times New Roman" w:hAnsi="Times New Roman"/>
            <w:lang w:val="en-US"/>
          </w:rPr>
          <w:t>3 ALARP Justification of hazard</w:t>
        </w:r>
        <w:r>
          <w:rPr>
            <w:webHidden/>
          </w:rPr>
          <w:tab/>
        </w:r>
        <w:r>
          <w:rPr>
            <w:webHidden/>
          </w:rPr>
          <w:fldChar w:fldCharType="begin"/>
        </w:r>
        <w:r>
          <w:rPr>
            <w:webHidden/>
          </w:rPr>
          <w:instrText xml:space="preserve"> PAGEREF _Toc234999883 \h </w:instrText>
        </w:r>
        <w:r>
          <w:rPr>
            <w:webHidden/>
          </w:rPr>
        </w:r>
        <w:r>
          <w:rPr>
            <w:webHidden/>
          </w:rPr>
          <w:fldChar w:fldCharType="separate"/>
        </w:r>
        <w:r>
          <w:rPr>
            <w:webHidden/>
          </w:rPr>
          <w:t>11</w:t>
        </w:r>
        <w:r>
          <w:rPr>
            <w:webHidden/>
          </w:rPr>
          <w:fldChar w:fldCharType="end"/>
        </w:r>
      </w:hyperlink>
    </w:p>
    <w:p w14:paraId="7150F052" w14:textId="048D7F0C" w:rsidR="00B018D1" w:rsidRDefault="00B018D1">
      <w:pPr>
        <w:pStyle w:val="TOC2"/>
        <w:rPr>
          <w:rFonts w:asciiTheme="minorHAnsi" w:eastAsiaTheme="minorEastAsia" w:hAnsiTheme="minorHAnsi" w:cstheme="minorBidi"/>
          <w:noProof/>
          <w:kern w:val="2"/>
          <w:lang w:eastAsia="en-GB"/>
          <w14:ligatures w14:val="standardContextual"/>
        </w:rPr>
      </w:pPr>
      <w:hyperlink w:anchor="_Toc234999884" w:history="1">
        <w:r w:rsidRPr="002E4097">
          <w:rPr>
            <w:rStyle w:val="Hyperlink"/>
            <w:rFonts w:ascii="Times New Roman" w:hAnsi="Times New Roman"/>
            <w:noProof/>
            <w:lang w:val="en-US"/>
          </w:rPr>
          <w:t>3.1 Relevant Risk</w:t>
        </w:r>
        <w:r>
          <w:rPr>
            <w:noProof/>
            <w:webHidden/>
          </w:rPr>
          <w:tab/>
        </w:r>
        <w:r>
          <w:rPr>
            <w:noProof/>
            <w:webHidden/>
          </w:rPr>
          <w:fldChar w:fldCharType="begin"/>
        </w:r>
        <w:r>
          <w:rPr>
            <w:noProof/>
            <w:webHidden/>
          </w:rPr>
          <w:instrText xml:space="preserve"> PAGEREF _Toc234999884 \h </w:instrText>
        </w:r>
        <w:r>
          <w:rPr>
            <w:noProof/>
            <w:webHidden/>
          </w:rPr>
        </w:r>
        <w:r>
          <w:rPr>
            <w:noProof/>
            <w:webHidden/>
          </w:rPr>
          <w:fldChar w:fldCharType="separate"/>
        </w:r>
        <w:r>
          <w:rPr>
            <w:noProof/>
            <w:webHidden/>
          </w:rPr>
          <w:t>11</w:t>
        </w:r>
        <w:r>
          <w:rPr>
            <w:noProof/>
            <w:webHidden/>
          </w:rPr>
          <w:fldChar w:fldCharType="end"/>
        </w:r>
      </w:hyperlink>
    </w:p>
    <w:p w14:paraId="4920769F" w14:textId="618E4721" w:rsidR="00B018D1" w:rsidRDefault="00B018D1">
      <w:pPr>
        <w:pStyle w:val="TOC2"/>
        <w:rPr>
          <w:rFonts w:asciiTheme="minorHAnsi" w:eastAsiaTheme="minorEastAsia" w:hAnsiTheme="minorHAnsi" w:cstheme="minorBidi"/>
          <w:noProof/>
          <w:kern w:val="2"/>
          <w:lang w:eastAsia="en-GB"/>
          <w14:ligatures w14:val="standardContextual"/>
        </w:rPr>
      </w:pPr>
      <w:hyperlink w:anchor="_Toc234999885" w:history="1">
        <w:r w:rsidRPr="002E4097">
          <w:rPr>
            <w:rStyle w:val="Hyperlink"/>
            <w:rFonts w:ascii="Times New Roman" w:hAnsi="Times New Roman"/>
            <w:noProof/>
            <w:lang w:val="en-US"/>
          </w:rPr>
          <w:t>3.2 Duty Holder</w:t>
        </w:r>
        <w:r>
          <w:rPr>
            <w:noProof/>
            <w:webHidden/>
          </w:rPr>
          <w:tab/>
        </w:r>
        <w:r>
          <w:rPr>
            <w:noProof/>
            <w:webHidden/>
          </w:rPr>
          <w:fldChar w:fldCharType="begin"/>
        </w:r>
        <w:r>
          <w:rPr>
            <w:noProof/>
            <w:webHidden/>
          </w:rPr>
          <w:instrText xml:space="preserve"> PAGEREF _Toc234999885 \h </w:instrText>
        </w:r>
        <w:r>
          <w:rPr>
            <w:noProof/>
            <w:webHidden/>
          </w:rPr>
        </w:r>
        <w:r>
          <w:rPr>
            <w:noProof/>
            <w:webHidden/>
          </w:rPr>
          <w:fldChar w:fldCharType="separate"/>
        </w:r>
        <w:r>
          <w:rPr>
            <w:noProof/>
            <w:webHidden/>
          </w:rPr>
          <w:t>11</w:t>
        </w:r>
        <w:r>
          <w:rPr>
            <w:noProof/>
            <w:webHidden/>
          </w:rPr>
          <w:fldChar w:fldCharType="end"/>
        </w:r>
      </w:hyperlink>
    </w:p>
    <w:p w14:paraId="7D737CE9" w14:textId="33335A2D" w:rsidR="00B018D1" w:rsidRDefault="00B018D1">
      <w:pPr>
        <w:pStyle w:val="TOC2"/>
        <w:rPr>
          <w:rFonts w:asciiTheme="minorHAnsi" w:eastAsiaTheme="minorEastAsia" w:hAnsiTheme="minorHAnsi" w:cstheme="minorBidi"/>
          <w:noProof/>
          <w:kern w:val="2"/>
          <w:lang w:eastAsia="en-GB"/>
          <w14:ligatures w14:val="standardContextual"/>
        </w:rPr>
      </w:pPr>
      <w:hyperlink w:anchor="_Toc234999886" w:history="1">
        <w:r w:rsidRPr="002E4097">
          <w:rPr>
            <w:rStyle w:val="Hyperlink"/>
            <w:rFonts w:ascii="Times New Roman" w:hAnsi="Times New Roman"/>
            <w:noProof/>
            <w:lang w:val="en-US"/>
          </w:rPr>
          <w:t>3.3 Existing Mitigation</w:t>
        </w:r>
        <w:r>
          <w:rPr>
            <w:noProof/>
            <w:webHidden/>
          </w:rPr>
          <w:tab/>
        </w:r>
        <w:r>
          <w:rPr>
            <w:noProof/>
            <w:webHidden/>
          </w:rPr>
          <w:fldChar w:fldCharType="begin"/>
        </w:r>
        <w:r>
          <w:rPr>
            <w:noProof/>
            <w:webHidden/>
          </w:rPr>
          <w:instrText xml:space="preserve"> PAGEREF _Toc234999886 \h </w:instrText>
        </w:r>
        <w:r>
          <w:rPr>
            <w:noProof/>
            <w:webHidden/>
          </w:rPr>
        </w:r>
        <w:r>
          <w:rPr>
            <w:noProof/>
            <w:webHidden/>
          </w:rPr>
          <w:fldChar w:fldCharType="separate"/>
        </w:r>
        <w:r>
          <w:rPr>
            <w:noProof/>
            <w:webHidden/>
          </w:rPr>
          <w:t>12</w:t>
        </w:r>
        <w:r>
          <w:rPr>
            <w:noProof/>
            <w:webHidden/>
          </w:rPr>
          <w:fldChar w:fldCharType="end"/>
        </w:r>
      </w:hyperlink>
    </w:p>
    <w:p w14:paraId="528BFDF7" w14:textId="1C55074F" w:rsidR="00B018D1" w:rsidRDefault="00B018D1">
      <w:pPr>
        <w:pStyle w:val="TOC2"/>
        <w:rPr>
          <w:rFonts w:asciiTheme="minorHAnsi" w:eastAsiaTheme="minorEastAsia" w:hAnsiTheme="minorHAnsi" w:cstheme="minorBidi"/>
          <w:noProof/>
          <w:kern w:val="2"/>
          <w:lang w:eastAsia="en-GB"/>
          <w14:ligatures w14:val="standardContextual"/>
        </w:rPr>
      </w:pPr>
      <w:hyperlink w:anchor="_Toc234999887" w:history="1">
        <w:r w:rsidRPr="002E4097">
          <w:rPr>
            <w:rStyle w:val="Hyperlink"/>
            <w:rFonts w:ascii="Times New Roman" w:hAnsi="Times New Roman"/>
            <w:noProof/>
            <w:lang w:val="en-US"/>
          </w:rPr>
          <w:t>3.4 Relevant Legislation</w:t>
        </w:r>
        <w:r>
          <w:rPr>
            <w:noProof/>
            <w:webHidden/>
          </w:rPr>
          <w:tab/>
        </w:r>
        <w:r>
          <w:rPr>
            <w:noProof/>
            <w:webHidden/>
          </w:rPr>
          <w:fldChar w:fldCharType="begin"/>
        </w:r>
        <w:r>
          <w:rPr>
            <w:noProof/>
            <w:webHidden/>
          </w:rPr>
          <w:instrText xml:space="preserve"> PAGEREF _Toc234999887 \h </w:instrText>
        </w:r>
        <w:r>
          <w:rPr>
            <w:noProof/>
            <w:webHidden/>
          </w:rPr>
        </w:r>
        <w:r>
          <w:rPr>
            <w:noProof/>
            <w:webHidden/>
          </w:rPr>
          <w:fldChar w:fldCharType="separate"/>
        </w:r>
        <w:r>
          <w:rPr>
            <w:noProof/>
            <w:webHidden/>
          </w:rPr>
          <w:t>12</w:t>
        </w:r>
        <w:r>
          <w:rPr>
            <w:noProof/>
            <w:webHidden/>
          </w:rPr>
          <w:fldChar w:fldCharType="end"/>
        </w:r>
      </w:hyperlink>
    </w:p>
    <w:p w14:paraId="5F9AC85E" w14:textId="5A15DB17" w:rsidR="00B018D1" w:rsidRDefault="00B018D1">
      <w:pPr>
        <w:pStyle w:val="TOC2"/>
        <w:rPr>
          <w:rFonts w:asciiTheme="minorHAnsi" w:eastAsiaTheme="minorEastAsia" w:hAnsiTheme="minorHAnsi" w:cstheme="minorBidi"/>
          <w:noProof/>
          <w:kern w:val="2"/>
          <w:lang w:eastAsia="en-GB"/>
          <w14:ligatures w14:val="standardContextual"/>
        </w:rPr>
      </w:pPr>
      <w:hyperlink w:anchor="_Toc234999888" w:history="1">
        <w:r w:rsidRPr="002E4097">
          <w:rPr>
            <w:rStyle w:val="Hyperlink"/>
            <w:rFonts w:ascii="Times New Roman" w:hAnsi="Times New Roman"/>
            <w:noProof/>
            <w:lang w:val="en-US"/>
          </w:rPr>
          <w:t>3.5 Relevant good practice</w:t>
        </w:r>
        <w:r>
          <w:rPr>
            <w:noProof/>
            <w:webHidden/>
          </w:rPr>
          <w:tab/>
        </w:r>
        <w:r>
          <w:rPr>
            <w:noProof/>
            <w:webHidden/>
          </w:rPr>
          <w:fldChar w:fldCharType="begin"/>
        </w:r>
        <w:r>
          <w:rPr>
            <w:noProof/>
            <w:webHidden/>
          </w:rPr>
          <w:instrText xml:space="preserve"> PAGEREF _Toc234999888 \h </w:instrText>
        </w:r>
        <w:r>
          <w:rPr>
            <w:noProof/>
            <w:webHidden/>
          </w:rPr>
        </w:r>
        <w:r>
          <w:rPr>
            <w:noProof/>
            <w:webHidden/>
          </w:rPr>
          <w:fldChar w:fldCharType="separate"/>
        </w:r>
        <w:r>
          <w:rPr>
            <w:noProof/>
            <w:webHidden/>
          </w:rPr>
          <w:t>12</w:t>
        </w:r>
        <w:r>
          <w:rPr>
            <w:noProof/>
            <w:webHidden/>
          </w:rPr>
          <w:fldChar w:fldCharType="end"/>
        </w:r>
      </w:hyperlink>
    </w:p>
    <w:p w14:paraId="50059D9B" w14:textId="1F3C7209" w:rsidR="00B018D1" w:rsidRDefault="00B018D1">
      <w:pPr>
        <w:pStyle w:val="TOC1"/>
        <w:rPr>
          <w:rFonts w:asciiTheme="minorHAnsi" w:eastAsiaTheme="minorEastAsia" w:hAnsiTheme="minorHAnsi" w:cstheme="minorBidi"/>
          <w:kern w:val="2"/>
          <w:lang w:eastAsia="en-GB"/>
          <w14:ligatures w14:val="standardContextual"/>
        </w:rPr>
      </w:pPr>
      <w:hyperlink w:anchor="_Toc234999889" w:history="1">
        <w:r w:rsidRPr="002E4097">
          <w:rPr>
            <w:rStyle w:val="Hyperlink"/>
            <w:rFonts w:ascii="Times New Roman" w:hAnsi="Times New Roman"/>
            <w:lang w:val="en-US"/>
          </w:rPr>
          <w:t>4 Consideration of Cost benefit Analysis and Grossly Disproportionate Cost</w:t>
        </w:r>
        <w:r>
          <w:rPr>
            <w:webHidden/>
          </w:rPr>
          <w:tab/>
        </w:r>
        <w:r>
          <w:rPr>
            <w:webHidden/>
          </w:rPr>
          <w:fldChar w:fldCharType="begin"/>
        </w:r>
        <w:r>
          <w:rPr>
            <w:webHidden/>
          </w:rPr>
          <w:instrText xml:space="preserve"> PAGEREF _Toc234999889 \h </w:instrText>
        </w:r>
        <w:r>
          <w:rPr>
            <w:webHidden/>
          </w:rPr>
        </w:r>
        <w:r>
          <w:rPr>
            <w:webHidden/>
          </w:rPr>
          <w:fldChar w:fldCharType="separate"/>
        </w:r>
        <w:r>
          <w:rPr>
            <w:webHidden/>
          </w:rPr>
          <w:t>13</w:t>
        </w:r>
        <w:r>
          <w:rPr>
            <w:webHidden/>
          </w:rPr>
          <w:fldChar w:fldCharType="end"/>
        </w:r>
      </w:hyperlink>
    </w:p>
    <w:p w14:paraId="027C2CE3" w14:textId="3BB397A7" w:rsidR="00B018D1" w:rsidRDefault="00B018D1">
      <w:pPr>
        <w:pStyle w:val="TOC1"/>
        <w:rPr>
          <w:rFonts w:asciiTheme="minorHAnsi" w:eastAsiaTheme="minorEastAsia" w:hAnsiTheme="minorHAnsi" w:cstheme="minorBidi"/>
          <w:kern w:val="2"/>
          <w:lang w:eastAsia="en-GB"/>
          <w14:ligatures w14:val="standardContextual"/>
        </w:rPr>
      </w:pPr>
      <w:hyperlink w:anchor="_Toc234999890" w:history="1">
        <w:r w:rsidRPr="002E4097">
          <w:rPr>
            <w:rStyle w:val="Hyperlink"/>
            <w:rFonts w:ascii="Times New Roman" w:hAnsi="Times New Roman"/>
            <w:lang w:val="en-US"/>
          </w:rPr>
          <w:t>5 Collective summary and further recommendations</w:t>
        </w:r>
        <w:r>
          <w:rPr>
            <w:webHidden/>
          </w:rPr>
          <w:tab/>
        </w:r>
        <w:r>
          <w:rPr>
            <w:webHidden/>
          </w:rPr>
          <w:fldChar w:fldCharType="begin"/>
        </w:r>
        <w:r>
          <w:rPr>
            <w:webHidden/>
          </w:rPr>
          <w:instrText xml:space="preserve"> PAGEREF _Toc234999890 \h </w:instrText>
        </w:r>
        <w:r>
          <w:rPr>
            <w:webHidden/>
          </w:rPr>
        </w:r>
        <w:r>
          <w:rPr>
            <w:webHidden/>
          </w:rPr>
          <w:fldChar w:fldCharType="separate"/>
        </w:r>
        <w:r>
          <w:rPr>
            <w:webHidden/>
          </w:rPr>
          <w:t>13</w:t>
        </w:r>
        <w:r>
          <w:rPr>
            <w:webHidden/>
          </w:rPr>
          <w:fldChar w:fldCharType="end"/>
        </w:r>
      </w:hyperlink>
    </w:p>
    <w:p w14:paraId="70D2B151" w14:textId="340459E7" w:rsidR="00B018D1" w:rsidRDefault="00B018D1">
      <w:pPr>
        <w:pStyle w:val="TOC1"/>
        <w:rPr>
          <w:rFonts w:asciiTheme="minorHAnsi" w:eastAsiaTheme="minorEastAsia" w:hAnsiTheme="minorHAnsi" w:cstheme="minorBidi"/>
          <w:kern w:val="2"/>
          <w:lang w:eastAsia="en-GB"/>
          <w14:ligatures w14:val="standardContextual"/>
        </w:rPr>
      </w:pPr>
      <w:hyperlink w:anchor="_Toc234999891" w:history="1">
        <w:r w:rsidRPr="002E4097">
          <w:rPr>
            <w:rStyle w:val="Hyperlink"/>
            <w:rFonts w:ascii="Times New Roman" w:hAnsi="Times New Roman"/>
            <w:kern w:val="36"/>
            <w:lang w:eastAsia="en-GB"/>
          </w:rPr>
          <w:t>Bibliography</w:t>
        </w:r>
        <w:r>
          <w:rPr>
            <w:webHidden/>
          </w:rPr>
          <w:tab/>
        </w:r>
        <w:r>
          <w:rPr>
            <w:webHidden/>
          </w:rPr>
          <w:fldChar w:fldCharType="begin"/>
        </w:r>
        <w:r>
          <w:rPr>
            <w:webHidden/>
          </w:rPr>
          <w:instrText xml:space="preserve"> PAGEREF _Toc234999891 \h </w:instrText>
        </w:r>
        <w:r>
          <w:rPr>
            <w:webHidden/>
          </w:rPr>
        </w:r>
        <w:r>
          <w:rPr>
            <w:webHidden/>
          </w:rPr>
          <w:fldChar w:fldCharType="separate"/>
        </w:r>
        <w:r>
          <w:rPr>
            <w:webHidden/>
          </w:rPr>
          <w:t>14</w:t>
        </w:r>
        <w:r>
          <w:rPr>
            <w:webHidden/>
          </w:rPr>
          <w:fldChar w:fldCharType="end"/>
        </w:r>
      </w:hyperlink>
    </w:p>
    <w:p w14:paraId="56B84C9D" w14:textId="5DE95AC0" w:rsidR="009A1B4D" w:rsidRDefault="00B765F2" w:rsidP="00B518ED">
      <w:pPr>
        <w:rPr>
          <w:rFonts w:asciiTheme="majorBidi" w:hAnsiTheme="majorBidi" w:cstheme="majorBidi"/>
        </w:rPr>
      </w:pPr>
      <w:r w:rsidRPr="004727CF">
        <w:rPr>
          <w:rFonts w:asciiTheme="majorBidi" w:hAnsiTheme="majorBidi" w:cstheme="majorBidi"/>
        </w:rPr>
        <w:fldChar w:fldCharType="end"/>
      </w:r>
      <w:bookmarkStart w:id="10" w:name="_Toc51833371"/>
      <w:bookmarkStart w:id="11" w:name="_Toc290554220"/>
      <w:bookmarkStart w:id="12" w:name="_Toc299621185"/>
      <w:bookmarkStart w:id="13" w:name="_Toc299631413"/>
      <w:bookmarkStart w:id="14" w:name="_Toc299631473"/>
      <w:bookmarkStart w:id="15" w:name="_Toc299631563"/>
      <w:bookmarkStart w:id="16" w:name="_Toc299631640"/>
    </w:p>
    <w:p w14:paraId="47523E60" w14:textId="77777777" w:rsidR="009A1B4D" w:rsidRDefault="009A1B4D">
      <w:pPr>
        <w:spacing w:before="0" w:after="200" w:line="276" w:lineRule="auto"/>
        <w:jc w:val="left"/>
        <w:rPr>
          <w:rFonts w:asciiTheme="majorBidi" w:hAnsiTheme="majorBidi" w:cstheme="majorBidi"/>
        </w:rPr>
      </w:pPr>
      <w:r>
        <w:rPr>
          <w:rFonts w:asciiTheme="majorBidi" w:hAnsiTheme="majorBidi" w:cstheme="majorBidi"/>
        </w:rPr>
        <w:br w:type="page"/>
      </w:r>
    </w:p>
    <w:p w14:paraId="28AA6BF1" w14:textId="18A77FB9" w:rsidR="00DA28B2" w:rsidRPr="004727CF" w:rsidRDefault="007F0255" w:rsidP="00361EFD">
      <w:pPr>
        <w:pStyle w:val="Heading1nonumber"/>
        <w:rPr>
          <w:rFonts w:asciiTheme="majorBidi" w:hAnsiTheme="majorBidi" w:cstheme="majorBidi"/>
        </w:rPr>
      </w:pPr>
      <w:bookmarkStart w:id="17" w:name="_Toc234999878"/>
      <w:bookmarkEnd w:id="10"/>
      <w:bookmarkEnd w:id="11"/>
      <w:bookmarkEnd w:id="12"/>
      <w:bookmarkEnd w:id="13"/>
      <w:bookmarkEnd w:id="14"/>
      <w:bookmarkEnd w:id="15"/>
      <w:bookmarkEnd w:id="16"/>
      <w:r w:rsidRPr="004727CF">
        <w:rPr>
          <w:rFonts w:asciiTheme="majorBidi" w:hAnsiTheme="majorBidi" w:cstheme="majorBidi"/>
        </w:rPr>
        <w:lastRenderedPageBreak/>
        <w:t xml:space="preserve">List of </w:t>
      </w:r>
      <w:r w:rsidR="004C2C9C" w:rsidRPr="004727CF">
        <w:rPr>
          <w:rFonts w:asciiTheme="majorBidi" w:hAnsiTheme="majorBidi" w:cstheme="majorBidi"/>
        </w:rPr>
        <w:t>A</w:t>
      </w:r>
      <w:r w:rsidRPr="004727CF">
        <w:rPr>
          <w:rFonts w:asciiTheme="majorBidi" w:hAnsiTheme="majorBidi" w:cstheme="majorBidi"/>
        </w:rPr>
        <w:t>bbreviations</w:t>
      </w:r>
      <w:bookmarkEnd w:id="1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212D6E" w:rsidRPr="004727CF" w14:paraId="0AC8891D" w14:textId="77777777" w:rsidTr="00507FA4">
        <w:tc>
          <w:tcPr>
            <w:tcW w:w="1363" w:type="dxa"/>
          </w:tcPr>
          <w:p w14:paraId="2C7EBA2A" w14:textId="56D8D295" w:rsidR="00212D6E" w:rsidRDefault="00414F8F" w:rsidP="00361EFD">
            <w:pPr>
              <w:pStyle w:val="TableText"/>
              <w:rPr>
                <w:rFonts w:asciiTheme="majorBidi" w:hAnsiTheme="majorBidi" w:cstheme="majorBidi"/>
              </w:rPr>
            </w:pPr>
            <w:r>
              <w:rPr>
                <w:rFonts w:asciiTheme="majorBidi" w:hAnsiTheme="majorBidi" w:cstheme="majorBidi"/>
              </w:rPr>
              <w:t>ALARP</w:t>
            </w:r>
          </w:p>
        </w:tc>
        <w:tc>
          <w:tcPr>
            <w:tcW w:w="7141" w:type="dxa"/>
          </w:tcPr>
          <w:p w14:paraId="14B8A617" w14:textId="3AF19902" w:rsidR="00212D6E" w:rsidRPr="00EE6208" w:rsidRDefault="00414F8F" w:rsidP="00361EFD">
            <w:pPr>
              <w:pStyle w:val="TableText"/>
              <w:rPr>
                <w:rFonts w:asciiTheme="majorBidi" w:hAnsiTheme="majorBidi" w:cstheme="majorBidi"/>
              </w:rPr>
            </w:pPr>
            <w:r w:rsidRPr="00414F8F">
              <w:rPr>
                <w:rFonts w:asciiTheme="majorBidi" w:hAnsiTheme="majorBidi" w:cstheme="majorBidi"/>
              </w:rPr>
              <w:t>As Low As Reasonably Practicable</w:t>
            </w:r>
          </w:p>
        </w:tc>
      </w:tr>
      <w:tr w:rsidR="00212D6E" w:rsidRPr="004727CF" w14:paraId="2F37D6A0" w14:textId="77777777" w:rsidTr="00507FA4">
        <w:tc>
          <w:tcPr>
            <w:tcW w:w="1363" w:type="dxa"/>
          </w:tcPr>
          <w:p w14:paraId="43CDE059" w14:textId="1E5C2227" w:rsidR="00212D6E" w:rsidRDefault="00414F8F" w:rsidP="00361EFD">
            <w:pPr>
              <w:pStyle w:val="TableText"/>
              <w:rPr>
                <w:rFonts w:asciiTheme="majorBidi" w:hAnsiTheme="majorBidi" w:cstheme="majorBidi"/>
              </w:rPr>
            </w:pPr>
            <w:r>
              <w:rPr>
                <w:rFonts w:asciiTheme="majorBidi" w:hAnsiTheme="majorBidi" w:cstheme="majorBidi"/>
              </w:rPr>
              <w:t>GDC</w:t>
            </w:r>
          </w:p>
        </w:tc>
        <w:tc>
          <w:tcPr>
            <w:tcW w:w="7141" w:type="dxa"/>
          </w:tcPr>
          <w:p w14:paraId="4C247F63" w14:textId="4F64D9C0" w:rsidR="00212D6E" w:rsidRPr="00EE6208" w:rsidRDefault="00414F8F" w:rsidP="00361EFD">
            <w:pPr>
              <w:pStyle w:val="TableText"/>
              <w:rPr>
                <w:rFonts w:asciiTheme="majorBidi" w:hAnsiTheme="majorBidi" w:cstheme="majorBidi"/>
              </w:rPr>
            </w:pPr>
            <w:r>
              <w:rPr>
                <w:rFonts w:asciiTheme="majorBidi" w:hAnsiTheme="majorBidi" w:cstheme="majorBidi"/>
              </w:rPr>
              <w:t>Grossly Disproportionate Cost</w:t>
            </w:r>
          </w:p>
        </w:tc>
      </w:tr>
      <w:tr w:rsidR="00212D6E" w:rsidRPr="004727CF" w14:paraId="153CBA19" w14:textId="77777777" w:rsidTr="00507FA4">
        <w:tc>
          <w:tcPr>
            <w:tcW w:w="1363" w:type="dxa"/>
          </w:tcPr>
          <w:p w14:paraId="6EF343F6" w14:textId="5EE07920" w:rsidR="00212D6E" w:rsidRDefault="00414F8F" w:rsidP="00361EFD">
            <w:pPr>
              <w:pStyle w:val="TableText"/>
              <w:rPr>
                <w:rFonts w:asciiTheme="majorBidi" w:hAnsiTheme="majorBidi" w:cstheme="majorBidi"/>
              </w:rPr>
            </w:pPr>
            <w:r>
              <w:rPr>
                <w:rFonts w:asciiTheme="majorBidi" w:hAnsiTheme="majorBidi" w:cstheme="majorBidi"/>
              </w:rPr>
              <w:t>CBA</w:t>
            </w:r>
          </w:p>
        </w:tc>
        <w:tc>
          <w:tcPr>
            <w:tcW w:w="7141" w:type="dxa"/>
          </w:tcPr>
          <w:p w14:paraId="058332B3" w14:textId="3042D21C" w:rsidR="00212D6E" w:rsidRPr="00EE6208" w:rsidRDefault="00414F8F" w:rsidP="00361EFD">
            <w:pPr>
              <w:pStyle w:val="TableText"/>
              <w:rPr>
                <w:rFonts w:asciiTheme="majorBidi" w:hAnsiTheme="majorBidi" w:cstheme="majorBidi"/>
              </w:rPr>
            </w:pPr>
            <w:r>
              <w:rPr>
                <w:rFonts w:asciiTheme="majorBidi" w:hAnsiTheme="majorBidi" w:cstheme="majorBidi"/>
              </w:rPr>
              <w:t xml:space="preserve">Cost Benefit Analysis </w:t>
            </w:r>
          </w:p>
        </w:tc>
      </w:tr>
      <w:tr w:rsidR="00212D6E" w:rsidRPr="004727CF" w14:paraId="03F98C75" w14:textId="77777777" w:rsidTr="00507FA4">
        <w:tc>
          <w:tcPr>
            <w:tcW w:w="1363" w:type="dxa"/>
          </w:tcPr>
          <w:p w14:paraId="56BC9013" w14:textId="444FA39A" w:rsidR="00212D6E" w:rsidRDefault="00414F8F" w:rsidP="00361EFD">
            <w:pPr>
              <w:pStyle w:val="TableText"/>
              <w:rPr>
                <w:rFonts w:asciiTheme="majorBidi" w:hAnsiTheme="majorBidi" w:cstheme="majorBidi"/>
              </w:rPr>
            </w:pPr>
            <w:r>
              <w:rPr>
                <w:rFonts w:asciiTheme="majorBidi" w:hAnsiTheme="majorBidi" w:cstheme="majorBidi"/>
              </w:rPr>
              <w:t>VPF</w:t>
            </w:r>
          </w:p>
        </w:tc>
        <w:tc>
          <w:tcPr>
            <w:tcW w:w="7141" w:type="dxa"/>
          </w:tcPr>
          <w:p w14:paraId="1AEFFE40" w14:textId="28E501AB" w:rsidR="00212D6E" w:rsidRPr="00EE6208" w:rsidRDefault="00414F8F" w:rsidP="00361EFD">
            <w:pPr>
              <w:pStyle w:val="TableText"/>
              <w:rPr>
                <w:rFonts w:asciiTheme="majorBidi" w:hAnsiTheme="majorBidi" w:cstheme="majorBidi"/>
              </w:rPr>
            </w:pPr>
            <w:r>
              <w:rPr>
                <w:rFonts w:asciiTheme="majorBidi" w:hAnsiTheme="majorBidi" w:cstheme="majorBidi"/>
              </w:rPr>
              <w:t xml:space="preserve">Value of Prevented Fatality </w:t>
            </w:r>
          </w:p>
        </w:tc>
      </w:tr>
      <w:tr w:rsidR="00212D6E" w:rsidRPr="004727CF" w14:paraId="4B56A388" w14:textId="77777777" w:rsidTr="00507FA4">
        <w:tc>
          <w:tcPr>
            <w:tcW w:w="1363" w:type="dxa"/>
          </w:tcPr>
          <w:p w14:paraId="286E83AD" w14:textId="406252AF" w:rsidR="00212D6E" w:rsidRDefault="006F339E" w:rsidP="00361EFD">
            <w:pPr>
              <w:pStyle w:val="TableText"/>
              <w:rPr>
                <w:rFonts w:asciiTheme="majorBidi" w:hAnsiTheme="majorBidi" w:cstheme="majorBidi"/>
              </w:rPr>
            </w:pPr>
            <w:r>
              <w:rPr>
                <w:rFonts w:asciiTheme="majorBidi" w:hAnsiTheme="majorBidi" w:cstheme="majorBidi"/>
              </w:rPr>
              <w:t xml:space="preserve">SOP </w:t>
            </w:r>
          </w:p>
        </w:tc>
        <w:tc>
          <w:tcPr>
            <w:tcW w:w="7141" w:type="dxa"/>
          </w:tcPr>
          <w:p w14:paraId="32BE5885" w14:textId="2D694E03" w:rsidR="00212D6E" w:rsidRPr="00EE6208" w:rsidRDefault="006F339E" w:rsidP="00361EFD">
            <w:pPr>
              <w:pStyle w:val="TableText"/>
              <w:rPr>
                <w:rFonts w:asciiTheme="majorBidi" w:hAnsiTheme="majorBidi" w:cstheme="majorBidi"/>
              </w:rPr>
            </w:pPr>
            <w:r>
              <w:rPr>
                <w:rFonts w:asciiTheme="majorBidi" w:hAnsiTheme="majorBidi" w:cstheme="majorBidi"/>
              </w:rPr>
              <w:t xml:space="preserve">Safe Operating Procedure </w:t>
            </w:r>
          </w:p>
        </w:tc>
      </w:tr>
      <w:tr w:rsidR="0003024C" w:rsidRPr="004727CF" w14:paraId="4298CFDD" w14:textId="77777777" w:rsidTr="00507FA4">
        <w:tc>
          <w:tcPr>
            <w:tcW w:w="1363" w:type="dxa"/>
          </w:tcPr>
          <w:p w14:paraId="62E10BF1" w14:textId="038519EC" w:rsidR="0003024C" w:rsidRDefault="0003024C" w:rsidP="00361EFD">
            <w:pPr>
              <w:pStyle w:val="TableText"/>
              <w:rPr>
                <w:rFonts w:asciiTheme="majorBidi" w:hAnsiTheme="majorBidi" w:cstheme="majorBidi"/>
              </w:rPr>
            </w:pPr>
            <w:r>
              <w:rPr>
                <w:rFonts w:asciiTheme="majorBidi" w:hAnsiTheme="majorBidi" w:cstheme="majorBidi"/>
              </w:rPr>
              <w:t>PPE</w:t>
            </w:r>
          </w:p>
        </w:tc>
        <w:tc>
          <w:tcPr>
            <w:tcW w:w="7141" w:type="dxa"/>
          </w:tcPr>
          <w:p w14:paraId="6E94193B" w14:textId="615645B8" w:rsidR="0003024C" w:rsidRDefault="0003024C" w:rsidP="00361EFD">
            <w:pPr>
              <w:pStyle w:val="TableText"/>
              <w:rPr>
                <w:rFonts w:asciiTheme="majorBidi" w:hAnsiTheme="majorBidi" w:cstheme="majorBidi"/>
              </w:rPr>
            </w:pPr>
            <w:r>
              <w:rPr>
                <w:rFonts w:asciiTheme="majorBidi" w:hAnsiTheme="majorBidi" w:cstheme="majorBidi"/>
              </w:rPr>
              <w:t xml:space="preserve">Personal Protective Equipment </w:t>
            </w:r>
          </w:p>
        </w:tc>
      </w:tr>
      <w:tr w:rsidR="0003024C" w:rsidRPr="004727CF" w14:paraId="46304EF6" w14:textId="77777777" w:rsidTr="00507FA4">
        <w:tc>
          <w:tcPr>
            <w:tcW w:w="1363" w:type="dxa"/>
          </w:tcPr>
          <w:p w14:paraId="7B6B2C9F" w14:textId="727DD8B1" w:rsidR="0003024C" w:rsidRDefault="00596477" w:rsidP="00361EFD">
            <w:pPr>
              <w:pStyle w:val="TableText"/>
              <w:rPr>
                <w:rFonts w:asciiTheme="majorBidi" w:hAnsiTheme="majorBidi" w:cstheme="majorBidi"/>
              </w:rPr>
            </w:pPr>
            <w:r>
              <w:rPr>
                <w:rFonts w:asciiTheme="majorBidi" w:hAnsiTheme="majorBidi" w:cstheme="majorBidi"/>
              </w:rPr>
              <w:t xml:space="preserve">PAT </w:t>
            </w:r>
          </w:p>
        </w:tc>
        <w:tc>
          <w:tcPr>
            <w:tcW w:w="7141" w:type="dxa"/>
          </w:tcPr>
          <w:p w14:paraId="599BB9B6" w14:textId="42A1AFDF" w:rsidR="0003024C" w:rsidRDefault="00596477" w:rsidP="00240C8F">
            <w:pPr>
              <w:pStyle w:val="TableText"/>
              <w:rPr>
                <w:rFonts w:asciiTheme="majorBidi" w:hAnsiTheme="majorBidi" w:cstheme="majorBidi"/>
              </w:rPr>
            </w:pPr>
            <w:r>
              <w:rPr>
                <w:rFonts w:asciiTheme="majorBidi" w:hAnsiTheme="majorBidi" w:cstheme="majorBidi"/>
              </w:rPr>
              <w:t>P</w:t>
            </w:r>
            <w:r w:rsidRPr="00596477">
              <w:rPr>
                <w:rFonts w:asciiTheme="majorBidi" w:hAnsiTheme="majorBidi" w:cstheme="majorBidi"/>
              </w:rPr>
              <w:t xml:space="preserve">ortable </w:t>
            </w:r>
            <w:r>
              <w:rPr>
                <w:rFonts w:asciiTheme="majorBidi" w:hAnsiTheme="majorBidi" w:cstheme="majorBidi"/>
              </w:rPr>
              <w:t>A</w:t>
            </w:r>
            <w:r w:rsidRPr="00596477">
              <w:rPr>
                <w:rFonts w:asciiTheme="majorBidi" w:hAnsiTheme="majorBidi" w:cstheme="majorBidi"/>
              </w:rPr>
              <w:t xml:space="preserve">ppliance </w:t>
            </w:r>
            <w:r>
              <w:rPr>
                <w:rFonts w:asciiTheme="majorBidi" w:hAnsiTheme="majorBidi" w:cstheme="majorBidi"/>
              </w:rPr>
              <w:t>T</w:t>
            </w:r>
            <w:r w:rsidRPr="00596477">
              <w:rPr>
                <w:rFonts w:asciiTheme="majorBidi" w:hAnsiTheme="majorBidi" w:cstheme="majorBidi"/>
              </w:rPr>
              <w:t>esting</w:t>
            </w:r>
          </w:p>
        </w:tc>
      </w:tr>
      <w:tr w:rsidR="0003024C" w:rsidRPr="004727CF" w14:paraId="71943C29" w14:textId="77777777" w:rsidTr="00507FA4">
        <w:tc>
          <w:tcPr>
            <w:tcW w:w="1363" w:type="dxa"/>
          </w:tcPr>
          <w:p w14:paraId="46521706" w14:textId="1BB1FB6B" w:rsidR="0003024C" w:rsidRDefault="00240C8F" w:rsidP="00361EFD">
            <w:pPr>
              <w:pStyle w:val="TableText"/>
              <w:rPr>
                <w:rFonts w:asciiTheme="majorBidi" w:hAnsiTheme="majorBidi" w:cstheme="majorBidi"/>
              </w:rPr>
            </w:pPr>
            <w:r>
              <w:rPr>
                <w:rFonts w:asciiTheme="majorBidi" w:hAnsiTheme="majorBidi" w:cstheme="majorBidi"/>
              </w:rPr>
              <w:t>HE</w:t>
            </w:r>
          </w:p>
        </w:tc>
        <w:tc>
          <w:tcPr>
            <w:tcW w:w="7141" w:type="dxa"/>
          </w:tcPr>
          <w:p w14:paraId="564A0AFC" w14:textId="0A77066A" w:rsidR="0003024C" w:rsidRDefault="00240C8F" w:rsidP="00361EFD">
            <w:pPr>
              <w:pStyle w:val="TableText"/>
              <w:rPr>
                <w:rFonts w:asciiTheme="majorBidi" w:hAnsiTheme="majorBidi" w:cstheme="majorBidi"/>
              </w:rPr>
            </w:pPr>
            <w:r>
              <w:rPr>
                <w:rFonts w:asciiTheme="majorBidi" w:hAnsiTheme="majorBidi" w:cstheme="majorBidi"/>
              </w:rPr>
              <w:t xml:space="preserve">High Explosive </w:t>
            </w:r>
          </w:p>
        </w:tc>
      </w:tr>
      <w:tr w:rsidR="0003024C" w:rsidRPr="004727CF" w14:paraId="346237B0" w14:textId="77777777" w:rsidTr="00507FA4">
        <w:tc>
          <w:tcPr>
            <w:tcW w:w="1363" w:type="dxa"/>
          </w:tcPr>
          <w:p w14:paraId="5ED4F032" w14:textId="777A52DA" w:rsidR="0003024C" w:rsidRDefault="00240C8F" w:rsidP="00361EFD">
            <w:pPr>
              <w:pStyle w:val="TableText"/>
              <w:rPr>
                <w:rFonts w:asciiTheme="majorBidi" w:hAnsiTheme="majorBidi" w:cstheme="majorBidi"/>
              </w:rPr>
            </w:pPr>
            <w:r>
              <w:rPr>
                <w:rFonts w:asciiTheme="majorBidi" w:hAnsiTheme="majorBidi" w:cstheme="majorBidi"/>
              </w:rPr>
              <w:t>FCS</w:t>
            </w:r>
          </w:p>
        </w:tc>
        <w:tc>
          <w:tcPr>
            <w:tcW w:w="7141" w:type="dxa"/>
          </w:tcPr>
          <w:p w14:paraId="2A0F9F62" w14:textId="4EF5628F" w:rsidR="0003024C" w:rsidRDefault="00240C8F" w:rsidP="00361EFD">
            <w:pPr>
              <w:pStyle w:val="TableText"/>
              <w:rPr>
                <w:rFonts w:asciiTheme="majorBidi" w:hAnsiTheme="majorBidi" w:cstheme="majorBidi"/>
              </w:rPr>
            </w:pPr>
            <w:r w:rsidRPr="00240C8F">
              <w:rPr>
                <w:rFonts w:asciiTheme="majorBidi" w:hAnsiTheme="majorBidi" w:cstheme="majorBidi"/>
              </w:rPr>
              <w:t>Firearm Safety Certificates</w:t>
            </w:r>
          </w:p>
        </w:tc>
      </w:tr>
      <w:tr w:rsidR="0003024C" w:rsidRPr="004727CF" w14:paraId="636139A4" w14:textId="77777777" w:rsidTr="00507FA4">
        <w:tc>
          <w:tcPr>
            <w:tcW w:w="1363" w:type="dxa"/>
          </w:tcPr>
          <w:p w14:paraId="36FF208C" w14:textId="3E882866" w:rsidR="0003024C" w:rsidRDefault="00092AE7" w:rsidP="00361EFD">
            <w:pPr>
              <w:pStyle w:val="TableText"/>
              <w:rPr>
                <w:rFonts w:asciiTheme="majorBidi" w:hAnsiTheme="majorBidi" w:cstheme="majorBidi"/>
              </w:rPr>
            </w:pPr>
            <w:r>
              <w:rPr>
                <w:rFonts w:asciiTheme="majorBidi" w:hAnsiTheme="majorBidi" w:cstheme="majorBidi"/>
              </w:rPr>
              <w:t xml:space="preserve">BAT </w:t>
            </w:r>
          </w:p>
        </w:tc>
        <w:tc>
          <w:tcPr>
            <w:tcW w:w="7141" w:type="dxa"/>
          </w:tcPr>
          <w:p w14:paraId="74906AE1" w14:textId="5F823E05" w:rsidR="0003024C" w:rsidRDefault="00092AE7" w:rsidP="00361EFD">
            <w:pPr>
              <w:pStyle w:val="TableText"/>
              <w:rPr>
                <w:rFonts w:asciiTheme="majorBidi" w:hAnsiTheme="majorBidi" w:cstheme="majorBidi"/>
              </w:rPr>
            </w:pPr>
            <w:r>
              <w:rPr>
                <w:rFonts w:asciiTheme="majorBidi" w:hAnsiTheme="majorBidi" w:cstheme="majorBidi"/>
              </w:rPr>
              <w:t xml:space="preserve">Best Available Technique </w:t>
            </w:r>
          </w:p>
        </w:tc>
      </w:tr>
      <w:tr w:rsidR="00212D6E" w:rsidRPr="004727CF" w14:paraId="0C6163C7" w14:textId="77777777" w:rsidTr="00507FA4">
        <w:tc>
          <w:tcPr>
            <w:tcW w:w="1363" w:type="dxa"/>
          </w:tcPr>
          <w:p w14:paraId="6A168EEC" w14:textId="709B896B" w:rsidR="00212D6E" w:rsidRDefault="001D1209" w:rsidP="00361EFD">
            <w:pPr>
              <w:pStyle w:val="TableText"/>
              <w:rPr>
                <w:rFonts w:asciiTheme="majorBidi" w:hAnsiTheme="majorBidi" w:cstheme="majorBidi"/>
              </w:rPr>
            </w:pPr>
            <w:r>
              <w:rPr>
                <w:rFonts w:asciiTheme="majorBidi" w:hAnsiTheme="majorBidi" w:cstheme="majorBidi"/>
              </w:rPr>
              <w:t>SFAIRP</w:t>
            </w:r>
          </w:p>
        </w:tc>
        <w:tc>
          <w:tcPr>
            <w:tcW w:w="7141" w:type="dxa"/>
          </w:tcPr>
          <w:p w14:paraId="7E75E865" w14:textId="79F68757" w:rsidR="00212D6E" w:rsidRPr="00EE6208" w:rsidRDefault="001D1209" w:rsidP="00361EFD">
            <w:pPr>
              <w:pStyle w:val="TableText"/>
              <w:rPr>
                <w:rFonts w:asciiTheme="majorBidi" w:hAnsiTheme="majorBidi" w:cstheme="majorBidi"/>
              </w:rPr>
            </w:pPr>
            <w:r>
              <w:rPr>
                <w:rFonts w:asciiTheme="majorBidi" w:hAnsiTheme="majorBidi" w:cstheme="majorBidi"/>
              </w:rPr>
              <w:t xml:space="preserve">So Far As Is Reasonably Practicable </w:t>
            </w:r>
          </w:p>
        </w:tc>
      </w:tr>
      <w:tr w:rsidR="00361EFD" w:rsidRPr="004727CF" w14:paraId="0FA31D44" w14:textId="77777777" w:rsidTr="00507FA4">
        <w:tc>
          <w:tcPr>
            <w:tcW w:w="1363" w:type="dxa"/>
          </w:tcPr>
          <w:p w14:paraId="02214EBF" w14:textId="77777777" w:rsidR="00361EFD" w:rsidRPr="004727CF" w:rsidRDefault="00361EFD" w:rsidP="00361EFD">
            <w:pPr>
              <w:pStyle w:val="TableText"/>
              <w:rPr>
                <w:rFonts w:asciiTheme="majorBidi" w:hAnsiTheme="majorBidi" w:cstheme="majorBidi"/>
              </w:rPr>
            </w:pPr>
          </w:p>
        </w:tc>
        <w:tc>
          <w:tcPr>
            <w:tcW w:w="7141" w:type="dxa"/>
          </w:tcPr>
          <w:p w14:paraId="52D6A5CA" w14:textId="77777777" w:rsidR="00361EFD" w:rsidRPr="004727CF" w:rsidRDefault="00361EFD" w:rsidP="00361EFD">
            <w:pPr>
              <w:pStyle w:val="TableText"/>
              <w:rPr>
                <w:rFonts w:asciiTheme="majorBidi" w:hAnsiTheme="majorBidi" w:cstheme="majorBidi"/>
              </w:rPr>
            </w:pPr>
          </w:p>
        </w:tc>
      </w:tr>
      <w:tr w:rsidR="00361EFD" w:rsidRPr="004727CF" w14:paraId="10539495" w14:textId="77777777" w:rsidTr="00507FA4">
        <w:tc>
          <w:tcPr>
            <w:tcW w:w="1363" w:type="dxa"/>
          </w:tcPr>
          <w:p w14:paraId="7FA66CE0" w14:textId="77777777" w:rsidR="00361EFD" w:rsidRPr="004727CF" w:rsidRDefault="00361EFD" w:rsidP="00361EFD">
            <w:pPr>
              <w:pStyle w:val="TableText"/>
              <w:rPr>
                <w:rFonts w:asciiTheme="majorBidi" w:hAnsiTheme="majorBidi" w:cstheme="majorBidi"/>
              </w:rPr>
            </w:pPr>
          </w:p>
        </w:tc>
        <w:tc>
          <w:tcPr>
            <w:tcW w:w="7141" w:type="dxa"/>
          </w:tcPr>
          <w:p w14:paraId="2EABCFE7" w14:textId="77777777" w:rsidR="00361EFD" w:rsidRPr="004727CF" w:rsidRDefault="00361EFD" w:rsidP="00361EFD">
            <w:pPr>
              <w:pStyle w:val="TableText"/>
              <w:rPr>
                <w:rFonts w:asciiTheme="majorBidi" w:hAnsiTheme="majorBidi" w:cstheme="majorBidi"/>
              </w:rPr>
            </w:pPr>
          </w:p>
        </w:tc>
      </w:tr>
      <w:tr w:rsidR="00361EFD" w:rsidRPr="004727CF" w14:paraId="0AE06573" w14:textId="77777777" w:rsidTr="00507FA4">
        <w:tc>
          <w:tcPr>
            <w:tcW w:w="1363" w:type="dxa"/>
          </w:tcPr>
          <w:p w14:paraId="7177CC6D" w14:textId="77777777" w:rsidR="00361EFD" w:rsidRPr="004727CF" w:rsidRDefault="00361EFD" w:rsidP="00361EFD">
            <w:pPr>
              <w:pStyle w:val="TableText"/>
              <w:rPr>
                <w:rFonts w:asciiTheme="majorBidi" w:hAnsiTheme="majorBidi" w:cstheme="majorBidi"/>
              </w:rPr>
            </w:pPr>
          </w:p>
        </w:tc>
        <w:tc>
          <w:tcPr>
            <w:tcW w:w="7141" w:type="dxa"/>
          </w:tcPr>
          <w:p w14:paraId="1BEA698F" w14:textId="77777777" w:rsidR="00361EFD" w:rsidRPr="004727CF" w:rsidRDefault="00361EFD" w:rsidP="00361EFD">
            <w:pPr>
              <w:pStyle w:val="TableText"/>
              <w:rPr>
                <w:rFonts w:asciiTheme="majorBidi" w:hAnsiTheme="majorBidi" w:cstheme="majorBidi"/>
              </w:rPr>
            </w:pPr>
          </w:p>
        </w:tc>
      </w:tr>
      <w:tr w:rsidR="00361EFD" w:rsidRPr="004727CF" w14:paraId="40D477AD" w14:textId="77777777" w:rsidTr="00507FA4">
        <w:tc>
          <w:tcPr>
            <w:tcW w:w="1363" w:type="dxa"/>
          </w:tcPr>
          <w:p w14:paraId="5DA09FBA" w14:textId="77777777" w:rsidR="00361EFD" w:rsidRPr="004727CF" w:rsidRDefault="00361EFD" w:rsidP="00361EFD">
            <w:pPr>
              <w:pStyle w:val="TableText"/>
              <w:rPr>
                <w:rFonts w:asciiTheme="majorBidi" w:hAnsiTheme="majorBidi" w:cstheme="majorBidi"/>
              </w:rPr>
            </w:pPr>
          </w:p>
        </w:tc>
        <w:tc>
          <w:tcPr>
            <w:tcW w:w="7141" w:type="dxa"/>
          </w:tcPr>
          <w:p w14:paraId="761C9030" w14:textId="77777777" w:rsidR="00361EFD" w:rsidRPr="004727CF" w:rsidRDefault="00361EFD" w:rsidP="00361EFD">
            <w:pPr>
              <w:pStyle w:val="TableText"/>
              <w:rPr>
                <w:rFonts w:asciiTheme="majorBidi" w:hAnsiTheme="majorBidi" w:cstheme="majorBidi"/>
              </w:rPr>
            </w:pPr>
          </w:p>
        </w:tc>
      </w:tr>
    </w:tbl>
    <w:p w14:paraId="31FFF39A" w14:textId="77777777" w:rsidR="00361EFD" w:rsidRPr="004727CF" w:rsidRDefault="00361EFD" w:rsidP="00941D35">
      <w:pPr>
        <w:rPr>
          <w:rFonts w:asciiTheme="majorBidi" w:hAnsiTheme="majorBidi" w:cstheme="majorBidi"/>
        </w:rPr>
      </w:pPr>
    </w:p>
    <w:p w14:paraId="433126EC" w14:textId="77777777" w:rsidR="00DA28B2" w:rsidRPr="004727CF" w:rsidRDefault="00DA28B2" w:rsidP="00941D35">
      <w:pPr>
        <w:rPr>
          <w:rFonts w:asciiTheme="majorBidi" w:hAnsiTheme="majorBidi" w:cstheme="majorBidi"/>
        </w:rPr>
      </w:pPr>
    </w:p>
    <w:p w14:paraId="22E55604" w14:textId="77777777" w:rsidR="00DA28B2" w:rsidRPr="004727CF" w:rsidRDefault="00DA28B2" w:rsidP="00DA28B2">
      <w:pPr>
        <w:pStyle w:val="Heading1"/>
        <w:rPr>
          <w:rFonts w:asciiTheme="majorBidi" w:hAnsiTheme="majorBidi" w:cstheme="majorBidi"/>
        </w:rPr>
        <w:sectPr w:rsidR="00DA28B2" w:rsidRPr="004727CF" w:rsidSect="003B1C9F">
          <w:pgSz w:w="11906" w:h="16838" w:code="9"/>
          <w:pgMar w:top="1701" w:right="1701" w:bottom="1701" w:left="1701" w:header="709" w:footer="851" w:gutter="0"/>
          <w:pgNumType w:fmt="lowerRoman"/>
          <w:cols w:space="708"/>
          <w:docGrid w:linePitch="360"/>
        </w:sectPr>
      </w:pPr>
    </w:p>
    <w:p w14:paraId="55E61D8B" w14:textId="77777777" w:rsidR="00B102CC" w:rsidRDefault="00B102CC" w:rsidP="00B102CC">
      <w:pPr>
        <w:pStyle w:val="NormalWeb"/>
        <w:spacing w:before="0" w:beforeAutospacing="0" w:after="0" w:afterAutospacing="0"/>
        <w:rPr>
          <w:sz w:val="22"/>
          <w:szCs w:val="22"/>
          <w:lang w:val="en-US"/>
        </w:rPr>
      </w:pPr>
      <w:bookmarkStart w:id="18" w:name="_Toc51833419"/>
      <w:r>
        <w:rPr>
          <w:sz w:val="22"/>
          <w:szCs w:val="22"/>
          <w:lang w:val="en-US"/>
        </w:rPr>
        <w:lastRenderedPageBreak/>
        <w:t> </w:t>
      </w:r>
    </w:p>
    <w:p w14:paraId="512036C4" w14:textId="3E85596C" w:rsidR="00D124F9" w:rsidRDefault="00654786" w:rsidP="00161B9D">
      <w:pPr>
        <w:pStyle w:val="Heading1"/>
        <w:rPr>
          <w:rFonts w:ascii="Times New Roman" w:hAnsi="Times New Roman"/>
          <w:sz w:val="22"/>
          <w:szCs w:val="22"/>
          <w:lang w:val="en-US"/>
        </w:rPr>
      </w:pPr>
      <w:bookmarkStart w:id="19" w:name="_Toc234999879"/>
      <w:r>
        <w:rPr>
          <w:rFonts w:ascii="Times New Roman" w:hAnsi="Times New Roman" w:cs="Times New Roman"/>
          <w:b w:val="0"/>
          <w:bCs w:val="0"/>
          <w:sz w:val="28"/>
          <w:szCs w:val="28"/>
          <w:lang w:val="en-US"/>
        </w:rPr>
        <w:t xml:space="preserve">Risk Assessment section on a </w:t>
      </w:r>
      <w:r w:rsidRPr="00654786">
        <w:rPr>
          <w:rFonts w:ascii="Times New Roman" w:hAnsi="Times New Roman" w:cs="Times New Roman"/>
          <w:b w:val="0"/>
          <w:bCs w:val="0"/>
          <w:sz w:val="28"/>
          <w:szCs w:val="28"/>
          <w:lang w:val="en-US"/>
        </w:rPr>
        <w:t>Fire Control System calibration trial</w:t>
      </w:r>
      <w:bookmarkEnd w:id="19"/>
    </w:p>
    <w:tbl>
      <w:tblPr>
        <w:tblpPr w:leftFromText="181" w:rightFromText="181" w:vertAnchor="page" w:horzAnchor="margin" w:tblpXSpec="center" w:tblpY="2832"/>
        <w:tblW w:w="9341"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545"/>
        <w:gridCol w:w="4564"/>
        <w:gridCol w:w="1830"/>
        <w:gridCol w:w="1402"/>
      </w:tblGrid>
      <w:tr w:rsidR="00161B9D" w:rsidRPr="00414F8F" w14:paraId="154E316F" w14:textId="77777777" w:rsidTr="00A53C68">
        <w:trPr>
          <w:trHeight w:val="560"/>
        </w:trPr>
        <w:tc>
          <w:tcPr>
            <w:tcW w:w="9341" w:type="dxa"/>
            <w:gridSpan w:val="4"/>
            <w:tcBorders>
              <w:top w:val="double" w:sz="4" w:space="0" w:color="auto"/>
              <w:bottom w:val="single" w:sz="6" w:space="0" w:color="auto"/>
            </w:tcBorders>
            <w:vAlign w:val="center"/>
          </w:tcPr>
          <w:p w14:paraId="7A39C52C" w14:textId="17D52D2F" w:rsidR="00161B9D" w:rsidRPr="00414F8F" w:rsidRDefault="00161B9D" w:rsidP="00161B9D">
            <w:pPr>
              <w:spacing w:after="120"/>
              <w:rPr>
                <w:rFonts w:ascii="Times New Roman" w:hAnsi="Times New Roman"/>
                <w:b/>
                <w:color w:val="FF0000"/>
                <w:sz w:val="20"/>
                <w:szCs w:val="20"/>
                <w:lang w:eastAsia="en-GB"/>
              </w:rPr>
            </w:pPr>
            <w:r w:rsidRPr="00414F8F">
              <w:rPr>
                <w:rFonts w:ascii="Times New Roman" w:hAnsi="Times New Roman"/>
                <w:b/>
                <w:color w:val="000000" w:themeColor="text1"/>
                <w:sz w:val="20"/>
                <w:szCs w:val="20"/>
                <w:lang w:eastAsia="en-GB"/>
              </w:rPr>
              <w:t xml:space="preserve">Reference Number: </w:t>
            </w:r>
            <w:r w:rsidRPr="00414F8F">
              <w:rPr>
                <w:rFonts w:ascii="Times New Roman" w:hAnsi="Times New Roman"/>
                <w:sz w:val="20"/>
                <w:szCs w:val="20"/>
              </w:rPr>
              <w:t xml:space="preserve"> </w:t>
            </w:r>
            <w:r w:rsidR="00D43BBA">
              <w:rPr>
                <w:rFonts w:ascii="Times New Roman" w:hAnsi="Times New Roman"/>
                <w:b/>
                <w:color w:val="000000" w:themeColor="text1"/>
                <w:sz w:val="20"/>
                <w:szCs w:val="20"/>
                <w:lang w:eastAsia="en-GB"/>
              </w:rPr>
              <w:t>123456</w:t>
            </w:r>
          </w:p>
        </w:tc>
      </w:tr>
      <w:tr w:rsidR="00161B9D" w:rsidRPr="00414F8F" w14:paraId="121F19AE" w14:textId="77777777" w:rsidTr="00A53C68">
        <w:trPr>
          <w:trHeight w:val="284"/>
        </w:trPr>
        <w:tc>
          <w:tcPr>
            <w:tcW w:w="9341" w:type="dxa"/>
            <w:gridSpan w:val="4"/>
            <w:tcBorders>
              <w:top w:val="single" w:sz="6" w:space="0" w:color="auto"/>
              <w:bottom w:val="single" w:sz="6" w:space="0" w:color="auto"/>
            </w:tcBorders>
            <w:shd w:val="clear" w:color="auto" w:fill="C0C0C0"/>
            <w:vAlign w:val="center"/>
          </w:tcPr>
          <w:p w14:paraId="5C8269BB" w14:textId="77777777" w:rsidR="00161B9D" w:rsidRPr="00414F8F" w:rsidRDefault="00161B9D" w:rsidP="00161B9D">
            <w:pPr>
              <w:rPr>
                <w:rFonts w:ascii="Times New Roman" w:hAnsi="Times New Roman"/>
                <w:b/>
                <w:sz w:val="20"/>
                <w:szCs w:val="20"/>
                <w:lang w:eastAsia="en-GB"/>
              </w:rPr>
            </w:pPr>
            <w:r w:rsidRPr="00414F8F">
              <w:rPr>
                <w:rFonts w:ascii="Times New Roman" w:hAnsi="Times New Roman"/>
                <w:b/>
                <w:sz w:val="20"/>
                <w:szCs w:val="20"/>
                <w:lang w:eastAsia="en-GB"/>
              </w:rPr>
              <w:t>PART 1: Description</w:t>
            </w:r>
          </w:p>
        </w:tc>
      </w:tr>
      <w:tr w:rsidR="00161B9D" w:rsidRPr="00414F8F" w14:paraId="2B9D964C" w14:textId="77777777" w:rsidTr="00A53C68">
        <w:trPr>
          <w:trHeight w:val="560"/>
        </w:trPr>
        <w:tc>
          <w:tcPr>
            <w:tcW w:w="1545" w:type="dxa"/>
            <w:tcBorders>
              <w:top w:val="single" w:sz="6" w:space="0" w:color="auto"/>
              <w:bottom w:val="single" w:sz="6" w:space="0" w:color="auto"/>
            </w:tcBorders>
            <w:vAlign w:val="center"/>
          </w:tcPr>
          <w:p w14:paraId="4E28ED85" w14:textId="4E500BD1" w:rsidR="00161B9D" w:rsidRPr="00414F8F" w:rsidRDefault="00161B9D" w:rsidP="00161B9D">
            <w:pPr>
              <w:spacing w:after="120"/>
              <w:rPr>
                <w:rFonts w:ascii="Times New Roman" w:hAnsi="Times New Roman"/>
                <w:b/>
                <w:noProof/>
                <w:sz w:val="20"/>
                <w:szCs w:val="20"/>
                <w:lang w:eastAsia="en-GB"/>
              </w:rPr>
            </w:pPr>
            <w:r w:rsidRPr="00414F8F">
              <w:rPr>
                <w:rFonts w:ascii="Times New Roman" w:hAnsi="Times New Roman"/>
                <w:b/>
                <w:noProof/>
                <w:sz w:val="20"/>
                <w:szCs w:val="20"/>
                <w:lang w:eastAsia="en-GB"/>
              </w:rPr>
              <w:t xml:space="preserve">Site: </w:t>
            </w:r>
            <w:r w:rsidR="00D43BBA">
              <w:rPr>
                <w:rFonts w:ascii="Times New Roman" w:hAnsi="Times New Roman"/>
                <w:b/>
                <w:noProof/>
                <w:sz w:val="20"/>
                <w:szCs w:val="20"/>
                <w:lang w:eastAsia="en-GB"/>
              </w:rPr>
              <w:t>N/A</w:t>
            </w:r>
          </w:p>
        </w:tc>
        <w:tc>
          <w:tcPr>
            <w:tcW w:w="4564" w:type="dxa"/>
            <w:tcBorders>
              <w:top w:val="single" w:sz="6" w:space="0" w:color="auto"/>
              <w:bottom w:val="single" w:sz="6" w:space="0" w:color="auto"/>
              <w:right w:val="nil"/>
            </w:tcBorders>
            <w:vAlign w:val="center"/>
          </w:tcPr>
          <w:p w14:paraId="132CE1D5" w14:textId="18B4352E" w:rsidR="00161B9D" w:rsidRPr="00414F8F" w:rsidRDefault="00161B9D" w:rsidP="00161B9D">
            <w:pPr>
              <w:spacing w:after="120"/>
              <w:rPr>
                <w:rFonts w:ascii="Times New Roman" w:hAnsi="Times New Roman"/>
                <w:b/>
                <w:sz w:val="20"/>
                <w:szCs w:val="20"/>
                <w:lang w:eastAsia="en-GB"/>
              </w:rPr>
            </w:pPr>
            <w:r w:rsidRPr="00414F8F">
              <w:rPr>
                <w:rFonts w:ascii="Times New Roman" w:hAnsi="Times New Roman"/>
                <w:b/>
                <w:sz w:val="20"/>
                <w:szCs w:val="20"/>
                <w:lang w:eastAsia="en-GB"/>
              </w:rPr>
              <w:t xml:space="preserve">Work Area: </w:t>
            </w:r>
            <w:r w:rsidR="00D43BBA">
              <w:rPr>
                <w:rFonts w:ascii="Times New Roman" w:hAnsi="Times New Roman"/>
                <w:b/>
                <w:sz w:val="20"/>
                <w:szCs w:val="20"/>
                <w:lang w:eastAsia="en-GB"/>
              </w:rPr>
              <w:t>N/A</w:t>
            </w:r>
          </w:p>
        </w:tc>
        <w:tc>
          <w:tcPr>
            <w:tcW w:w="3232" w:type="dxa"/>
            <w:gridSpan w:val="2"/>
            <w:tcBorders>
              <w:top w:val="single" w:sz="6" w:space="0" w:color="auto"/>
              <w:bottom w:val="single" w:sz="6" w:space="0" w:color="auto"/>
            </w:tcBorders>
            <w:vAlign w:val="center"/>
          </w:tcPr>
          <w:p w14:paraId="3BE06C0A" w14:textId="54DFF032" w:rsidR="00161B9D" w:rsidRPr="00414F8F" w:rsidRDefault="00161B9D" w:rsidP="00161B9D">
            <w:pPr>
              <w:spacing w:after="120"/>
              <w:rPr>
                <w:rFonts w:ascii="Times New Roman" w:hAnsi="Times New Roman"/>
                <w:b/>
                <w:sz w:val="20"/>
                <w:szCs w:val="20"/>
                <w:lang w:eastAsia="en-GB"/>
              </w:rPr>
            </w:pPr>
            <w:r w:rsidRPr="00414F8F">
              <w:rPr>
                <w:rFonts w:ascii="Times New Roman" w:hAnsi="Times New Roman"/>
                <w:b/>
                <w:sz w:val="20"/>
                <w:szCs w:val="20"/>
                <w:lang w:eastAsia="en-GB"/>
              </w:rPr>
              <w:t xml:space="preserve">Bldg. No: </w:t>
            </w:r>
            <w:r w:rsidR="00D43BBA">
              <w:rPr>
                <w:rFonts w:ascii="Times New Roman" w:hAnsi="Times New Roman"/>
                <w:b/>
                <w:sz w:val="20"/>
                <w:szCs w:val="20"/>
                <w:lang w:eastAsia="en-GB"/>
              </w:rPr>
              <w:t>123456</w:t>
            </w:r>
          </w:p>
        </w:tc>
      </w:tr>
      <w:tr w:rsidR="00161B9D" w:rsidRPr="00414F8F" w14:paraId="556A32C3" w14:textId="77777777" w:rsidTr="00A53C68">
        <w:trPr>
          <w:trHeight w:val="851"/>
        </w:trPr>
        <w:tc>
          <w:tcPr>
            <w:tcW w:w="6109" w:type="dxa"/>
            <w:gridSpan w:val="2"/>
            <w:tcBorders>
              <w:top w:val="single" w:sz="6" w:space="0" w:color="auto"/>
              <w:bottom w:val="single" w:sz="6" w:space="0" w:color="auto"/>
            </w:tcBorders>
          </w:tcPr>
          <w:p w14:paraId="579BB335" w14:textId="271F3CB9" w:rsidR="00161B9D" w:rsidRPr="00414F8F" w:rsidRDefault="00161B9D" w:rsidP="00161B9D">
            <w:pPr>
              <w:spacing w:after="120"/>
              <w:rPr>
                <w:rFonts w:ascii="Times New Roman" w:hAnsi="Times New Roman"/>
                <w:b/>
                <w:sz w:val="20"/>
                <w:szCs w:val="20"/>
                <w:lang w:eastAsia="en-GB"/>
              </w:rPr>
            </w:pPr>
            <w:r w:rsidRPr="00414F8F">
              <w:rPr>
                <w:rFonts w:ascii="Times New Roman" w:hAnsi="Times New Roman"/>
                <w:b/>
                <w:noProof/>
                <w:sz w:val="20"/>
                <w:szCs w:val="20"/>
                <w:lang w:eastAsia="en-GB"/>
              </w:rPr>
              <w:t xml:space="preserve">Assessor’s Name(s): </w:t>
            </w:r>
            <w:r w:rsidR="00D43BBA">
              <w:rPr>
                <w:rFonts w:ascii="Times New Roman" w:hAnsi="Times New Roman"/>
                <w:b/>
                <w:noProof/>
                <w:sz w:val="20"/>
                <w:szCs w:val="20"/>
                <w:lang w:eastAsia="en-GB"/>
              </w:rPr>
              <w:t>Eryn Legg</w:t>
            </w:r>
          </w:p>
        </w:tc>
        <w:tc>
          <w:tcPr>
            <w:tcW w:w="1830" w:type="dxa"/>
            <w:tcBorders>
              <w:top w:val="single" w:sz="6" w:space="0" w:color="auto"/>
              <w:bottom w:val="single" w:sz="6" w:space="0" w:color="auto"/>
            </w:tcBorders>
          </w:tcPr>
          <w:p w14:paraId="500A2131" w14:textId="77E63D82" w:rsidR="00161B9D" w:rsidRPr="00414F8F" w:rsidRDefault="00161B9D" w:rsidP="00D43BBA">
            <w:pPr>
              <w:rPr>
                <w:rFonts w:ascii="Times New Roman" w:hAnsi="Times New Roman"/>
                <w:b/>
                <w:sz w:val="20"/>
                <w:szCs w:val="20"/>
                <w:lang w:eastAsia="en-GB"/>
              </w:rPr>
            </w:pPr>
            <w:r w:rsidRPr="00414F8F">
              <w:rPr>
                <w:rFonts w:ascii="Times New Roman" w:hAnsi="Times New Roman"/>
                <w:b/>
                <w:sz w:val="20"/>
                <w:szCs w:val="20"/>
                <w:lang w:eastAsia="en-GB"/>
              </w:rPr>
              <w:t xml:space="preserve">Review Date: </w:t>
            </w:r>
            <w:r w:rsidR="00D43BBA">
              <w:rPr>
                <w:rFonts w:ascii="Times New Roman" w:hAnsi="Times New Roman"/>
                <w:sz w:val="20"/>
                <w:szCs w:val="20"/>
                <w:lang w:eastAsia="en-GB"/>
              </w:rPr>
              <w:t>12/07/2028</w:t>
            </w:r>
          </w:p>
        </w:tc>
        <w:tc>
          <w:tcPr>
            <w:tcW w:w="1402" w:type="dxa"/>
            <w:tcBorders>
              <w:top w:val="single" w:sz="6" w:space="0" w:color="auto"/>
              <w:bottom w:val="single" w:sz="6" w:space="0" w:color="auto"/>
            </w:tcBorders>
          </w:tcPr>
          <w:p w14:paraId="65A711FE" w14:textId="35776D12" w:rsidR="00161B9D" w:rsidRPr="00D43BBA" w:rsidRDefault="00161B9D" w:rsidP="00161B9D">
            <w:pPr>
              <w:rPr>
                <w:rFonts w:ascii="Times New Roman" w:hAnsi="Times New Roman"/>
                <w:sz w:val="20"/>
                <w:szCs w:val="20"/>
                <w:lang w:eastAsia="en-GB"/>
              </w:rPr>
            </w:pPr>
            <w:r w:rsidRPr="00414F8F">
              <w:rPr>
                <w:rFonts w:ascii="Times New Roman" w:hAnsi="Times New Roman"/>
                <w:b/>
                <w:sz w:val="20"/>
                <w:szCs w:val="20"/>
                <w:lang w:eastAsia="en-GB"/>
              </w:rPr>
              <w:t xml:space="preserve">Change No: </w:t>
            </w:r>
            <w:r w:rsidR="00D43BBA">
              <w:rPr>
                <w:rFonts w:ascii="Times New Roman" w:hAnsi="Times New Roman"/>
                <w:sz w:val="20"/>
                <w:szCs w:val="20"/>
                <w:lang w:eastAsia="en-GB"/>
              </w:rPr>
              <w:t>N/A</w:t>
            </w:r>
          </w:p>
        </w:tc>
      </w:tr>
      <w:tr w:rsidR="00161B9D" w:rsidRPr="00414F8F" w14:paraId="0D567C7F" w14:textId="77777777" w:rsidTr="00A53C68">
        <w:trPr>
          <w:trHeight w:val="2268"/>
        </w:trPr>
        <w:tc>
          <w:tcPr>
            <w:tcW w:w="9341" w:type="dxa"/>
            <w:gridSpan w:val="4"/>
            <w:tcBorders>
              <w:top w:val="single" w:sz="6" w:space="0" w:color="auto"/>
              <w:bottom w:val="single" w:sz="6" w:space="0" w:color="auto"/>
            </w:tcBorders>
            <w:tcMar>
              <w:top w:w="57" w:type="dxa"/>
            </w:tcMar>
          </w:tcPr>
          <w:p w14:paraId="4334479C" w14:textId="342E13DF" w:rsidR="00161B9D" w:rsidRPr="000853BC" w:rsidRDefault="00161B9D" w:rsidP="00161B9D">
            <w:pPr>
              <w:rPr>
                <w:rFonts w:ascii="Times New Roman" w:hAnsi="Times New Roman"/>
                <w:bCs/>
                <w:sz w:val="20"/>
                <w:szCs w:val="20"/>
                <w:lang w:eastAsia="en-GB"/>
              </w:rPr>
            </w:pPr>
            <w:r w:rsidRPr="000853BC">
              <w:rPr>
                <w:rFonts w:ascii="Times New Roman" w:hAnsi="Times New Roman"/>
                <w:bCs/>
                <w:sz w:val="20"/>
                <w:szCs w:val="20"/>
                <w:lang w:eastAsia="en-GB"/>
              </w:rPr>
              <w:t xml:space="preserve">Description of Task/Process: Fire Control System calibration trial – </w:t>
            </w:r>
            <w:r w:rsidR="00D43BBA" w:rsidRPr="000853BC">
              <w:rPr>
                <w:rFonts w:ascii="Times New Roman" w:hAnsi="Times New Roman"/>
                <w:bCs/>
                <w:sz w:val="20"/>
                <w:szCs w:val="20"/>
                <w:lang w:eastAsia="en-GB"/>
              </w:rPr>
              <w:t>Varied</w:t>
            </w:r>
            <w:r w:rsidRPr="000853BC">
              <w:rPr>
                <w:rFonts w:ascii="Times New Roman" w:hAnsi="Times New Roman"/>
                <w:bCs/>
                <w:sz w:val="20"/>
                <w:szCs w:val="20"/>
                <w:lang w:eastAsia="en-GB"/>
              </w:rPr>
              <w:t xml:space="preserve"> firing of HE rounds from CT40 cannon mounted to Ajax platform to calibrate FCS. </w:t>
            </w:r>
            <w:r w:rsidR="000853BC">
              <w:rPr>
                <w:rFonts w:ascii="Times New Roman" w:hAnsi="Times New Roman"/>
                <w:bCs/>
                <w:sz w:val="20"/>
                <w:szCs w:val="20"/>
                <w:lang w:eastAsia="en-GB"/>
              </w:rPr>
              <w:t>The assessment reviews product life stage from storage of HE rounds pre firing</w:t>
            </w:r>
            <w:r w:rsidR="00DA1343">
              <w:rPr>
                <w:rFonts w:ascii="Times New Roman" w:hAnsi="Times New Roman"/>
                <w:bCs/>
                <w:sz w:val="20"/>
                <w:szCs w:val="20"/>
                <w:lang w:eastAsia="en-GB"/>
              </w:rPr>
              <w:t xml:space="preserve"> stroage</w:t>
            </w:r>
            <w:r w:rsidR="000853BC">
              <w:rPr>
                <w:rFonts w:ascii="Times New Roman" w:hAnsi="Times New Roman"/>
                <w:bCs/>
                <w:sz w:val="20"/>
                <w:szCs w:val="20"/>
                <w:lang w:eastAsia="en-GB"/>
              </w:rPr>
              <w:t xml:space="preserve"> to post firing safety protocol. This risk assessment has been quantified via 5x5 matrix determined by severity and likelihood accordance with JSB 482 and </w:t>
            </w:r>
            <w:r w:rsidR="000853BC" w:rsidRPr="000853BC">
              <w:rPr>
                <w:rFonts w:ascii="Times New Roman" w:hAnsi="Times New Roman"/>
                <w:bCs/>
                <w:sz w:val="20"/>
                <w:szCs w:val="20"/>
                <w:lang w:eastAsia="en-GB"/>
              </w:rPr>
              <w:t>The Explosives Regulations 2014</w:t>
            </w:r>
            <w:r w:rsidR="000853BC">
              <w:rPr>
                <w:rFonts w:ascii="Times New Roman" w:hAnsi="Times New Roman"/>
                <w:bCs/>
                <w:sz w:val="20"/>
                <w:szCs w:val="20"/>
                <w:lang w:eastAsia="en-GB"/>
              </w:rPr>
              <w:t xml:space="preserve"> [5][6] guidance.</w:t>
            </w:r>
          </w:p>
          <w:p w14:paraId="47ABF733" w14:textId="77777777" w:rsidR="00161B9D" w:rsidRPr="000853BC" w:rsidRDefault="00161B9D" w:rsidP="00161B9D">
            <w:pPr>
              <w:rPr>
                <w:rFonts w:ascii="Times New Roman" w:hAnsi="Times New Roman"/>
                <w:bCs/>
                <w:sz w:val="20"/>
                <w:szCs w:val="20"/>
                <w:lang w:eastAsia="en-GB"/>
              </w:rPr>
            </w:pPr>
            <w:r w:rsidRPr="000853BC">
              <w:rPr>
                <w:rFonts w:ascii="Times New Roman" w:hAnsi="Times New Roman"/>
                <w:bCs/>
                <w:sz w:val="20"/>
                <w:szCs w:val="20"/>
                <w:lang w:eastAsia="en-GB"/>
              </w:rPr>
              <w:t>Mobile firing to be included.</w:t>
            </w:r>
          </w:p>
          <w:p w14:paraId="04B420AF" w14:textId="77777777" w:rsidR="00161B9D" w:rsidRPr="00414F8F" w:rsidRDefault="00161B9D" w:rsidP="00161B9D">
            <w:pPr>
              <w:rPr>
                <w:rFonts w:ascii="Times New Roman" w:hAnsi="Times New Roman"/>
                <w:b/>
                <w:sz w:val="20"/>
                <w:szCs w:val="20"/>
                <w:lang w:eastAsia="en-GB"/>
              </w:rPr>
            </w:pPr>
          </w:p>
        </w:tc>
      </w:tr>
      <w:tr w:rsidR="00161B9D" w:rsidRPr="00414F8F" w14:paraId="7E03C4D6" w14:textId="77777777" w:rsidTr="00A53C68">
        <w:trPr>
          <w:trHeight w:val="284"/>
        </w:trPr>
        <w:tc>
          <w:tcPr>
            <w:tcW w:w="9341" w:type="dxa"/>
            <w:gridSpan w:val="4"/>
            <w:tcBorders>
              <w:top w:val="single" w:sz="6" w:space="0" w:color="auto"/>
              <w:bottom w:val="single" w:sz="6" w:space="0" w:color="auto"/>
            </w:tcBorders>
            <w:shd w:val="clear" w:color="auto" w:fill="C0C0C0"/>
            <w:tcMar>
              <w:top w:w="57" w:type="dxa"/>
            </w:tcMar>
            <w:vAlign w:val="center"/>
          </w:tcPr>
          <w:p w14:paraId="3BE5E80B" w14:textId="25FFF456" w:rsidR="00161B9D" w:rsidRPr="00414F8F" w:rsidRDefault="00161B9D" w:rsidP="00161B9D">
            <w:pPr>
              <w:rPr>
                <w:rFonts w:ascii="Times New Roman" w:hAnsi="Times New Roman"/>
                <w:b/>
                <w:sz w:val="20"/>
                <w:szCs w:val="20"/>
                <w:lang w:eastAsia="en-GB"/>
              </w:rPr>
            </w:pPr>
            <w:r w:rsidRPr="00414F8F">
              <w:rPr>
                <w:rFonts w:ascii="Times New Roman" w:hAnsi="Times New Roman"/>
                <w:b/>
                <w:sz w:val="20"/>
                <w:szCs w:val="20"/>
                <w:lang w:eastAsia="en-GB"/>
              </w:rPr>
              <w:t>Sign Off</w:t>
            </w:r>
          </w:p>
        </w:tc>
      </w:tr>
      <w:tr w:rsidR="00161B9D" w:rsidRPr="00414F8F" w14:paraId="1CFEE66C" w14:textId="77777777" w:rsidTr="00A53C68">
        <w:trPr>
          <w:trHeight w:val="340"/>
        </w:trPr>
        <w:tc>
          <w:tcPr>
            <w:tcW w:w="9341" w:type="dxa"/>
            <w:gridSpan w:val="4"/>
            <w:tcBorders>
              <w:top w:val="single" w:sz="6" w:space="0" w:color="auto"/>
              <w:bottom w:val="single" w:sz="6" w:space="0" w:color="auto"/>
            </w:tcBorders>
            <w:tcMar>
              <w:top w:w="57" w:type="dxa"/>
            </w:tcMar>
          </w:tcPr>
          <w:p w14:paraId="71A33396" w14:textId="77777777" w:rsidR="00161B9D" w:rsidRPr="00414F8F" w:rsidRDefault="00161B9D" w:rsidP="00161B9D">
            <w:pPr>
              <w:jc w:val="center"/>
              <w:rPr>
                <w:rFonts w:ascii="Times New Roman" w:hAnsi="Times New Roman"/>
                <w:b/>
                <w:sz w:val="20"/>
                <w:szCs w:val="20"/>
                <w:lang w:eastAsia="en-GB"/>
              </w:rPr>
            </w:pPr>
            <w:r w:rsidRPr="00414F8F">
              <w:rPr>
                <w:rFonts w:ascii="Times New Roman" w:hAnsi="Times New Roman"/>
                <w:b/>
                <w:color w:val="FFFFFF"/>
                <w:sz w:val="20"/>
                <w:szCs w:val="20"/>
                <w:highlight w:val="darkGray"/>
                <w:shd w:val="pct5" w:color="auto" w:fill="000000"/>
                <w:lang w:eastAsia="en-GB"/>
              </w:rPr>
              <w:t>When all additional controls are in place, the risk levels will be as low as is reasonably practicable</w:t>
            </w:r>
            <w:r w:rsidRPr="00414F8F">
              <w:rPr>
                <w:rFonts w:ascii="Times New Roman" w:hAnsi="Times New Roman"/>
                <w:b/>
                <w:color w:val="FFFFFF"/>
                <w:sz w:val="20"/>
                <w:szCs w:val="20"/>
                <w:highlight w:val="darkGray"/>
                <w:shd w:val="pct5" w:color="auto" w:fill="FFFFFF"/>
                <w:lang w:eastAsia="en-GB"/>
              </w:rPr>
              <w:t>.</w:t>
            </w:r>
          </w:p>
        </w:tc>
      </w:tr>
      <w:tr w:rsidR="00161B9D" w:rsidRPr="00414F8F" w14:paraId="1BF5B450" w14:textId="77777777" w:rsidTr="00A53C68">
        <w:trPr>
          <w:trHeight w:val="856"/>
        </w:trPr>
        <w:tc>
          <w:tcPr>
            <w:tcW w:w="6109" w:type="dxa"/>
            <w:gridSpan w:val="2"/>
            <w:tcBorders>
              <w:top w:val="single" w:sz="6" w:space="0" w:color="auto"/>
              <w:bottom w:val="single" w:sz="6" w:space="0" w:color="auto"/>
            </w:tcBorders>
            <w:tcMar>
              <w:top w:w="57" w:type="dxa"/>
            </w:tcMar>
          </w:tcPr>
          <w:p w14:paraId="79DA8A7B" w14:textId="77777777" w:rsidR="00161B9D" w:rsidRPr="00414F8F" w:rsidRDefault="00161B9D" w:rsidP="00161B9D">
            <w:pPr>
              <w:spacing w:before="60" w:after="60"/>
              <w:rPr>
                <w:rFonts w:ascii="Times New Roman" w:hAnsi="Times New Roman"/>
                <w:b/>
                <w:sz w:val="20"/>
                <w:szCs w:val="20"/>
                <w:lang w:eastAsia="en-GB"/>
              </w:rPr>
            </w:pPr>
            <w:r w:rsidRPr="00414F8F">
              <w:rPr>
                <w:rFonts w:ascii="Times New Roman" w:hAnsi="Times New Roman"/>
                <w:b/>
                <w:sz w:val="20"/>
                <w:szCs w:val="20"/>
                <w:lang w:eastAsia="en-GB"/>
              </w:rPr>
              <w:t>Assessor’s Signature: Kieran Howells, Eryn Legg, Elias James, Rory Bowen, Bethan Davies-Jones</w:t>
            </w:r>
          </w:p>
        </w:tc>
        <w:tc>
          <w:tcPr>
            <w:tcW w:w="3232" w:type="dxa"/>
            <w:gridSpan w:val="2"/>
            <w:tcBorders>
              <w:top w:val="single" w:sz="6" w:space="0" w:color="auto"/>
              <w:bottom w:val="single" w:sz="6" w:space="0" w:color="auto"/>
            </w:tcBorders>
          </w:tcPr>
          <w:p w14:paraId="4FFF9B4D" w14:textId="77777777" w:rsidR="00161B9D" w:rsidRPr="00414F8F" w:rsidRDefault="00161B9D" w:rsidP="00161B9D">
            <w:pPr>
              <w:spacing w:before="60" w:after="60"/>
              <w:rPr>
                <w:rFonts w:ascii="Times New Roman" w:hAnsi="Times New Roman"/>
                <w:b/>
                <w:sz w:val="20"/>
                <w:szCs w:val="20"/>
                <w:lang w:eastAsia="en-GB"/>
              </w:rPr>
            </w:pPr>
            <w:r w:rsidRPr="00414F8F">
              <w:rPr>
                <w:rFonts w:ascii="Times New Roman" w:hAnsi="Times New Roman"/>
                <w:b/>
                <w:sz w:val="20"/>
                <w:szCs w:val="20"/>
                <w:lang w:eastAsia="en-GB"/>
              </w:rPr>
              <w:t>Date: 17/06/2026</w:t>
            </w:r>
          </w:p>
        </w:tc>
      </w:tr>
      <w:tr w:rsidR="00161B9D" w:rsidRPr="00414F8F" w14:paraId="39127DB8" w14:textId="77777777" w:rsidTr="00A53C68">
        <w:trPr>
          <w:trHeight w:val="856"/>
        </w:trPr>
        <w:tc>
          <w:tcPr>
            <w:tcW w:w="6109" w:type="dxa"/>
            <w:gridSpan w:val="2"/>
            <w:tcBorders>
              <w:top w:val="single" w:sz="6" w:space="0" w:color="auto"/>
            </w:tcBorders>
            <w:tcMar>
              <w:top w:w="57" w:type="dxa"/>
            </w:tcMar>
          </w:tcPr>
          <w:p w14:paraId="3C1324A6" w14:textId="2A840A09" w:rsidR="00161B9D" w:rsidRPr="00414F8F" w:rsidRDefault="00161B9D" w:rsidP="00161B9D">
            <w:pPr>
              <w:spacing w:before="60" w:after="60"/>
              <w:rPr>
                <w:rFonts w:ascii="Times New Roman" w:hAnsi="Times New Roman"/>
                <w:b/>
                <w:sz w:val="20"/>
                <w:szCs w:val="20"/>
                <w:lang w:eastAsia="en-GB"/>
              </w:rPr>
            </w:pPr>
            <w:r w:rsidRPr="00414F8F">
              <w:rPr>
                <w:rFonts w:ascii="Times New Roman" w:hAnsi="Times New Roman"/>
                <w:b/>
                <w:sz w:val="20"/>
                <w:szCs w:val="20"/>
                <w:lang w:eastAsia="en-GB"/>
              </w:rPr>
              <w:t xml:space="preserve">Manufacturing Manager’s Signature (or equivalent): </w:t>
            </w:r>
            <w:r w:rsidR="00D43BBA">
              <w:rPr>
                <w:rFonts w:ascii="Times New Roman" w:hAnsi="Times New Roman"/>
                <w:b/>
                <w:sz w:val="20"/>
                <w:szCs w:val="20"/>
                <w:lang w:eastAsia="en-GB"/>
              </w:rPr>
              <w:t>Tony Stark</w:t>
            </w:r>
          </w:p>
        </w:tc>
        <w:tc>
          <w:tcPr>
            <w:tcW w:w="3232" w:type="dxa"/>
            <w:gridSpan w:val="2"/>
            <w:tcBorders>
              <w:top w:val="single" w:sz="6" w:space="0" w:color="auto"/>
            </w:tcBorders>
          </w:tcPr>
          <w:p w14:paraId="4571C800" w14:textId="1A236B5D" w:rsidR="00161B9D" w:rsidRPr="00414F8F" w:rsidRDefault="00161B9D" w:rsidP="00161B9D">
            <w:pPr>
              <w:spacing w:before="60" w:after="60"/>
              <w:rPr>
                <w:rFonts w:ascii="Times New Roman" w:hAnsi="Times New Roman"/>
                <w:b/>
                <w:sz w:val="20"/>
                <w:szCs w:val="20"/>
                <w:lang w:eastAsia="en-GB"/>
              </w:rPr>
            </w:pPr>
            <w:r w:rsidRPr="00414F8F">
              <w:rPr>
                <w:rFonts w:ascii="Times New Roman" w:hAnsi="Times New Roman"/>
                <w:b/>
                <w:sz w:val="20"/>
                <w:szCs w:val="20"/>
                <w:lang w:eastAsia="en-GB"/>
              </w:rPr>
              <w:t>Date</w:t>
            </w:r>
            <w:r w:rsidR="00D43BBA">
              <w:rPr>
                <w:rFonts w:ascii="Times New Roman" w:hAnsi="Times New Roman"/>
                <w:b/>
                <w:sz w:val="20"/>
                <w:szCs w:val="20"/>
                <w:lang w:eastAsia="en-GB"/>
              </w:rPr>
              <w:t>: 17/06/2026</w:t>
            </w:r>
          </w:p>
        </w:tc>
      </w:tr>
    </w:tbl>
    <w:p w14:paraId="3CC7F3FA" w14:textId="2C6038DC" w:rsidR="00CB6A32" w:rsidRDefault="00CB6A32" w:rsidP="00654786">
      <w:pPr>
        <w:pStyle w:val="Heading1"/>
        <w:numPr>
          <w:ilvl w:val="0"/>
          <w:numId w:val="0"/>
        </w:numPr>
        <w:rPr>
          <w:rFonts w:ascii="Times New Roman" w:hAnsi="Times New Roman" w:cs="Times New Roman"/>
          <w:b w:val="0"/>
          <w:bCs w:val="0"/>
          <w:sz w:val="28"/>
          <w:szCs w:val="28"/>
          <w:lang w:val="en-US"/>
        </w:rPr>
      </w:pPr>
    </w:p>
    <w:tbl>
      <w:tblPr>
        <w:tblpPr w:leftFromText="181" w:rightFromText="181" w:vertAnchor="page" w:horzAnchor="margin" w:tblpXSpec="center" w:tblpY="2442"/>
        <w:tblW w:w="11184"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686"/>
        <w:gridCol w:w="1843"/>
        <w:gridCol w:w="1985"/>
        <w:gridCol w:w="567"/>
        <w:gridCol w:w="567"/>
        <w:gridCol w:w="567"/>
        <w:gridCol w:w="2268"/>
        <w:gridCol w:w="567"/>
        <w:gridCol w:w="567"/>
        <w:gridCol w:w="567"/>
      </w:tblGrid>
      <w:tr w:rsidR="006D079A" w:rsidRPr="006D079A" w14:paraId="1AED8A5C" w14:textId="77777777" w:rsidTr="006D079A">
        <w:trPr>
          <w:cantSplit/>
          <w:trHeight w:val="411"/>
        </w:trPr>
        <w:tc>
          <w:tcPr>
            <w:tcW w:w="11184" w:type="dxa"/>
            <w:gridSpan w:val="10"/>
            <w:tcBorders>
              <w:top w:val="double" w:sz="4" w:space="0" w:color="auto"/>
              <w:bottom w:val="single" w:sz="6" w:space="0" w:color="auto"/>
            </w:tcBorders>
            <w:shd w:val="clear" w:color="auto" w:fill="C0C0C0"/>
            <w:vAlign w:val="center"/>
          </w:tcPr>
          <w:p w14:paraId="6349A28B" w14:textId="10FE405D" w:rsidR="006D079A" w:rsidRPr="00D43BBA" w:rsidRDefault="006D079A" w:rsidP="006D079A">
            <w:pPr>
              <w:spacing w:before="0" w:line="240" w:lineRule="auto"/>
              <w:ind w:left="113" w:right="113"/>
              <w:jc w:val="left"/>
              <w:rPr>
                <w:rFonts w:ascii="Times New Roman" w:hAnsi="Times New Roman"/>
                <w:b/>
                <w:sz w:val="20"/>
                <w:szCs w:val="20"/>
                <w:lang w:eastAsia="en-GB"/>
              </w:rPr>
            </w:pPr>
            <w:r w:rsidRPr="00D43BBA">
              <w:rPr>
                <w:rFonts w:ascii="Times New Roman" w:hAnsi="Times New Roman"/>
                <w:b/>
                <w:sz w:val="22"/>
                <w:szCs w:val="20"/>
                <w:lang w:eastAsia="en-GB"/>
              </w:rPr>
              <w:t>Risk Assessment</w:t>
            </w:r>
          </w:p>
        </w:tc>
      </w:tr>
      <w:tr w:rsidR="006D079A" w:rsidRPr="006D079A" w14:paraId="0792DD5A" w14:textId="77777777" w:rsidTr="000B5F83">
        <w:trPr>
          <w:cantSplit/>
          <w:trHeight w:val="1304"/>
        </w:trPr>
        <w:tc>
          <w:tcPr>
            <w:tcW w:w="1686" w:type="dxa"/>
            <w:tcBorders>
              <w:top w:val="single" w:sz="6" w:space="0" w:color="auto"/>
              <w:bottom w:val="single" w:sz="6" w:space="0" w:color="auto"/>
            </w:tcBorders>
            <w:shd w:val="clear" w:color="auto" w:fill="E6E6E6"/>
            <w:vAlign w:val="center"/>
          </w:tcPr>
          <w:p w14:paraId="25E1B96D" w14:textId="77777777" w:rsidR="006D079A" w:rsidRPr="00D43BBA" w:rsidRDefault="006D079A" w:rsidP="006D079A">
            <w:pPr>
              <w:spacing w:before="0" w:line="240" w:lineRule="auto"/>
              <w:jc w:val="center"/>
              <w:rPr>
                <w:rFonts w:ascii="Times New Roman" w:hAnsi="Times New Roman"/>
                <w:sz w:val="20"/>
                <w:szCs w:val="20"/>
                <w:lang w:eastAsia="en-GB"/>
              </w:rPr>
            </w:pPr>
            <w:r w:rsidRPr="00D43BBA">
              <w:rPr>
                <w:rFonts w:ascii="Times New Roman" w:hAnsi="Times New Roman"/>
                <w:b/>
                <w:sz w:val="20"/>
                <w:szCs w:val="20"/>
                <w:lang w:eastAsia="en-GB"/>
              </w:rPr>
              <w:t>Identified Hazard</w:t>
            </w:r>
          </w:p>
        </w:tc>
        <w:tc>
          <w:tcPr>
            <w:tcW w:w="1843" w:type="dxa"/>
            <w:tcBorders>
              <w:top w:val="single" w:sz="6" w:space="0" w:color="auto"/>
              <w:bottom w:val="single" w:sz="6" w:space="0" w:color="auto"/>
            </w:tcBorders>
            <w:shd w:val="clear" w:color="auto" w:fill="E6E6E6"/>
            <w:vAlign w:val="center"/>
          </w:tcPr>
          <w:p w14:paraId="5F934172" w14:textId="77777777" w:rsidR="006D079A" w:rsidRPr="00D43BBA" w:rsidRDefault="006D079A" w:rsidP="006D079A">
            <w:pPr>
              <w:spacing w:before="0" w:line="240" w:lineRule="auto"/>
              <w:jc w:val="center"/>
              <w:rPr>
                <w:rFonts w:ascii="Times New Roman" w:hAnsi="Times New Roman"/>
                <w:b/>
                <w:sz w:val="20"/>
                <w:szCs w:val="20"/>
                <w:lang w:eastAsia="en-GB"/>
              </w:rPr>
            </w:pPr>
            <w:r w:rsidRPr="00D43BBA">
              <w:rPr>
                <w:rFonts w:ascii="Times New Roman" w:hAnsi="Times New Roman"/>
                <w:b/>
                <w:sz w:val="20"/>
                <w:szCs w:val="20"/>
                <w:lang w:eastAsia="en-GB"/>
              </w:rPr>
              <w:t>Persons at Risk</w:t>
            </w:r>
          </w:p>
        </w:tc>
        <w:tc>
          <w:tcPr>
            <w:tcW w:w="1985" w:type="dxa"/>
            <w:tcBorders>
              <w:top w:val="single" w:sz="6" w:space="0" w:color="auto"/>
              <w:bottom w:val="single" w:sz="6" w:space="0" w:color="auto"/>
            </w:tcBorders>
            <w:shd w:val="clear" w:color="auto" w:fill="E6E6E6"/>
            <w:vAlign w:val="center"/>
          </w:tcPr>
          <w:p w14:paraId="2F428AC2" w14:textId="77777777" w:rsidR="006D079A" w:rsidRPr="00D43BBA" w:rsidRDefault="006D079A" w:rsidP="006D079A">
            <w:pPr>
              <w:spacing w:before="0" w:line="240" w:lineRule="auto"/>
              <w:jc w:val="center"/>
              <w:rPr>
                <w:rFonts w:ascii="Times New Roman" w:hAnsi="Times New Roman"/>
                <w:b/>
                <w:sz w:val="20"/>
                <w:szCs w:val="20"/>
                <w:lang w:eastAsia="en-GB"/>
              </w:rPr>
            </w:pPr>
            <w:r w:rsidRPr="00D43BBA">
              <w:rPr>
                <w:rFonts w:ascii="Times New Roman" w:hAnsi="Times New Roman"/>
                <w:b/>
                <w:sz w:val="20"/>
                <w:szCs w:val="20"/>
                <w:lang w:eastAsia="en-GB"/>
              </w:rPr>
              <w:t>Effects</w:t>
            </w:r>
          </w:p>
        </w:tc>
        <w:tc>
          <w:tcPr>
            <w:tcW w:w="567" w:type="dxa"/>
            <w:tcBorders>
              <w:top w:val="single" w:sz="6" w:space="0" w:color="auto"/>
              <w:bottom w:val="single" w:sz="6" w:space="0" w:color="auto"/>
            </w:tcBorders>
            <w:shd w:val="clear" w:color="auto" w:fill="E6E6E6"/>
            <w:textDirection w:val="tbRl"/>
            <w:vAlign w:val="center"/>
          </w:tcPr>
          <w:p w14:paraId="26D1EDE0"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Severity</w:t>
            </w:r>
          </w:p>
        </w:tc>
        <w:tc>
          <w:tcPr>
            <w:tcW w:w="567" w:type="dxa"/>
            <w:tcBorders>
              <w:top w:val="single" w:sz="6" w:space="0" w:color="auto"/>
              <w:bottom w:val="single" w:sz="6" w:space="0" w:color="auto"/>
            </w:tcBorders>
            <w:shd w:val="clear" w:color="auto" w:fill="E6E6E6"/>
            <w:textDirection w:val="tbRl"/>
            <w:vAlign w:val="center"/>
          </w:tcPr>
          <w:p w14:paraId="5E9F6318"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Probability</w:t>
            </w:r>
          </w:p>
        </w:tc>
        <w:tc>
          <w:tcPr>
            <w:tcW w:w="567" w:type="dxa"/>
            <w:tcBorders>
              <w:top w:val="single" w:sz="6" w:space="0" w:color="auto"/>
              <w:bottom w:val="single" w:sz="6" w:space="0" w:color="auto"/>
            </w:tcBorders>
            <w:shd w:val="clear" w:color="auto" w:fill="E6E6E6"/>
            <w:textDirection w:val="tbRl"/>
            <w:vAlign w:val="center"/>
          </w:tcPr>
          <w:p w14:paraId="23A97CD1"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Existing Risk Level</w:t>
            </w:r>
          </w:p>
        </w:tc>
        <w:tc>
          <w:tcPr>
            <w:tcW w:w="2268" w:type="dxa"/>
            <w:tcBorders>
              <w:top w:val="single" w:sz="6" w:space="0" w:color="auto"/>
              <w:bottom w:val="single" w:sz="6" w:space="0" w:color="auto"/>
            </w:tcBorders>
            <w:shd w:val="clear" w:color="auto" w:fill="E6E6E6"/>
            <w:vAlign w:val="center"/>
          </w:tcPr>
          <w:p w14:paraId="38262363" w14:textId="77777777" w:rsidR="006D079A" w:rsidRPr="00D43BBA" w:rsidRDefault="006D079A" w:rsidP="006D079A">
            <w:pPr>
              <w:spacing w:before="0" w:line="240" w:lineRule="auto"/>
              <w:jc w:val="center"/>
              <w:rPr>
                <w:rFonts w:ascii="Times New Roman" w:hAnsi="Times New Roman"/>
                <w:b/>
                <w:sz w:val="20"/>
                <w:szCs w:val="20"/>
                <w:lang w:eastAsia="en-GB"/>
              </w:rPr>
            </w:pPr>
            <w:r w:rsidRPr="00D43BBA">
              <w:rPr>
                <w:rFonts w:ascii="Times New Roman" w:hAnsi="Times New Roman"/>
                <w:b/>
                <w:sz w:val="20"/>
                <w:szCs w:val="20"/>
                <w:lang w:eastAsia="en-GB"/>
              </w:rPr>
              <w:t>Additional Controls</w:t>
            </w:r>
          </w:p>
        </w:tc>
        <w:tc>
          <w:tcPr>
            <w:tcW w:w="567" w:type="dxa"/>
            <w:tcBorders>
              <w:top w:val="single" w:sz="6" w:space="0" w:color="auto"/>
              <w:bottom w:val="single" w:sz="6" w:space="0" w:color="auto"/>
            </w:tcBorders>
            <w:shd w:val="clear" w:color="auto" w:fill="E6E6E6"/>
            <w:textDirection w:val="tbRl"/>
            <w:vAlign w:val="center"/>
          </w:tcPr>
          <w:p w14:paraId="2A284F0E"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Severity</w:t>
            </w:r>
          </w:p>
        </w:tc>
        <w:tc>
          <w:tcPr>
            <w:tcW w:w="567" w:type="dxa"/>
            <w:tcBorders>
              <w:top w:val="single" w:sz="6" w:space="0" w:color="auto"/>
              <w:bottom w:val="single" w:sz="6" w:space="0" w:color="auto"/>
            </w:tcBorders>
            <w:shd w:val="clear" w:color="auto" w:fill="E6E6E6"/>
            <w:textDirection w:val="tbRl"/>
            <w:vAlign w:val="center"/>
          </w:tcPr>
          <w:p w14:paraId="676D8781"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Probability</w:t>
            </w:r>
          </w:p>
        </w:tc>
        <w:tc>
          <w:tcPr>
            <w:tcW w:w="567" w:type="dxa"/>
            <w:tcBorders>
              <w:top w:val="single" w:sz="6" w:space="0" w:color="auto"/>
              <w:bottom w:val="single" w:sz="6" w:space="0" w:color="auto"/>
            </w:tcBorders>
            <w:shd w:val="clear" w:color="auto" w:fill="E6E6E6"/>
            <w:textDirection w:val="tbRl"/>
            <w:vAlign w:val="center"/>
          </w:tcPr>
          <w:p w14:paraId="6FF43B46"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Final Risk Level</w:t>
            </w:r>
          </w:p>
        </w:tc>
      </w:tr>
      <w:tr w:rsidR="006D079A" w:rsidRPr="006D079A" w14:paraId="17A8703F" w14:textId="77777777" w:rsidTr="006D079A">
        <w:trPr>
          <w:trHeight w:val="350"/>
        </w:trPr>
        <w:tc>
          <w:tcPr>
            <w:tcW w:w="11184" w:type="dxa"/>
            <w:gridSpan w:val="10"/>
            <w:tcBorders>
              <w:top w:val="single" w:sz="6" w:space="0" w:color="auto"/>
              <w:bottom w:val="single" w:sz="6" w:space="0" w:color="auto"/>
            </w:tcBorders>
          </w:tcPr>
          <w:p w14:paraId="28426EFC" w14:textId="77777777" w:rsidR="006D079A" w:rsidRPr="00D43BBA" w:rsidRDefault="006D079A" w:rsidP="006D079A">
            <w:pPr>
              <w:numPr>
                <w:ilvl w:val="0"/>
                <w:numId w:val="36"/>
              </w:numPr>
              <w:spacing w:before="0" w:line="240" w:lineRule="auto"/>
              <w:contextualSpacing/>
              <w:jc w:val="left"/>
              <w:rPr>
                <w:rFonts w:ascii="Times New Roman" w:hAnsi="Times New Roman"/>
                <w:b/>
                <w:lang w:eastAsia="en-GB"/>
              </w:rPr>
            </w:pPr>
            <w:r w:rsidRPr="00D43BBA">
              <w:rPr>
                <w:rFonts w:ascii="Times New Roman" w:hAnsi="Times New Roman"/>
                <w:b/>
                <w:lang w:eastAsia="en-GB"/>
              </w:rPr>
              <w:t>Fire and explosion</w:t>
            </w:r>
          </w:p>
        </w:tc>
      </w:tr>
      <w:tr w:rsidR="006D079A" w:rsidRPr="006D079A" w14:paraId="13678570" w14:textId="77777777" w:rsidTr="006D079A">
        <w:trPr>
          <w:trHeight w:val="554"/>
        </w:trPr>
        <w:tc>
          <w:tcPr>
            <w:tcW w:w="3529" w:type="dxa"/>
            <w:gridSpan w:val="2"/>
            <w:tcBorders>
              <w:top w:val="single" w:sz="6" w:space="0" w:color="auto"/>
              <w:bottom w:val="single" w:sz="6" w:space="0" w:color="auto"/>
            </w:tcBorders>
          </w:tcPr>
          <w:p w14:paraId="33E6EB4B"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Heat induced Risks</w:t>
            </w:r>
          </w:p>
        </w:tc>
        <w:tc>
          <w:tcPr>
            <w:tcW w:w="7655" w:type="dxa"/>
            <w:gridSpan w:val="8"/>
            <w:tcBorders>
              <w:top w:val="single" w:sz="6" w:space="0" w:color="auto"/>
              <w:bottom w:val="single" w:sz="6" w:space="0" w:color="auto"/>
            </w:tcBorders>
          </w:tcPr>
          <w:p w14:paraId="3CDD5DE2"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77C2E68E" w14:textId="77777777" w:rsidTr="00FB5D40">
        <w:trPr>
          <w:trHeight w:val="1134"/>
        </w:trPr>
        <w:tc>
          <w:tcPr>
            <w:tcW w:w="1686" w:type="dxa"/>
            <w:vMerge w:val="restart"/>
            <w:tcBorders>
              <w:top w:val="single" w:sz="6" w:space="0" w:color="auto"/>
            </w:tcBorders>
          </w:tcPr>
          <w:p w14:paraId="0576E778"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Heat, deflagration, detonation</w:t>
            </w:r>
          </w:p>
        </w:tc>
        <w:tc>
          <w:tcPr>
            <w:tcW w:w="1843" w:type="dxa"/>
            <w:tcBorders>
              <w:top w:val="single" w:sz="6" w:space="0" w:color="auto"/>
              <w:bottom w:val="single" w:sz="6" w:space="0" w:color="auto"/>
            </w:tcBorders>
          </w:tcPr>
          <w:p w14:paraId="3D9A8889"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Those in contact with barrel/case</w:t>
            </w:r>
          </w:p>
          <w:p w14:paraId="6C74D479" w14:textId="77777777" w:rsidR="006D079A" w:rsidRPr="00D43BBA" w:rsidRDefault="006D079A" w:rsidP="006D079A">
            <w:pPr>
              <w:spacing w:before="0" w:line="240" w:lineRule="auto"/>
              <w:jc w:val="left"/>
              <w:rPr>
                <w:rFonts w:ascii="Times New Roman" w:hAnsi="Times New Roman"/>
                <w:sz w:val="20"/>
                <w:szCs w:val="20"/>
                <w:lang w:eastAsia="en-GB"/>
              </w:rPr>
            </w:pPr>
          </w:p>
          <w:p w14:paraId="5908049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w:t>
            </w:r>
          </w:p>
          <w:p w14:paraId="23A4FE95" w14:textId="77777777" w:rsidR="006D079A" w:rsidRPr="00D43BBA" w:rsidRDefault="006D079A" w:rsidP="006D079A">
            <w:pPr>
              <w:spacing w:before="0" w:line="240" w:lineRule="auto"/>
              <w:jc w:val="left"/>
              <w:rPr>
                <w:rFonts w:ascii="Times New Roman" w:hAnsi="Times New Roman"/>
                <w:sz w:val="20"/>
                <w:szCs w:val="20"/>
                <w:lang w:eastAsia="en-GB"/>
              </w:rPr>
            </w:pPr>
          </w:p>
          <w:p w14:paraId="0BC758E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People around vehicle</w:t>
            </w:r>
          </w:p>
        </w:tc>
        <w:tc>
          <w:tcPr>
            <w:tcW w:w="1985" w:type="dxa"/>
            <w:tcBorders>
              <w:top w:val="single" w:sz="6" w:space="0" w:color="auto"/>
              <w:bottom w:val="single" w:sz="6" w:space="0" w:color="auto"/>
            </w:tcBorders>
          </w:tcPr>
          <w:p w14:paraId="79AB1173"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In-bore detonation due to excess heat</w:t>
            </w:r>
          </w:p>
          <w:p w14:paraId="32C96010"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567" w:type="dxa"/>
            <w:tcBorders>
              <w:top w:val="single" w:sz="6" w:space="0" w:color="auto"/>
              <w:bottom w:val="single" w:sz="6" w:space="0" w:color="auto"/>
            </w:tcBorders>
            <w:vAlign w:val="center"/>
          </w:tcPr>
          <w:p w14:paraId="7277263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60030FF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7088188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2EBA842C" w14:textId="77777777" w:rsidR="006D079A" w:rsidRDefault="00506989" w:rsidP="006D079A">
            <w:pPr>
              <w:spacing w:before="0" w:line="240" w:lineRule="auto"/>
              <w:jc w:val="left"/>
              <w:rPr>
                <w:rFonts w:ascii="Times New Roman" w:hAnsi="Times New Roman"/>
                <w:sz w:val="20"/>
                <w:szCs w:val="20"/>
                <w:lang w:eastAsia="en-GB"/>
              </w:rPr>
            </w:pPr>
            <w:r w:rsidRPr="00506989">
              <w:rPr>
                <w:rFonts w:ascii="Times New Roman" w:hAnsi="Times New Roman"/>
                <w:sz w:val="20"/>
                <w:szCs w:val="20"/>
                <w:lang w:eastAsia="en-GB"/>
              </w:rPr>
              <w:t>Cool down protocol to be followed as documented in the SOP</w:t>
            </w:r>
            <w:r w:rsidR="00B018D1">
              <w:rPr>
                <w:rFonts w:ascii="Times New Roman" w:hAnsi="Times New Roman"/>
                <w:sz w:val="20"/>
                <w:szCs w:val="20"/>
                <w:lang w:eastAsia="en-GB"/>
              </w:rPr>
              <w:t xml:space="preserve"> for the CT40 Barral</w:t>
            </w:r>
            <w:r w:rsidR="0003024C" w:rsidRPr="0003024C">
              <w:rPr>
                <w:rFonts w:ascii="Times New Roman" w:hAnsi="Times New Roman"/>
                <w:sz w:val="20"/>
                <w:szCs w:val="20"/>
                <w:lang w:eastAsia="en-GB"/>
              </w:rPr>
              <w:t>, in which time breaks are given to allow for natural cool down,</w:t>
            </w:r>
            <w:r w:rsidR="006F339E">
              <w:rPr>
                <w:rFonts w:ascii="Times New Roman" w:hAnsi="Times New Roman"/>
                <w:sz w:val="20"/>
                <w:szCs w:val="20"/>
                <w:lang w:eastAsia="en-GB"/>
              </w:rPr>
              <w:t xml:space="preserve"> to allow sufficient cool down between </w:t>
            </w:r>
            <w:r>
              <w:rPr>
                <w:rFonts w:ascii="Times New Roman" w:hAnsi="Times New Roman"/>
                <w:sz w:val="20"/>
                <w:szCs w:val="20"/>
                <w:lang w:eastAsia="en-GB"/>
              </w:rPr>
              <w:t>firings.</w:t>
            </w:r>
            <w:r w:rsidR="00BB115E">
              <w:rPr>
                <w:rFonts w:ascii="Times New Roman" w:hAnsi="Times New Roman"/>
                <w:sz w:val="20"/>
                <w:szCs w:val="20"/>
                <w:lang w:eastAsia="en-GB"/>
              </w:rPr>
              <w:t xml:space="preserve"> </w:t>
            </w:r>
          </w:p>
          <w:p w14:paraId="34807A79" w14:textId="77777777" w:rsidR="00BB115E" w:rsidRDefault="00BB115E" w:rsidP="006D079A">
            <w:pPr>
              <w:spacing w:before="0" w:line="240" w:lineRule="auto"/>
              <w:jc w:val="left"/>
              <w:rPr>
                <w:rFonts w:ascii="Times New Roman" w:hAnsi="Times New Roman"/>
                <w:sz w:val="20"/>
                <w:szCs w:val="20"/>
                <w:lang w:eastAsia="en-GB"/>
              </w:rPr>
            </w:pPr>
          </w:p>
          <w:p w14:paraId="3021A373" w14:textId="2BF6C238" w:rsidR="00BB115E" w:rsidRPr="00D43BBA" w:rsidRDefault="00BB115E" w:rsidP="00BB115E">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When acceding expected use of barrel, additional material coatings can be utilised to manage heat absorption. </w:t>
            </w:r>
          </w:p>
        </w:tc>
        <w:tc>
          <w:tcPr>
            <w:tcW w:w="567" w:type="dxa"/>
            <w:tcBorders>
              <w:top w:val="single" w:sz="6" w:space="0" w:color="auto"/>
              <w:bottom w:val="single" w:sz="6" w:space="0" w:color="auto"/>
            </w:tcBorders>
            <w:vAlign w:val="center"/>
          </w:tcPr>
          <w:p w14:paraId="15883372" w14:textId="02F32A28"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252A4687" w14:textId="45A4E8B1"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61E05FAA" w14:textId="581CB951" w:rsidR="006D079A" w:rsidRPr="00D43BBA" w:rsidRDefault="00506989" w:rsidP="006D079A">
            <w:pPr>
              <w:spacing w:before="0" w:line="240" w:lineRule="auto"/>
              <w:jc w:val="left"/>
              <w:rPr>
                <w:rFonts w:ascii="Times New Roman" w:hAnsi="Times New Roman"/>
                <w:b/>
                <w:lang w:eastAsia="en-GB"/>
              </w:rPr>
            </w:pPr>
            <w:r>
              <w:rPr>
                <w:rFonts w:ascii="Times New Roman" w:hAnsi="Times New Roman"/>
                <w:b/>
                <w:lang w:eastAsia="en-GB"/>
              </w:rPr>
              <w:t>5</w:t>
            </w:r>
          </w:p>
        </w:tc>
      </w:tr>
      <w:tr w:rsidR="006D079A" w:rsidRPr="006D079A" w14:paraId="668D4FAC" w14:textId="77777777" w:rsidTr="00FB5D40">
        <w:trPr>
          <w:trHeight w:val="1134"/>
        </w:trPr>
        <w:tc>
          <w:tcPr>
            <w:tcW w:w="1686" w:type="dxa"/>
            <w:vMerge/>
          </w:tcPr>
          <w:p w14:paraId="0B13C1B6" w14:textId="77777777" w:rsidR="006D079A" w:rsidRPr="00D43BBA" w:rsidRDefault="006D079A" w:rsidP="006D079A">
            <w:pPr>
              <w:numPr>
                <w:ilvl w:val="0"/>
                <w:numId w:val="35"/>
              </w:numPr>
              <w:spacing w:before="0" w:line="240" w:lineRule="auto"/>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0FFB1ACB"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Those in contact with barrel/case</w:t>
            </w:r>
          </w:p>
          <w:p w14:paraId="2F3F8FA6"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3476AC19"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Contact with metal case / hot barrel causing burns</w:t>
            </w:r>
          </w:p>
        </w:tc>
        <w:tc>
          <w:tcPr>
            <w:tcW w:w="567" w:type="dxa"/>
            <w:tcBorders>
              <w:top w:val="single" w:sz="6" w:space="0" w:color="auto"/>
              <w:bottom w:val="single" w:sz="6" w:space="0" w:color="auto"/>
            </w:tcBorders>
            <w:vAlign w:val="center"/>
          </w:tcPr>
          <w:p w14:paraId="47B4F7E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vAlign w:val="center"/>
          </w:tcPr>
          <w:p w14:paraId="04980576"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shd w:val="clear" w:color="auto" w:fill="FFFF00"/>
            <w:vAlign w:val="center"/>
          </w:tcPr>
          <w:p w14:paraId="5716227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8</w:t>
            </w:r>
          </w:p>
        </w:tc>
        <w:tc>
          <w:tcPr>
            <w:tcW w:w="2268" w:type="dxa"/>
            <w:tcBorders>
              <w:top w:val="single" w:sz="6" w:space="0" w:color="auto"/>
              <w:bottom w:val="single" w:sz="6" w:space="0" w:color="auto"/>
            </w:tcBorders>
          </w:tcPr>
          <w:p w14:paraId="0735C5BE" w14:textId="04E4C1F9" w:rsidR="00BB115E" w:rsidRPr="00D43BBA" w:rsidRDefault="00506989" w:rsidP="00BB115E">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Cool down protocol to be followed as documented in the SOP</w:t>
            </w:r>
            <w:r w:rsidR="00B018D1">
              <w:t xml:space="preserve"> </w:t>
            </w:r>
            <w:r w:rsidR="00B018D1" w:rsidRPr="00B018D1">
              <w:rPr>
                <w:rFonts w:ascii="Times New Roman" w:hAnsi="Times New Roman"/>
                <w:sz w:val="20"/>
                <w:szCs w:val="20"/>
                <w:lang w:eastAsia="en-GB"/>
              </w:rPr>
              <w:t>for the CT40 Barral</w:t>
            </w:r>
            <w:r>
              <w:rPr>
                <w:rFonts w:ascii="Times New Roman" w:hAnsi="Times New Roman"/>
                <w:sz w:val="20"/>
                <w:szCs w:val="20"/>
                <w:lang w:eastAsia="en-GB"/>
              </w:rPr>
              <w:t>,</w:t>
            </w:r>
            <w:r w:rsidR="0003024C" w:rsidRPr="0003024C">
              <w:rPr>
                <w:rFonts w:ascii="Times New Roman" w:hAnsi="Times New Roman"/>
                <w:sz w:val="20"/>
                <w:szCs w:val="20"/>
                <w:lang w:eastAsia="en-GB"/>
              </w:rPr>
              <w:t xml:space="preserve"> in which time breaks are given to allow for natural cool down,</w:t>
            </w:r>
            <w:r>
              <w:rPr>
                <w:rFonts w:ascii="Times New Roman" w:hAnsi="Times New Roman"/>
                <w:sz w:val="20"/>
                <w:szCs w:val="20"/>
                <w:lang w:eastAsia="en-GB"/>
              </w:rPr>
              <w:t xml:space="preserve"> addition</w:t>
            </w:r>
            <w:r w:rsidR="0003024C">
              <w:rPr>
                <w:rFonts w:ascii="Times New Roman" w:hAnsi="Times New Roman"/>
                <w:sz w:val="20"/>
                <w:szCs w:val="20"/>
                <w:lang w:eastAsia="en-GB"/>
              </w:rPr>
              <w:t>al</w:t>
            </w:r>
            <w:r>
              <w:rPr>
                <w:rFonts w:ascii="Times New Roman" w:hAnsi="Times New Roman"/>
                <w:sz w:val="20"/>
                <w:szCs w:val="20"/>
                <w:lang w:eastAsia="en-GB"/>
              </w:rPr>
              <w:t xml:space="preserve"> heat protective PPE required for personal safety (</w:t>
            </w:r>
            <w:r w:rsidR="00DA1343">
              <w:rPr>
                <w:rFonts w:ascii="Times New Roman" w:hAnsi="Times New Roman"/>
                <w:sz w:val="20"/>
                <w:szCs w:val="20"/>
                <w:lang w:eastAsia="en-GB"/>
              </w:rPr>
              <w:t>Heat resistant g</w:t>
            </w:r>
            <w:r>
              <w:rPr>
                <w:rFonts w:ascii="Times New Roman" w:hAnsi="Times New Roman"/>
                <w:sz w:val="20"/>
                <w:szCs w:val="20"/>
                <w:lang w:eastAsia="en-GB"/>
              </w:rPr>
              <w:t xml:space="preserve">loves, protective </w:t>
            </w:r>
            <w:r w:rsidR="00DA1343">
              <w:rPr>
                <w:rFonts w:ascii="Times New Roman" w:hAnsi="Times New Roman"/>
                <w:sz w:val="20"/>
                <w:szCs w:val="20"/>
                <w:lang w:eastAsia="en-GB"/>
              </w:rPr>
              <w:t xml:space="preserve">Nomex </w:t>
            </w:r>
            <w:r>
              <w:rPr>
                <w:rFonts w:ascii="Times New Roman" w:hAnsi="Times New Roman"/>
                <w:sz w:val="20"/>
                <w:szCs w:val="20"/>
                <w:lang w:eastAsia="en-GB"/>
              </w:rPr>
              <w:t>suit, ect)</w:t>
            </w:r>
          </w:p>
        </w:tc>
        <w:tc>
          <w:tcPr>
            <w:tcW w:w="567" w:type="dxa"/>
            <w:tcBorders>
              <w:top w:val="single" w:sz="6" w:space="0" w:color="auto"/>
              <w:bottom w:val="single" w:sz="6" w:space="0" w:color="auto"/>
            </w:tcBorders>
            <w:vAlign w:val="center"/>
          </w:tcPr>
          <w:p w14:paraId="34EFC392" w14:textId="1CED3ECD"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6D2E7EB2" w14:textId="548F10D1"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15E933"/>
            <w:vAlign w:val="center"/>
          </w:tcPr>
          <w:p w14:paraId="2BBF5785" w14:textId="0F8513AC"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0FE33644" w14:textId="77777777" w:rsidTr="00FB5D40">
        <w:trPr>
          <w:trHeight w:val="1134"/>
        </w:trPr>
        <w:tc>
          <w:tcPr>
            <w:tcW w:w="1686" w:type="dxa"/>
            <w:vMerge/>
            <w:tcBorders>
              <w:bottom w:val="single" w:sz="6" w:space="0" w:color="auto"/>
            </w:tcBorders>
          </w:tcPr>
          <w:p w14:paraId="563668D4" w14:textId="77777777" w:rsidR="006D079A" w:rsidRPr="00D43BBA" w:rsidRDefault="006D079A" w:rsidP="006D079A">
            <w:pPr>
              <w:numPr>
                <w:ilvl w:val="0"/>
                <w:numId w:val="35"/>
              </w:numPr>
              <w:spacing w:before="0" w:line="240" w:lineRule="auto"/>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006063B6" w14:textId="6CD60F32" w:rsidR="006D079A" w:rsidRPr="00D43BBA" w:rsidRDefault="00654786"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Uncomfortable</w:t>
            </w:r>
            <w:r w:rsidR="006D079A" w:rsidRPr="00D43BBA">
              <w:rPr>
                <w:rFonts w:ascii="Times New Roman" w:hAnsi="Times New Roman"/>
                <w:sz w:val="20"/>
                <w:szCs w:val="20"/>
                <w:lang w:eastAsia="en-GB"/>
              </w:rPr>
              <w:t xml:space="preserve"> working condition</w:t>
            </w:r>
          </w:p>
        </w:tc>
        <w:tc>
          <w:tcPr>
            <w:tcW w:w="1985" w:type="dxa"/>
            <w:tcBorders>
              <w:top w:val="single" w:sz="6" w:space="0" w:color="auto"/>
              <w:bottom w:val="single" w:sz="6" w:space="0" w:color="auto"/>
            </w:tcBorders>
          </w:tcPr>
          <w:p w14:paraId="0CDDF6AA" w14:textId="72C09748"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Heat </w:t>
            </w:r>
            <w:r w:rsidR="00D43BBA" w:rsidRPr="00D43BBA">
              <w:rPr>
                <w:rFonts w:ascii="Times New Roman" w:hAnsi="Times New Roman"/>
                <w:sz w:val="20"/>
                <w:szCs w:val="20"/>
                <w:lang w:eastAsia="en-GB"/>
              </w:rPr>
              <w:t>build-up</w:t>
            </w:r>
            <w:r w:rsidRPr="00D43BBA">
              <w:rPr>
                <w:rFonts w:ascii="Times New Roman" w:hAnsi="Times New Roman"/>
                <w:sz w:val="20"/>
                <w:szCs w:val="20"/>
                <w:lang w:eastAsia="en-GB"/>
              </w:rPr>
              <w:t xml:space="preserve"> from continuous firing slowly </w:t>
            </w:r>
            <w:r w:rsidR="00D43BBA" w:rsidRPr="00D43BBA">
              <w:rPr>
                <w:rFonts w:ascii="Times New Roman" w:hAnsi="Times New Roman"/>
                <w:sz w:val="20"/>
                <w:szCs w:val="20"/>
                <w:lang w:eastAsia="en-GB"/>
              </w:rPr>
              <w:t>increases</w:t>
            </w:r>
            <w:r w:rsidRPr="00D43BBA">
              <w:rPr>
                <w:rFonts w:ascii="Times New Roman" w:hAnsi="Times New Roman"/>
                <w:sz w:val="20"/>
                <w:szCs w:val="20"/>
                <w:lang w:eastAsia="en-GB"/>
              </w:rPr>
              <w:t xml:space="preserve"> cabin temperature.  Introduces fatigue to crew members</w:t>
            </w:r>
          </w:p>
        </w:tc>
        <w:tc>
          <w:tcPr>
            <w:tcW w:w="567" w:type="dxa"/>
            <w:tcBorders>
              <w:top w:val="single" w:sz="6" w:space="0" w:color="auto"/>
              <w:bottom w:val="single" w:sz="6" w:space="0" w:color="auto"/>
            </w:tcBorders>
            <w:vAlign w:val="center"/>
          </w:tcPr>
          <w:p w14:paraId="3A4C9E6B" w14:textId="7D29CD71"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vAlign w:val="center"/>
          </w:tcPr>
          <w:p w14:paraId="28663BBD" w14:textId="77777777" w:rsidR="006D079A" w:rsidRPr="00D43BBA" w:rsidRDefault="006D079A" w:rsidP="00B64DC5">
            <w:pPr>
              <w:spacing w:before="0" w:line="240" w:lineRule="auto"/>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shd w:val="clear" w:color="auto" w:fill="15E933"/>
            <w:vAlign w:val="center"/>
          </w:tcPr>
          <w:p w14:paraId="750E9A26" w14:textId="7D1C8607"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4</w:t>
            </w:r>
          </w:p>
        </w:tc>
        <w:tc>
          <w:tcPr>
            <w:tcW w:w="2268" w:type="dxa"/>
            <w:tcBorders>
              <w:top w:val="single" w:sz="6" w:space="0" w:color="auto"/>
              <w:bottom w:val="single" w:sz="6" w:space="0" w:color="auto"/>
            </w:tcBorders>
          </w:tcPr>
          <w:p w14:paraId="4C3C9180" w14:textId="2986A505" w:rsidR="006D079A" w:rsidRPr="00D43BBA" w:rsidRDefault="00506989"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Scheduling and resource consideration to ensure regular quality hydration accessibility for </w:t>
            </w:r>
            <w:r w:rsidR="0003024C">
              <w:rPr>
                <w:rFonts w:ascii="Times New Roman" w:hAnsi="Times New Roman"/>
                <w:sz w:val="20"/>
                <w:szCs w:val="20"/>
                <w:lang w:eastAsia="en-GB"/>
              </w:rPr>
              <w:t xml:space="preserve">operators. </w:t>
            </w:r>
            <w:r w:rsidR="0003024C">
              <w:t xml:space="preserve"> </w:t>
            </w:r>
            <w:r w:rsidR="0003024C" w:rsidRPr="0003024C">
              <w:rPr>
                <w:rFonts w:ascii="Times New Roman" w:hAnsi="Times New Roman"/>
                <w:sz w:val="20"/>
                <w:szCs w:val="20"/>
                <w:lang w:eastAsia="en-GB"/>
              </w:rPr>
              <w:t>Cool down protocol</w:t>
            </w:r>
            <w:r w:rsidR="0003024C">
              <w:rPr>
                <w:rFonts w:ascii="Times New Roman" w:hAnsi="Times New Roman"/>
                <w:sz w:val="20"/>
                <w:szCs w:val="20"/>
                <w:lang w:eastAsia="en-GB"/>
              </w:rPr>
              <w:t>, in which time breaks are given to allow for natural cool down,</w:t>
            </w:r>
            <w:r w:rsidR="0003024C" w:rsidRPr="0003024C">
              <w:rPr>
                <w:rFonts w:ascii="Times New Roman" w:hAnsi="Times New Roman"/>
                <w:sz w:val="20"/>
                <w:szCs w:val="20"/>
                <w:lang w:eastAsia="en-GB"/>
              </w:rPr>
              <w:t xml:space="preserve"> to be followed </w:t>
            </w:r>
            <w:r w:rsidR="0003024C">
              <w:rPr>
                <w:rFonts w:ascii="Times New Roman" w:hAnsi="Times New Roman"/>
                <w:sz w:val="20"/>
                <w:szCs w:val="20"/>
                <w:lang w:eastAsia="en-GB"/>
              </w:rPr>
              <w:t xml:space="preserve">to reduce heat exposure. </w:t>
            </w:r>
          </w:p>
        </w:tc>
        <w:tc>
          <w:tcPr>
            <w:tcW w:w="567" w:type="dxa"/>
            <w:tcBorders>
              <w:top w:val="single" w:sz="6" w:space="0" w:color="auto"/>
              <w:bottom w:val="single" w:sz="6" w:space="0" w:color="auto"/>
            </w:tcBorders>
            <w:vAlign w:val="center"/>
          </w:tcPr>
          <w:p w14:paraId="4AA6B257" w14:textId="1F40E537" w:rsidR="006D079A" w:rsidRPr="00D43BBA" w:rsidRDefault="00D124F1"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vAlign w:val="center"/>
          </w:tcPr>
          <w:p w14:paraId="7814A172" w14:textId="455FF4A9" w:rsidR="006D079A" w:rsidRPr="00D43BBA" w:rsidRDefault="00D124F1" w:rsidP="006D079A">
            <w:pPr>
              <w:spacing w:before="0" w:line="240" w:lineRule="auto"/>
              <w:jc w:val="center"/>
              <w:rPr>
                <w:rFonts w:ascii="Times New Roman" w:hAnsi="Times New Roman"/>
                <w:b/>
                <w:lang w:eastAsia="en-GB"/>
              </w:rPr>
            </w:pPr>
            <w:r>
              <w:rPr>
                <w:rFonts w:ascii="Times New Roman" w:hAnsi="Times New Roman"/>
                <w:b/>
                <w:lang w:eastAsia="en-GB"/>
              </w:rPr>
              <w:t>3</w:t>
            </w:r>
          </w:p>
        </w:tc>
        <w:tc>
          <w:tcPr>
            <w:tcW w:w="567" w:type="dxa"/>
            <w:tcBorders>
              <w:top w:val="single" w:sz="6" w:space="0" w:color="auto"/>
              <w:bottom w:val="single" w:sz="6" w:space="0" w:color="auto"/>
            </w:tcBorders>
            <w:shd w:val="clear" w:color="auto" w:fill="15E933"/>
            <w:vAlign w:val="center"/>
          </w:tcPr>
          <w:p w14:paraId="4A829D8E" w14:textId="614EEFE8"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3</w:t>
            </w:r>
          </w:p>
        </w:tc>
      </w:tr>
      <w:tr w:rsidR="006D079A" w:rsidRPr="006D079A" w14:paraId="3BB2B7C4" w14:textId="77777777" w:rsidTr="00B64DC5">
        <w:trPr>
          <w:trHeight w:val="386"/>
        </w:trPr>
        <w:tc>
          <w:tcPr>
            <w:tcW w:w="3529" w:type="dxa"/>
            <w:gridSpan w:val="2"/>
            <w:tcBorders>
              <w:top w:val="single" w:sz="6" w:space="0" w:color="auto"/>
              <w:bottom w:val="single" w:sz="6" w:space="0" w:color="auto"/>
            </w:tcBorders>
          </w:tcPr>
          <w:p w14:paraId="1AA594D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Physical Hazards</w:t>
            </w:r>
          </w:p>
        </w:tc>
        <w:tc>
          <w:tcPr>
            <w:tcW w:w="7655" w:type="dxa"/>
            <w:gridSpan w:val="8"/>
            <w:tcBorders>
              <w:top w:val="single" w:sz="6" w:space="0" w:color="auto"/>
              <w:bottom w:val="single" w:sz="6" w:space="0" w:color="auto"/>
            </w:tcBorders>
            <w:shd w:val="clear" w:color="auto" w:fill="EEECE1" w:themeFill="background2"/>
          </w:tcPr>
          <w:p w14:paraId="5D4BB02E"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1D154E9E" w14:textId="77777777" w:rsidTr="000B5F83">
        <w:trPr>
          <w:trHeight w:val="386"/>
        </w:trPr>
        <w:tc>
          <w:tcPr>
            <w:tcW w:w="1686" w:type="dxa"/>
            <w:vMerge w:val="restart"/>
            <w:tcBorders>
              <w:top w:val="single" w:sz="6" w:space="0" w:color="auto"/>
            </w:tcBorders>
          </w:tcPr>
          <w:p w14:paraId="5240B8FD" w14:textId="77777777" w:rsidR="006D079A" w:rsidRPr="00D43BBA" w:rsidRDefault="006D079A" w:rsidP="006D079A">
            <w:pPr>
              <w:spacing w:before="0" w:line="240" w:lineRule="auto"/>
              <w:jc w:val="left"/>
              <w:rPr>
                <w:rFonts w:ascii="Times New Roman" w:hAnsi="Times New Roman"/>
                <w:sz w:val="20"/>
                <w:szCs w:val="20"/>
                <w:lang w:eastAsia="en-GB"/>
              </w:rPr>
            </w:pPr>
          </w:p>
          <w:p w14:paraId="18059323"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Falling objects</w:t>
            </w:r>
          </w:p>
        </w:tc>
        <w:tc>
          <w:tcPr>
            <w:tcW w:w="1843" w:type="dxa"/>
            <w:tcBorders>
              <w:top w:val="single" w:sz="6" w:space="0" w:color="auto"/>
              <w:bottom w:val="single" w:sz="6" w:space="0" w:color="auto"/>
            </w:tcBorders>
          </w:tcPr>
          <w:p w14:paraId="28EA554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Those surrounding vehicle</w:t>
            </w:r>
          </w:p>
        </w:tc>
        <w:tc>
          <w:tcPr>
            <w:tcW w:w="1985" w:type="dxa"/>
            <w:tcBorders>
              <w:top w:val="single" w:sz="6" w:space="0" w:color="auto"/>
              <w:bottom w:val="single" w:sz="6" w:space="0" w:color="auto"/>
            </w:tcBorders>
          </w:tcPr>
          <w:p w14:paraId="40D70533" w14:textId="13002AF1" w:rsidR="006D079A" w:rsidRPr="00D43BBA" w:rsidRDefault="006D079A" w:rsidP="006D079A">
            <w:pPr>
              <w:spacing w:before="0" w:line="240" w:lineRule="auto"/>
              <w:jc w:val="center"/>
              <w:rPr>
                <w:rFonts w:ascii="Times New Roman" w:hAnsi="Times New Roman"/>
                <w:bCs/>
                <w:sz w:val="20"/>
                <w:szCs w:val="20"/>
                <w:lang w:eastAsia="en-GB"/>
              </w:rPr>
            </w:pPr>
            <w:r w:rsidRPr="00D43BBA">
              <w:rPr>
                <w:rFonts w:ascii="Times New Roman" w:hAnsi="Times New Roman"/>
                <w:bCs/>
                <w:sz w:val="20"/>
                <w:szCs w:val="20"/>
                <w:lang w:eastAsia="en-GB"/>
              </w:rPr>
              <w:t xml:space="preserve">Cart case ejection impacting </w:t>
            </w:r>
            <w:r w:rsidR="0003024C">
              <w:rPr>
                <w:rFonts w:ascii="Times New Roman" w:hAnsi="Times New Roman"/>
                <w:bCs/>
                <w:sz w:val="20"/>
                <w:szCs w:val="20"/>
                <w:lang w:eastAsia="en-GB"/>
              </w:rPr>
              <w:t xml:space="preserve">operators </w:t>
            </w:r>
            <w:r w:rsidRPr="00D43BBA">
              <w:rPr>
                <w:rFonts w:ascii="Times New Roman" w:hAnsi="Times New Roman"/>
                <w:bCs/>
                <w:sz w:val="20"/>
                <w:szCs w:val="20"/>
                <w:lang w:eastAsia="en-GB"/>
              </w:rPr>
              <w:t xml:space="preserve"> surrounding vehicle</w:t>
            </w:r>
          </w:p>
          <w:p w14:paraId="13EF3F09" w14:textId="77777777" w:rsidR="006D079A" w:rsidRPr="00D43BBA" w:rsidRDefault="006D079A" w:rsidP="006D079A">
            <w:pPr>
              <w:spacing w:before="0" w:line="240" w:lineRule="auto"/>
              <w:jc w:val="left"/>
              <w:rPr>
                <w:rFonts w:ascii="Times New Roman" w:hAnsi="Times New Roman"/>
                <w:bCs/>
                <w:sz w:val="20"/>
                <w:szCs w:val="20"/>
                <w:lang w:eastAsia="en-GB"/>
              </w:rPr>
            </w:pPr>
          </w:p>
        </w:tc>
        <w:tc>
          <w:tcPr>
            <w:tcW w:w="567" w:type="dxa"/>
            <w:tcBorders>
              <w:top w:val="single" w:sz="6" w:space="0" w:color="auto"/>
              <w:bottom w:val="single" w:sz="6" w:space="0" w:color="auto"/>
            </w:tcBorders>
            <w:vAlign w:val="center"/>
          </w:tcPr>
          <w:p w14:paraId="5C51F703"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vAlign w:val="center"/>
          </w:tcPr>
          <w:p w14:paraId="4F7E1783"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shd w:val="clear" w:color="auto" w:fill="FFFF00"/>
            <w:vAlign w:val="center"/>
          </w:tcPr>
          <w:p w14:paraId="3358EC3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8</w:t>
            </w:r>
          </w:p>
        </w:tc>
        <w:tc>
          <w:tcPr>
            <w:tcW w:w="2268" w:type="dxa"/>
            <w:tcBorders>
              <w:top w:val="single" w:sz="6" w:space="0" w:color="auto"/>
              <w:bottom w:val="single" w:sz="6" w:space="0" w:color="auto"/>
            </w:tcBorders>
          </w:tcPr>
          <w:p w14:paraId="756B85FF" w14:textId="49A126D6" w:rsidR="006D079A" w:rsidRPr="0003024C" w:rsidRDefault="0003024C" w:rsidP="0003024C">
            <w:pPr>
              <w:spacing w:before="0" w:line="240" w:lineRule="auto"/>
              <w:jc w:val="left"/>
              <w:rPr>
                <w:rFonts w:ascii="Times New Roman" w:hAnsi="Times New Roman"/>
                <w:bCs/>
                <w:sz w:val="20"/>
                <w:szCs w:val="20"/>
                <w:lang w:eastAsia="en-GB"/>
              </w:rPr>
            </w:pPr>
            <w:r>
              <w:rPr>
                <w:rFonts w:ascii="Times New Roman" w:hAnsi="Times New Roman"/>
                <w:bCs/>
                <w:sz w:val="20"/>
                <w:szCs w:val="20"/>
                <w:lang w:eastAsia="en-GB"/>
              </w:rPr>
              <w:t>Personal Protective Equipment utilisation to reduce impact and exposure to both sharp and blunt objects. This includes protective head gear, high coverage clothing and re-enforced shoes.</w:t>
            </w:r>
          </w:p>
        </w:tc>
        <w:tc>
          <w:tcPr>
            <w:tcW w:w="567" w:type="dxa"/>
            <w:tcBorders>
              <w:top w:val="single" w:sz="6" w:space="0" w:color="auto"/>
              <w:bottom w:val="single" w:sz="6" w:space="0" w:color="auto"/>
            </w:tcBorders>
            <w:vAlign w:val="center"/>
          </w:tcPr>
          <w:p w14:paraId="39007D6D" w14:textId="1B1EE413"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vAlign w:val="center"/>
          </w:tcPr>
          <w:p w14:paraId="62D886C0" w14:textId="0924B7B5"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c>
          <w:tcPr>
            <w:tcW w:w="567" w:type="dxa"/>
            <w:tcBorders>
              <w:top w:val="single" w:sz="6" w:space="0" w:color="auto"/>
              <w:bottom w:val="single" w:sz="6" w:space="0" w:color="auto"/>
            </w:tcBorders>
            <w:shd w:val="clear" w:color="auto" w:fill="66FF33"/>
            <w:vAlign w:val="center"/>
          </w:tcPr>
          <w:p w14:paraId="27B670E2" w14:textId="79D451B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29712F18" w14:textId="77777777" w:rsidTr="000B5F83">
        <w:trPr>
          <w:trHeight w:val="386"/>
        </w:trPr>
        <w:tc>
          <w:tcPr>
            <w:tcW w:w="1686" w:type="dxa"/>
            <w:vMerge/>
          </w:tcPr>
          <w:p w14:paraId="5575C5EF" w14:textId="77777777" w:rsidR="006D079A" w:rsidRPr="00D43BBA" w:rsidRDefault="006D079A" w:rsidP="006D079A">
            <w:pPr>
              <w:spacing w:before="0" w:line="240" w:lineRule="auto"/>
              <w:ind w:left="720"/>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2237470E"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Those surrounding vehicle</w:t>
            </w:r>
          </w:p>
        </w:tc>
        <w:tc>
          <w:tcPr>
            <w:tcW w:w="1985" w:type="dxa"/>
            <w:tcBorders>
              <w:top w:val="single" w:sz="6" w:space="0" w:color="auto"/>
              <w:bottom w:val="single" w:sz="6" w:space="0" w:color="auto"/>
            </w:tcBorders>
          </w:tcPr>
          <w:p w14:paraId="3DADA6C6" w14:textId="2B7173F8" w:rsidR="006D079A" w:rsidRPr="00D43BBA" w:rsidRDefault="006D079A" w:rsidP="006D079A">
            <w:pPr>
              <w:spacing w:before="0" w:line="240" w:lineRule="auto"/>
              <w:jc w:val="center"/>
              <w:rPr>
                <w:rFonts w:ascii="Times New Roman" w:hAnsi="Times New Roman"/>
                <w:bCs/>
                <w:sz w:val="20"/>
                <w:szCs w:val="20"/>
                <w:lang w:eastAsia="en-GB"/>
              </w:rPr>
            </w:pPr>
            <w:r w:rsidRPr="00D43BBA">
              <w:rPr>
                <w:rFonts w:ascii="Times New Roman" w:hAnsi="Times New Roman"/>
                <w:bCs/>
                <w:sz w:val="20"/>
                <w:szCs w:val="20"/>
                <w:lang w:eastAsia="en-GB"/>
              </w:rPr>
              <w:t xml:space="preserve">Rounds dropped during the loading of the tank.  Impacting </w:t>
            </w:r>
            <w:r w:rsidR="00654786" w:rsidRPr="00D43BBA">
              <w:rPr>
                <w:rFonts w:ascii="Times New Roman" w:hAnsi="Times New Roman"/>
                <w:bCs/>
                <w:sz w:val="20"/>
                <w:szCs w:val="20"/>
                <w:lang w:eastAsia="en-GB"/>
              </w:rPr>
              <w:lastRenderedPageBreak/>
              <w:t>that bellow</w:t>
            </w:r>
            <w:r w:rsidRPr="00D43BBA">
              <w:rPr>
                <w:rFonts w:ascii="Times New Roman" w:hAnsi="Times New Roman"/>
                <w:bCs/>
                <w:sz w:val="20"/>
                <w:szCs w:val="20"/>
                <w:lang w:eastAsia="en-GB"/>
              </w:rPr>
              <w:t xml:space="preserve"> or causing shock to detonation</w:t>
            </w:r>
          </w:p>
        </w:tc>
        <w:tc>
          <w:tcPr>
            <w:tcW w:w="567" w:type="dxa"/>
            <w:tcBorders>
              <w:top w:val="single" w:sz="6" w:space="0" w:color="auto"/>
              <w:bottom w:val="single" w:sz="6" w:space="0" w:color="auto"/>
            </w:tcBorders>
            <w:vAlign w:val="center"/>
          </w:tcPr>
          <w:p w14:paraId="49E3C6BB"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lastRenderedPageBreak/>
              <w:t>4</w:t>
            </w:r>
          </w:p>
        </w:tc>
        <w:tc>
          <w:tcPr>
            <w:tcW w:w="567" w:type="dxa"/>
            <w:tcBorders>
              <w:top w:val="single" w:sz="6" w:space="0" w:color="auto"/>
              <w:bottom w:val="single" w:sz="6" w:space="0" w:color="auto"/>
            </w:tcBorders>
            <w:vAlign w:val="center"/>
          </w:tcPr>
          <w:p w14:paraId="424BD4B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722D4A9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8</w:t>
            </w:r>
          </w:p>
        </w:tc>
        <w:tc>
          <w:tcPr>
            <w:tcW w:w="2268" w:type="dxa"/>
            <w:tcBorders>
              <w:top w:val="single" w:sz="6" w:space="0" w:color="auto"/>
              <w:bottom w:val="single" w:sz="6" w:space="0" w:color="auto"/>
            </w:tcBorders>
          </w:tcPr>
          <w:p w14:paraId="4E92C32A" w14:textId="643A5BC6" w:rsidR="006D079A" w:rsidRPr="0003024C" w:rsidRDefault="00144ED0" w:rsidP="0003024C">
            <w:pPr>
              <w:spacing w:before="0" w:line="240" w:lineRule="auto"/>
              <w:jc w:val="left"/>
              <w:rPr>
                <w:rFonts w:ascii="Times New Roman" w:hAnsi="Times New Roman"/>
                <w:bCs/>
                <w:sz w:val="20"/>
                <w:szCs w:val="20"/>
                <w:lang w:eastAsia="en-GB"/>
              </w:rPr>
            </w:pPr>
            <w:r w:rsidRPr="00144ED0">
              <w:rPr>
                <w:rFonts w:ascii="Times New Roman" w:hAnsi="Times New Roman"/>
                <w:bCs/>
                <w:sz w:val="20"/>
                <w:szCs w:val="20"/>
                <w:lang w:eastAsia="en-GB"/>
              </w:rPr>
              <w:t xml:space="preserve">Personal Protective Equipment utilisation to reduce impact and </w:t>
            </w:r>
            <w:r w:rsidRPr="00144ED0">
              <w:rPr>
                <w:rFonts w:ascii="Times New Roman" w:hAnsi="Times New Roman"/>
                <w:bCs/>
                <w:sz w:val="20"/>
                <w:szCs w:val="20"/>
                <w:lang w:eastAsia="en-GB"/>
              </w:rPr>
              <w:lastRenderedPageBreak/>
              <w:t>exposure to both sharp and blunt objects. This includes protective head gear, high coverage clothing and re-enforced shoes.</w:t>
            </w:r>
            <w:r>
              <w:rPr>
                <w:rFonts w:ascii="Times New Roman" w:hAnsi="Times New Roman"/>
                <w:bCs/>
                <w:sz w:val="20"/>
                <w:szCs w:val="20"/>
                <w:lang w:eastAsia="en-GB"/>
              </w:rPr>
              <w:t xml:space="preserve"> Additional, Packaging and storing of reactive materials should remain undamaged, if damage occurs, follow safe disposal procedure as detained in relevant SOP for that munition. </w:t>
            </w:r>
          </w:p>
        </w:tc>
        <w:tc>
          <w:tcPr>
            <w:tcW w:w="567" w:type="dxa"/>
            <w:tcBorders>
              <w:top w:val="single" w:sz="6" w:space="0" w:color="auto"/>
              <w:bottom w:val="single" w:sz="6" w:space="0" w:color="auto"/>
            </w:tcBorders>
            <w:vAlign w:val="center"/>
          </w:tcPr>
          <w:p w14:paraId="6F561379" w14:textId="60A8453D"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lastRenderedPageBreak/>
              <w:t>2</w:t>
            </w:r>
          </w:p>
        </w:tc>
        <w:tc>
          <w:tcPr>
            <w:tcW w:w="567" w:type="dxa"/>
            <w:tcBorders>
              <w:top w:val="single" w:sz="6" w:space="0" w:color="auto"/>
              <w:bottom w:val="single" w:sz="6" w:space="0" w:color="auto"/>
            </w:tcBorders>
            <w:vAlign w:val="center"/>
          </w:tcPr>
          <w:p w14:paraId="5435F467" w14:textId="32750EA0"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66FF33"/>
            <w:vAlign w:val="center"/>
          </w:tcPr>
          <w:p w14:paraId="34EDFF8A" w14:textId="7DAD3B99"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5B132CCA" w14:textId="77777777" w:rsidTr="000B5F83">
        <w:trPr>
          <w:trHeight w:val="386"/>
        </w:trPr>
        <w:tc>
          <w:tcPr>
            <w:tcW w:w="1686" w:type="dxa"/>
            <w:vMerge/>
          </w:tcPr>
          <w:p w14:paraId="76287D03" w14:textId="77777777" w:rsidR="006D079A" w:rsidRPr="00D43BBA" w:rsidRDefault="006D079A" w:rsidP="006D079A">
            <w:pPr>
              <w:spacing w:before="0" w:line="240" w:lineRule="auto"/>
              <w:ind w:left="720"/>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0A50DF5E" w14:textId="2A236EE0" w:rsidR="006D079A" w:rsidRPr="00D43BBA" w:rsidRDefault="00654786"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Personal</w:t>
            </w:r>
            <w:r w:rsidR="006D079A" w:rsidRPr="00D43BBA">
              <w:rPr>
                <w:rFonts w:ascii="Times New Roman" w:hAnsi="Times New Roman"/>
                <w:sz w:val="20"/>
                <w:szCs w:val="20"/>
                <w:lang w:eastAsia="en-GB"/>
              </w:rPr>
              <w:t xml:space="preserve"> on top of vehicle</w:t>
            </w:r>
          </w:p>
        </w:tc>
        <w:tc>
          <w:tcPr>
            <w:tcW w:w="1985" w:type="dxa"/>
            <w:tcBorders>
              <w:top w:val="single" w:sz="6" w:space="0" w:color="auto"/>
              <w:bottom w:val="single" w:sz="6" w:space="0" w:color="auto"/>
            </w:tcBorders>
          </w:tcPr>
          <w:p w14:paraId="5B95D59D" w14:textId="77777777" w:rsidR="006D079A" w:rsidRPr="00D43BBA" w:rsidRDefault="006D079A" w:rsidP="006D079A">
            <w:pPr>
              <w:spacing w:before="0" w:line="240" w:lineRule="auto"/>
              <w:jc w:val="center"/>
              <w:rPr>
                <w:rFonts w:ascii="Times New Roman" w:hAnsi="Times New Roman"/>
                <w:bCs/>
                <w:sz w:val="20"/>
                <w:szCs w:val="20"/>
                <w:lang w:eastAsia="en-GB"/>
              </w:rPr>
            </w:pPr>
            <w:r w:rsidRPr="00D43BBA">
              <w:rPr>
                <w:rFonts w:ascii="Times New Roman" w:hAnsi="Times New Roman"/>
                <w:bCs/>
                <w:sz w:val="20"/>
                <w:szCs w:val="20"/>
                <w:lang w:eastAsia="en-GB"/>
              </w:rPr>
              <w:t>People falling off vehicle sustaining injuries to head (2.7m fall)</w:t>
            </w:r>
          </w:p>
        </w:tc>
        <w:tc>
          <w:tcPr>
            <w:tcW w:w="567" w:type="dxa"/>
            <w:tcBorders>
              <w:top w:val="single" w:sz="6" w:space="0" w:color="auto"/>
              <w:bottom w:val="single" w:sz="6" w:space="0" w:color="auto"/>
            </w:tcBorders>
            <w:vAlign w:val="center"/>
          </w:tcPr>
          <w:p w14:paraId="1E30D848"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52E5F961"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FF00"/>
            <w:vAlign w:val="center"/>
          </w:tcPr>
          <w:p w14:paraId="5B9CD30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9</w:t>
            </w:r>
          </w:p>
        </w:tc>
        <w:tc>
          <w:tcPr>
            <w:tcW w:w="2268" w:type="dxa"/>
            <w:tcBorders>
              <w:top w:val="single" w:sz="6" w:space="0" w:color="auto"/>
              <w:bottom w:val="single" w:sz="6" w:space="0" w:color="auto"/>
            </w:tcBorders>
          </w:tcPr>
          <w:p w14:paraId="2A59B19B" w14:textId="55968308" w:rsidR="006D079A" w:rsidRPr="0003024C" w:rsidRDefault="00144ED0" w:rsidP="0003024C">
            <w:pPr>
              <w:spacing w:before="0" w:line="240" w:lineRule="auto"/>
              <w:jc w:val="left"/>
              <w:rPr>
                <w:rFonts w:ascii="Times New Roman" w:hAnsi="Times New Roman"/>
                <w:bCs/>
                <w:sz w:val="20"/>
                <w:szCs w:val="20"/>
                <w:lang w:eastAsia="en-GB"/>
              </w:rPr>
            </w:pPr>
            <w:r w:rsidRPr="00144ED0">
              <w:rPr>
                <w:rFonts w:ascii="Times New Roman" w:hAnsi="Times New Roman"/>
                <w:bCs/>
                <w:sz w:val="20"/>
                <w:szCs w:val="20"/>
                <w:lang w:eastAsia="en-GB"/>
              </w:rPr>
              <w:t>Personal Protective Equipment utilisation to reduce impact and exposure to both sharp and blunt objects</w:t>
            </w:r>
            <w:r>
              <w:rPr>
                <w:rFonts w:ascii="Times New Roman" w:hAnsi="Times New Roman"/>
                <w:bCs/>
                <w:sz w:val="20"/>
                <w:szCs w:val="20"/>
                <w:lang w:eastAsia="en-GB"/>
              </w:rPr>
              <w:t xml:space="preserve"> found on the ground to reduce sustained injuries</w:t>
            </w:r>
            <w:r w:rsidRPr="00144ED0">
              <w:rPr>
                <w:rFonts w:ascii="Times New Roman" w:hAnsi="Times New Roman"/>
                <w:bCs/>
                <w:sz w:val="20"/>
                <w:szCs w:val="20"/>
                <w:lang w:eastAsia="en-GB"/>
              </w:rPr>
              <w:t>. This includes protective head gear</w:t>
            </w:r>
            <w:r>
              <w:rPr>
                <w:rFonts w:ascii="Times New Roman" w:hAnsi="Times New Roman"/>
                <w:bCs/>
                <w:sz w:val="20"/>
                <w:szCs w:val="20"/>
                <w:lang w:eastAsia="en-GB"/>
              </w:rPr>
              <w:t xml:space="preserve"> and</w:t>
            </w:r>
            <w:r w:rsidRPr="00144ED0">
              <w:rPr>
                <w:rFonts w:ascii="Times New Roman" w:hAnsi="Times New Roman"/>
                <w:bCs/>
                <w:sz w:val="20"/>
                <w:szCs w:val="20"/>
                <w:lang w:eastAsia="en-GB"/>
              </w:rPr>
              <w:t xml:space="preserve"> high coverage clothing</w:t>
            </w:r>
            <w:r>
              <w:rPr>
                <w:rFonts w:ascii="Times New Roman" w:hAnsi="Times New Roman"/>
                <w:bCs/>
                <w:sz w:val="20"/>
                <w:szCs w:val="20"/>
                <w:lang w:eastAsia="en-GB"/>
              </w:rPr>
              <w:t xml:space="preserve">. If occurred, </w:t>
            </w:r>
            <w:r w:rsidR="003A183D">
              <w:rPr>
                <w:rFonts w:ascii="Times New Roman" w:hAnsi="Times New Roman"/>
                <w:bCs/>
                <w:sz w:val="20"/>
                <w:szCs w:val="20"/>
                <w:lang w:eastAsia="en-GB"/>
              </w:rPr>
              <w:t>personnel</w:t>
            </w:r>
            <w:r>
              <w:rPr>
                <w:rFonts w:ascii="Times New Roman" w:hAnsi="Times New Roman"/>
                <w:bCs/>
                <w:sz w:val="20"/>
                <w:szCs w:val="20"/>
                <w:lang w:eastAsia="en-GB"/>
              </w:rPr>
              <w:t xml:space="preserve"> should be immediately treated by designated Health and Safety Operator, following procedure for head and neck injuries, further medical attention may be required at Health and Safety Operators </w:t>
            </w:r>
            <w:r w:rsidRPr="00144ED0">
              <w:rPr>
                <w:rFonts w:ascii="Times New Roman" w:hAnsi="Times New Roman"/>
                <w:bCs/>
                <w:sz w:val="20"/>
                <w:szCs w:val="20"/>
                <w:lang w:eastAsia="en-GB"/>
              </w:rPr>
              <w:t>discretion</w:t>
            </w:r>
            <w:r w:rsidRPr="00144ED0">
              <w:rPr>
                <w:rFonts w:ascii="Times New Roman" w:hAnsi="Times New Roman"/>
                <w:bCs/>
                <w:sz w:val="20"/>
                <w:szCs w:val="20"/>
                <w:lang w:eastAsia="en-GB"/>
              </w:rPr>
              <w:t xml:space="preserve"> </w:t>
            </w:r>
            <w:r>
              <w:rPr>
                <w:rFonts w:ascii="Times New Roman" w:hAnsi="Times New Roman"/>
                <w:bCs/>
                <w:sz w:val="20"/>
                <w:szCs w:val="20"/>
                <w:lang w:eastAsia="en-GB"/>
              </w:rPr>
              <w:t xml:space="preserve">. </w:t>
            </w:r>
          </w:p>
        </w:tc>
        <w:tc>
          <w:tcPr>
            <w:tcW w:w="567" w:type="dxa"/>
            <w:tcBorders>
              <w:top w:val="single" w:sz="6" w:space="0" w:color="auto"/>
              <w:bottom w:val="single" w:sz="6" w:space="0" w:color="auto"/>
            </w:tcBorders>
            <w:vAlign w:val="center"/>
          </w:tcPr>
          <w:p w14:paraId="4DFF41E7" w14:textId="4FBEE55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54901668" w14:textId="6970426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66FF33"/>
            <w:vAlign w:val="center"/>
          </w:tcPr>
          <w:p w14:paraId="36B8654E" w14:textId="21E23237"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67761128" w14:textId="77777777" w:rsidTr="00FB5D40">
        <w:trPr>
          <w:trHeight w:val="386"/>
        </w:trPr>
        <w:tc>
          <w:tcPr>
            <w:tcW w:w="1686" w:type="dxa"/>
            <w:vMerge/>
            <w:tcBorders>
              <w:bottom w:val="single" w:sz="6" w:space="0" w:color="auto"/>
            </w:tcBorders>
          </w:tcPr>
          <w:p w14:paraId="09AA17DB" w14:textId="77777777" w:rsidR="006D079A" w:rsidRPr="00D43BBA" w:rsidRDefault="006D079A" w:rsidP="006D079A">
            <w:pPr>
              <w:spacing w:before="0" w:line="240" w:lineRule="auto"/>
              <w:ind w:left="720"/>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5D61D132"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0CA3648D"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vAlign w:val="center"/>
          </w:tcPr>
          <w:p w14:paraId="73553296"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vAlign w:val="center"/>
          </w:tcPr>
          <w:p w14:paraId="26829BA1"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shd w:val="clear" w:color="auto" w:fill="EEECE1" w:themeFill="background2"/>
            <w:vAlign w:val="center"/>
          </w:tcPr>
          <w:p w14:paraId="7B994222" w14:textId="77777777" w:rsidR="006D079A" w:rsidRPr="00D43BBA" w:rsidRDefault="006D079A" w:rsidP="006D079A">
            <w:pPr>
              <w:spacing w:before="0" w:line="240" w:lineRule="auto"/>
              <w:jc w:val="center"/>
              <w:rPr>
                <w:rFonts w:ascii="Times New Roman" w:hAnsi="Times New Roman"/>
                <w:b/>
                <w:lang w:eastAsia="en-GB"/>
              </w:rPr>
            </w:pPr>
          </w:p>
        </w:tc>
        <w:tc>
          <w:tcPr>
            <w:tcW w:w="2268" w:type="dxa"/>
            <w:tcBorders>
              <w:top w:val="single" w:sz="6" w:space="0" w:color="auto"/>
              <w:bottom w:val="single" w:sz="6" w:space="0" w:color="auto"/>
            </w:tcBorders>
          </w:tcPr>
          <w:p w14:paraId="418AF99A" w14:textId="77777777" w:rsidR="006D079A" w:rsidRPr="0003024C" w:rsidRDefault="006D079A" w:rsidP="006D079A">
            <w:pPr>
              <w:spacing w:before="0" w:line="240" w:lineRule="auto"/>
              <w:jc w:val="center"/>
              <w:rPr>
                <w:rFonts w:ascii="Times New Roman" w:hAnsi="Times New Roman"/>
                <w:bCs/>
                <w:sz w:val="20"/>
                <w:szCs w:val="20"/>
                <w:lang w:eastAsia="en-GB"/>
              </w:rPr>
            </w:pPr>
          </w:p>
        </w:tc>
        <w:tc>
          <w:tcPr>
            <w:tcW w:w="567" w:type="dxa"/>
            <w:tcBorders>
              <w:top w:val="single" w:sz="6" w:space="0" w:color="auto"/>
              <w:bottom w:val="single" w:sz="6" w:space="0" w:color="auto"/>
            </w:tcBorders>
            <w:vAlign w:val="center"/>
          </w:tcPr>
          <w:p w14:paraId="0B966E7A"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vAlign w:val="center"/>
          </w:tcPr>
          <w:p w14:paraId="2518F685"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shd w:val="clear" w:color="auto" w:fill="auto"/>
            <w:vAlign w:val="center"/>
          </w:tcPr>
          <w:p w14:paraId="49B608A2"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7CD815F7" w14:textId="77777777" w:rsidTr="00B64DC5">
        <w:trPr>
          <w:trHeight w:val="386"/>
        </w:trPr>
        <w:tc>
          <w:tcPr>
            <w:tcW w:w="3529" w:type="dxa"/>
            <w:gridSpan w:val="2"/>
            <w:tcBorders>
              <w:top w:val="single" w:sz="6" w:space="0" w:color="auto"/>
              <w:bottom w:val="single" w:sz="6" w:space="0" w:color="auto"/>
            </w:tcBorders>
          </w:tcPr>
          <w:p w14:paraId="377D115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 storage and quality</w:t>
            </w:r>
          </w:p>
        </w:tc>
        <w:tc>
          <w:tcPr>
            <w:tcW w:w="7655" w:type="dxa"/>
            <w:gridSpan w:val="8"/>
            <w:tcBorders>
              <w:top w:val="single" w:sz="6" w:space="0" w:color="auto"/>
              <w:bottom w:val="single" w:sz="6" w:space="0" w:color="auto"/>
            </w:tcBorders>
            <w:shd w:val="clear" w:color="auto" w:fill="EEECE1" w:themeFill="background2"/>
          </w:tcPr>
          <w:p w14:paraId="540FCA7E"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5BB6F617" w14:textId="77777777" w:rsidTr="00FB5D40">
        <w:trPr>
          <w:trHeight w:val="1134"/>
        </w:trPr>
        <w:tc>
          <w:tcPr>
            <w:tcW w:w="1686" w:type="dxa"/>
            <w:tcBorders>
              <w:top w:val="single" w:sz="6" w:space="0" w:color="auto"/>
              <w:bottom w:val="single" w:sz="6" w:space="0" w:color="auto"/>
            </w:tcBorders>
          </w:tcPr>
          <w:p w14:paraId="08CFAEE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 quality</w:t>
            </w:r>
          </w:p>
        </w:tc>
        <w:tc>
          <w:tcPr>
            <w:tcW w:w="1843" w:type="dxa"/>
            <w:tcBorders>
              <w:top w:val="single" w:sz="6" w:space="0" w:color="auto"/>
              <w:bottom w:val="single" w:sz="6" w:space="0" w:color="auto"/>
            </w:tcBorders>
          </w:tcPr>
          <w:p w14:paraId="2275854C"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118782FD" w14:textId="44CD98DE"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Poor munition quality from manufacturer meaning munitions </w:t>
            </w:r>
            <w:r w:rsidR="00D43BBA" w:rsidRPr="00D43BBA">
              <w:rPr>
                <w:rFonts w:ascii="Times New Roman" w:hAnsi="Times New Roman"/>
                <w:sz w:val="20"/>
                <w:szCs w:val="20"/>
                <w:lang w:eastAsia="en-GB"/>
              </w:rPr>
              <w:t>contains</w:t>
            </w:r>
            <w:r w:rsidRPr="00D43BBA">
              <w:rPr>
                <w:rFonts w:ascii="Times New Roman" w:hAnsi="Times New Roman"/>
                <w:sz w:val="20"/>
                <w:szCs w:val="20"/>
                <w:lang w:eastAsia="en-GB"/>
              </w:rPr>
              <w:t xml:space="preserve"> large voids withing HE</w:t>
            </w:r>
          </w:p>
          <w:p w14:paraId="16B8D73D"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 causes barrel to detonate upon firing</w:t>
            </w:r>
          </w:p>
        </w:tc>
        <w:tc>
          <w:tcPr>
            <w:tcW w:w="567" w:type="dxa"/>
            <w:tcBorders>
              <w:top w:val="single" w:sz="6" w:space="0" w:color="auto"/>
              <w:bottom w:val="single" w:sz="6" w:space="0" w:color="auto"/>
            </w:tcBorders>
            <w:vAlign w:val="center"/>
          </w:tcPr>
          <w:p w14:paraId="4C2602E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6949ECD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540F2821"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64834CC8" w14:textId="795C3250" w:rsidR="006D079A" w:rsidRPr="00D43BBA" w:rsidRDefault="00E864B0"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Regular inspection of munitions including visual for external damage, weight consistency and </w:t>
            </w:r>
            <w:r w:rsidR="005D3376">
              <w:rPr>
                <w:rFonts w:ascii="Times New Roman" w:hAnsi="Times New Roman"/>
                <w:sz w:val="20"/>
                <w:szCs w:val="20"/>
                <w:lang w:eastAsia="en-GB"/>
              </w:rPr>
              <w:t xml:space="preserve">suspicions features, such as unexplained noise or unsecured components, which may indicate damage or misconstruction. </w:t>
            </w:r>
          </w:p>
        </w:tc>
        <w:tc>
          <w:tcPr>
            <w:tcW w:w="567" w:type="dxa"/>
            <w:tcBorders>
              <w:top w:val="single" w:sz="6" w:space="0" w:color="auto"/>
              <w:bottom w:val="single" w:sz="6" w:space="0" w:color="auto"/>
            </w:tcBorders>
            <w:vAlign w:val="center"/>
          </w:tcPr>
          <w:p w14:paraId="1C2589D9" w14:textId="12B0F597" w:rsidR="006D079A" w:rsidRPr="00D43BBA" w:rsidRDefault="00FB5D40" w:rsidP="006D079A">
            <w:pPr>
              <w:spacing w:before="0" w:line="240" w:lineRule="auto"/>
              <w:jc w:val="left"/>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6726009A" w14:textId="29CA58D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37F20BAE" w14:textId="161AEC26"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r>
      <w:tr w:rsidR="006D079A" w:rsidRPr="006D079A" w14:paraId="7FF877B8" w14:textId="77777777" w:rsidTr="000B5F83">
        <w:trPr>
          <w:trHeight w:val="1134"/>
        </w:trPr>
        <w:tc>
          <w:tcPr>
            <w:tcW w:w="1686" w:type="dxa"/>
            <w:vMerge w:val="restart"/>
            <w:tcBorders>
              <w:top w:val="single" w:sz="6" w:space="0" w:color="auto"/>
            </w:tcBorders>
          </w:tcPr>
          <w:p w14:paraId="150BAF11"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 storage</w:t>
            </w:r>
          </w:p>
        </w:tc>
        <w:tc>
          <w:tcPr>
            <w:tcW w:w="1843" w:type="dxa"/>
            <w:tcBorders>
              <w:top w:val="single" w:sz="6" w:space="0" w:color="auto"/>
              <w:bottom w:val="single" w:sz="6" w:space="0" w:color="auto"/>
            </w:tcBorders>
          </w:tcPr>
          <w:p w14:paraId="7C47E96D" w14:textId="48068E63" w:rsidR="006D079A" w:rsidRPr="00D43BBA" w:rsidRDefault="00A53C68"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W33bv  </w:t>
            </w:r>
          </w:p>
        </w:tc>
        <w:tc>
          <w:tcPr>
            <w:tcW w:w="1985" w:type="dxa"/>
            <w:tcBorders>
              <w:top w:val="single" w:sz="6" w:space="0" w:color="auto"/>
              <w:bottom w:val="single" w:sz="6" w:space="0" w:color="auto"/>
            </w:tcBorders>
          </w:tcPr>
          <w:p w14:paraId="6DD2FB06"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Degradation of munition due to poor storage (NC prop)</w:t>
            </w:r>
          </w:p>
          <w:p w14:paraId="51F4FBE8" w14:textId="260AE9C0" w:rsidR="006D079A" w:rsidRPr="00D43BBA" w:rsidRDefault="00654786" w:rsidP="003A183D">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Inadvertent</w:t>
            </w:r>
            <w:r w:rsidR="006D079A" w:rsidRPr="00D43BBA">
              <w:rPr>
                <w:rFonts w:ascii="Times New Roman" w:hAnsi="Times New Roman"/>
                <w:sz w:val="20"/>
                <w:szCs w:val="20"/>
                <w:lang w:eastAsia="en-GB"/>
              </w:rPr>
              <w:t xml:space="preserve"> miss fire occurs (round initiates prematurely causing harm to </w:t>
            </w:r>
            <w:r w:rsidRPr="00D43BBA">
              <w:rPr>
                <w:rFonts w:ascii="Times New Roman" w:hAnsi="Times New Roman"/>
                <w:sz w:val="20"/>
                <w:szCs w:val="20"/>
                <w:lang w:eastAsia="en-GB"/>
              </w:rPr>
              <w:t>surround</w:t>
            </w:r>
            <w:r w:rsidR="006D079A" w:rsidRPr="00D43BBA">
              <w:rPr>
                <w:rFonts w:ascii="Times New Roman" w:hAnsi="Times New Roman"/>
                <w:sz w:val="20"/>
                <w:szCs w:val="20"/>
                <w:lang w:eastAsia="en-GB"/>
              </w:rPr>
              <w:t xml:space="preserve"> </w:t>
            </w:r>
            <w:r w:rsidR="003A183D">
              <w:rPr>
                <w:rFonts w:ascii="Times New Roman" w:hAnsi="Times New Roman"/>
                <w:sz w:val="20"/>
                <w:szCs w:val="20"/>
                <w:lang w:eastAsia="en-GB"/>
              </w:rPr>
              <w:t>personnel</w:t>
            </w:r>
            <w:r w:rsidR="006D079A" w:rsidRPr="00D43BBA">
              <w:rPr>
                <w:rFonts w:ascii="Times New Roman" w:hAnsi="Times New Roman"/>
                <w:sz w:val="20"/>
                <w:szCs w:val="20"/>
                <w:lang w:eastAsia="en-GB"/>
              </w:rPr>
              <w:t xml:space="preserve">.  (goes off in </w:t>
            </w:r>
            <w:r w:rsidRPr="00D43BBA">
              <w:rPr>
                <w:rFonts w:ascii="Times New Roman" w:hAnsi="Times New Roman"/>
                <w:sz w:val="20"/>
                <w:szCs w:val="20"/>
                <w:lang w:eastAsia="en-GB"/>
              </w:rPr>
              <w:t>magazine</w:t>
            </w:r>
            <w:r w:rsidR="006D079A" w:rsidRPr="00D43BBA">
              <w:rPr>
                <w:rFonts w:ascii="Times New Roman" w:hAnsi="Times New Roman"/>
                <w:sz w:val="20"/>
                <w:szCs w:val="20"/>
                <w:lang w:eastAsia="en-GB"/>
              </w:rPr>
              <w:t xml:space="preserve"> </w:t>
            </w:r>
            <w:r w:rsidR="006D079A" w:rsidRPr="00D43BBA">
              <w:rPr>
                <w:rFonts w:ascii="Times New Roman" w:hAnsi="Times New Roman"/>
                <w:sz w:val="20"/>
                <w:szCs w:val="20"/>
                <w:lang w:eastAsia="en-GB"/>
              </w:rPr>
              <w:lastRenderedPageBreak/>
              <w:t>or during handling or prior to range being clear)</w:t>
            </w:r>
          </w:p>
        </w:tc>
        <w:tc>
          <w:tcPr>
            <w:tcW w:w="567" w:type="dxa"/>
            <w:tcBorders>
              <w:top w:val="single" w:sz="6" w:space="0" w:color="auto"/>
              <w:bottom w:val="single" w:sz="6" w:space="0" w:color="auto"/>
            </w:tcBorders>
            <w:vAlign w:val="center"/>
          </w:tcPr>
          <w:p w14:paraId="3E70CE5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lastRenderedPageBreak/>
              <w:t>5</w:t>
            </w:r>
          </w:p>
        </w:tc>
        <w:tc>
          <w:tcPr>
            <w:tcW w:w="567" w:type="dxa"/>
            <w:tcBorders>
              <w:top w:val="single" w:sz="6" w:space="0" w:color="auto"/>
              <w:bottom w:val="single" w:sz="6" w:space="0" w:color="auto"/>
            </w:tcBorders>
            <w:vAlign w:val="center"/>
          </w:tcPr>
          <w:p w14:paraId="08A7EDDE" w14:textId="15F2CC6D"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2D5D1B77"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67F37873" w14:textId="2A04D4A0" w:rsidR="006D079A" w:rsidRPr="00D43BBA" w:rsidRDefault="00B76AF4"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Regular monitoring of storage conditions, documented and acted upon as soon as potential issues are known. Visual and Audible inspections of product for external damage and degradation, rattling sounds suggest </w:t>
            </w:r>
            <w:r>
              <w:rPr>
                <w:rFonts w:ascii="Times New Roman" w:hAnsi="Times New Roman"/>
                <w:sz w:val="20"/>
                <w:szCs w:val="20"/>
                <w:lang w:eastAsia="en-GB"/>
              </w:rPr>
              <w:lastRenderedPageBreak/>
              <w:t xml:space="preserve">lose or broken internal components. </w:t>
            </w:r>
          </w:p>
        </w:tc>
        <w:tc>
          <w:tcPr>
            <w:tcW w:w="567" w:type="dxa"/>
            <w:tcBorders>
              <w:top w:val="single" w:sz="6" w:space="0" w:color="auto"/>
              <w:bottom w:val="single" w:sz="6" w:space="0" w:color="auto"/>
            </w:tcBorders>
            <w:vAlign w:val="center"/>
          </w:tcPr>
          <w:p w14:paraId="0260B3EA" w14:textId="52BF8979"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lastRenderedPageBreak/>
              <w:t>5</w:t>
            </w:r>
          </w:p>
        </w:tc>
        <w:tc>
          <w:tcPr>
            <w:tcW w:w="567" w:type="dxa"/>
            <w:tcBorders>
              <w:top w:val="single" w:sz="6" w:space="0" w:color="auto"/>
              <w:bottom w:val="single" w:sz="6" w:space="0" w:color="auto"/>
            </w:tcBorders>
            <w:vAlign w:val="center"/>
          </w:tcPr>
          <w:p w14:paraId="52E2CD35" w14:textId="1909BE7A"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61E742BF" w14:textId="4EB52360"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r>
      <w:tr w:rsidR="006D079A" w:rsidRPr="006D079A" w14:paraId="0E7A106E" w14:textId="77777777" w:rsidTr="000B5F83">
        <w:trPr>
          <w:trHeight w:val="1134"/>
        </w:trPr>
        <w:tc>
          <w:tcPr>
            <w:tcW w:w="1686" w:type="dxa"/>
            <w:vMerge/>
            <w:tcBorders>
              <w:bottom w:val="single" w:sz="6" w:space="0" w:color="auto"/>
            </w:tcBorders>
          </w:tcPr>
          <w:p w14:paraId="7A15C1FB"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2FBFA901"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66C357B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Diurnal cycling of fill causing in bore detonation</w:t>
            </w:r>
          </w:p>
        </w:tc>
        <w:tc>
          <w:tcPr>
            <w:tcW w:w="567" w:type="dxa"/>
            <w:tcBorders>
              <w:top w:val="single" w:sz="6" w:space="0" w:color="auto"/>
              <w:bottom w:val="single" w:sz="6" w:space="0" w:color="auto"/>
            </w:tcBorders>
            <w:vAlign w:val="center"/>
          </w:tcPr>
          <w:p w14:paraId="6F08E4D7"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433FF26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0742713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1AFD4B9B" w14:textId="125E4FF7" w:rsidR="006D079A" w:rsidRPr="00D43BBA" w:rsidRDefault="006F04A3"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Regular electronic monitoring of temperature, humidity and movement of products. If degradation  does occur, elimination and disposal procedure to be followed according to specific munition SOP. </w:t>
            </w:r>
          </w:p>
        </w:tc>
        <w:tc>
          <w:tcPr>
            <w:tcW w:w="567" w:type="dxa"/>
            <w:tcBorders>
              <w:top w:val="single" w:sz="6" w:space="0" w:color="auto"/>
              <w:bottom w:val="single" w:sz="6" w:space="0" w:color="auto"/>
            </w:tcBorders>
            <w:vAlign w:val="center"/>
          </w:tcPr>
          <w:p w14:paraId="024A34E1" w14:textId="25DD07C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73DB5EB9" w14:textId="2B80B670"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41CDC7E2" w14:textId="5D422C94"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r>
      <w:tr w:rsidR="006D079A" w:rsidRPr="006D079A" w14:paraId="7ADF2616" w14:textId="77777777" w:rsidTr="000B5F83">
        <w:trPr>
          <w:trHeight w:val="1134"/>
        </w:trPr>
        <w:tc>
          <w:tcPr>
            <w:tcW w:w="1686" w:type="dxa"/>
            <w:tcBorders>
              <w:top w:val="single" w:sz="6" w:space="0" w:color="auto"/>
              <w:bottom w:val="single" w:sz="6" w:space="0" w:color="auto"/>
            </w:tcBorders>
          </w:tcPr>
          <w:p w14:paraId="7BD511F1"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381E3D6B"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7B26F6E0" w14:textId="15624320"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Shock and impact from vehicle and handling causing cracking of HE </w:t>
            </w:r>
            <w:r w:rsidR="00D43BBA" w:rsidRPr="00D43BBA">
              <w:rPr>
                <w:rFonts w:ascii="Times New Roman" w:hAnsi="Times New Roman"/>
                <w:sz w:val="20"/>
                <w:szCs w:val="20"/>
                <w:lang w:eastAsia="en-GB"/>
              </w:rPr>
              <w:t>fills</w:t>
            </w:r>
            <w:r w:rsidRPr="00D43BBA">
              <w:rPr>
                <w:rFonts w:ascii="Times New Roman" w:hAnsi="Times New Roman"/>
                <w:sz w:val="20"/>
                <w:szCs w:val="20"/>
                <w:lang w:eastAsia="en-GB"/>
              </w:rPr>
              <w:t xml:space="preserve"> leading to adiabatic heating on firing leading to in bore explosion</w:t>
            </w:r>
          </w:p>
        </w:tc>
        <w:tc>
          <w:tcPr>
            <w:tcW w:w="567" w:type="dxa"/>
            <w:tcBorders>
              <w:top w:val="single" w:sz="6" w:space="0" w:color="auto"/>
              <w:bottom w:val="single" w:sz="6" w:space="0" w:color="auto"/>
            </w:tcBorders>
            <w:vAlign w:val="center"/>
          </w:tcPr>
          <w:p w14:paraId="20D9FAB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65751F2A"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59398DC9"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100137B5" w14:textId="4BAAD3F1" w:rsidR="006D079A" w:rsidRPr="00D43BBA" w:rsidRDefault="006C39D5"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Packaging requirements to assume minimal damage caused by external shockwaves, travelling procedure to reduce munition volatility such as separation until use of components. </w:t>
            </w:r>
          </w:p>
        </w:tc>
        <w:tc>
          <w:tcPr>
            <w:tcW w:w="567" w:type="dxa"/>
            <w:tcBorders>
              <w:top w:val="single" w:sz="6" w:space="0" w:color="auto"/>
              <w:bottom w:val="single" w:sz="6" w:space="0" w:color="auto"/>
            </w:tcBorders>
            <w:vAlign w:val="center"/>
          </w:tcPr>
          <w:p w14:paraId="19C2CC82" w14:textId="473F27C4"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612C6214" w14:textId="5CE5576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7EBB84B6" w14:textId="77BB088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r>
      <w:tr w:rsidR="006D079A" w:rsidRPr="006D079A" w14:paraId="7F7C2236" w14:textId="77777777" w:rsidTr="00B64DC5">
        <w:trPr>
          <w:trHeight w:val="277"/>
        </w:trPr>
        <w:tc>
          <w:tcPr>
            <w:tcW w:w="3529" w:type="dxa"/>
            <w:gridSpan w:val="2"/>
            <w:tcBorders>
              <w:top w:val="single" w:sz="6" w:space="0" w:color="auto"/>
              <w:bottom w:val="single" w:sz="6" w:space="0" w:color="auto"/>
            </w:tcBorders>
          </w:tcPr>
          <w:p w14:paraId="5DC51074"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Chemical</w:t>
            </w:r>
          </w:p>
        </w:tc>
        <w:tc>
          <w:tcPr>
            <w:tcW w:w="7655" w:type="dxa"/>
            <w:gridSpan w:val="8"/>
            <w:tcBorders>
              <w:top w:val="single" w:sz="6" w:space="0" w:color="auto"/>
              <w:bottom w:val="single" w:sz="6" w:space="0" w:color="auto"/>
            </w:tcBorders>
            <w:shd w:val="clear" w:color="auto" w:fill="EEECE1" w:themeFill="background2"/>
          </w:tcPr>
          <w:p w14:paraId="6C1512B9"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06AE2175" w14:textId="77777777" w:rsidTr="00FB5D40">
        <w:trPr>
          <w:trHeight w:val="1134"/>
        </w:trPr>
        <w:tc>
          <w:tcPr>
            <w:tcW w:w="1686" w:type="dxa"/>
            <w:tcBorders>
              <w:top w:val="single" w:sz="6" w:space="0" w:color="auto"/>
              <w:bottom w:val="single" w:sz="6" w:space="0" w:color="auto"/>
            </w:tcBorders>
          </w:tcPr>
          <w:p w14:paraId="58397E1B"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Toxicity</w:t>
            </w:r>
          </w:p>
        </w:tc>
        <w:tc>
          <w:tcPr>
            <w:tcW w:w="1843" w:type="dxa"/>
            <w:tcBorders>
              <w:top w:val="single" w:sz="6" w:space="0" w:color="auto"/>
              <w:bottom w:val="single" w:sz="6" w:space="0" w:color="auto"/>
            </w:tcBorders>
          </w:tcPr>
          <w:p w14:paraId="30A7C1D4" w14:textId="31A2A684" w:rsidR="006D079A" w:rsidRPr="00D43BBA" w:rsidRDefault="006D079A" w:rsidP="006D079A">
            <w:pPr>
              <w:spacing w:before="0" w:line="240" w:lineRule="auto"/>
              <w:ind w:left="360"/>
              <w:jc w:val="left"/>
              <w:rPr>
                <w:rFonts w:ascii="Times New Roman" w:hAnsi="Times New Roman"/>
                <w:sz w:val="20"/>
                <w:szCs w:val="20"/>
                <w:lang w:eastAsia="en-GB"/>
              </w:rPr>
            </w:pPr>
            <w:r w:rsidRPr="00D43BBA">
              <w:rPr>
                <w:rFonts w:ascii="Times New Roman" w:hAnsi="Times New Roman"/>
                <w:sz w:val="20"/>
                <w:szCs w:val="20"/>
                <w:lang w:eastAsia="en-GB"/>
              </w:rPr>
              <w:t xml:space="preserve">Tank crew and people within </w:t>
            </w:r>
            <w:r w:rsidR="00654786" w:rsidRPr="00D43BBA">
              <w:rPr>
                <w:rFonts w:ascii="Times New Roman" w:hAnsi="Times New Roman"/>
                <w:sz w:val="20"/>
                <w:szCs w:val="20"/>
                <w:lang w:eastAsia="en-GB"/>
              </w:rPr>
              <w:t>immediate</w:t>
            </w:r>
            <w:r w:rsidRPr="00D43BBA">
              <w:rPr>
                <w:rFonts w:ascii="Times New Roman" w:hAnsi="Times New Roman"/>
                <w:sz w:val="20"/>
                <w:szCs w:val="20"/>
                <w:lang w:eastAsia="en-GB"/>
              </w:rPr>
              <w:t xml:space="preserve"> vicinity</w:t>
            </w:r>
          </w:p>
        </w:tc>
        <w:tc>
          <w:tcPr>
            <w:tcW w:w="1985" w:type="dxa"/>
            <w:tcBorders>
              <w:top w:val="single" w:sz="6" w:space="0" w:color="auto"/>
              <w:bottom w:val="single" w:sz="6" w:space="0" w:color="auto"/>
            </w:tcBorders>
          </w:tcPr>
          <w:p w14:paraId="2EC3AAB3"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Inhale hot toxic after firing leading to burning lungs and toxics effects potentially including cancer</w:t>
            </w:r>
          </w:p>
        </w:tc>
        <w:tc>
          <w:tcPr>
            <w:tcW w:w="567" w:type="dxa"/>
            <w:tcBorders>
              <w:top w:val="single" w:sz="6" w:space="0" w:color="auto"/>
              <w:bottom w:val="single" w:sz="6" w:space="0" w:color="auto"/>
            </w:tcBorders>
            <w:vAlign w:val="center"/>
          </w:tcPr>
          <w:p w14:paraId="23784FD9"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599C01D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FF00"/>
            <w:vAlign w:val="center"/>
          </w:tcPr>
          <w:p w14:paraId="51004071"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9</w:t>
            </w:r>
          </w:p>
        </w:tc>
        <w:tc>
          <w:tcPr>
            <w:tcW w:w="2268" w:type="dxa"/>
            <w:tcBorders>
              <w:top w:val="single" w:sz="6" w:space="0" w:color="auto"/>
              <w:bottom w:val="single" w:sz="6" w:space="0" w:color="auto"/>
            </w:tcBorders>
          </w:tcPr>
          <w:p w14:paraId="11B521FE" w14:textId="6B94C933" w:rsidR="006D079A" w:rsidRPr="00D43BBA" w:rsidRDefault="00420CA0"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Regular health chuck ups looking for early symptoms of respiratory  damage and carcinogenic damage to reduce lethality. Reduction of exposure includes proper use of PPE of a breathing mask with high quality filtration system, protective clothing and gloves to reduce skin exposure and absorption.</w:t>
            </w:r>
          </w:p>
        </w:tc>
        <w:tc>
          <w:tcPr>
            <w:tcW w:w="567" w:type="dxa"/>
            <w:tcBorders>
              <w:top w:val="single" w:sz="6" w:space="0" w:color="auto"/>
              <w:bottom w:val="single" w:sz="6" w:space="0" w:color="auto"/>
            </w:tcBorders>
            <w:vAlign w:val="center"/>
          </w:tcPr>
          <w:p w14:paraId="6CE5D92C" w14:textId="7DCA7F2C"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3</w:t>
            </w:r>
          </w:p>
        </w:tc>
        <w:tc>
          <w:tcPr>
            <w:tcW w:w="567" w:type="dxa"/>
            <w:tcBorders>
              <w:top w:val="single" w:sz="6" w:space="0" w:color="auto"/>
              <w:bottom w:val="single" w:sz="6" w:space="0" w:color="auto"/>
            </w:tcBorders>
            <w:vAlign w:val="center"/>
          </w:tcPr>
          <w:p w14:paraId="48C96D43" w14:textId="5C7DAD66"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72717BFA" w14:textId="4717D108"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6</w:t>
            </w:r>
          </w:p>
        </w:tc>
      </w:tr>
      <w:tr w:rsidR="006D079A" w:rsidRPr="006D079A" w14:paraId="4B45B8DC" w14:textId="77777777" w:rsidTr="000B5F83">
        <w:trPr>
          <w:trHeight w:val="1134"/>
        </w:trPr>
        <w:tc>
          <w:tcPr>
            <w:tcW w:w="1686" w:type="dxa"/>
            <w:tcBorders>
              <w:top w:val="single" w:sz="6" w:space="0" w:color="auto"/>
              <w:bottom w:val="single" w:sz="6" w:space="0" w:color="auto"/>
            </w:tcBorders>
          </w:tcPr>
          <w:p w14:paraId="61462DE3"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5C5B59FF" w14:textId="77777777" w:rsidR="006D079A" w:rsidRPr="00D43BBA" w:rsidRDefault="006D079A" w:rsidP="006D079A">
            <w:pPr>
              <w:spacing w:before="0" w:line="240" w:lineRule="auto"/>
              <w:ind w:left="360"/>
              <w:jc w:val="left"/>
              <w:rPr>
                <w:rFonts w:ascii="Times New Roman" w:hAnsi="Times New Roman"/>
                <w:sz w:val="20"/>
                <w:szCs w:val="20"/>
                <w:lang w:eastAsia="en-GB"/>
              </w:rPr>
            </w:pPr>
            <w:r w:rsidRPr="00D43BBA">
              <w:rPr>
                <w:rFonts w:ascii="Times New Roman" w:hAnsi="Times New Roman"/>
                <w:sz w:val="20"/>
                <w:szCs w:val="20"/>
                <w:lang w:eastAsia="en-GB"/>
              </w:rPr>
              <w:t>Tank crew/ range staff</w:t>
            </w:r>
          </w:p>
        </w:tc>
        <w:tc>
          <w:tcPr>
            <w:tcW w:w="1985" w:type="dxa"/>
            <w:tcBorders>
              <w:top w:val="single" w:sz="6" w:space="0" w:color="auto"/>
              <w:bottom w:val="single" w:sz="6" w:space="0" w:color="auto"/>
            </w:tcBorders>
          </w:tcPr>
          <w:p w14:paraId="7B5962C3" w14:textId="5330FEB2" w:rsidR="006D079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Inhale/absorb/ingest when cleaning causing toxic effects to </w:t>
            </w:r>
            <w:r w:rsidR="003A183D">
              <w:rPr>
                <w:rFonts w:ascii="Times New Roman" w:hAnsi="Times New Roman"/>
                <w:sz w:val="20"/>
                <w:szCs w:val="20"/>
                <w:lang w:eastAsia="en-GB"/>
              </w:rPr>
              <w:t>personnel</w:t>
            </w:r>
          </w:p>
          <w:p w14:paraId="37986121" w14:textId="7220B7AB" w:rsidR="003A183D" w:rsidRPr="00D43BBA" w:rsidRDefault="003A183D" w:rsidP="006D079A">
            <w:pPr>
              <w:spacing w:before="0" w:line="240" w:lineRule="auto"/>
              <w:jc w:val="left"/>
              <w:rPr>
                <w:rFonts w:ascii="Times New Roman" w:hAnsi="Times New Roman"/>
                <w:sz w:val="20"/>
                <w:szCs w:val="20"/>
                <w:lang w:eastAsia="en-GB"/>
              </w:rPr>
            </w:pPr>
          </w:p>
        </w:tc>
        <w:tc>
          <w:tcPr>
            <w:tcW w:w="567" w:type="dxa"/>
            <w:tcBorders>
              <w:top w:val="single" w:sz="6" w:space="0" w:color="auto"/>
              <w:bottom w:val="single" w:sz="6" w:space="0" w:color="auto"/>
            </w:tcBorders>
            <w:vAlign w:val="center"/>
          </w:tcPr>
          <w:p w14:paraId="6BD3127E" w14:textId="73FC5DE6"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1B794E02" w14:textId="4B6D2965"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3</w:t>
            </w:r>
          </w:p>
        </w:tc>
        <w:tc>
          <w:tcPr>
            <w:tcW w:w="567" w:type="dxa"/>
            <w:tcBorders>
              <w:top w:val="single" w:sz="6" w:space="0" w:color="auto"/>
              <w:bottom w:val="single" w:sz="6" w:space="0" w:color="auto"/>
            </w:tcBorders>
            <w:shd w:val="clear" w:color="auto" w:fill="FFFF00"/>
            <w:vAlign w:val="center"/>
          </w:tcPr>
          <w:p w14:paraId="17B25B4D" w14:textId="055CF12C"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6</w:t>
            </w:r>
          </w:p>
        </w:tc>
        <w:tc>
          <w:tcPr>
            <w:tcW w:w="2268" w:type="dxa"/>
            <w:tcBorders>
              <w:top w:val="single" w:sz="6" w:space="0" w:color="auto"/>
              <w:bottom w:val="single" w:sz="6" w:space="0" w:color="auto"/>
            </w:tcBorders>
          </w:tcPr>
          <w:p w14:paraId="306551C5" w14:textId="06F43D89" w:rsidR="006D079A" w:rsidRPr="00D43BBA" w:rsidRDefault="00420CA0"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Adhering to predetermined instructions of use of the chemical cleaning products to reduce misuse</w:t>
            </w:r>
            <w:r w:rsidR="00663DC7">
              <w:rPr>
                <w:rFonts w:ascii="Times New Roman" w:hAnsi="Times New Roman"/>
                <w:sz w:val="20"/>
                <w:szCs w:val="20"/>
                <w:lang w:eastAsia="en-GB"/>
              </w:rPr>
              <w:t xml:space="preserve">. </w:t>
            </w:r>
            <w:r w:rsidR="00663DC7">
              <w:t xml:space="preserve"> </w:t>
            </w:r>
            <w:r w:rsidR="00663DC7" w:rsidRPr="00663DC7">
              <w:rPr>
                <w:rFonts w:ascii="Times New Roman" w:hAnsi="Times New Roman"/>
                <w:sz w:val="20"/>
                <w:szCs w:val="20"/>
                <w:lang w:eastAsia="en-GB"/>
              </w:rPr>
              <w:t>Reduction of exposure includes proper use of PPE of a breathing mask with high quality filtration system, protective clothing and gloves to reduce skin exposure and absorption.</w:t>
            </w:r>
          </w:p>
        </w:tc>
        <w:tc>
          <w:tcPr>
            <w:tcW w:w="567" w:type="dxa"/>
            <w:tcBorders>
              <w:top w:val="single" w:sz="6" w:space="0" w:color="auto"/>
              <w:bottom w:val="single" w:sz="6" w:space="0" w:color="auto"/>
            </w:tcBorders>
            <w:vAlign w:val="center"/>
          </w:tcPr>
          <w:p w14:paraId="39FEC045" w14:textId="5C7209F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7D22D867" w14:textId="1DF5B98D"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66FF33"/>
            <w:vAlign w:val="center"/>
          </w:tcPr>
          <w:p w14:paraId="3CD4D03E" w14:textId="4B16DC8C"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r>
      <w:tr w:rsidR="006D079A" w:rsidRPr="006D079A" w14:paraId="6C430AE7" w14:textId="77777777" w:rsidTr="000B5F83">
        <w:trPr>
          <w:trHeight w:val="1134"/>
        </w:trPr>
        <w:tc>
          <w:tcPr>
            <w:tcW w:w="1686" w:type="dxa"/>
            <w:tcBorders>
              <w:top w:val="single" w:sz="6" w:space="0" w:color="auto"/>
              <w:bottom w:val="single" w:sz="6" w:space="0" w:color="auto"/>
            </w:tcBorders>
          </w:tcPr>
          <w:p w14:paraId="4CD19DB2"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209BA456" w14:textId="77777777" w:rsidR="006D079A" w:rsidRPr="00D43BBA" w:rsidRDefault="006D079A" w:rsidP="006D079A">
            <w:pPr>
              <w:spacing w:before="0" w:line="240" w:lineRule="auto"/>
              <w:ind w:left="360"/>
              <w:jc w:val="left"/>
              <w:rPr>
                <w:rFonts w:ascii="Times New Roman" w:hAnsi="Times New Roman"/>
                <w:sz w:val="20"/>
                <w:szCs w:val="20"/>
                <w:lang w:eastAsia="en-GB"/>
              </w:rPr>
            </w:pPr>
            <w:r w:rsidRPr="00D43BBA">
              <w:rPr>
                <w:rFonts w:ascii="Times New Roman" w:hAnsi="Times New Roman"/>
                <w:sz w:val="20"/>
                <w:szCs w:val="20"/>
                <w:lang w:eastAsia="en-GB"/>
              </w:rPr>
              <w:t>People within surrounding area</w:t>
            </w:r>
          </w:p>
        </w:tc>
        <w:tc>
          <w:tcPr>
            <w:tcW w:w="1985" w:type="dxa"/>
            <w:tcBorders>
              <w:top w:val="single" w:sz="6" w:space="0" w:color="auto"/>
              <w:bottom w:val="single" w:sz="6" w:space="0" w:color="auto"/>
            </w:tcBorders>
          </w:tcPr>
          <w:p w14:paraId="0DFC3596" w14:textId="71448002" w:rsidR="006D079A" w:rsidRPr="00D43BBA" w:rsidRDefault="00654786"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Environmental</w:t>
            </w:r>
            <w:r w:rsidR="006D079A" w:rsidRPr="00D43BBA">
              <w:rPr>
                <w:rFonts w:ascii="Times New Roman" w:hAnsi="Times New Roman"/>
                <w:sz w:val="20"/>
                <w:szCs w:val="20"/>
                <w:lang w:eastAsia="en-GB"/>
              </w:rPr>
              <w:t xml:space="preserve"> pollution – ends up in water supply leading to toxic effects</w:t>
            </w:r>
          </w:p>
        </w:tc>
        <w:tc>
          <w:tcPr>
            <w:tcW w:w="567" w:type="dxa"/>
            <w:tcBorders>
              <w:top w:val="single" w:sz="6" w:space="0" w:color="auto"/>
              <w:bottom w:val="single" w:sz="6" w:space="0" w:color="auto"/>
            </w:tcBorders>
            <w:vAlign w:val="center"/>
          </w:tcPr>
          <w:p w14:paraId="1FA073C4"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6985E97D" w14:textId="72F7C3B7"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4</w:t>
            </w:r>
          </w:p>
        </w:tc>
        <w:tc>
          <w:tcPr>
            <w:tcW w:w="567" w:type="dxa"/>
            <w:tcBorders>
              <w:top w:val="single" w:sz="6" w:space="0" w:color="auto"/>
              <w:bottom w:val="single" w:sz="6" w:space="0" w:color="auto"/>
            </w:tcBorders>
            <w:shd w:val="clear" w:color="auto" w:fill="FF0000"/>
            <w:vAlign w:val="center"/>
          </w:tcPr>
          <w:p w14:paraId="515B3E98" w14:textId="6965B32E"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12</w:t>
            </w:r>
          </w:p>
        </w:tc>
        <w:tc>
          <w:tcPr>
            <w:tcW w:w="2268" w:type="dxa"/>
            <w:tcBorders>
              <w:top w:val="single" w:sz="6" w:space="0" w:color="auto"/>
              <w:bottom w:val="single" w:sz="6" w:space="0" w:color="auto"/>
            </w:tcBorders>
          </w:tcPr>
          <w:p w14:paraId="347D336C" w14:textId="2B41E7A1" w:rsidR="006D079A" w:rsidRPr="00D43BBA" w:rsidRDefault="00663DC7"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Following governmental guidance to ensure reduction of harsh chemicals such as Lead Azide. Design of munitions and delivery system should be </w:t>
            </w:r>
            <w:r>
              <w:rPr>
                <w:rFonts w:ascii="Times New Roman" w:hAnsi="Times New Roman"/>
                <w:sz w:val="20"/>
                <w:szCs w:val="20"/>
                <w:lang w:eastAsia="en-GB"/>
              </w:rPr>
              <w:lastRenderedPageBreak/>
              <w:t xml:space="preserve">considerate and attempt to mitigate external exposure. </w:t>
            </w:r>
          </w:p>
        </w:tc>
        <w:tc>
          <w:tcPr>
            <w:tcW w:w="567" w:type="dxa"/>
            <w:tcBorders>
              <w:top w:val="single" w:sz="6" w:space="0" w:color="auto"/>
              <w:bottom w:val="single" w:sz="6" w:space="0" w:color="auto"/>
            </w:tcBorders>
            <w:vAlign w:val="center"/>
          </w:tcPr>
          <w:p w14:paraId="422A86C8" w14:textId="0CD7AE85"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lastRenderedPageBreak/>
              <w:t>3</w:t>
            </w:r>
          </w:p>
        </w:tc>
        <w:tc>
          <w:tcPr>
            <w:tcW w:w="567" w:type="dxa"/>
            <w:tcBorders>
              <w:top w:val="single" w:sz="6" w:space="0" w:color="auto"/>
              <w:bottom w:val="single" w:sz="6" w:space="0" w:color="auto"/>
            </w:tcBorders>
            <w:vAlign w:val="center"/>
          </w:tcPr>
          <w:p w14:paraId="74818A9C" w14:textId="494EE9A0"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66FF33"/>
            <w:vAlign w:val="center"/>
          </w:tcPr>
          <w:p w14:paraId="28AF685A" w14:textId="7568A88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3</w:t>
            </w:r>
          </w:p>
        </w:tc>
      </w:tr>
      <w:tr w:rsidR="006D079A" w:rsidRPr="006D079A" w14:paraId="4B2E38B0" w14:textId="77777777" w:rsidTr="000B5F83">
        <w:trPr>
          <w:trHeight w:val="1134"/>
        </w:trPr>
        <w:tc>
          <w:tcPr>
            <w:tcW w:w="1686" w:type="dxa"/>
            <w:tcBorders>
              <w:top w:val="single" w:sz="6" w:space="0" w:color="auto"/>
              <w:bottom w:val="single" w:sz="6" w:space="0" w:color="auto"/>
            </w:tcBorders>
          </w:tcPr>
          <w:p w14:paraId="63062153"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7D394C15" w14:textId="697039F6" w:rsidR="006D079A" w:rsidRPr="00D43BBA" w:rsidRDefault="006D079A" w:rsidP="006D079A">
            <w:pPr>
              <w:spacing w:before="0" w:line="240" w:lineRule="auto"/>
              <w:ind w:left="360"/>
              <w:jc w:val="left"/>
              <w:rPr>
                <w:rFonts w:ascii="Times New Roman" w:hAnsi="Times New Roman"/>
                <w:sz w:val="20"/>
                <w:szCs w:val="20"/>
                <w:lang w:eastAsia="en-GB"/>
              </w:rPr>
            </w:pPr>
            <w:r w:rsidRPr="00D43BBA">
              <w:rPr>
                <w:rFonts w:ascii="Times New Roman" w:hAnsi="Times New Roman"/>
                <w:sz w:val="20"/>
                <w:szCs w:val="20"/>
                <w:lang w:eastAsia="en-GB"/>
              </w:rPr>
              <w:t xml:space="preserve">People within </w:t>
            </w:r>
            <w:r w:rsidR="00654786" w:rsidRPr="00D43BBA">
              <w:rPr>
                <w:rFonts w:ascii="Times New Roman" w:hAnsi="Times New Roman"/>
                <w:sz w:val="20"/>
                <w:szCs w:val="20"/>
                <w:lang w:eastAsia="en-GB"/>
              </w:rPr>
              <w:t>immediate</w:t>
            </w:r>
            <w:r w:rsidRPr="00D43BBA">
              <w:rPr>
                <w:rFonts w:ascii="Times New Roman" w:hAnsi="Times New Roman"/>
                <w:sz w:val="20"/>
                <w:szCs w:val="20"/>
                <w:lang w:eastAsia="en-GB"/>
              </w:rPr>
              <w:t xml:space="preserve"> vicinity</w:t>
            </w:r>
          </w:p>
        </w:tc>
        <w:tc>
          <w:tcPr>
            <w:tcW w:w="1985" w:type="dxa"/>
            <w:tcBorders>
              <w:top w:val="single" w:sz="6" w:space="0" w:color="auto"/>
              <w:bottom w:val="single" w:sz="6" w:space="0" w:color="auto"/>
            </w:tcBorders>
          </w:tcPr>
          <w:p w14:paraId="1A28C72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Reignition of propellant gases after exiting barrel causing burns</w:t>
            </w:r>
          </w:p>
        </w:tc>
        <w:tc>
          <w:tcPr>
            <w:tcW w:w="567" w:type="dxa"/>
            <w:tcBorders>
              <w:top w:val="single" w:sz="6" w:space="0" w:color="auto"/>
              <w:bottom w:val="single" w:sz="6" w:space="0" w:color="auto"/>
            </w:tcBorders>
            <w:vAlign w:val="center"/>
          </w:tcPr>
          <w:p w14:paraId="296CF10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53671C17"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35AD7EF0"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6</w:t>
            </w:r>
          </w:p>
        </w:tc>
        <w:tc>
          <w:tcPr>
            <w:tcW w:w="2268" w:type="dxa"/>
            <w:tcBorders>
              <w:top w:val="single" w:sz="6" w:space="0" w:color="auto"/>
              <w:bottom w:val="single" w:sz="6" w:space="0" w:color="auto"/>
            </w:tcBorders>
          </w:tcPr>
          <w:p w14:paraId="5BEB9C32" w14:textId="0FE2F241" w:rsidR="006D079A" w:rsidRPr="00D43BBA" w:rsidRDefault="001F5E68" w:rsidP="006D079A">
            <w:pPr>
              <w:spacing w:before="0" w:line="240" w:lineRule="auto"/>
              <w:jc w:val="left"/>
              <w:rPr>
                <w:rFonts w:ascii="Times New Roman" w:hAnsi="Times New Roman"/>
                <w:sz w:val="20"/>
                <w:szCs w:val="20"/>
                <w:lang w:eastAsia="en-GB"/>
              </w:rPr>
            </w:pPr>
            <w:r w:rsidRPr="001F5E68">
              <w:rPr>
                <w:rFonts w:ascii="Times New Roman" w:hAnsi="Times New Roman"/>
                <w:sz w:val="20"/>
                <w:szCs w:val="20"/>
                <w:lang w:eastAsia="en-GB"/>
              </w:rPr>
              <w:t>Reduction of exposure includes proper use of PPE of a breathing mask with high quality filtration system, protective clothing and gloves to reduce skin exposure</w:t>
            </w:r>
            <w:r>
              <w:rPr>
                <w:rFonts w:ascii="Times New Roman" w:hAnsi="Times New Roman"/>
                <w:sz w:val="20"/>
                <w:szCs w:val="20"/>
                <w:lang w:eastAsia="en-GB"/>
              </w:rPr>
              <w:t xml:space="preserve"> to burns</w:t>
            </w:r>
            <w:r w:rsidRPr="001F5E68">
              <w:rPr>
                <w:rFonts w:ascii="Times New Roman" w:hAnsi="Times New Roman"/>
                <w:sz w:val="20"/>
                <w:szCs w:val="20"/>
                <w:lang w:eastAsia="en-GB"/>
              </w:rPr>
              <w:t xml:space="preserve"> and absorption.</w:t>
            </w:r>
          </w:p>
        </w:tc>
        <w:tc>
          <w:tcPr>
            <w:tcW w:w="567" w:type="dxa"/>
            <w:tcBorders>
              <w:top w:val="single" w:sz="6" w:space="0" w:color="auto"/>
              <w:bottom w:val="single" w:sz="6" w:space="0" w:color="auto"/>
            </w:tcBorders>
            <w:vAlign w:val="center"/>
          </w:tcPr>
          <w:p w14:paraId="78D4104A" w14:textId="736579A3"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7A81D6D3" w14:textId="16F84C3E"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66FF33"/>
            <w:vAlign w:val="center"/>
          </w:tcPr>
          <w:p w14:paraId="621B44E0" w14:textId="49EBC81C"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0626549E" w14:textId="77777777" w:rsidTr="00B64DC5">
        <w:trPr>
          <w:trHeight w:val="1134"/>
        </w:trPr>
        <w:tc>
          <w:tcPr>
            <w:tcW w:w="3529" w:type="dxa"/>
            <w:gridSpan w:val="2"/>
            <w:tcBorders>
              <w:top w:val="single" w:sz="6" w:space="0" w:color="auto"/>
              <w:bottom w:val="single" w:sz="6" w:space="0" w:color="auto"/>
            </w:tcBorders>
          </w:tcPr>
          <w:p w14:paraId="4741A6AE"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Vibration/Noise</w:t>
            </w:r>
          </w:p>
        </w:tc>
        <w:tc>
          <w:tcPr>
            <w:tcW w:w="7655" w:type="dxa"/>
            <w:gridSpan w:val="8"/>
            <w:tcBorders>
              <w:top w:val="single" w:sz="6" w:space="0" w:color="auto"/>
              <w:bottom w:val="single" w:sz="6" w:space="0" w:color="auto"/>
            </w:tcBorders>
            <w:shd w:val="clear" w:color="auto" w:fill="EEECE1" w:themeFill="background2"/>
          </w:tcPr>
          <w:p w14:paraId="3CA44CE2"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0A9E92C8" w14:textId="77777777" w:rsidTr="00FB5D40">
        <w:trPr>
          <w:trHeight w:val="1134"/>
        </w:trPr>
        <w:tc>
          <w:tcPr>
            <w:tcW w:w="1686" w:type="dxa"/>
            <w:vMerge w:val="restart"/>
            <w:tcBorders>
              <w:top w:val="single" w:sz="6" w:space="0" w:color="auto"/>
            </w:tcBorders>
          </w:tcPr>
          <w:p w14:paraId="0788F510"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Vibration</w:t>
            </w:r>
          </w:p>
        </w:tc>
        <w:tc>
          <w:tcPr>
            <w:tcW w:w="1843" w:type="dxa"/>
            <w:tcBorders>
              <w:top w:val="single" w:sz="6" w:space="0" w:color="auto"/>
              <w:bottom w:val="single" w:sz="6" w:space="0" w:color="auto"/>
            </w:tcBorders>
          </w:tcPr>
          <w:p w14:paraId="2C2E1B1D"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7FD2F921"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Heavy Vibration causing physical deformation to CTA Shell resulting in no obturation leading to hang fire.  Next shell is fired into hang fire causing barrel detonation. </w:t>
            </w:r>
          </w:p>
        </w:tc>
        <w:tc>
          <w:tcPr>
            <w:tcW w:w="567" w:type="dxa"/>
            <w:tcBorders>
              <w:top w:val="single" w:sz="6" w:space="0" w:color="auto"/>
              <w:bottom w:val="single" w:sz="6" w:space="0" w:color="auto"/>
            </w:tcBorders>
            <w:vAlign w:val="center"/>
          </w:tcPr>
          <w:p w14:paraId="5BAC5FC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7EE30146"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0000"/>
            <w:vAlign w:val="center"/>
          </w:tcPr>
          <w:p w14:paraId="65B4CC2B"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15</w:t>
            </w:r>
          </w:p>
        </w:tc>
        <w:tc>
          <w:tcPr>
            <w:tcW w:w="2268" w:type="dxa"/>
            <w:tcBorders>
              <w:top w:val="single" w:sz="6" w:space="0" w:color="auto"/>
              <w:bottom w:val="single" w:sz="6" w:space="0" w:color="auto"/>
            </w:tcBorders>
          </w:tcPr>
          <w:p w14:paraId="640983A2" w14:textId="5C28E3C1" w:rsidR="006D079A" w:rsidRPr="00D43BBA" w:rsidRDefault="001F5E68"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Packaging design should be both shock and vibration absorbent to minimise damage to product. Safety conditions such as electronic monitoring, visual monitoring and external viewings to identify deformation to CTA before secondary firing to reduce probability of barrel detonation. </w:t>
            </w:r>
          </w:p>
        </w:tc>
        <w:tc>
          <w:tcPr>
            <w:tcW w:w="567" w:type="dxa"/>
            <w:tcBorders>
              <w:top w:val="single" w:sz="6" w:space="0" w:color="auto"/>
              <w:bottom w:val="single" w:sz="6" w:space="0" w:color="auto"/>
            </w:tcBorders>
            <w:vAlign w:val="center"/>
          </w:tcPr>
          <w:p w14:paraId="5C0BBAE9" w14:textId="4E919AE6"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490E6D69" w14:textId="42F0421F"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49883D25" w14:textId="3A2EDC84" w:rsidR="006D079A" w:rsidRPr="00D43BBA" w:rsidRDefault="00711B09" w:rsidP="006D079A">
            <w:pPr>
              <w:spacing w:before="0" w:line="240" w:lineRule="auto"/>
              <w:jc w:val="center"/>
              <w:rPr>
                <w:rFonts w:ascii="Times New Roman" w:hAnsi="Times New Roman"/>
                <w:b/>
                <w:lang w:eastAsia="en-GB"/>
              </w:rPr>
            </w:pPr>
            <w:r>
              <w:rPr>
                <w:rFonts w:ascii="Times New Roman" w:hAnsi="Times New Roman"/>
                <w:b/>
                <w:lang w:eastAsia="en-GB"/>
              </w:rPr>
              <w:t xml:space="preserve"> l</w:t>
            </w:r>
          </w:p>
        </w:tc>
      </w:tr>
      <w:tr w:rsidR="006D079A" w:rsidRPr="006D079A" w14:paraId="457EDA91" w14:textId="77777777" w:rsidTr="00FB5D40">
        <w:trPr>
          <w:trHeight w:val="1134"/>
        </w:trPr>
        <w:tc>
          <w:tcPr>
            <w:tcW w:w="1686" w:type="dxa"/>
            <w:vMerge/>
          </w:tcPr>
          <w:p w14:paraId="0071AA13" w14:textId="77777777" w:rsidR="006D079A" w:rsidRPr="00D43BBA" w:rsidRDefault="006D079A" w:rsidP="006D079A">
            <w:pPr>
              <w:numPr>
                <w:ilvl w:val="0"/>
                <w:numId w:val="35"/>
              </w:numPr>
              <w:spacing w:before="0" w:line="240" w:lineRule="auto"/>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23963CD9"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55A90F2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Excess vibration leading to damaged electrical wires that can result in shock/electrocution.</w:t>
            </w:r>
          </w:p>
        </w:tc>
        <w:tc>
          <w:tcPr>
            <w:tcW w:w="567" w:type="dxa"/>
            <w:tcBorders>
              <w:top w:val="single" w:sz="6" w:space="0" w:color="auto"/>
              <w:bottom w:val="single" w:sz="6" w:space="0" w:color="auto"/>
            </w:tcBorders>
            <w:vAlign w:val="center"/>
          </w:tcPr>
          <w:p w14:paraId="51B7F51F"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1943783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FF00"/>
            <w:vAlign w:val="center"/>
          </w:tcPr>
          <w:p w14:paraId="4C6864B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9</w:t>
            </w:r>
          </w:p>
        </w:tc>
        <w:tc>
          <w:tcPr>
            <w:tcW w:w="2268" w:type="dxa"/>
            <w:tcBorders>
              <w:top w:val="single" w:sz="6" w:space="0" w:color="auto"/>
              <w:bottom w:val="single" w:sz="6" w:space="0" w:color="auto"/>
            </w:tcBorders>
          </w:tcPr>
          <w:p w14:paraId="5BEBE4C4" w14:textId="6402A0AA" w:rsidR="006D079A" w:rsidRPr="00D43BBA" w:rsidRDefault="00596477"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Maintenance PAT testing to provide additional information of the status of electronics, if damage or discrepancy occurs Safe disposal and retirement of equipment should occur according to the specific equipment SOP. Addition grounding PPE such as Grounding Shoes and rubber gloves can reduce and redirect electronic flow when handling.  </w:t>
            </w:r>
          </w:p>
        </w:tc>
        <w:tc>
          <w:tcPr>
            <w:tcW w:w="567" w:type="dxa"/>
            <w:tcBorders>
              <w:top w:val="single" w:sz="6" w:space="0" w:color="auto"/>
              <w:bottom w:val="single" w:sz="6" w:space="0" w:color="auto"/>
            </w:tcBorders>
            <w:vAlign w:val="center"/>
          </w:tcPr>
          <w:p w14:paraId="03B426D2" w14:textId="16256D9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3</w:t>
            </w:r>
          </w:p>
        </w:tc>
        <w:tc>
          <w:tcPr>
            <w:tcW w:w="567" w:type="dxa"/>
            <w:tcBorders>
              <w:top w:val="single" w:sz="6" w:space="0" w:color="auto"/>
              <w:bottom w:val="single" w:sz="6" w:space="0" w:color="auto"/>
            </w:tcBorders>
            <w:vAlign w:val="center"/>
          </w:tcPr>
          <w:p w14:paraId="3142042E" w14:textId="180AA9E2"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4CA733E6" w14:textId="742D0CA8"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6</w:t>
            </w:r>
          </w:p>
        </w:tc>
      </w:tr>
      <w:tr w:rsidR="006D079A" w:rsidRPr="006D079A" w14:paraId="0BBC6C13" w14:textId="77777777" w:rsidTr="00FB5D40">
        <w:trPr>
          <w:trHeight w:val="1134"/>
        </w:trPr>
        <w:tc>
          <w:tcPr>
            <w:tcW w:w="1686" w:type="dxa"/>
            <w:vMerge/>
            <w:tcBorders>
              <w:bottom w:val="single" w:sz="6" w:space="0" w:color="auto"/>
            </w:tcBorders>
          </w:tcPr>
          <w:p w14:paraId="2E93C89D" w14:textId="77777777" w:rsidR="006D079A" w:rsidRPr="00D43BBA" w:rsidRDefault="006D079A" w:rsidP="006D079A">
            <w:pPr>
              <w:numPr>
                <w:ilvl w:val="0"/>
                <w:numId w:val="35"/>
              </w:numPr>
              <w:spacing w:before="0" w:line="240" w:lineRule="auto"/>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76840400"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419A7374"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Vibration causing damage to exhaust seals leading to monoxide build up in cabin.</w:t>
            </w:r>
          </w:p>
        </w:tc>
        <w:tc>
          <w:tcPr>
            <w:tcW w:w="567" w:type="dxa"/>
            <w:tcBorders>
              <w:top w:val="single" w:sz="6" w:space="0" w:color="auto"/>
              <w:bottom w:val="single" w:sz="6" w:space="0" w:color="auto"/>
            </w:tcBorders>
            <w:vAlign w:val="center"/>
          </w:tcPr>
          <w:p w14:paraId="5D4C01E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vAlign w:val="center"/>
          </w:tcPr>
          <w:p w14:paraId="47F2EAAA"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shd w:val="clear" w:color="auto" w:fill="FFFF00"/>
            <w:vAlign w:val="center"/>
          </w:tcPr>
          <w:p w14:paraId="4D21687A" w14:textId="6D61266D"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8</w:t>
            </w:r>
          </w:p>
        </w:tc>
        <w:tc>
          <w:tcPr>
            <w:tcW w:w="2268" w:type="dxa"/>
            <w:tcBorders>
              <w:top w:val="single" w:sz="6" w:space="0" w:color="auto"/>
              <w:bottom w:val="single" w:sz="6" w:space="0" w:color="auto"/>
            </w:tcBorders>
          </w:tcPr>
          <w:p w14:paraId="15B1FFAB" w14:textId="2B42DDE7" w:rsidR="006D079A" w:rsidRPr="00D43BBA" w:rsidRDefault="00D124F1"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Regular maintenance and inspection of O-ring quality and seal degradation. Additional components to be carried and operators trained to perform routine swap out procedures. </w:t>
            </w:r>
          </w:p>
        </w:tc>
        <w:tc>
          <w:tcPr>
            <w:tcW w:w="567" w:type="dxa"/>
            <w:tcBorders>
              <w:top w:val="single" w:sz="6" w:space="0" w:color="auto"/>
              <w:bottom w:val="single" w:sz="6" w:space="0" w:color="auto"/>
            </w:tcBorders>
            <w:vAlign w:val="center"/>
          </w:tcPr>
          <w:p w14:paraId="68A9F373" w14:textId="6C241419"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5AED62AF" w14:textId="3F23EA7C"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15E933"/>
            <w:vAlign w:val="center"/>
          </w:tcPr>
          <w:p w14:paraId="5FEFC098" w14:textId="0C65CFCA"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55A1FD42" w14:textId="77777777" w:rsidTr="00FB5D40">
        <w:trPr>
          <w:trHeight w:val="1134"/>
        </w:trPr>
        <w:tc>
          <w:tcPr>
            <w:tcW w:w="1686" w:type="dxa"/>
            <w:tcBorders>
              <w:top w:val="single" w:sz="6" w:space="0" w:color="auto"/>
              <w:bottom w:val="single" w:sz="6" w:space="0" w:color="auto"/>
            </w:tcBorders>
          </w:tcPr>
          <w:p w14:paraId="568ADB1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Noise</w:t>
            </w:r>
          </w:p>
        </w:tc>
        <w:tc>
          <w:tcPr>
            <w:tcW w:w="1843" w:type="dxa"/>
            <w:tcBorders>
              <w:top w:val="single" w:sz="6" w:space="0" w:color="auto"/>
              <w:bottom w:val="single" w:sz="6" w:space="0" w:color="auto"/>
            </w:tcBorders>
          </w:tcPr>
          <w:p w14:paraId="2804A295"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54DDE6B3"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Noise – hearing loss</w:t>
            </w:r>
          </w:p>
          <w:p w14:paraId="5FE8402F"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Extreme noise from both normal and abnormal operation leading to hearing loss</w:t>
            </w:r>
          </w:p>
        </w:tc>
        <w:tc>
          <w:tcPr>
            <w:tcW w:w="567" w:type="dxa"/>
            <w:tcBorders>
              <w:top w:val="single" w:sz="6" w:space="0" w:color="auto"/>
              <w:bottom w:val="single" w:sz="6" w:space="0" w:color="auto"/>
            </w:tcBorders>
            <w:vAlign w:val="center"/>
          </w:tcPr>
          <w:p w14:paraId="6BF33F23"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vAlign w:val="center"/>
          </w:tcPr>
          <w:p w14:paraId="6DCA096A"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0000"/>
            <w:vAlign w:val="center"/>
          </w:tcPr>
          <w:p w14:paraId="7AD81054" w14:textId="6C82198D"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12</w:t>
            </w:r>
          </w:p>
        </w:tc>
        <w:tc>
          <w:tcPr>
            <w:tcW w:w="2268" w:type="dxa"/>
            <w:tcBorders>
              <w:top w:val="single" w:sz="6" w:space="0" w:color="auto"/>
              <w:bottom w:val="single" w:sz="6" w:space="0" w:color="auto"/>
            </w:tcBorders>
          </w:tcPr>
          <w:p w14:paraId="4DF76B37" w14:textId="748966B9" w:rsidR="006D079A" w:rsidRPr="00D43BBA" w:rsidRDefault="00D124F1" w:rsidP="006D079A">
            <w:pPr>
              <w:spacing w:before="0" w:line="240" w:lineRule="auto"/>
              <w:jc w:val="left"/>
              <w:rPr>
                <w:rFonts w:ascii="Times New Roman" w:hAnsi="Times New Roman"/>
                <w:sz w:val="20"/>
                <w:szCs w:val="20"/>
                <w:lang w:eastAsia="en-GB"/>
              </w:rPr>
            </w:pPr>
            <w:r w:rsidRPr="00D124F1">
              <w:rPr>
                <w:rFonts w:ascii="Times New Roman" w:hAnsi="Times New Roman"/>
                <w:sz w:val="20"/>
                <w:szCs w:val="20"/>
                <w:lang w:eastAsia="en-GB"/>
              </w:rPr>
              <w:t>Reduction of exposure</w:t>
            </w:r>
            <w:r>
              <w:rPr>
                <w:rFonts w:ascii="Times New Roman" w:hAnsi="Times New Roman"/>
                <w:sz w:val="20"/>
                <w:szCs w:val="20"/>
                <w:lang w:eastAsia="en-GB"/>
              </w:rPr>
              <w:t xml:space="preserve"> to loud noises</w:t>
            </w:r>
            <w:r w:rsidRPr="00D124F1">
              <w:rPr>
                <w:rFonts w:ascii="Times New Roman" w:hAnsi="Times New Roman"/>
                <w:sz w:val="20"/>
                <w:szCs w:val="20"/>
                <w:lang w:eastAsia="en-GB"/>
              </w:rPr>
              <w:t xml:space="preserve"> includes proper use of PPE</w:t>
            </w:r>
            <w:r>
              <w:rPr>
                <w:rFonts w:ascii="Times New Roman" w:hAnsi="Times New Roman"/>
                <w:sz w:val="20"/>
                <w:szCs w:val="20"/>
                <w:lang w:eastAsia="en-GB"/>
              </w:rPr>
              <w:t xml:space="preserve"> such as </w:t>
            </w:r>
            <w:r w:rsidR="00A53C68">
              <w:rPr>
                <w:rFonts w:ascii="Times New Roman" w:hAnsi="Times New Roman"/>
                <w:sz w:val="20"/>
                <w:szCs w:val="20"/>
                <w:lang w:eastAsia="en-GB"/>
              </w:rPr>
              <w:t xml:space="preserve">regulated </w:t>
            </w:r>
            <w:r>
              <w:rPr>
                <w:rFonts w:ascii="Times New Roman" w:hAnsi="Times New Roman"/>
                <w:sz w:val="20"/>
                <w:szCs w:val="20"/>
                <w:lang w:eastAsia="en-GB"/>
              </w:rPr>
              <w:t>ear defenders and single use ear plugs</w:t>
            </w:r>
            <w:r w:rsidR="00A53C68">
              <w:rPr>
                <w:rFonts w:ascii="Times New Roman" w:hAnsi="Times New Roman"/>
                <w:sz w:val="20"/>
                <w:szCs w:val="20"/>
                <w:lang w:eastAsia="en-GB"/>
              </w:rPr>
              <w:t xml:space="preserve"> as detailed in JSB 482. </w:t>
            </w:r>
          </w:p>
        </w:tc>
        <w:tc>
          <w:tcPr>
            <w:tcW w:w="567" w:type="dxa"/>
            <w:tcBorders>
              <w:top w:val="single" w:sz="6" w:space="0" w:color="auto"/>
              <w:bottom w:val="single" w:sz="6" w:space="0" w:color="auto"/>
            </w:tcBorders>
            <w:vAlign w:val="center"/>
          </w:tcPr>
          <w:p w14:paraId="27D8EAD5" w14:textId="66D3EEEA"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47B5BCA7" w14:textId="6B816ACF"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22133341" w14:textId="5EEB854D"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bl>
    <w:p w14:paraId="0A1BE594" w14:textId="77777777" w:rsidR="006D079A" w:rsidRDefault="006D079A" w:rsidP="006D079A">
      <w:pPr>
        <w:rPr>
          <w:lang w:val="en-US"/>
        </w:rPr>
      </w:pPr>
    </w:p>
    <w:tbl>
      <w:tblPr>
        <w:tblW w:w="10349" w:type="dxa"/>
        <w:tblInd w:w="-861" w:type="dxa"/>
        <w:tblLook w:val="04A0" w:firstRow="1" w:lastRow="0" w:firstColumn="1" w:lastColumn="0" w:noHBand="0" w:noVBand="1"/>
      </w:tblPr>
      <w:tblGrid>
        <w:gridCol w:w="54"/>
        <w:gridCol w:w="541"/>
        <w:gridCol w:w="87"/>
        <w:gridCol w:w="2448"/>
        <w:gridCol w:w="528"/>
        <w:gridCol w:w="1170"/>
        <w:gridCol w:w="1003"/>
        <w:gridCol w:w="1083"/>
        <w:gridCol w:w="1336"/>
        <w:gridCol w:w="870"/>
        <w:gridCol w:w="1163"/>
        <w:gridCol w:w="66"/>
      </w:tblGrid>
      <w:tr w:rsidR="00405FBA" w:rsidRPr="004629F9" w14:paraId="0B51EEEA" w14:textId="77777777" w:rsidTr="0021482A">
        <w:trPr>
          <w:gridBefore w:val="1"/>
          <w:gridAfter w:val="1"/>
          <w:wBefore w:w="54" w:type="dxa"/>
          <w:wAfter w:w="66" w:type="dxa"/>
          <w:trHeight w:val="320"/>
        </w:trPr>
        <w:tc>
          <w:tcPr>
            <w:tcW w:w="10229" w:type="dxa"/>
            <w:gridSpan w:val="10"/>
            <w:tcBorders>
              <w:top w:val="single" w:sz="8" w:space="0" w:color="auto"/>
              <w:left w:val="single" w:sz="8" w:space="0" w:color="auto"/>
              <w:bottom w:val="single" w:sz="8" w:space="0" w:color="auto"/>
              <w:right w:val="single" w:sz="8" w:space="0" w:color="000000"/>
            </w:tcBorders>
            <w:vAlign w:val="center"/>
            <w:hideMark/>
          </w:tcPr>
          <w:p w14:paraId="4CF5C34B" w14:textId="43FE06F8"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Risk Assessment Matrix </w:t>
            </w:r>
          </w:p>
        </w:tc>
      </w:tr>
      <w:tr w:rsidR="00405FBA" w:rsidRPr="004629F9" w14:paraId="035F46F3" w14:textId="77777777" w:rsidTr="0021482A">
        <w:trPr>
          <w:gridBefore w:val="1"/>
          <w:gridAfter w:val="1"/>
          <w:wBefore w:w="54" w:type="dxa"/>
          <w:wAfter w:w="66" w:type="dxa"/>
          <w:trHeight w:val="320"/>
        </w:trPr>
        <w:tc>
          <w:tcPr>
            <w:tcW w:w="10229" w:type="dxa"/>
            <w:gridSpan w:val="10"/>
            <w:tcBorders>
              <w:top w:val="single" w:sz="8" w:space="0" w:color="auto"/>
              <w:left w:val="single" w:sz="8" w:space="0" w:color="auto"/>
              <w:bottom w:val="single" w:sz="8" w:space="0" w:color="auto"/>
              <w:right w:val="single" w:sz="8" w:space="0" w:color="000000"/>
            </w:tcBorders>
            <w:vAlign w:val="center"/>
            <w:hideMark/>
          </w:tcPr>
          <w:p w14:paraId="6147323D"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Risk Matrix </w:t>
            </w:r>
          </w:p>
        </w:tc>
      </w:tr>
      <w:tr w:rsidR="00405FBA" w:rsidRPr="004629F9" w14:paraId="237D803D" w14:textId="77777777" w:rsidTr="0021482A">
        <w:trPr>
          <w:gridBefore w:val="1"/>
          <w:gridAfter w:val="1"/>
          <w:wBefore w:w="54" w:type="dxa"/>
          <w:wAfter w:w="66" w:type="dxa"/>
          <w:trHeight w:val="490"/>
        </w:trPr>
        <w:tc>
          <w:tcPr>
            <w:tcW w:w="628" w:type="dxa"/>
            <w:gridSpan w:val="2"/>
            <w:vMerge w:val="restart"/>
            <w:tcBorders>
              <w:top w:val="nil"/>
              <w:left w:val="single" w:sz="8" w:space="0" w:color="auto"/>
              <w:bottom w:val="single" w:sz="8" w:space="0" w:color="000000"/>
              <w:right w:val="single" w:sz="8" w:space="0" w:color="auto"/>
            </w:tcBorders>
            <w:textDirection w:val="tbLrV"/>
            <w:vAlign w:val="center"/>
            <w:hideMark/>
          </w:tcPr>
          <w:p w14:paraId="79318442" w14:textId="77777777" w:rsidR="00405FBA" w:rsidRPr="004629F9" w:rsidRDefault="00405FBA" w:rsidP="00405FBA">
            <w:pPr>
              <w:bidi/>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 xml:space="preserve">Severity </w:t>
            </w:r>
          </w:p>
        </w:tc>
        <w:tc>
          <w:tcPr>
            <w:tcW w:w="2976" w:type="dxa"/>
            <w:gridSpan w:val="2"/>
            <w:tcBorders>
              <w:top w:val="nil"/>
              <w:left w:val="nil"/>
              <w:bottom w:val="single" w:sz="8" w:space="0" w:color="auto"/>
              <w:right w:val="single" w:sz="8" w:space="0" w:color="auto"/>
            </w:tcBorders>
            <w:noWrap/>
            <w:vAlign w:val="center"/>
            <w:hideMark/>
          </w:tcPr>
          <w:p w14:paraId="7BABC9B7" w14:textId="77777777" w:rsidR="00405FBA" w:rsidRPr="004629F9" w:rsidRDefault="00405FBA" w:rsidP="00405FBA">
            <w:pPr>
              <w:spacing w:before="0" w:line="240" w:lineRule="auto"/>
              <w:jc w:val="left"/>
              <w:rPr>
                <w:rFonts w:ascii="Times New Roman" w:hAnsi="Times New Roman"/>
                <w:b/>
                <w:bCs/>
                <w:color w:val="000000"/>
                <w:rtl/>
                <w:lang w:eastAsia="en-GB"/>
              </w:rPr>
            </w:pPr>
            <w:r w:rsidRPr="004629F9">
              <w:rPr>
                <w:rFonts w:ascii="Times New Roman" w:hAnsi="Times New Roman"/>
                <w:b/>
                <w:bCs/>
                <w:color w:val="000000"/>
                <w:lang w:eastAsia="en-GB"/>
              </w:rPr>
              <w:t>Multiple fatalities &gt;5</w:t>
            </w:r>
          </w:p>
        </w:tc>
        <w:tc>
          <w:tcPr>
            <w:tcW w:w="1170" w:type="dxa"/>
            <w:tcBorders>
              <w:top w:val="nil"/>
              <w:left w:val="nil"/>
              <w:bottom w:val="single" w:sz="8" w:space="0" w:color="auto"/>
              <w:right w:val="nil"/>
            </w:tcBorders>
            <w:noWrap/>
            <w:vAlign w:val="center"/>
            <w:hideMark/>
          </w:tcPr>
          <w:p w14:paraId="0866677F"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5</w:t>
            </w:r>
          </w:p>
        </w:tc>
        <w:tc>
          <w:tcPr>
            <w:tcW w:w="1003" w:type="dxa"/>
            <w:tcBorders>
              <w:top w:val="nil"/>
              <w:left w:val="single" w:sz="8" w:space="0" w:color="auto"/>
              <w:bottom w:val="single" w:sz="8" w:space="0" w:color="auto"/>
              <w:right w:val="single" w:sz="8" w:space="0" w:color="auto"/>
            </w:tcBorders>
            <w:shd w:val="clear" w:color="000000" w:fill="FFFF00"/>
            <w:noWrap/>
            <w:vAlign w:val="center"/>
            <w:hideMark/>
          </w:tcPr>
          <w:p w14:paraId="5B9D29E8"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5</w:t>
            </w:r>
          </w:p>
        </w:tc>
        <w:tc>
          <w:tcPr>
            <w:tcW w:w="1083" w:type="dxa"/>
            <w:tcBorders>
              <w:top w:val="nil"/>
              <w:left w:val="nil"/>
              <w:bottom w:val="single" w:sz="8" w:space="0" w:color="auto"/>
              <w:right w:val="single" w:sz="8" w:space="0" w:color="auto"/>
            </w:tcBorders>
            <w:shd w:val="clear" w:color="000000" w:fill="FFFF00"/>
            <w:noWrap/>
            <w:vAlign w:val="center"/>
            <w:hideMark/>
          </w:tcPr>
          <w:p w14:paraId="375DA10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10</w:t>
            </w:r>
          </w:p>
        </w:tc>
        <w:tc>
          <w:tcPr>
            <w:tcW w:w="1336" w:type="dxa"/>
            <w:tcBorders>
              <w:top w:val="nil"/>
              <w:left w:val="nil"/>
              <w:bottom w:val="single" w:sz="8" w:space="0" w:color="auto"/>
              <w:right w:val="single" w:sz="8" w:space="0" w:color="auto"/>
            </w:tcBorders>
            <w:shd w:val="clear" w:color="000000" w:fill="FF0000"/>
            <w:noWrap/>
            <w:vAlign w:val="center"/>
            <w:hideMark/>
          </w:tcPr>
          <w:p w14:paraId="1DF6FA56"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15</w:t>
            </w:r>
          </w:p>
        </w:tc>
        <w:tc>
          <w:tcPr>
            <w:tcW w:w="870" w:type="dxa"/>
            <w:tcBorders>
              <w:top w:val="nil"/>
              <w:left w:val="nil"/>
              <w:bottom w:val="single" w:sz="8" w:space="0" w:color="auto"/>
              <w:right w:val="single" w:sz="8" w:space="0" w:color="auto"/>
            </w:tcBorders>
            <w:shd w:val="clear" w:color="000000" w:fill="FF0000"/>
            <w:noWrap/>
            <w:vAlign w:val="center"/>
            <w:hideMark/>
          </w:tcPr>
          <w:p w14:paraId="26EE6D97"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20</w:t>
            </w:r>
          </w:p>
        </w:tc>
        <w:tc>
          <w:tcPr>
            <w:tcW w:w="1163" w:type="dxa"/>
            <w:tcBorders>
              <w:top w:val="nil"/>
              <w:left w:val="nil"/>
              <w:bottom w:val="single" w:sz="8" w:space="0" w:color="auto"/>
              <w:right w:val="single" w:sz="8" w:space="0" w:color="auto"/>
            </w:tcBorders>
            <w:shd w:val="clear" w:color="000000" w:fill="FF0000"/>
            <w:noWrap/>
            <w:vAlign w:val="center"/>
            <w:hideMark/>
          </w:tcPr>
          <w:p w14:paraId="23EF041D"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25</w:t>
            </w:r>
          </w:p>
        </w:tc>
      </w:tr>
      <w:tr w:rsidR="00405FBA" w:rsidRPr="004629F9" w14:paraId="2462FFDB" w14:textId="77777777" w:rsidTr="0021482A">
        <w:trPr>
          <w:gridBefore w:val="1"/>
          <w:gridAfter w:val="1"/>
          <w:wBefore w:w="54" w:type="dxa"/>
          <w:wAfter w:w="66" w:type="dxa"/>
          <w:trHeight w:val="500"/>
        </w:trPr>
        <w:tc>
          <w:tcPr>
            <w:tcW w:w="628" w:type="dxa"/>
            <w:gridSpan w:val="2"/>
            <w:vMerge/>
            <w:tcBorders>
              <w:top w:val="nil"/>
              <w:left w:val="single" w:sz="8" w:space="0" w:color="auto"/>
              <w:bottom w:val="single" w:sz="8" w:space="0" w:color="000000"/>
              <w:right w:val="single" w:sz="8" w:space="0" w:color="auto"/>
            </w:tcBorders>
            <w:vAlign w:val="center"/>
            <w:hideMark/>
          </w:tcPr>
          <w:p w14:paraId="20AD6460"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2976" w:type="dxa"/>
            <w:gridSpan w:val="2"/>
            <w:tcBorders>
              <w:top w:val="nil"/>
              <w:left w:val="nil"/>
              <w:bottom w:val="single" w:sz="8" w:space="0" w:color="auto"/>
              <w:right w:val="single" w:sz="8" w:space="0" w:color="auto"/>
            </w:tcBorders>
            <w:noWrap/>
            <w:vAlign w:val="center"/>
            <w:hideMark/>
          </w:tcPr>
          <w:p w14:paraId="36F083E7"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Fatalities &lt;5</w:t>
            </w:r>
          </w:p>
        </w:tc>
        <w:tc>
          <w:tcPr>
            <w:tcW w:w="1170" w:type="dxa"/>
            <w:tcBorders>
              <w:top w:val="nil"/>
              <w:left w:val="nil"/>
              <w:bottom w:val="single" w:sz="8" w:space="0" w:color="auto"/>
              <w:right w:val="nil"/>
            </w:tcBorders>
            <w:noWrap/>
            <w:vAlign w:val="center"/>
            <w:hideMark/>
          </w:tcPr>
          <w:p w14:paraId="4401044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003" w:type="dxa"/>
            <w:tcBorders>
              <w:top w:val="nil"/>
              <w:left w:val="single" w:sz="8" w:space="0" w:color="auto"/>
              <w:bottom w:val="single" w:sz="8" w:space="0" w:color="auto"/>
              <w:right w:val="single" w:sz="8" w:space="0" w:color="auto"/>
            </w:tcBorders>
            <w:shd w:val="clear" w:color="000000" w:fill="FFFF00"/>
            <w:noWrap/>
            <w:vAlign w:val="center"/>
            <w:hideMark/>
          </w:tcPr>
          <w:p w14:paraId="760D8C40"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083" w:type="dxa"/>
            <w:tcBorders>
              <w:top w:val="nil"/>
              <w:left w:val="nil"/>
              <w:bottom w:val="single" w:sz="8" w:space="0" w:color="auto"/>
              <w:right w:val="single" w:sz="8" w:space="0" w:color="auto"/>
            </w:tcBorders>
            <w:shd w:val="clear" w:color="000000" w:fill="FFFF00"/>
            <w:noWrap/>
            <w:vAlign w:val="center"/>
            <w:hideMark/>
          </w:tcPr>
          <w:p w14:paraId="00CA7481"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8</w:t>
            </w:r>
          </w:p>
        </w:tc>
        <w:tc>
          <w:tcPr>
            <w:tcW w:w="1336" w:type="dxa"/>
            <w:tcBorders>
              <w:top w:val="nil"/>
              <w:left w:val="nil"/>
              <w:bottom w:val="single" w:sz="8" w:space="0" w:color="auto"/>
              <w:right w:val="single" w:sz="8" w:space="0" w:color="auto"/>
            </w:tcBorders>
            <w:shd w:val="clear" w:color="000000" w:fill="FF0000"/>
            <w:noWrap/>
            <w:vAlign w:val="center"/>
            <w:hideMark/>
          </w:tcPr>
          <w:p w14:paraId="71E43913"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12</w:t>
            </w:r>
          </w:p>
        </w:tc>
        <w:tc>
          <w:tcPr>
            <w:tcW w:w="870" w:type="dxa"/>
            <w:tcBorders>
              <w:top w:val="nil"/>
              <w:left w:val="nil"/>
              <w:bottom w:val="single" w:sz="8" w:space="0" w:color="auto"/>
              <w:right w:val="single" w:sz="8" w:space="0" w:color="auto"/>
            </w:tcBorders>
            <w:shd w:val="clear" w:color="000000" w:fill="FF0000"/>
            <w:noWrap/>
            <w:vAlign w:val="center"/>
            <w:hideMark/>
          </w:tcPr>
          <w:p w14:paraId="5B6E814B"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16</w:t>
            </w:r>
          </w:p>
        </w:tc>
        <w:tc>
          <w:tcPr>
            <w:tcW w:w="1163" w:type="dxa"/>
            <w:tcBorders>
              <w:top w:val="nil"/>
              <w:left w:val="nil"/>
              <w:bottom w:val="single" w:sz="8" w:space="0" w:color="auto"/>
              <w:right w:val="single" w:sz="8" w:space="0" w:color="auto"/>
            </w:tcBorders>
            <w:shd w:val="clear" w:color="000000" w:fill="FF0000"/>
            <w:noWrap/>
            <w:vAlign w:val="center"/>
            <w:hideMark/>
          </w:tcPr>
          <w:p w14:paraId="3962F523"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20</w:t>
            </w:r>
          </w:p>
        </w:tc>
      </w:tr>
      <w:tr w:rsidR="00405FBA" w:rsidRPr="004629F9" w14:paraId="1FC927F3" w14:textId="77777777" w:rsidTr="0021482A">
        <w:trPr>
          <w:gridBefore w:val="1"/>
          <w:gridAfter w:val="1"/>
          <w:wBefore w:w="54" w:type="dxa"/>
          <w:wAfter w:w="66" w:type="dxa"/>
          <w:trHeight w:val="490"/>
        </w:trPr>
        <w:tc>
          <w:tcPr>
            <w:tcW w:w="628" w:type="dxa"/>
            <w:gridSpan w:val="2"/>
            <w:vMerge/>
            <w:tcBorders>
              <w:top w:val="nil"/>
              <w:left w:val="single" w:sz="8" w:space="0" w:color="auto"/>
              <w:bottom w:val="single" w:sz="8" w:space="0" w:color="000000"/>
              <w:right w:val="single" w:sz="8" w:space="0" w:color="auto"/>
            </w:tcBorders>
            <w:vAlign w:val="center"/>
            <w:hideMark/>
          </w:tcPr>
          <w:p w14:paraId="04FE3A9F"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2976" w:type="dxa"/>
            <w:gridSpan w:val="2"/>
            <w:tcBorders>
              <w:top w:val="nil"/>
              <w:left w:val="nil"/>
              <w:bottom w:val="single" w:sz="8" w:space="0" w:color="auto"/>
              <w:right w:val="single" w:sz="8" w:space="0" w:color="auto"/>
            </w:tcBorders>
            <w:noWrap/>
            <w:vAlign w:val="center"/>
            <w:hideMark/>
          </w:tcPr>
          <w:p w14:paraId="281B92DF" w14:textId="0BCFCD45"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Severe </w:t>
            </w:r>
            <w:r w:rsidR="00654786" w:rsidRPr="004629F9">
              <w:rPr>
                <w:rFonts w:ascii="Times New Roman" w:hAnsi="Times New Roman"/>
                <w:b/>
                <w:bCs/>
                <w:color w:val="000000"/>
                <w:lang w:eastAsia="en-GB"/>
              </w:rPr>
              <w:t>life-threatening</w:t>
            </w:r>
            <w:r w:rsidRPr="004629F9">
              <w:rPr>
                <w:rFonts w:ascii="Times New Roman" w:hAnsi="Times New Roman"/>
                <w:b/>
                <w:bCs/>
                <w:color w:val="000000"/>
                <w:lang w:eastAsia="en-GB"/>
              </w:rPr>
              <w:t xml:space="preserve"> injuries requiring immediate hospitalisation </w:t>
            </w:r>
          </w:p>
        </w:tc>
        <w:tc>
          <w:tcPr>
            <w:tcW w:w="1170" w:type="dxa"/>
            <w:tcBorders>
              <w:top w:val="nil"/>
              <w:left w:val="nil"/>
              <w:bottom w:val="single" w:sz="8" w:space="0" w:color="auto"/>
              <w:right w:val="nil"/>
            </w:tcBorders>
            <w:noWrap/>
            <w:vAlign w:val="center"/>
            <w:hideMark/>
          </w:tcPr>
          <w:p w14:paraId="44DE35D3"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3</w:t>
            </w:r>
          </w:p>
        </w:tc>
        <w:tc>
          <w:tcPr>
            <w:tcW w:w="1003" w:type="dxa"/>
            <w:tcBorders>
              <w:top w:val="nil"/>
              <w:left w:val="single" w:sz="8" w:space="0" w:color="auto"/>
              <w:bottom w:val="single" w:sz="8" w:space="0" w:color="auto"/>
              <w:right w:val="single" w:sz="8" w:space="0" w:color="auto"/>
            </w:tcBorders>
            <w:shd w:val="clear" w:color="000000" w:fill="48EF31"/>
            <w:noWrap/>
            <w:vAlign w:val="center"/>
            <w:hideMark/>
          </w:tcPr>
          <w:p w14:paraId="1BC3BE11"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3</w:t>
            </w:r>
          </w:p>
        </w:tc>
        <w:tc>
          <w:tcPr>
            <w:tcW w:w="1083" w:type="dxa"/>
            <w:tcBorders>
              <w:top w:val="nil"/>
              <w:left w:val="nil"/>
              <w:bottom w:val="single" w:sz="8" w:space="0" w:color="auto"/>
              <w:right w:val="single" w:sz="8" w:space="0" w:color="auto"/>
            </w:tcBorders>
            <w:shd w:val="clear" w:color="000000" w:fill="FFFF00"/>
            <w:noWrap/>
            <w:vAlign w:val="center"/>
            <w:hideMark/>
          </w:tcPr>
          <w:p w14:paraId="3F5F408F"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6</w:t>
            </w:r>
          </w:p>
        </w:tc>
        <w:tc>
          <w:tcPr>
            <w:tcW w:w="1336" w:type="dxa"/>
            <w:tcBorders>
              <w:top w:val="nil"/>
              <w:left w:val="nil"/>
              <w:bottom w:val="single" w:sz="8" w:space="0" w:color="auto"/>
              <w:right w:val="single" w:sz="8" w:space="0" w:color="auto"/>
            </w:tcBorders>
            <w:shd w:val="clear" w:color="000000" w:fill="FFFF00"/>
            <w:noWrap/>
            <w:vAlign w:val="center"/>
            <w:hideMark/>
          </w:tcPr>
          <w:p w14:paraId="443C722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9</w:t>
            </w:r>
          </w:p>
        </w:tc>
        <w:tc>
          <w:tcPr>
            <w:tcW w:w="870" w:type="dxa"/>
            <w:tcBorders>
              <w:top w:val="nil"/>
              <w:left w:val="nil"/>
              <w:bottom w:val="single" w:sz="8" w:space="0" w:color="auto"/>
              <w:right w:val="single" w:sz="8" w:space="0" w:color="auto"/>
            </w:tcBorders>
            <w:shd w:val="clear" w:color="auto" w:fill="FF0000"/>
            <w:noWrap/>
            <w:vAlign w:val="center"/>
            <w:hideMark/>
          </w:tcPr>
          <w:p w14:paraId="5DF3676E"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12</w:t>
            </w:r>
          </w:p>
        </w:tc>
        <w:tc>
          <w:tcPr>
            <w:tcW w:w="1163" w:type="dxa"/>
            <w:tcBorders>
              <w:top w:val="nil"/>
              <w:left w:val="nil"/>
              <w:bottom w:val="single" w:sz="8" w:space="0" w:color="auto"/>
              <w:right w:val="single" w:sz="8" w:space="0" w:color="auto"/>
            </w:tcBorders>
            <w:shd w:val="clear" w:color="auto" w:fill="FF0000"/>
            <w:noWrap/>
            <w:vAlign w:val="center"/>
            <w:hideMark/>
          </w:tcPr>
          <w:p w14:paraId="5DD3C21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15</w:t>
            </w:r>
          </w:p>
        </w:tc>
      </w:tr>
      <w:tr w:rsidR="00405FBA" w:rsidRPr="004629F9" w14:paraId="4A431B4D" w14:textId="77777777" w:rsidTr="0021482A">
        <w:trPr>
          <w:gridBefore w:val="1"/>
          <w:gridAfter w:val="1"/>
          <w:wBefore w:w="54" w:type="dxa"/>
          <w:wAfter w:w="66" w:type="dxa"/>
          <w:trHeight w:val="550"/>
        </w:trPr>
        <w:tc>
          <w:tcPr>
            <w:tcW w:w="628" w:type="dxa"/>
            <w:gridSpan w:val="2"/>
            <w:vMerge/>
            <w:tcBorders>
              <w:top w:val="nil"/>
              <w:left w:val="single" w:sz="8" w:space="0" w:color="auto"/>
              <w:bottom w:val="single" w:sz="8" w:space="0" w:color="000000"/>
              <w:right w:val="single" w:sz="8" w:space="0" w:color="auto"/>
            </w:tcBorders>
            <w:vAlign w:val="center"/>
            <w:hideMark/>
          </w:tcPr>
          <w:p w14:paraId="030E4EFA"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2976" w:type="dxa"/>
            <w:gridSpan w:val="2"/>
            <w:tcBorders>
              <w:top w:val="nil"/>
              <w:left w:val="nil"/>
              <w:bottom w:val="single" w:sz="8" w:space="0" w:color="auto"/>
              <w:right w:val="single" w:sz="8" w:space="0" w:color="auto"/>
            </w:tcBorders>
            <w:noWrap/>
            <w:vAlign w:val="center"/>
            <w:hideMark/>
          </w:tcPr>
          <w:p w14:paraId="56F87B0D" w14:textId="7FFC0E7E"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Serious non-</w:t>
            </w:r>
            <w:r w:rsidR="00654786" w:rsidRPr="004629F9">
              <w:rPr>
                <w:rFonts w:ascii="Times New Roman" w:hAnsi="Times New Roman"/>
                <w:b/>
                <w:bCs/>
                <w:color w:val="000000"/>
                <w:lang w:eastAsia="en-GB"/>
              </w:rPr>
              <w:t>life-threatening</w:t>
            </w:r>
            <w:r w:rsidRPr="004629F9">
              <w:rPr>
                <w:rFonts w:ascii="Times New Roman" w:hAnsi="Times New Roman"/>
                <w:b/>
                <w:bCs/>
                <w:color w:val="000000"/>
                <w:lang w:eastAsia="en-GB"/>
              </w:rPr>
              <w:t xml:space="preserve"> injuries requiring medical treatment </w:t>
            </w:r>
          </w:p>
        </w:tc>
        <w:tc>
          <w:tcPr>
            <w:tcW w:w="1170" w:type="dxa"/>
            <w:tcBorders>
              <w:top w:val="nil"/>
              <w:left w:val="nil"/>
              <w:bottom w:val="single" w:sz="8" w:space="0" w:color="auto"/>
              <w:right w:val="nil"/>
            </w:tcBorders>
            <w:noWrap/>
            <w:vAlign w:val="center"/>
            <w:hideMark/>
          </w:tcPr>
          <w:p w14:paraId="15957E57"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w:t>
            </w:r>
          </w:p>
        </w:tc>
        <w:tc>
          <w:tcPr>
            <w:tcW w:w="1003" w:type="dxa"/>
            <w:tcBorders>
              <w:top w:val="nil"/>
              <w:left w:val="single" w:sz="8" w:space="0" w:color="auto"/>
              <w:bottom w:val="single" w:sz="8" w:space="0" w:color="auto"/>
              <w:right w:val="single" w:sz="8" w:space="0" w:color="auto"/>
            </w:tcBorders>
            <w:shd w:val="clear" w:color="000000" w:fill="48EF31"/>
            <w:noWrap/>
            <w:vAlign w:val="center"/>
            <w:hideMark/>
          </w:tcPr>
          <w:p w14:paraId="231C873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w:t>
            </w:r>
          </w:p>
        </w:tc>
        <w:tc>
          <w:tcPr>
            <w:tcW w:w="1083" w:type="dxa"/>
            <w:tcBorders>
              <w:top w:val="nil"/>
              <w:left w:val="nil"/>
              <w:bottom w:val="single" w:sz="8" w:space="0" w:color="auto"/>
              <w:right w:val="single" w:sz="8" w:space="0" w:color="auto"/>
            </w:tcBorders>
            <w:shd w:val="clear" w:color="000000" w:fill="48EF31"/>
            <w:noWrap/>
            <w:vAlign w:val="center"/>
            <w:hideMark/>
          </w:tcPr>
          <w:p w14:paraId="187BA731"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336" w:type="dxa"/>
            <w:tcBorders>
              <w:top w:val="nil"/>
              <w:left w:val="nil"/>
              <w:bottom w:val="single" w:sz="8" w:space="0" w:color="auto"/>
              <w:right w:val="single" w:sz="8" w:space="0" w:color="auto"/>
            </w:tcBorders>
            <w:shd w:val="clear" w:color="000000" w:fill="FFFF00"/>
            <w:noWrap/>
            <w:vAlign w:val="center"/>
            <w:hideMark/>
          </w:tcPr>
          <w:p w14:paraId="5AC9B959"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6</w:t>
            </w:r>
          </w:p>
        </w:tc>
        <w:tc>
          <w:tcPr>
            <w:tcW w:w="870" w:type="dxa"/>
            <w:tcBorders>
              <w:top w:val="nil"/>
              <w:left w:val="nil"/>
              <w:bottom w:val="single" w:sz="8" w:space="0" w:color="auto"/>
              <w:right w:val="single" w:sz="8" w:space="0" w:color="auto"/>
            </w:tcBorders>
            <w:shd w:val="clear" w:color="000000" w:fill="FFFF00"/>
            <w:noWrap/>
            <w:vAlign w:val="center"/>
            <w:hideMark/>
          </w:tcPr>
          <w:p w14:paraId="07D86E2B"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8</w:t>
            </w:r>
          </w:p>
        </w:tc>
        <w:tc>
          <w:tcPr>
            <w:tcW w:w="1163" w:type="dxa"/>
            <w:tcBorders>
              <w:top w:val="nil"/>
              <w:left w:val="nil"/>
              <w:bottom w:val="single" w:sz="8" w:space="0" w:color="auto"/>
              <w:right w:val="single" w:sz="8" w:space="0" w:color="auto"/>
            </w:tcBorders>
            <w:shd w:val="clear" w:color="000000" w:fill="FFFF00"/>
            <w:noWrap/>
            <w:vAlign w:val="center"/>
            <w:hideMark/>
          </w:tcPr>
          <w:p w14:paraId="15070B2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10</w:t>
            </w:r>
          </w:p>
        </w:tc>
      </w:tr>
      <w:tr w:rsidR="00405FBA" w:rsidRPr="004629F9" w14:paraId="1A05EC27" w14:textId="77777777" w:rsidTr="0021482A">
        <w:trPr>
          <w:gridBefore w:val="1"/>
          <w:gridAfter w:val="1"/>
          <w:wBefore w:w="54" w:type="dxa"/>
          <w:wAfter w:w="66" w:type="dxa"/>
          <w:trHeight w:val="490"/>
        </w:trPr>
        <w:tc>
          <w:tcPr>
            <w:tcW w:w="628" w:type="dxa"/>
            <w:gridSpan w:val="2"/>
            <w:vMerge/>
            <w:tcBorders>
              <w:top w:val="nil"/>
              <w:left w:val="single" w:sz="8" w:space="0" w:color="auto"/>
              <w:bottom w:val="single" w:sz="8" w:space="0" w:color="000000"/>
              <w:right w:val="single" w:sz="8" w:space="0" w:color="auto"/>
            </w:tcBorders>
            <w:vAlign w:val="center"/>
            <w:hideMark/>
          </w:tcPr>
          <w:p w14:paraId="0B7B2DCC"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2976" w:type="dxa"/>
            <w:gridSpan w:val="2"/>
            <w:tcBorders>
              <w:top w:val="nil"/>
              <w:left w:val="nil"/>
              <w:bottom w:val="single" w:sz="8" w:space="0" w:color="auto"/>
              <w:right w:val="single" w:sz="8" w:space="0" w:color="auto"/>
            </w:tcBorders>
            <w:noWrap/>
            <w:vAlign w:val="center"/>
            <w:hideMark/>
          </w:tcPr>
          <w:p w14:paraId="0F988FE7"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Minor injuries requiring first aid treatment </w:t>
            </w:r>
          </w:p>
        </w:tc>
        <w:tc>
          <w:tcPr>
            <w:tcW w:w="1170" w:type="dxa"/>
            <w:tcBorders>
              <w:top w:val="nil"/>
              <w:left w:val="nil"/>
              <w:bottom w:val="single" w:sz="8" w:space="0" w:color="auto"/>
              <w:right w:val="nil"/>
            </w:tcBorders>
            <w:noWrap/>
            <w:vAlign w:val="center"/>
            <w:hideMark/>
          </w:tcPr>
          <w:p w14:paraId="6AD54B8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w:t>
            </w:r>
          </w:p>
        </w:tc>
        <w:tc>
          <w:tcPr>
            <w:tcW w:w="1003" w:type="dxa"/>
            <w:tcBorders>
              <w:top w:val="nil"/>
              <w:left w:val="single" w:sz="8" w:space="0" w:color="auto"/>
              <w:bottom w:val="single" w:sz="8" w:space="0" w:color="auto"/>
              <w:right w:val="single" w:sz="8" w:space="0" w:color="auto"/>
            </w:tcBorders>
            <w:shd w:val="clear" w:color="000000" w:fill="48EF31"/>
            <w:noWrap/>
            <w:vAlign w:val="center"/>
            <w:hideMark/>
          </w:tcPr>
          <w:p w14:paraId="13BEBC15"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w:t>
            </w:r>
          </w:p>
        </w:tc>
        <w:tc>
          <w:tcPr>
            <w:tcW w:w="1083" w:type="dxa"/>
            <w:tcBorders>
              <w:top w:val="nil"/>
              <w:left w:val="nil"/>
              <w:bottom w:val="single" w:sz="8" w:space="0" w:color="auto"/>
              <w:right w:val="single" w:sz="8" w:space="0" w:color="auto"/>
            </w:tcBorders>
            <w:shd w:val="clear" w:color="000000" w:fill="48EF31"/>
            <w:noWrap/>
            <w:vAlign w:val="center"/>
            <w:hideMark/>
          </w:tcPr>
          <w:p w14:paraId="17421CDE"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w:t>
            </w:r>
          </w:p>
        </w:tc>
        <w:tc>
          <w:tcPr>
            <w:tcW w:w="1336" w:type="dxa"/>
            <w:tcBorders>
              <w:top w:val="nil"/>
              <w:left w:val="nil"/>
              <w:bottom w:val="single" w:sz="8" w:space="0" w:color="auto"/>
              <w:right w:val="single" w:sz="8" w:space="0" w:color="auto"/>
            </w:tcBorders>
            <w:shd w:val="clear" w:color="000000" w:fill="48EF31"/>
            <w:noWrap/>
            <w:vAlign w:val="center"/>
            <w:hideMark/>
          </w:tcPr>
          <w:p w14:paraId="5E5A1CB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3</w:t>
            </w:r>
          </w:p>
        </w:tc>
        <w:tc>
          <w:tcPr>
            <w:tcW w:w="870" w:type="dxa"/>
            <w:tcBorders>
              <w:top w:val="nil"/>
              <w:left w:val="nil"/>
              <w:bottom w:val="single" w:sz="8" w:space="0" w:color="auto"/>
              <w:right w:val="single" w:sz="8" w:space="0" w:color="auto"/>
            </w:tcBorders>
            <w:shd w:val="clear" w:color="000000" w:fill="48EF31"/>
            <w:noWrap/>
            <w:vAlign w:val="center"/>
            <w:hideMark/>
          </w:tcPr>
          <w:p w14:paraId="420C1E1A"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163" w:type="dxa"/>
            <w:tcBorders>
              <w:top w:val="nil"/>
              <w:left w:val="nil"/>
              <w:bottom w:val="single" w:sz="8" w:space="0" w:color="auto"/>
              <w:right w:val="single" w:sz="8" w:space="0" w:color="auto"/>
            </w:tcBorders>
            <w:shd w:val="clear" w:color="auto" w:fill="FFFF00"/>
            <w:noWrap/>
            <w:vAlign w:val="center"/>
            <w:hideMark/>
          </w:tcPr>
          <w:p w14:paraId="65EB96D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5</w:t>
            </w:r>
          </w:p>
        </w:tc>
      </w:tr>
      <w:tr w:rsidR="00405FBA" w:rsidRPr="004629F9" w14:paraId="50ABE7B9" w14:textId="77777777" w:rsidTr="0021482A">
        <w:trPr>
          <w:gridBefore w:val="1"/>
          <w:gridAfter w:val="1"/>
          <w:wBefore w:w="54" w:type="dxa"/>
          <w:wAfter w:w="66" w:type="dxa"/>
          <w:trHeight w:val="400"/>
        </w:trPr>
        <w:tc>
          <w:tcPr>
            <w:tcW w:w="4774" w:type="dxa"/>
            <w:gridSpan w:val="5"/>
            <w:vMerge w:val="restart"/>
            <w:tcBorders>
              <w:top w:val="single" w:sz="8" w:space="0" w:color="auto"/>
              <w:left w:val="single" w:sz="8" w:space="0" w:color="auto"/>
              <w:bottom w:val="single" w:sz="8" w:space="0" w:color="000000"/>
              <w:right w:val="single" w:sz="8" w:space="0" w:color="000000"/>
            </w:tcBorders>
            <w:vAlign w:val="center"/>
            <w:hideMark/>
          </w:tcPr>
          <w:p w14:paraId="7041634A"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Frequency </w:t>
            </w:r>
          </w:p>
        </w:tc>
        <w:tc>
          <w:tcPr>
            <w:tcW w:w="1003" w:type="dxa"/>
            <w:tcBorders>
              <w:top w:val="nil"/>
              <w:left w:val="nil"/>
              <w:bottom w:val="single" w:sz="8" w:space="0" w:color="auto"/>
              <w:right w:val="single" w:sz="8" w:space="0" w:color="auto"/>
            </w:tcBorders>
            <w:shd w:val="clear" w:color="auto" w:fill="FFFFFF" w:themeFill="background1"/>
            <w:noWrap/>
            <w:vAlign w:val="center"/>
            <w:hideMark/>
          </w:tcPr>
          <w:p w14:paraId="178B06E5"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w:t>
            </w:r>
          </w:p>
        </w:tc>
        <w:tc>
          <w:tcPr>
            <w:tcW w:w="1083" w:type="dxa"/>
            <w:tcBorders>
              <w:top w:val="nil"/>
              <w:left w:val="nil"/>
              <w:bottom w:val="single" w:sz="8" w:space="0" w:color="auto"/>
              <w:right w:val="single" w:sz="8" w:space="0" w:color="auto"/>
            </w:tcBorders>
            <w:shd w:val="clear" w:color="auto" w:fill="FFFFFF" w:themeFill="background1"/>
            <w:noWrap/>
            <w:vAlign w:val="center"/>
            <w:hideMark/>
          </w:tcPr>
          <w:p w14:paraId="4B944027"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w:t>
            </w:r>
          </w:p>
        </w:tc>
        <w:tc>
          <w:tcPr>
            <w:tcW w:w="1336" w:type="dxa"/>
            <w:tcBorders>
              <w:top w:val="nil"/>
              <w:left w:val="nil"/>
              <w:bottom w:val="single" w:sz="8" w:space="0" w:color="auto"/>
              <w:right w:val="single" w:sz="8" w:space="0" w:color="auto"/>
            </w:tcBorders>
            <w:shd w:val="clear" w:color="auto" w:fill="FFFFFF" w:themeFill="background1"/>
            <w:noWrap/>
            <w:vAlign w:val="center"/>
            <w:hideMark/>
          </w:tcPr>
          <w:p w14:paraId="116E048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3</w:t>
            </w:r>
          </w:p>
        </w:tc>
        <w:tc>
          <w:tcPr>
            <w:tcW w:w="870" w:type="dxa"/>
            <w:tcBorders>
              <w:top w:val="nil"/>
              <w:left w:val="nil"/>
              <w:bottom w:val="single" w:sz="8" w:space="0" w:color="auto"/>
              <w:right w:val="single" w:sz="8" w:space="0" w:color="auto"/>
            </w:tcBorders>
            <w:shd w:val="clear" w:color="auto" w:fill="FFFFFF" w:themeFill="background1"/>
            <w:noWrap/>
            <w:vAlign w:val="center"/>
            <w:hideMark/>
          </w:tcPr>
          <w:p w14:paraId="44B0087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163" w:type="dxa"/>
            <w:tcBorders>
              <w:top w:val="nil"/>
              <w:left w:val="nil"/>
              <w:bottom w:val="single" w:sz="8" w:space="0" w:color="auto"/>
              <w:right w:val="single" w:sz="8" w:space="0" w:color="auto"/>
            </w:tcBorders>
            <w:shd w:val="clear" w:color="auto" w:fill="FFFFFF" w:themeFill="background1"/>
            <w:noWrap/>
            <w:vAlign w:val="center"/>
            <w:hideMark/>
          </w:tcPr>
          <w:p w14:paraId="30413570"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5</w:t>
            </w:r>
          </w:p>
        </w:tc>
      </w:tr>
      <w:tr w:rsidR="00405FBA" w:rsidRPr="004629F9" w14:paraId="57D20B7D" w14:textId="77777777" w:rsidTr="0021482A">
        <w:trPr>
          <w:gridBefore w:val="1"/>
          <w:gridAfter w:val="1"/>
          <w:wBefore w:w="54" w:type="dxa"/>
          <w:wAfter w:w="66" w:type="dxa"/>
          <w:trHeight w:val="320"/>
        </w:trPr>
        <w:tc>
          <w:tcPr>
            <w:tcW w:w="4774" w:type="dxa"/>
            <w:gridSpan w:val="5"/>
            <w:vMerge/>
            <w:tcBorders>
              <w:top w:val="single" w:sz="8" w:space="0" w:color="auto"/>
              <w:left w:val="single" w:sz="8" w:space="0" w:color="auto"/>
              <w:bottom w:val="single" w:sz="8" w:space="0" w:color="000000"/>
              <w:right w:val="single" w:sz="8" w:space="0" w:color="000000"/>
            </w:tcBorders>
            <w:vAlign w:val="center"/>
            <w:hideMark/>
          </w:tcPr>
          <w:p w14:paraId="6DE57C78"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1003" w:type="dxa"/>
            <w:tcBorders>
              <w:top w:val="nil"/>
              <w:left w:val="nil"/>
              <w:bottom w:val="single" w:sz="8" w:space="0" w:color="auto"/>
              <w:right w:val="single" w:sz="8" w:space="0" w:color="auto"/>
            </w:tcBorders>
            <w:noWrap/>
            <w:vAlign w:val="center"/>
            <w:hideMark/>
          </w:tcPr>
          <w:p w14:paraId="17E506C0"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Remote</w:t>
            </w:r>
          </w:p>
        </w:tc>
        <w:tc>
          <w:tcPr>
            <w:tcW w:w="1083" w:type="dxa"/>
            <w:tcBorders>
              <w:top w:val="nil"/>
              <w:left w:val="nil"/>
              <w:bottom w:val="single" w:sz="8" w:space="0" w:color="auto"/>
              <w:right w:val="single" w:sz="8" w:space="0" w:color="auto"/>
            </w:tcBorders>
            <w:noWrap/>
            <w:vAlign w:val="center"/>
            <w:hideMark/>
          </w:tcPr>
          <w:p w14:paraId="4840B0AB"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Unlikely</w:t>
            </w:r>
          </w:p>
        </w:tc>
        <w:tc>
          <w:tcPr>
            <w:tcW w:w="1336" w:type="dxa"/>
            <w:tcBorders>
              <w:top w:val="nil"/>
              <w:left w:val="nil"/>
              <w:bottom w:val="single" w:sz="8" w:space="0" w:color="auto"/>
              <w:right w:val="single" w:sz="8" w:space="0" w:color="auto"/>
            </w:tcBorders>
            <w:noWrap/>
            <w:vAlign w:val="center"/>
            <w:hideMark/>
          </w:tcPr>
          <w:p w14:paraId="74C65D7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Occasional</w:t>
            </w:r>
          </w:p>
        </w:tc>
        <w:tc>
          <w:tcPr>
            <w:tcW w:w="870" w:type="dxa"/>
            <w:tcBorders>
              <w:top w:val="nil"/>
              <w:left w:val="nil"/>
              <w:bottom w:val="single" w:sz="8" w:space="0" w:color="auto"/>
              <w:right w:val="single" w:sz="8" w:space="0" w:color="auto"/>
            </w:tcBorders>
            <w:noWrap/>
            <w:vAlign w:val="center"/>
            <w:hideMark/>
          </w:tcPr>
          <w:p w14:paraId="78FBC9A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 xml:space="preserve">Likely </w:t>
            </w:r>
          </w:p>
        </w:tc>
        <w:tc>
          <w:tcPr>
            <w:tcW w:w="1163" w:type="dxa"/>
            <w:tcBorders>
              <w:top w:val="nil"/>
              <w:left w:val="nil"/>
              <w:bottom w:val="single" w:sz="8" w:space="0" w:color="auto"/>
              <w:right w:val="single" w:sz="8" w:space="0" w:color="auto"/>
            </w:tcBorders>
            <w:noWrap/>
            <w:vAlign w:val="center"/>
            <w:hideMark/>
          </w:tcPr>
          <w:p w14:paraId="6E73495B"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Frequent</w:t>
            </w:r>
          </w:p>
        </w:tc>
      </w:tr>
      <w:tr w:rsidR="00405FBA" w:rsidRPr="004629F9" w14:paraId="6F66915E" w14:textId="77777777" w:rsidTr="0021482A">
        <w:trPr>
          <w:trHeight w:val="218"/>
        </w:trPr>
        <w:tc>
          <w:tcPr>
            <w:tcW w:w="10349" w:type="dxa"/>
            <w:gridSpan w:val="12"/>
            <w:tcBorders>
              <w:top w:val="single" w:sz="8" w:space="0" w:color="auto"/>
              <w:left w:val="single" w:sz="8" w:space="0" w:color="auto"/>
              <w:bottom w:val="single" w:sz="8" w:space="0" w:color="auto"/>
              <w:right w:val="single" w:sz="8" w:space="0" w:color="000000"/>
            </w:tcBorders>
            <w:vAlign w:val="center"/>
            <w:hideMark/>
          </w:tcPr>
          <w:p w14:paraId="19B5D2D9"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Assessment to evaluate the suitability of control measures. </w:t>
            </w:r>
          </w:p>
        </w:tc>
      </w:tr>
      <w:tr w:rsidR="00405FBA" w:rsidRPr="004629F9" w14:paraId="4B0657C5" w14:textId="77777777" w:rsidTr="0021482A">
        <w:trPr>
          <w:trHeight w:val="205"/>
        </w:trPr>
        <w:tc>
          <w:tcPr>
            <w:tcW w:w="595" w:type="dxa"/>
            <w:gridSpan w:val="2"/>
            <w:tcBorders>
              <w:top w:val="nil"/>
              <w:left w:val="single" w:sz="8" w:space="0" w:color="auto"/>
              <w:bottom w:val="single" w:sz="8" w:space="0" w:color="auto"/>
              <w:right w:val="single" w:sz="8" w:space="0" w:color="auto"/>
            </w:tcBorders>
            <w:vAlign w:val="center"/>
            <w:hideMark/>
          </w:tcPr>
          <w:p w14:paraId="4CE3A860"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Key </w:t>
            </w:r>
          </w:p>
        </w:tc>
        <w:tc>
          <w:tcPr>
            <w:tcW w:w="9754" w:type="dxa"/>
            <w:gridSpan w:val="10"/>
            <w:tcBorders>
              <w:top w:val="single" w:sz="8" w:space="0" w:color="auto"/>
              <w:left w:val="nil"/>
              <w:bottom w:val="single" w:sz="8" w:space="0" w:color="auto"/>
              <w:right w:val="single" w:sz="8" w:space="0" w:color="000000"/>
            </w:tcBorders>
            <w:vAlign w:val="center"/>
            <w:hideMark/>
          </w:tcPr>
          <w:p w14:paraId="54BF5400"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Risk = Severity x Frequency </w:t>
            </w:r>
          </w:p>
        </w:tc>
      </w:tr>
      <w:tr w:rsidR="00405FBA" w:rsidRPr="004629F9" w14:paraId="25C44757" w14:textId="77777777" w:rsidTr="0021482A">
        <w:trPr>
          <w:trHeight w:val="287"/>
        </w:trPr>
        <w:tc>
          <w:tcPr>
            <w:tcW w:w="595" w:type="dxa"/>
            <w:gridSpan w:val="2"/>
            <w:tcBorders>
              <w:top w:val="nil"/>
              <w:left w:val="single" w:sz="8" w:space="0" w:color="auto"/>
              <w:bottom w:val="single" w:sz="8" w:space="0" w:color="auto"/>
              <w:right w:val="single" w:sz="8" w:space="0" w:color="auto"/>
            </w:tcBorders>
            <w:shd w:val="clear" w:color="000000" w:fill="FF0000"/>
            <w:vAlign w:val="center"/>
            <w:hideMark/>
          </w:tcPr>
          <w:p w14:paraId="4D61FD41"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w:t>
            </w:r>
          </w:p>
        </w:tc>
        <w:tc>
          <w:tcPr>
            <w:tcW w:w="2535" w:type="dxa"/>
            <w:gridSpan w:val="2"/>
            <w:tcBorders>
              <w:top w:val="nil"/>
              <w:left w:val="nil"/>
              <w:bottom w:val="single" w:sz="8" w:space="0" w:color="auto"/>
              <w:right w:val="single" w:sz="8" w:space="0" w:color="auto"/>
            </w:tcBorders>
            <w:vAlign w:val="center"/>
            <w:hideMark/>
          </w:tcPr>
          <w:p w14:paraId="433D748A"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12 - 25 Intolerable </w:t>
            </w:r>
          </w:p>
        </w:tc>
        <w:tc>
          <w:tcPr>
            <w:tcW w:w="7219" w:type="dxa"/>
            <w:gridSpan w:val="8"/>
            <w:tcBorders>
              <w:top w:val="single" w:sz="8" w:space="0" w:color="auto"/>
              <w:left w:val="nil"/>
              <w:bottom w:val="single" w:sz="8" w:space="0" w:color="auto"/>
              <w:right w:val="single" w:sz="8" w:space="0" w:color="000000"/>
            </w:tcBorders>
            <w:noWrap/>
            <w:vAlign w:val="center"/>
            <w:hideMark/>
          </w:tcPr>
          <w:p w14:paraId="27ACA861" w14:textId="389D6A38"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The risk is too </w:t>
            </w:r>
            <w:r w:rsidR="00654786" w:rsidRPr="004629F9">
              <w:rPr>
                <w:rFonts w:ascii="Times New Roman" w:hAnsi="Times New Roman"/>
                <w:b/>
                <w:bCs/>
                <w:color w:val="000000"/>
                <w:sz w:val="22"/>
                <w:szCs w:val="22"/>
                <w:lang w:eastAsia="en-GB"/>
              </w:rPr>
              <w:t>high;</w:t>
            </w:r>
            <w:r w:rsidRPr="004629F9">
              <w:rPr>
                <w:rFonts w:ascii="Times New Roman" w:hAnsi="Times New Roman"/>
                <w:b/>
                <w:bCs/>
                <w:color w:val="000000"/>
                <w:sz w:val="22"/>
                <w:szCs w:val="22"/>
                <w:lang w:eastAsia="en-GB"/>
              </w:rPr>
              <w:t xml:space="preserve"> the activity should cease until control measures are improved. </w:t>
            </w:r>
          </w:p>
        </w:tc>
      </w:tr>
      <w:tr w:rsidR="00405FBA" w:rsidRPr="004629F9" w14:paraId="6F937B03" w14:textId="77777777" w:rsidTr="0021482A">
        <w:trPr>
          <w:trHeight w:val="252"/>
        </w:trPr>
        <w:tc>
          <w:tcPr>
            <w:tcW w:w="595" w:type="dxa"/>
            <w:gridSpan w:val="2"/>
            <w:tcBorders>
              <w:top w:val="nil"/>
              <w:left w:val="single" w:sz="8" w:space="0" w:color="auto"/>
              <w:bottom w:val="single" w:sz="8" w:space="0" w:color="auto"/>
              <w:right w:val="single" w:sz="8" w:space="0" w:color="auto"/>
            </w:tcBorders>
            <w:shd w:val="clear" w:color="000000" w:fill="FFFF00"/>
            <w:vAlign w:val="center"/>
            <w:hideMark/>
          </w:tcPr>
          <w:p w14:paraId="75F18D9F"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w:t>
            </w:r>
          </w:p>
        </w:tc>
        <w:tc>
          <w:tcPr>
            <w:tcW w:w="2535" w:type="dxa"/>
            <w:gridSpan w:val="2"/>
            <w:tcBorders>
              <w:top w:val="nil"/>
              <w:left w:val="nil"/>
              <w:bottom w:val="single" w:sz="8" w:space="0" w:color="auto"/>
              <w:right w:val="single" w:sz="8" w:space="0" w:color="auto"/>
            </w:tcBorders>
            <w:vAlign w:val="center"/>
            <w:hideMark/>
          </w:tcPr>
          <w:p w14:paraId="4ED315BB"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4 - 10 Tolerable if ALARP </w:t>
            </w:r>
          </w:p>
        </w:tc>
        <w:tc>
          <w:tcPr>
            <w:tcW w:w="7219" w:type="dxa"/>
            <w:gridSpan w:val="8"/>
            <w:tcBorders>
              <w:top w:val="single" w:sz="8" w:space="0" w:color="auto"/>
              <w:left w:val="nil"/>
              <w:bottom w:val="single" w:sz="8" w:space="0" w:color="auto"/>
              <w:right w:val="single" w:sz="8" w:space="0" w:color="000000"/>
            </w:tcBorders>
            <w:noWrap/>
            <w:vAlign w:val="center"/>
            <w:hideMark/>
          </w:tcPr>
          <w:p w14:paraId="12F58246"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The level of protection from the activity is only acceptable when the risks are ALARP</w:t>
            </w:r>
          </w:p>
        </w:tc>
      </w:tr>
      <w:tr w:rsidR="00405FBA" w:rsidRPr="004629F9" w14:paraId="180D3855" w14:textId="77777777" w:rsidTr="0021482A">
        <w:trPr>
          <w:trHeight w:val="321"/>
        </w:trPr>
        <w:tc>
          <w:tcPr>
            <w:tcW w:w="595" w:type="dxa"/>
            <w:gridSpan w:val="2"/>
            <w:tcBorders>
              <w:top w:val="nil"/>
              <w:left w:val="single" w:sz="8" w:space="0" w:color="auto"/>
              <w:bottom w:val="single" w:sz="8" w:space="0" w:color="auto"/>
              <w:right w:val="single" w:sz="8" w:space="0" w:color="auto"/>
            </w:tcBorders>
            <w:shd w:val="clear" w:color="000000" w:fill="48EF31"/>
            <w:vAlign w:val="center"/>
            <w:hideMark/>
          </w:tcPr>
          <w:p w14:paraId="07E31C27"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w:t>
            </w:r>
          </w:p>
        </w:tc>
        <w:tc>
          <w:tcPr>
            <w:tcW w:w="2535" w:type="dxa"/>
            <w:gridSpan w:val="2"/>
            <w:tcBorders>
              <w:top w:val="nil"/>
              <w:left w:val="nil"/>
              <w:bottom w:val="single" w:sz="8" w:space="0" w:color="auto"/>
              <w:right w:val="single" w:sz="8" w:space="0" w:color="auto"/>
            </w:tcBorders>
            <w:vAlign w:val="center"/>
            <w:hideMark/>
          </w:tcPr>
          <w:p w14:paraId="2EBBB399"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1 - 4 Broadly Acceptable </w:t>
            </w:r>
          </w:p>
        </w:tc>
        <w:tc>
          <w:tcPr>
            <w:tcW w:w="7219" w:type="dxa"/>
            <w:gridSpan w:val="8"/>
            <w:tcBorders>
              <w:top w:val="single" w:sz="8" w:space="0" w:color="auto"/>
              <w:left w:val="nil"/>
              <w:bottom w:val="single" w:sz="8" w:space="0" w:color="auto"/>
              <w:right w:val="single" w:sz="8" w:space="0" w:color="000000"/>
            </w:tcBorders>
            <w:noWrap/>
            <w:vAlign w:val="center"/>
            <w:hideMark/>
          </w:tcPr>
          <w:p w14:paraId="71E5CD98" w14:textId="5F04D6F6" w:rsidR="004629F9"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The level of protection for the activity is considered acceptable </w:t>
            </w:r>
          </w:p>
        </w:tc>
      </w:tr>
    </w:tbl>
    <w:tbl>
      <w:tblPr>
        <w:tblpPr w:leftFromText="180" w:rightFromText="180" w:vertAnchor="text" w:horzAnchor="margin" w:tblpXSpec="center" w:tblpY="281"/>
        <w:tblW w:w="10349" w:type="dxa"/>
        <w:tblLook w:val="04A0" w:firstRow="1" w:lastRow="0" w:firstColumn="1" w:lastColumn="0" w:noHBand="0" w:noVBand="1"/>
      </w:tblPr>
      <w:tblGrid>
        <w:gridCol w:w="1612"/>
        <w:gridCol w:w="2103"/>
        <w:gridCol w:w="4791"/>
        <w:gridCol w:w="1843"/>
      </w:tblGrid>
      <w:tr w:rsidR="0021482A" w:rsidRPr="004629F9" w14:paraId="6204F3F0" w14:textId="77777777" w:rsidTr="0021482A">
        <w:trPr>
          <w:trHeight w:val="252"/>
        </w:trPr>
        <w:tc>
          <w:tcPr>
            <w:tcW w:w="10349" w:type="dxa"/>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14:paraId="0B449B42"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Frequency Rating For Risk Matrix </w:t>
            </w:r>
          </w:p>
        </w:tc>
      </w:tr>
      <w:tr w:rsidR="0021482A" w:rsidRPr="004629F9" w14:paraId="2227F373" w14:textId="77777777" w:rsidTr="0021482A">
        <w:trPr>
          <w:trHeight w:val="252"/>
        </w:trPr>
        <w:tc>
          <w:tcPr>
            <w:tcW w:w="1612" w:type="dxa"/>
            <w:tcBorders>
              <w:top w:val="nil"/>
              <w:left w:val="single" w:sz="8" w:space="0" w:color="auto"/>
              <w:bottom w:val="single" w:sz="8" w:space="0" w:color="auto"/>
              <w:right w:val="single" w:sz="8" w:space="0" w:color="auto"/>
            </w:tcBorders>
            <w:shd w:val="clear" w:color="000000" w:fill="F2F2F2"/>
            <w:noWrap/>
            <w:vAlign w:val="bottom"/>
            <w:hideMark/>
          </w:tcPr>
          <w:p w14:paraId="730F2A88"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Frequency </w:t>
            </w:r>
          </w:p>
        </w:tc>
        <w:tc>
          <w:tcPr>
            <w:tcW w:w="2103" w:type="dxa"/>
            <w:tcBorders>
              <w:top w:val="nil"/>
              <w:left w:val="nil"/>
              <w:bottom w:val="single" w:sz="8" w:space="0" w:color="auto"/>
              <w:right w:val="single" w:sz="8" w:space="0" w:color="auto"/>
            </w:tcBorders>
            <w:shd w:val="clear" w:color="000000" w:fill="F2F2F2"/>
            <w:noWrap/>
            <w:vAlign w:val="bottom"/>
            <w:hideMark/>
          </w:tcPr>
          <w:p w14:paraId="27DF9646"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Frequency Rating </w:t>
            </w:r>
          </w:p>
        </w:tc>
        <w:tc>
          <w:tcPr>
            <w:tcW w:w="4791" w:type="dxa"/>
            <w:tcBorders>
              <w:top w:val="nil"/>
              <w:left w:val="nil"/>
              <w:bottom w:val="single" w:sz="8" w:space="0" w:color="auto"/>
              <w:right w:val="single" w:sz="8" w:space="0" w:color="auto"/>
            </w:tcBorders>
            <w:shd w:val="clear" w:color="000000" w:fill="F2F2F2"/>
            <w:noWrap/>
            <w:vAlign w:val="bottom"/>
            <w:hideMark/>
          </w:tcPr>
          <w:p w14:paraId="4794C070"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Occurrence During Operational Life </w:t>
            </w:r>
          </w:p>
        </w:tc>
        <w:tc>
          <w:tcPr>
            <w:tcW w:w="1843" w:type="dxa"/>
            <w:tcBorders>
              <w:top w:val="nil"/>
              <w:left w:val="nil"/>
              <w:bottom w:val="nil"/>
              <w:right w:val="single" w:sz="4" w:space="0" w:color="auto"/>
            </w:tcBorders>
            <w:shd w:val="clear" w:color="000000" w:fill="F2F2F2"/>
            <w:noWrap/>
            <w:vAlign w:val="bottom"/>
            <w:hideMark/>
          </w:tcPr>
          <w:p w14:paraId="30A76DB1"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Frequency P/A</w:t>
            </w:r>
          </w:p>
        </w:tc>
      </w:tr>
      <w:tr w:rsidR="0021482A" w:rsidRPr="004629F9" w14:paraId="41B6AF56" w14:textId="77777777" w:rsidTr="0021482A">
        <w:trPr>
          <w:trHeight w:val="252"/>
        </w:trPr>
        <w:tc>
          <w:tcPr>
            <w:tcW w:w="1612" w:type="dxa"/>
            <w:tcBorders>
              <w:top w:val="nil"/>
              <w:left w:val="single" w:sz="8" w:space="0" w:color="auto"/>
              <w:bottom w:val="single" w:sz="8" w:space="0" w:color="auto"/>
              <w:right w:val="single" w:sz="8" w:space="0" w:color="auto"/>
            </w:tcBorders>
            <w:noWrap/>
            <w:vAlign w:val="bottom"/>
            <w:hideMark/>
          </w:tcPr>
          <w:p w14:paraId="71B33593"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Frequent</w:t>
            </w:r>
          </w:p>
        </w:tc>
        <w:tc>
          <w:tcPr>
            <w:tcW w:w="2103" w:type="dxa"/>
            <w:tcBorders>
              <w:top w:val="nil"/>
              <w:left w:val="nil"/>
              <w:bottom w:val="single" w:sz="8" w:space="0" w:color="auto"/>
              <w:right w:val="single" w:sz="8" w:space="0" w:color="auto"/>
            </w:tcBorders>
            <w:noWrap/>
            <w:vAlign w:val="bottom"/>
            <w:hideMark/>
          </w:tcPr>
          <w:p w14:paraId="031B4E74"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5</w:t>
            </w:r>
          </w:p>
        </w:tc>
        <w:tc>
          <w:tcPr>
            <w:tcW w:w="4791" w:type="dxa"/>
            <w:tcBorders>
              <w:top w:val="nil"/>
              <w:left w:val="nil"/>
              <w:bottom w:val="single" w:sz="8" w:space="0" w:color="auto"/>
              <w:right w:val="single" w:sz="8" w:space="0" w:color="auto"/>
            </w:tcBorders>
            <w:noWrap/>
            <w:vAlign w:val="bottom"/>
            <w:hideMark/>
          </w:tcPr>
          <w:p w14:paraId="499D69F8"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Likely to occur a number of times a year </w:t>
            </w:r>
          </w:p>
        </w:tc>
        <w:tc>
          <w:tcPr>
            <w:tcW w:w="1843" w:type="dxa"/>
            <w:tcBorders>
              <w:top w:val="single" w:sz="8" w:space="0" w:color="auto"/>
              <w:left w:val="nil"/>
              <w:bottom w:val="single" w:sz="8" w:space="0" w:color="auto"/>
              <w:right w:val="single" w:sz="8" w:space="0" w:color="auto"/>
            </w:tcBorders>
            <w:noWrap/>
            <w:vAlign w:val="bottom"/>
            <w:hideMark/>
          </w:tcPr>
          <w:p w14:paraId="36F720EB"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F  &gt;  10</w:t>
            </w:r>
          </w:p>
        </w:tc>
      </w:tr>
      <w:tr w:rsidR="0021482A" w:rsidRPr="004629F9" w14:paraId="74592355" w14:textId="77777777" w:rsidTr="0021482A">
        <w:trPr>
          <w:trHeight w:val="286"/>
        </w:trPr>
        <w:tc>
          <w:tcPr>
            <w:tcW w:w="1612" w:type="dxa"/>
            <w:tcBorders>
              <w:top w:val="nil"/>
              <w:left w:val="single" w:sz="8" w:space="0" w:color="auto"/>
              <w:bottom w:val="single" w:sz="8" w:space="0" w:color="auto"/>
              <w:right w:val="single" w:sz="8" w:space="0" w:color="auto"/>
            </w:tcBorders>
            <w:noWrap/>
            <w:vAlign w:val="bottom"/>
            <w:hideMark/>
          </w:tcPr>
          <w:p w14:paraId="18715986"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Likely </w:t>
            </w:r>
          </w:p>
        </w:tc>
        <w:tc>
          <w:tcPr>
            <w:tcW w:w="2103" w:type="dxa"/>
            <w:tcBorders>
              <w:top w:val="nil"/>
              <w:left w:val="nil"/>
              <w:bottom w:val="single" w:sz="8" w:space="0" w:color="auto"/>
              <w:right w:val="single" w:sz="8" w:space="0" w:color="auto"/>
            </w:tcBorders>
            <w:noWrap/>
            <w:vAlign w:val="bottom"/>
            <w:hideMark/>
          </w:tcPr>
          <w:p w14:paraId="4F843701"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4</w:t>
            </w:r>
          </w:p>
        </w:tc>
        <w:tc>
          <w:tcPr>
            <w:tcW w:w="4791" w:type="dxa"/>
            <w:tcBorders>
              <w:top w:val="nil"/>
              <w:left w:val="nil"/>
              <w:bottom w:val="single" w:sz="8" w:space="0" w:color="auto"/>
              <w:right w:val="single" w:sz="8" w:space="0" w:color="auto"/>
            </w:tcBorders>
            <w:noWrap/>
            <w:vAlign w:val="bottom"/>
            <w:hideMark/>
          </w:tcPr>
          <w:p w14:paraId="1E3F0C97"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Likely to occur a few times in the plant lifetime</w:t>
            </w:r>
          </w:p>
        </w:tc>
        <w:tc>
          <w:tcPr>
            <w:tcW w:w="1843" w:type="dxa"/>
            <w:tcBorders>
              <w:top w:val="nil"/>
              <w:left w:val="nil"/>
              <w:bottom w:val="single" w:sz="8" w:space="0" w:color="auto"/>
              <w:right w:val="single" w:sz="8" w:space="0" w:color="auto"/>
            </w:tcBorders>
            <w:noWrap/>
            <w:vAlign w:val="bottom"/>
            <w:hideMark/>
          </w:tcPr>
          <w:p w14:paraId="73D2AD8E"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10 &gt;  F &gt;  10</w:t>
            </w:r>
            <w:r w:rsidRPr="004629F9">
              <w:rPr>
                <w:rFonts w:ascii="Calibri" w:hAnsi="Calibri" w:cs="Calibri"/>
                <w:b/>
                <w:bCs/>
                <w:color w:val="000000"/>
                <w:sz w:val="22"/>
                <w:szCs w:val="22"/>
                <w:vertAlign w:val="superscript"/>
                <w:lang w:eastAsia="en-GB"/>
              </w:rPr>
              <w:t>-1</w:t>
            </w:r>
          </w:p>
        </w:tc>
      </w:tr>
      <w:tr w:rsidR="0021482A" w:rsidRPr="004629F9" w14:paraId="42C1B267" w14:textId="77777777" w:rsidTr="0021482A">
        <w:trPr>
          <w:trHeight w:val="286"/>
        </w:trPr>
        <w:tc>
          <w:tcPr>
            <w:tcW w:w="1612" w:type="dxa"/>
            <w:tcBorders>
              <w:top w:val="nil"/>
              <w:left w:val="single" w:sz="8" w:space="0" w:color="auto"/>
              <w:bottom w:val="single" w:sz="8" w:space="0" w:color="auto"/>
              <w:right w:val="single" w:sz="8" w:space="0" w:color="auto"/>
            </w:tcBorders>
            <w:noWrap/>
            <w:vAlign w:val="bottom"/>
            <w:hideMark/>
          </w:tcPr>
          <w:p w14:paraId="1AAD72BC"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Occasional</w:t>
            </w:r>
          </w:p>
        </w:tc>
        <w:tc>
          <w:tcPr>
            <w:tcW w:w="2103" w:type="dxa"/>
            <w:tcBorders>
              <w:top w:val="nil"/>
              <w:left w:val="nil"/>
              <w:bottom w:val="single" w:sz="8" w:space="0" w:color="auto"/>
              <w:right w:val="single" w:sz="8" w:space="0" w:color="auto"/>
            </w:tcBorders>
            <w:noWrap/>
            <w:vAlign w:val="bottom"/>
            <w:hideMark/>
          </w:tcPr>
          <w:p w14:paraId="0B175DB5"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3</w:t>
            </w:r>
          </w:p>
        </w:tc>
        <w:tc>
          <w:tcPr>
            <w:tcW w:w="4791" w:type="dxa"/>
            <w:tcBorders>
              <w:top w:val="nil"/>
              <w:left w:val="nil"/>
              <w:bottom w:val="single" w:sz="8" w:space="0" w:color="auto"/>
              <w:right w:val="single" w:sz="8" w:space="0" w:color="auto"/>
            </w:tcBorders>
            <w:noWrap/>
            <w:vAlign w:val="bottom"/>
            <w:hideMark/>
          </w:tcPr>
          <w:p w14:paraId="1A72A034"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Could occur in the plant lifetime</w:t>
            </w:r>
          </w:p>
        </w:tc>
        <w:tc>
          <w:tcPr>
            <w:tcW w:w="1843" w:type="dxa"/>
            <w:tcBorders>
              <w:top w:val="nil"/>
              <w:left w:val="nil"/>
              <w:bottom w:val="single" w:sz="8" w:space="0" w:color="auto"/>
              <w:right w:val="single" w:sz="8" w:space="0" w:color="auto"/>
            </w:tcBorders>
            <w:noWrap/>
            <w:vAlign w:val="bottom"/>
            <w:hideMark/>
          </w:tcPr>
          <w:p w14:paraId="3A78AE40"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10</w:t>
            </w:r>
            <w:r w:rsidRPr="004629F9">
              <w:rPr>
                <w:rFonts w:ascii="Calibri" w:hAnsi="Calibri" w:cs="Calibri"/>
                <w:b/>
                <w:bCs/>
                <w:color w:val="000000"/>
                <w:sz w:val="22"/>
                <w:szCs w:val="22"/>
                <w:vertAlign w:val="superscript"/>
                <w:lang w:eastAsia="en-GB"/>
              </w:rPr>
              <w:t xml:space="preserve">-1  </w:t>
            </w:r>
            <w:r w:rsidRPr="004629F9">
              <w:rPr>
                <w:rFonts w:ascii="Calibri" w:hAnsi="Calibri" w:cs="Calibri"/>
                <w:b/>
                <w:bCs/>
                <w:color w:val="000000"/>
                <w:sz w:val="22"/>
                <w:szCs w:val="22"/>
                <w:lang w:eastAsia="en-GB"/>
              </w:rPr>
              <w:t>&gt; F &gt; 10</w:t>
            </w:r>
            <w:r w:rsidRPr="004629F9">
              <w:rPr>
                <w:rFonts w:ascii="Calibri" w:hAnsi="Calibri" w:cs="Calibri"/>
                <w:b/>
                <w:bCs/>
                <w:color w:val="000000"/>
                <w:sz w:val="22"/>
                <w:szCs w:val="22"/>
                <w:vertAlign w:val="superscript"/>
                <w:lang w:eastAsia="en-GB"/>
              </w:rPr>
              <w:t>-3</w:t>
            </w:r>
          </w:p>
        </w:tc>
      </w:tr>
      <w:tr w:rsidR="0021482A" w:rsidRPr="004629F9" w14:paraId="7E4C002B" w14:textId="77777777" w:rsidTr="0021482A">
        <w:trPr>
          <w:trHeight w:val="286"/>
        </w:trPr>
        <w:tc>
          <w:tcPr>
            <w:tcW w:w="1612" w:type="dxa"/>
            <w:tcBorders>
              <w:top w:val="nil"/>
              <w:left w:val="single" w:sz="8" w:space="0" w:color="auto"/>
              <w:bottom w:val="single" w:sz="8" w:space="0" w:color="auto"/>
              <w:right w:val="single" w:sz="8" w:space="0" w:color="auto"/>
            </w:tcBorders>
            <w:noWrap/>
            <w:vAlign w:val="bottom"/>
            <w:hideMark/>
          </w:tcPr>
          <w:p w14:paraId="1BE5FB80"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Unlikely</w:t>
            </w:r>
          </w:p>
        </w:tc>
        <w:tc>
          <w:tcPr>
            <w:tcW w:w="2103" w:type="dxa"/>
            <w:tcBorders>
              <w:top w:val="nil"/>
              <w:left w:val="nil"/>
              <w:bottom w:val="single" w:sz="8" w:space="0" w:color="auto"/>
              <w:right w:val="single" w:sz="8" w:space="0" w:color="auto"/>
            </w:tcBorders>
            <w:noWrap/>
            <w:vAlign w:val="bottom"/>
            <w:hideMark/>
          </w:tcPr>
          <w:p w14:paraId="60EE2E6C"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2</w:t>
            </w:r>
          </w:p>
        </w:tc>
        <w:tc>
          <w:tcPr>
            <w:tcW w:w="4791" w:type="dxa"/>
            <w:tcBorders>
              <w:top w:val="nil"/>
              <w:left w:val="nil"/>
              <w:bottom w:val="single" w:sz="8" w:space="0" w:color="auto"/>
              <w:right w:val="single" w:sz="8" w:space="0" w:color="auto"/>
            </w:tcBorders>
            <w:noWrap/>
            <w:vAlign w:val="bottom"/>
            <w:hideMark/>
          </w:tcPr>
          <w:p w14:paraId="2C77C5AB"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Unlikely to occur</w:t>
            </w:r>
          </w:p>
        </w:tc>
        <w:tc>
          <w:tcPr>
            <w:tcW w:w="1843" w:type="dxa"/>
            <w:tcBorders>
              <w:top w:val="nil"/>
              <w:left w:val="nil"/>
              <w:bottom w:val="single" w:sz="8" w:space="0" w:color="auto"/>
              <w:right w:val="single" w:sz="8" w:space="0" w:color="auto"/>
            </w:tcBorders>
            <w:noWrap/>
            <w:vAlign w:val="bottom"/>
            <w:hideMark/>
          </w:tcPr>
          <w:p w14:paraId="09E70232"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10</w:t>
            </w:r>
            <w:r w:rsidRPr="004629F9">
              <w:rPr>
                <w:rFonts w:ascii="Calibri" w:hAnsi="Calibri" w:cs="Calibri"/>
                <w:b/>
                <w:bCs/>
                <w:color w:val="000000"/>
                <w:sz w:val="22"/>
                <w:szCs w:val="22"/>
                <w:vertAlign w:val="superscript"/>
                <w:lang w:eastAsia="en-GB"/>
              </w:rPr>
              <w:t xml:space="preserve">-3 </w:t>
            </w:r>
            <w:r w:rsidRPr="004629F9">
              <w:rPr>
                <w:rFonts w:ascii="Calibri" w:hAnsi="Calibri" w:cs="Calibri"/>
                <w:b/>
                <w:bCs/>
                <w:color w:val="000000"/>
                <w:sz w:val="22"/>
                <w:szCs w:val="22"/>
                <w:lang w:eastAsia="en-GB"/>
              </w:rPr>
              <w:t xml:space="preserve"> &gt; F &gt; 10</w:t>
            </w:r>
            <w:r w:rsidRPr="004629F9">
              <w:rPr>
                <w:rFonts w:ascii="Calibri" w:hAnsi="Calibri" w:cs="Calibri"/>
                <w:b/>
                <w:bCs/>
                <w:color w:val="000000"/>
                <w:sz w:val="22"/>
                <w:szCs w:val="22"/>
                <w:vertAlign w:val="superscript"/>
                <w:lang w:eastAsia="en-GB"/>
              </w:rPr>
              <w:t>-5</w:t>
            </w:r>
            <w:r w:rsidRPr="004629F9">
              <w:rPr>
                <w:rFonts w:ascii="Calibri" w:hAnsi="Calibri" w:cs="Calibri"/>
                <w:b/>
                <w:bCs/>
                <w:color w:val="000000"/>
                <w:sz w:val="22"/>
                <w:szCs w:val="22"/>
                <w:lang w:eastAsia="en-GB"/>
              </w:rPr>
              <w:t xml:space="preserve"> </w:t>
            </w:r>
          </w:p>
        </w:tc>
      </w:tr>
      <w:tr w:rsidR="0021482A" w:rsidRPr="004629F9" w14:paraId="559D2832" w14:textId="77777777" w:rsidTr="0021482A">
        <w:trPr>
          <w:trHeight w:val="286"/>
        </w:trPr>
        <w:tc>
          <w:tcPr>
            <w:tcW w:w="1612" w:type="dxa"/>
            <w:tcBorders>
              <w:top w:val="nil"/>
              <w:left w:val="single" w:sz="8" w:space="0" w:color="auto"/>
              <w:bottom w:val="single" w:sz="8" w:space="0" w:color="auto"/>
              <w:right w:val="single" w:sz="8" w:space="0" w:color="auto"/>
            </w:tcBorders>
            <w:noWrap/>
            <w:vAlign w:val="bottom"/>
            <w:hideMark/>
          </w:tcPr>
          <w:p w14:paraId="44AF60D1"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Remote</w:t>
            </w:r>
          </w:p>
        </w:tc>
        <w:tc>
          <w:tcPr>
            <w:tcW w:w="2103" w:type="dxa"/>
            <w:tcBorders>
              <w:top w:val="nil"/>
              <w:left w:val="nil"/>
              <w:bottom w:val="single" w:sz="8" w:space="0" w:color="auto"/>
              <w:right w:val="single" w:sz="8" w:space="0" w:color="auto"/>
            </w:tcBorders>
            <w:noWrap/>
            <w:vAlign w:val="bottom"/>
            <w:hideMark/>
          </w:tcPr>
          <w:p w14:paraId="1721FAAF"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w:t>
            </w:r>
          </w:p>
        </w:tc>
        <w:tc>
          <w:tcPr>
            <w:tcW w:w="4791" w:type="dxa"/>
            <w:tcBorders>
              <w:top w:val="nil"/>
              <w:left w:val="nil"/>
              <w:bottom w:val="single" w:sz="8" w:space="0" w:color="auto"/>
              <w:right w:val="single" w:sz="8" w:space="0" w:color="auto"/>
            </w:tcBorders>
            <w:noWrap/>
            <w:vAlign w:val="bottom"/>
            <w:hideMark/>
          </w:tcPr>
          <w:p w14:paraId="0D9ACD5D"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Highly unlikely but may exceptionally occur </w:t>
            </w:r>
          </w:p>
        </w:tc>
        <w:tc>
          <w:tcPr>
            <w:tcW w:w="1843" w:type="dxa"/>
            <w:tcBorders>
              <w:top w:val="nil"/>
              <w:left w:val="nil"/>
              <w:bottom w:val="single" w:sz="8" w:space="0" w:color="auto"/>
              <w:right w:val="single" w:sz="8" w:space="0" w:color="auto"/>
            </w:tcBorders>
            <w:noWrap/>
            <w:vAlign w:val="bottom"/>
            <w:hideMark/>
          </w:tcPr>
          <w:p w14:paraId="06C52EB2"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10</w:t>
            </w:r>
            <w:r w:rsidRPr="004629F9">
              <w:rPr>
                <w:rFonts w:ascii="Calibri" w:hAnsi="Calibri" w:cs="Calibri"/>
                <w:b/>
                <w:bCs/>
                <w:color w:val="000000"/>
                <w:sz w:val="22"/>
                <w:szCs w:val="22"/>
                <w:vertAlign w:val="superscript"/>
                <w:lang w:eastAsia="en-GB"/>
              </w:rPr>
              <w:t>-5</w:t>
            </w:r>
            <w:r w:rsidRPr="004629F9">
              <w:rPr>
                <w:rFonts w:ascii="Calibri" w:hAnsi="Calibri" w:cs="Calibri"/>
                <w:b/>
                <w:bCs/>
                <w:color w:val="000000"/>
                <w:sz w:val="22"/>
                <w:szCs w:val="22"/>
                <w:lang w:eastAsia="en-GB"/>
              </w:rPr>
              <w:t xml:space="preserve"> &gt; F &gt; 10</w:t>
            </w:r>
            <w:r w:rsidRPr="004629F9">
              <w:rPr>
                <w:rFonts w:ascii="Calibri" w:hAnsi="Calibri" w:cs="Calibri"/>
                <w:b/>
                <w:bCs/>
                <w:color w:val="000000"/>
                <w:sz w:val="22"/>
                <w:szCs w:val="22"/>
                <w:vertAlign w:val="superscript"/>
                <w:lang w:eastAsia="en-GB"/>
              </w:rPr>
              <w:t>-7</w:t>
            </w:r>
          </w:p>
        </w:tc>
      </w:tr>
    </w:tbl>
    <w:p w14:paraId="09250EEC" w14:textId="77777777" w:rsidR="006D079A" w:rsidRPr="00405FBA" w:rsidRDefault="006D079A" w:rsidP="006D079A"/>
    <w:p w14:paraId="1C4F1580" w14:textId="77777777" w:rsidR="00573310" w:rsidRPr="00573310" w:rsidRDefault="00573310" w:rsidP="00573310">
      <w:pPr>
        <w:rPr>
          <w:lang w:val="en-US"/>
        </w:rPr>
      </w:pPr>
    </w:p>
    <w:p w14:paraId="57E09459" w14:textId="77777777" w:rsidR="00B102CC" w:rsidRPr="00B102CC" w:rsidRDefault="00B102CC" w:rsidP="00B102CC">
      <w:pPr>
        <w:pStyle w:val="NormalWeb"/>
        <w:spacing w:before="0" w:beforeAutospacing="0" w:after="0" w:afterAutospacing="0"/>
        <w:ind w:left="540"/>
        <w:rPr>
          <w:sz w:val="20"/>
          <w:szCs w:val="20"/>
          <w:lang w:val="en-US"/>
        </w:rPr>
      </w:pPr>
      <w:r w:rsidRPr="00B102CC">
        <w:rPr>
          <w:sz w:val="20"/>
          <w:szCs w:val="20"/>
          <w:lang w:val="en-US"/>
        </w:rPr>
        <w:t> </w:t>
      </w:r>
    </w:p>
    <w:p w14:paraId="449E1B46" w14:textId="763F8785" w:rsidR="004629F9" w:rsidRDefault="004629F9" w:rsidP="000979D8">
      <w:pPr>
        <w:pStyle w:val="Heading1"/>
        <w:spacing w:after="0"/>
        <w:rPr>
          <w:rFonts w:ascii="Times New Roman" w:hAnsi="Times New Roman" w:cs="Times New Roman"/>
          <w:b w:val="0"/>
          <w:bCs w:val="0"/>
          <w:sz w:val="28"/>
          <w:szCs w:val="28"/>
          <w:lang w:val="en-US"/>
        </w:rPr>
      </w:pPr>
      <w:bookmarkStart w:id="20" w:name="_Toc234999880"/>
      <w:r w:rsidRPr="00414F8F">
        <w:rPr>
          <w:rFonts w:ascii="Times New Roman" w:hAnsi="Times New Roman" w:cs="Times New Roman"/>
          <w:b w:val="0"/>
          <w:bCs w:val="0"/>
          <w:sz w:val="28"/>
          <w:szCs w:val="28"/>
          <w:lang w:val="en-US"/>
        </w:rPr>
        <w:lastRenderedPageBreak/>
        <w:t>Introduction to ALARP justification report</w:t>
      </w:r>
      <w:bookmarkEnd w:id="20"/>
      <w:r w:rsidR="00EC6629">
        <w:rPr>
          <w:rFonts w:ascii="Times New Roman" w:hAnsi="Times New Roman" w:cs="Times New Roman"/>
          <w:b w:val="0"/>
          <w:bCs w:val="0"/>
          <w:sz w:val="28"/>
          <w:szCs w:val="28"/>
          <w:lang w:val="en-US"/>
        </w:rPr>
        <w:t xml:space="preserve"> </w:t>
      </w:r>
    </w:p>
    <w:p w14:paraId="3BA313E3" w14:textId="58BACD18" w:rsidR="006170ED" w:rsidRPr="006170ED" w:rsidRDefault="00240C8F" w:rsidP="006170ED">
      <w:pPr>
        <w:rPr>
          <w:rFonts w:asciiTheme="majorBidi" w:hAnsiTheme="majorBidi" w:cstheme="majorBidi"/>
          <w:sz w:val="20"/>
          <w:szCs w:val="20"/>
          <w:lang w:val="en-US"/>
        </w:rPr>
      </w:pPr>
      <w:r>
        <w:rPr>
          <w:rFonts w:asciiTheme="majorBidi" w:hAnsiTheme="majorBidi" w:cstheme="majorBidi"/>
          <w:sz w:val="20"/>
          <w:szCs w:val="20"/>
          <w:lang w:val="en-US"/>
        </w:rPr>
        <w:t xml:space="preserve">This ALARP Justification report is on a </w:t>
      </w:r>
      <w:r w:rsidRPr="00240C8F">
        <w:rPr>
          <w:rFonts w:asciiTheme="majorBidi" w:hAnsiTheme="majorBidi" w:cstheme="majorBidi"/>
          <w:sz w:val="20"/>
          <w:szCs w:val="20"/>
          <w:lang w:val="en-US"/>
        </w:rPr>
        <w:t>Fire Control System calibration trial</w:t>
      </w:r>
      <w:r>
        <w:rPr>
          <w:rFonts w:asciiTheme="majorBidi" w:hAnsiTheme="majorBidi" w:cstheme="majorBidi"/>
          <w:sz w:val="20"/>
          <w:szCs w:val="20"/>
          <w:lang w:val="en-US"/>
        </w:rPr>
        <w:t xml:space="preserve"> with focus on v</w:t>
      </w:r>
      <w:r w:rsidRPr="00240C8F">
        <w:rPr>
          <w:rFonts w:asciiTheme="majorBidi" w:hAnsiTheme="majorBidi" w:cstheme="majorBidi"/>
          <w:sz w:val="20"/>
          <w:szCs w:val="20"/>
          <w:lang w:val="en-US"/>
        </w:rPr>
        <w:t>aried firing of HE rounds from CT40 cannon mounted to Ajax platform to calibrate FCS</w:t>
      </w:r>
      <w:r>
        <w:rPr>
          <w:rFonts w:asciiTheme="majorBidi" w:hAnsiTheme="majorBidi" w:cstheme="majorBidi"/>
          <w:sz w:val="20"/>
          <w:szCs w:val="20"/>
          <w:lang w:val="en-US"/>
        </w:rPr>
        <w:t>. The CT40, 40mm Cased Telescope Can</w:t>
      </w:r>
      <w:r w:rsidR="00F54DA6">
        <w:rPr>
          <w:rFonts w:asciiTheme="majorBidi" w:hAnsiTheme="majorBidi" w:cstheme="majorBidi"/>
          <w:sz w:val="20"/>
          <w:szCs w:val="20"/>
          <w:lang w:val="en-US"/>
        </w:rPr>
        <w:t>non, is a mounted cannon designed to interface with the Ajax and Warrior armored vehicle</w:t>
      </w:r>
      <w:r w:rsidR="00051841">
        <w:rPr>
          <w:rFonts w:asciiTheme="majorBidi" w:hAnsiTheme="majorBidi" w:cstheme="majorBidi"/>
          <w:sz w:val="20"/>
          <w:szCs w:val="20"/>
          <w:lang w:val="en-US"/>
        </w:rPr>
        <w:t>s. The firing cycles undergo; breech at rest with inert shell, breech rotation occurs which discharges the inert shell, projectile firing form casing and finally the breech returns to rest position. [1] The Ajax</w:t>
      </w:r>
      <w:r w:rsidR="00A03F7E">
        <w:rPr>
          <w:rFonts w:asciiTheme="majorBidi" w:hAnsiTheme="majorBidi" w:cstheme="majorBidi"/>
          <w:sz w:val="20"/>
          <w:szCs w:val="20"/>
          <w:lang w:val="en-US"/>
        </w:rPr>
        <w:t xml:space="preserve"> is a series of vehicles developed by General Dynamics UK, which was designed to be a functional armored fighting vehicle, operated by multiple trained operatives. [2] </w:t>
      </w:r>
    </w:p>
    <w:p w14:paraId="3AEF8D45" w14:textId="77551EE4" w:rsidR="004629F9" w:rsidRDefault="004629F9" w:rsidP="004629F9">
      <w:pPr>
        <w:pStyle w:val="Heading2"/>
        <w:rPr>
          <w:rFonts w:ascii="Times New Roman" w:hAnsi="Times New Roman" w:cs="Times New Roman"/>
          <w:b w:val="0"/>
          <w:bCs w:val="0"/>
          <w:color w:val="EE0000"/>
          <w:sz w:val="24"/>
          <w:szCs w:val="24"/>
          <w:lang w:val="en-US"/>
        </w:rPr>
      </w:pPr>
      <w:bookmarkStart w:id="21" w:name="_Toc234999881"/>
      <w:r w:rsidRPr="00414F8F">
        <w:rPr>
          <w:rFonts w:ascii="Times New Roman" w:hAnsi="Times New Roman" w:cs="Times New Roman"/>
          <w:b w:val="0"/>
          <w:bCs w:val="0"/>
          <w:sz w:val="24"/>
          <w:szCs w:val="24"/>
          <w:lang w:val="en-US"/>
        </w:rPr>
        <w:t xml:space="preserve">Definition and </w:t>
      </w:r>
      <w:r w:rsidR="00414F8F" w:rsidRPr="00414F8F">
        <w:rPr>
          <w:rFonts w:ascii="Times New Roman" w:hAnsi="Times New Roman" w:cs="Times New Roman"/>
          <w:b w:val="0"/>
          <w:bCs w:val="0"/>
          <w:sz w:val="24"/>
          <w:szCs w:val="24"/>
          <w:lang w:val="en-US"/>
        </w:rPr>
        <w:t>cruciality</w:t>
      </w:r>
      <w:r w:rsidRPr="00414F8F">
        <w:rPr>
          <w:rFonts w:ascii="Times New Roman" w:hAnsi="Times New Roman" w:cs="Times New Roman"/>
          <w:b w:val="0"/>
          <w:bCs w:val="0"/>
          <w:sz w:val="24"/>
          <w:szCs w:val="24"/>
          <w:lang w:val="en-US"/>
        </w:rPr>
        <w:t xml:space="preserve"> of ALARP in hazard identification and mitigation</w:t>
      </w:r>
      <w:bookmarkEnd w:id="21"/>
      <w:r w:rsidRPr="00414F8F">
        <w:rPr>
          <w:rFonts w:ascii="Times New Roman" w:hAnsi="Times New Roman" w:cs="Times New Roman"/>
          <w:b w:val="0"/>
          <w:bCs w:val="0"/>
          <w:sz w:val="24"/>
          <w:szCs w:val="24"/>
          <w:lang w:val="en-US"/>
        </w:rPr>
        <w:t xml:space="preserve"> </w:t>
      </w:r>
    </w:p>
    <w:p w14:paraId="64AF5D1D" w14:textId="42492984" w:rsidR="001D1209" w:rsidRDefault="00A03F7E" w:rsidP="001D1209">
      <w:pPr>
        <w:rPr>
          <w:rFonts w:asciiTheme="majorBidi" w:hAnsiTheme="majorBidi" w:cstheme="majorBidi"/>
          <w:sz w:val="20"/>
          <w:szCs w:val="20"/>
          <w:lang w:val="en-US"/>
        </w:rPr>
      </w:pPr>
      <w:r>
        <w:rPr>
          <w:rFonts w:asciiTheme="majorBidi" w:hAnsiTheme="majorBidi" w:cstheme="majorBidi"/>
          <w:sz w:val="20"/>
          <w:szCs w:val="20"/>
          <w:lang w:val="en-US"/>
        </w:rPr>
        <w:t>ALARP stands for ‘As Low As Reasonably Possible’ [3]</w:t>
      </w:r>
      <w:r w:rsidR="001D1209">
        <w:rPr>
          <w:rFonts w:asciiTheme="majorBidi" w:hAnsiTheme="majorBidi" w:cstheme="majorBidi"/>
          <w:sz w:val="20"/>
          <w:szCs w:val="20"/>
          <w:lang w:val="en-US"/>
        </w:rPr>
        <w:t xml:space="preserve"> and is used </w:t>
      </w:r>
      <w:r w:rsidR="00955A78">
        <w:rPr>
          <w:rFonts w:asciiTheme="majorBidi" w:hAnsiTheme="majorBidi" w:cstheme="majorBidi"/>
          <w:sz w:val="20"/>
          <w:szCs w:val="20"/>
          <w:lang w:val="en-US"/>
        </w:rPr>
        <w:t>by</w:t>
      </w:r>
      <w:r w:rsidR="001D1209">
        <w:rPr>
          <w:rFonts w:asciiTheme="majorBidi" w:hAnsiTheme="majorBidi" w:cstheme="majorBidi"/>
          <w:sz w:val="20"/>
          <w:szCs w:val="20"/>
          <w:lang w:val="en-US"/>
        </w:rPr>
        <w:t xml:space="preserve"> Duty Holders, HCS and associated specialists to regulate the risks involved in that working environment and quantify acceptable and unacceptable risk. This allows operators to identify the hazard, assign quantitative values and assign mitigations which can be universally understood across industries.</w:t>
      </w:r>
    </w:p>
    <w:p w14:paraId="0A8B4D19" w14:textId="1D142126" w:rsidR="001D1209" w:rsidRPr="00A03F7E" w:rsidRDefault="001D1209" w:rsidP="001D1209">
      <w:pPr>
        <w:rPr>
          <w:rFonts w:asciiTheme="majorBidi" w:hAnsiTheme="majorBidi" w:cstheme="majorBidi"/>
          <w:sz w:val="20"/>
          <w:szCs w:val="20"/>
          <w:lang w:val="en-US"/>
        </w:rPr>
      </w:pPr>
      <w:r>
        <w:rPr>
          <w:rFonts w:asciiTheme="majorBidi" w:hAnsiTheme="majorBidi" w:cstheme="majorBidi"/>
          <w:sz w:val="20"/>
          <w:szCs w:val="20"/>
          <w:lang w:val="en-US"/>
        </w:rPr>
        <w:t xml:space="preserve">SFAIR is another common term when discussing the legality of risks. SFAIR stands for </w:t>
      </w:r>
      <w:r w:rsidR="00501BB0">
        <w:rPr>
          <w:rFonts w:asciiTheme="majorBidi" w:hAnsiTheme="majorBidi" w:cstheme="majorBidi"/>
          <w:sz w:val="20"/>
          <w:szCs w:val="20"/>
          <w:lang w:val="en-US"/>
        </w:rPr>
        <w:t>‘</w:t>
      </w:r>
      <w:r>
        <w:rPr>
          <w:rFonts w:asciiTheme="majorBidi" w:hAnsiTheme="majorBidi" w:cstheme="majorBidi"/>
          <w:sz w:val="20"/>
          <w:szCs w:val="20"/>
          <w:lang w:val="en-US"/>
        </w:rPr>
        <w:t>So Far As Is Reasonably Practicable</w:t>
      </w:r>
      <w:r w:rsidR="00501BB0">
        <w:rPr>
          <w:rFonts w:asciiTheme="majorBidi" w:hAnsiTheme="majorBidi" w:cstheme="majorBidi"/>
          <w:sz w:val="20"/>
          <w:szCs w:val="20"/>
          <w:lang w:val="en-US"/>
        </w:rPr>
        <w:t>’</w:t>
      </w:r>
      <w:r>
        <w:rPr>
          <w:rFonts w:asciiTheme="majorBidi" w:hAnsiTheme="majorBidi" w:cstheme="majorBidi"/>
          <w:sz w:val="20"/>
          <w:szCs w:val="20"/>
          <w:lang w:val="en-US"/>
        </w:rPr>
        <w:t xml:space="preserve"> and is a subjective system which </w:t>
      </w:r>
      <w:r w:rsidR="0039248E">
        <w:rPr>
          <w:rFonts w:asciiTheme="majorBidi" w:hAnsiTheme="majorBidi" w:cstheme="majorBidi"/>
          <w:sz w:val="20"/>
          <w:szCs w:val="20"/>
          <w:lang w:val="en-US"/>
        </w:rPr>
        <w:t>occurs in</w:t>
      </w:r>
      <w:r>
        <w:rPr>
          <w:rFonts w:asciiTheme="majorBidi" w:hAnsiTheme="majorBidi" w:cstheme="majorBidi"/>
          <w:sz w:val="20"/>
          <w:szCs w:val="20"/>
          <w:lang w:val="en-US"/>
        </w:rPr>
        <w:t xml:space="preserve"> </w:t>
      </w:r>
      <w:r w:rsidR="0039248E">
        <w:rPr>
          <w:rFonts w:asciiTheme="majorBidi" w:hAnsiTheme="majorBidi" w:cstheme="majorBidi"/>
          <w:sz w:val="20"/>
          <w:szCs w:val="20"/>
          <w:lang w:val="en-US"/>
        </w:rPr>
        <w:t>legal documents and court considerations when discussing risks and hazards in the workplace. [4]</w:t>
      </w:r>
    </w:p>
    <w:p w14:paraId="08B27BDB" w14:textId="680C2C16" w:rsidR="004629F9" w:rsidRPr="00414F8F" w:rsidRDefault="004629F9" w:rsidP="004629F9">
      <w:pPr>
        <w:pStyle w:val="Heading2"/>
        <w:rPr>
          <w:rFonts w:ascii="Times New Roman" w:hAnsi="Times New Roman" w:cs="Times New Roman"/>
          <w:b w:val="0"/>
          <w:bCs w:val="0"/>
          <w:sz w:val="24"/>
          <w:szCs w:val="24"/>
          <w:lang w:val="en-US"/>
        </w:rPr>
      </w:pPr>
      <w:bookmarkStart w:id="22" w:name="_Toc234999882"/>
      <w:r w:rsidRPr="00414F8F">
        <w:rPr>
          <w:rFonts w:ascii="Times New Roman" w:hAnsi="Times New Roman" w:cs="Times New Roman"/>
          <w:b w:val="0"/>
          <w:bCs w:val="0"/>
          <w:sz w:val="24"/>
          <w:szCs w:val="24"/>
          <w:lang w:val="en-US"/>
        </w:rPr>
        <w:t>Selection and justification of hazard</w:t>
      </w:r>
      <w:bookmarkEnd w:id="22"/>
    </w:p>
    <w:p w14:paraId="7C7C9949" w14:textId="4B341973" w:rsidR="000E1399" w:rsidRDefault="0039248E" w:rsidP="00955A78">
      <w:pPr>
        <w:rPr>
          <w:rFonts w:asciiTheme="majorBidi" w:hAnsiTheme="majorBidi" w:cstheme="majorBidi"/>
          <w:sz w:val="20"/>
          <w:szCs w:val="20"/>
          <w:lang w:val="en-US"/>
        </w:rPr>
      </w:pPr>
      <w:r w:rsidRPr="00955A78">
        <w:rPr>
          <w:rFonts w:asciiTheme="majorBidi" w:hAnsiTheme="majorBidi" w:cstheme="majorBidi"/>
          <w:sz w:val="20"/>
          <w:szCs w:val="20"/>
          <w:lang w:val="en-US"/>
        </w:rPr>
        <w:t xml:space="preserve">The focused hazard for the report is when </w:t>
      </w:r>
      <w:r w:rsidR="00955A78" w:rsidRPr="00955A78">
        <w:rPr>
          <w:rFonts w:asciiTheme="majorBidi" w:hAnsiTheme="majorBidi" w:cstheme="majorBidi"/>
          <w:sz w:val="20"/>
          <w:szCs w:val="20"/>
          <w:lang w:val="en-US"/>
        </w:rPr>
        <w:t>d</w:t>
      </w:r>
      <w:r w:rsidR="00955A78" w:rsidRPr="00955A78">
        <w:rPr>
          <w:rFonts w:asciiTheme="majorBidi" w:hAnsiTheme="majorBidi" w:cstheme="majorBidi"/>
          <w:sz w:val="20"/>
          <w:szCs w:val="20"/>
          <w:lang w:val="en-US"/>
        </w:rPr>
        <w:t xml:space="preserve">iurnal cycling of </w:t>
      </w:r>
      <w:r w:rsidR="00501BB0">
        <w:rPr>
          <w:rFonts w:asciiTheme="majorBidi" w:hAnsiTheme="majorBidi" w:cstheme="majorBidi"/>
          <w:sz w:val="20"/>
          <w:szCs w:val="20"/>
          <w:lang w:val="en-US"/>
        </w:rPr>
        <w:t xml:space="preserve">the HE </w:t>
      </w:r>
      <w:r w:rsidR="00955A78" w:rsidRPr="00955A78">
        <w:rPr>
          <w:rFonts w:asciiTheme="majorBidi" w:hAnsiTheme="majorBidi" w:cstheme="majorBidi"/>
          <w:sz w:val="20"/>
          <w:szCs w:val="20"/>
          <w:lang w:val="en-US"/>
        </w:rPr>
        <w:t>fill causing in bore detonation</w:t>
      </w:r>
      <w:r w:rsidR="00955A78" w:rsidRPr="00955A78">
        <w:rPr>
          <w:rFonts w:asciiTheme="majorBidi" w:hAnsiTheme="majorBidi" w:cstheme="majorBidi"/>
          <w:sz w:val="20"/>
          <w:szCs w:val="20"/>
          <w:lang w:val="en-US"/>
        </w:rPr>
        <w:t xml:space="preserve"> occurs</w:t>
      </w:r>
      <w:r w:rsidR="00955A78">
        <w:rPr>
          <w:rFonts w:asciiTheme="majorBidi" w:hAnsiTheme="majorBidi" w:cstheme="majorBidi"/>
          <w:sz w:val="20"/>
          <w:szCs w:val="20"/>
          <w:lang w:val="en-US"/>
        </w:rPr>
        <w:t>. Due to the reactive nature and varying material compositions within the product, over long</w:t>
      </w:r>
      <w:r w:rsidR="000E1399">
        <w:rPr>
          <w:rFonts w:asciiTheme="majorBidi" w:hAnsiTheme="majorBidi" w:cstheme="majorBidi"/>
          <w:sz w:val="20"/>
          <w:szCs w:val="20"/>
          <w:lang w:val="en-US"/>
        </w:rPr>
        <w:t>-</w:t>
      </w:r>
      <w:r w:rsidR="00955A78">
        <w:rPr>
          <w:rFonts w:asciiTheme="majorBidi" w:hAnsiTheme="majorBidi" w:cstheme="majorBidi"/>
          <w:sz w:val="20"/>
          <w:szCs w:val="20"/>
          <w:lang w:val="en-US"/>
        </w:rPr>
        <w:t>term storage</w:t>
      </w:r>
      <w:r w:rsidR="000E1399">
        <w:rPr>
          <w:rFonts w:asciiTheme="majorBidi" w:hAnsiTheme="majorBidi" w:cstheme="majorBidi"/>
          <w:sz w:val="20"/>
          <w:szCs w:val="20"/>
          <w:lang w:val="en-US"/>
        </w:rPr>
        <w:t xml:space="preserve">, degradation in the material quality, chemical bonding and contact between component variation due to temperature, humidity and light exposure must be monitored. </w:t>
      </w:r>
    </w:p>
    <w:p w14:paraId="0B2C35D9" w14:textId="605C1DAC" w:rsidR="00B102CC" w:rsidRDefault="000E1399" w:rsidP="00955A78">
      <w:pPr>
        <w:rPr>
          <w:rFonts w:asciiTheme="majorBidi" w:hAnsiTheme="majorBidi" w:cstheme="majorBidi"/>
          <w:sz w:val="20"/>
          <w:szCs w:val="20"/>
          <w:lang w:val="en-US"/>
        </w:rPr>
      </w:pPr>
      <w:r>
        <w:rPr>
          <w:rFonts w:asciiTheme="majorBidi" w:hAnsiTheme="majorBidi" w:cstheme="majorBidi"/>
          <w:sz w:val="20"/>
          <w:szCs w:val="20"/>
          <w:lang w:val="en-US"/>
        </w:rPr>
        <w:t xml:space="preserve">If a munition is exposed to a wide range of heating cycles, where the product is exposed to high heat and the materials expand then exposed to low heat where the materials compress repeatedly, this can </w:t>
      </w:r>
      <w:r w:rsidR="0021482A">
        <w:rPr>
          <w:rFonts w:asciiTheme="majorBidi" w:hAnsiTheme="majorBidi" w:cstheme="majorBidi"/>
          <w:sz w:val="20"/>
          <w:szCs w:val="20"/>
          <w:lang w:val="en-US"/>
        </w:rPr>
        <w:t>affect</w:t>
      </w:r>
      <w:r>
        <w:rPr>
          <w:rFonts w:asciiTheme="majorBidi" w:hAnsiTheme="majorBidi" w:cstheme="majorBidi"/>
          <w:sz w:val="20"/>
          <w:szCs w:val="20"/>
          <w:lang w:val="en-US"/>
        </w:rPr>
        <w:t xml:space="preserve"> the seals and contact between components but crucially can cause voids and cracking within the fill effecting the volatility and efficiency of the munition. </w:t>
      </w:r>
    </w:p>
    <w:p w14:paraId="5F417E9D" w14:textId="4CE5F609" w:rsidR="000E1399" w:rsidRDefault="000E1399" w:rsidP="00955A78">
      <w:pPr>
        <w:rPr>
          <w:rFonts w:asciiTheme="majorBidi" w:hAnsiTheme="majorBidi" w:cstheme="majorBidi"/>
          <w:sz w:val="20"/>
          <w:szCs w:val="20"/>
          <w:lang w:val="en-US"/>
        </w:rPr>
      </w:pPr>
      <w:r>
        <w:rPr>
          <w:rFonts w:asciiTheme="majorBidi" w:hAnsiTheme="majorBidi" w:cstheme="majorBidi"/>
          <w:sz w:val="20"/>
          <w:szCs w:val="20"/>
          <w:lang w:val="en-US"/>
        </w:rPr>
        <w:t>A munition exposed to varying humidity will see the fill absorbing additional fluid and losing needed fluid to ensure proper chemical structure. This variation at time of firing with yield varied results and over a repeated cycling can cause cracking and voids too occur. When cracking and voids occur, this can either reduce volatility due to insufficient crystal interaction or increase volatility due to hot spots forming.</w:t>
      </w:r>
    </w:p>
    <w:p w14:paraId="69A7A1E0" w14:textId="54E4638E" w:rsidR="0021482A" w:rsidRPr="0021482A" w:rsidRDefault="0021482A"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Therefore, to ensure safe and predictable operation of the munition, minimisation of the product experiencing the environmental cycle is crucial. In circumstances where complete minimisation can not be accomplished, data gathering to inform operators can provide some in sight into possible product be haviour. </w:t>
      </w:r>
    </w:p>
    <w:p w14:paraId="7802F0E3" w14:textId="77777777" w:rsidR="0039248E" w:rsidRPr="0039248E" w:rsidRDefault="0039248E" w:rsidP="0039248E">
      <w:pPr>
        <w:rPr>
          <w:lang w:val="en-US"/>
        </w:rPr>
      </w:pPr>
    </w:p>
    <w:p w14:paraId="54FA93E6" w14:textId="46698C87" w:rsidR="00B102CC" w:rsidRPr="00414F8F" w:rsidRDefault="004629F9" w:rsidP="00B102CC">
      <w:pPr>
        <w:pStyle w:val="Heading1"/>
        <w:rPr>
          <w:rFonts w:ascii="Times New Roman" w:hAnsi="Times New Roman" w:cs="Times New Roman"/>
          <w:b w:val="0"/>
          <w:bCs w:val="0"/>
          <w:sz w:val="28"/>
          <w:szCs w:val="28"/>
          <w:lang w:val="en-US"/>
        </w:rPr>
      </w:pPr>
      <w:bookmarkStart w:id="23" w:name="_Toc234999883"/>
      <w:r w:rsidRPr="00414F8F">
        <w:rPr>
          <w:rFonts w:ascii="Times New Roman" w:hAnsi="Times New Roman" w:cs="Times New Roman"/>
          <w:b w:val="0"/>
          <w:bCs w:val="0"/>
          <w:sz w:val="28"/>
          <w:szCs w:val="28"/>
          <w:lang w:val="en-US"/>
        </w:rPr>
        <w:t>ALARP Justification of hazard</w:t>
      </w:r>
      <w:bookmarkEnd w:id="23"/>
    </w:p>
    <w:p w14:paraId="299C235E" w14:textId="69AA09D6" w:rsidR="004629F9" w:rsidRDefault="004629F9" w:rsidP="004629F9">
      <w:pPr>
        <w:pStyle w:val="Heading2"/>
        <w:rPr>
          <w:rFonts w:ascii="Times New Roman" w:hAnsi="Times New Roman" w:cs="Times New Roman"/>
          <w:b w:val="0"/>
          <w:bCs w:val="0"/>
          <w:sz w:val="24"/>
          <w:szCs w:val="24"/>
          <w:lang w:val="en-US"/>
        </w:rPr>
      </w:pPr>
      <w:bookmarkStart w:id="24" w:name="_Toc234999884"/>
      <w:r w:rsidRPr="00414F8F">
        <w:rPr>
          <w:rFonts w:ascii="Times New Roman" w:hAnsi="Times New Roman" w:cs="Times New Roman"/>
          <w:b w:val="0"/>
          <w:bCs w:val="0"/>
          <w:sz w:val="24"/>
          <w:szCs w:val="24"/>
          <w:lang w:val="en-US"/>
        </w:rPr>
        <w:t>Relevant Risk</w:t>
      </w:r>
      <w:bookmarkEnd w:id="24"/>
      <w:r w:rsidR="00EC6629">
        <w:rPr>
          <w:rFonts w:ascii="Times New Roman" w:hAnsi="Times New Roman" w:cs="Times New Roman"/>
          <w:b w:val="0"/>
          <w:bCs w:val="0"/>
          <w:sz w:val="24"/>
          <w:szCs w:val="24"/>
          <w:lang w:val="en-US"/>
        </w:rPr>
        <w:t xml:space="preserve"> </w:t>
      </w:r>
    </w:p>
    <w:p w14:paraId="7E20F579" w14:textId="099C71CF" w:rsidR="00F80DBD" w:rsidRDefault="00F80DBD"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The risk associated with the chosen hazard is the unpredictability of the munition and the bodily harm that may occur due to a munition being unsensitive and resulting in tactical danger, or overly sensitive and causing damage to the barrel or </w:t>
      </w:r>
      <w:r w:rsidR="00D76739">
        <w:rPr>
          <w:rFonts w:asciiTheme="majorBidi" w:hAnsiTheme="majorBidi" w:cstheme="majorBidi"/>
          <w:sz w:val="20"/>
          <w:szCs w:val="20"/>
          <w:lang w:val="en-US"/>
        </w:rPr>
        <w:t>detonating</w:t>
      </w:r>
      <w:r>
        <w:rPr>
          <w:rFonts w:asciiTheme="majorBidi" w:hAnsiTheme="majorBidi" w:cstheme="majorBidi"/>
          <w:sz w:val="20"/>
          <w:szCs w:val="20"/>
          <w:lang w:val="en-US"/>
        </w:rPr>
        <w:t xml:space="preserve"> when not intended. </w:t>
      </w:r>
    </w:p>
    <w:p w14:paraId="77603FD2" w14:textId="7BD67F73" w:rsidR="002E4E10" w:rsidRDefault="002E4E10"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The explosive fill containing cracks and voids due to cycled thermal expansion and compression as well as moisture changes can be quantitatively identified where either the munition is cut in half or x-rayed, from these large voids can be measured and percentage of damage can be calculated. Depending on supplier, the acceptable quantity for both is considered. </w:t>
      </w:r>
    </w:p>
    <w:p w14:paraId="726AFB24" w14:textId="7C7E16AF" w:rsidR="002E4E10" w:rsidRPr="00F80DBD" w:rsidRDefault="002E4E10" w:rsidP="0021482A">
      <w:pPr>
        <w:rPr>
          <w:rFonts w:asciiTheme="majorBidi" w:hAnsiTheme="majorBidi" w:cstheme="majorBidi"/>
          <w:sz w:val="20"/>
          <w:szCs w:val="20"/>
          <w:lang w:val="en-US"/>
        </w:rPr>
      </w:pPr>
      <w:r>
        <w:rPr>
          <w:rFonts w:asciiTheme="majorBidi" w:hAnsiTheme="majorBidi" w:cstheme="majorBidi"/>
          <w:sz w:val="20"/>
          <w:szCs w:val="20"/>
          <w:lang w:val="en-US"/>
        </w:rPr>
        <w:t>Long term storage is a tactical necessity due to the rate of production being less than the rate of use in a volatile political situation</w:t>
      </w:r>
      <w:r w:rsidR="00DA01AE">
        <w:rPr>
          <w:rFonts w:asciiTheme="majorBidi" w:hAnsiTheme="majorBidi" w:cstheme="majorBidi"/>
          <w:sz w:val="20"/>
          <w:szCs w:val="20"/>
          <w:lang w:val="en-US"/>
        </w:rPr>
        <w:t>, therefore the risk of munition degradation is a necessity currently</w:t>
      </w:r>
      <w:r>
        <w:rPr>
          <w:rFonts w:asciiTheme="majorBidi" w:hAnsiTheme="majorBidi" w:cstheme="majorBidi"/>
          <w:sz w:val="20"/>
          <w:szCs w:val="20"/>
          <w:lang w:val="en-US"/>
        </w:rPr>
        <w:t xml:space="preserve">. Having large stores of products allow for time between the start of conflict and dedication of resources and implementation of resources to match or overtake rate of use. The cost of these long-term stores and the quality of stores is evaluated via CBA and GDC. </w:t>
      </w:r>
    </w:p>
    <w:p w14:paraId="3325B1F8" w14:textId="6B7D0B31" w:rsidR="000150ED" w:rsidRDefault="000150ED" w:rsidP="000150ED">
      <w:pPr>
        <w:pStyle w:val="Heading2"/>
        <w:rPr>
          <w:rFonts w:ascii="Times New Roman" w:hAnsi="Times New Roman" w:cs="Times New Roman"/>
          <w:b w:val="0"/>
          <w:bCs w:val="0"/>
          <w:sz w:val="24"/>
          <w:szCs w:val="24"/>
          <w:lang w:val="en-US"/>
        </w:rPr>
      </w:pPr>
      <w:bookmarkStart w:id="25" w:name="_Toc234999885"/>
      <w:r w:rsidRPr="00414F8F">
        <w:rPr>
          <w:rFonts w:ascii="Times New Roman" w:hAnsi="Times New Roman" w:cs="Times New Roman"/>
          <w:b w:val="0"/>
          <w:bCs w:val="0"/>
          <w:sz w:val="24"/>
          <w:szCs w:val="24"/>
          <w:lang w:val="en-US"/>
        </w:rPr>
        <w:t>Duty Holder</w:t>
      </w:r>
      <w:bookmarkEnd w:id="25"/>
      <w:r w:rsidRPr="00414F8F">
        <w:rPr>
          <w:rFonts w:ascii="Times New Roman" w:hAnsi="Times New Roman" w:cs="Times New Roman"/>
          <w:b w:val="0"/>
          <w:bCs w:val="0"/>
          <w:sz w:val="24"/>
          <w:szCs w:val="24"/>
          <w:lang w:val="en-US"/>
        </w:rPr>
        <w:t xml:space="preserve"> </w:t>
      </w:r>
    </w:p>
    <w:p w14:paraId="0906F73D" w14:textId="27B27AA4" w:rsidR="00BE6A2F" w:rsidRDefault="00BE6A2F" w:rsidP="002405FF">
      <w:pPr>
        <w:rPr>
          <w:rFonts w:asciiTheme="majorBidi" w:hAnsiTheme="majorBidi" w:cstheme="majorBidi"/>
          <w:sz w:val="20"/>
          <w:szCs w:val="20"/>
          <w:lang w:val="en-US"/>
        </w:rPr>
      </w:pPr>
      <w:r>
        <w:rPr>
          <w:rFonts w:asciiTheme="majorBidi" w:hAnsiTheme="majorBidi" w:cstheme="majorBidi"/>
          <w:sz w:val="20"/>
          <w:szCs w:val="20"/>
          <w:lang w:val="en-US"/>
        </w:rPr>
        <w:t xml:space="preserve">During the design phase of the munition’s lifecycle, the designer of the munition would be </w:t>
      </w:r>
      <w:r w:rsidR="002405FF" w:rsidRPr="002405FF">
        <w:rPr>
          <w:rFonts w:asciiTheme="majorBidi" w:hAnsiTheme="majorBidi" w:cstheme="majorBidi"/>
          <w:sz w:val="20"/>
          <w:szCs w:val="20"/>
          <w:lang w:val="en-US"/>
        </w:rPr>
        <w:t xml:space="preserve">responsible for ensuring compliance with health, safety, </w:t>
      </w:r>
      <w:r w:rsidR="002405FF">
        <w:rPr>
          <w:rFonts w:asciiTheme="majorBidi" w:hAnsiTheme="majorBidi" w:cstheme="majorBidi"/>
          <w:sz w:val="20"/>
          <w:szCs w:val="20"/>
          <w:lang w:val="en-US"/>
        </w:rPr>
        <w:t>and</w:t>
      </w:r>
      <w:r w:rsidR="002405FF" w:rsidRPr="002405FF">
        <w:rPr>
          <w:rFonts w:asciiTheme="majorBidi" w:hAnsiTheme="majorBidi" w:cstheme="majorBidi"/>
          <w:sz w:val="20"/>
          <w:szCs w:val="20"/>
          <w:lang w:val="en-US"/>
        </w:rPr>
        <w:t xml:space="preserve"> regulatory obligations</w:t>
      </w:r>
      <w:r w:rsidR="00501BB0">
        <w:rPr>
          <w:rFonts w:asciiTheme="majorBidi" w:hAnsiTheme="majorBidi" w:cstheme="majorBidi"/>
          <w:sz w:val="20"/>
          <w:szCs w:val="20"/>
          <w:lang w:val="en-US"/>
        </w:rPr>
        <w:t xml:space="preserve"> as part of the design</w:t>
      </w:r>
      <w:r w:rsidR="002405FF" w:rsidRPr="002405FF">
        <w:rPr>
          <w:rFonts w:asciiTheme="majorBidi" w:hAnsiTheme="majorBidi" w:cstheme="majorBidi"/>
          <w:sz w:val="20"/>
          <w:szCs w:val="20"/>
          <w:lang w:val="en-US"/>
        </w:rPr>
        <w:t>.</w:t>
      </w:r>
      <w:r w:rsidR="002405FF">
        <w:rPr>
          <w:rFonts w:asciiTheme="majorBidi" w:hAnsiTheme="majorBidi" w:cstheme="majorBidi"/>
          <w:sz w:val="20"/>
          <w:szCs w:val="20"/>
          <w:lang w:val="en-US"/>
        </w:rPr>
        <w:t xml:space="preserve"> They would need to consider packaging to help maintain shelf life and minimise storage conditions as well as ensuring expected legal requirements to aid </w:t>
      </w:r>
      <w:r w:rsidR="00A64F8B">
        <w:rPr>
          <w:rFonts w:asciiTheme="majorBidi" w:hAnsiTheme="majorBidi" w:cstheme="majorBidi"/>
          <w:sz w:val="20"/>
          <w:szCs w:val="20"/>
          <w:lang w:val="en-US"/>
        </w:rPr>
        <w:t>the</w:t>
      </w:r>
      <w:r w:rsidR="002405FF">
        <w:rPr>
          <w:rFonts w:asciiTheme="majorBidi" w:hAnsiTheme="majorBidi" w:cstheme="majorBidi"/>
          <w:sz w:val="20"/>
          <w:szCs w:val="20"/>
          <w:lang w:val="en-US"/>
        </w:rPr>
        <w:t xml:space="preserve"> benefit of large storage of the munition.</w:t>
      </w:r>
    </w:p>
    <w:p w14:paraId="5EB0D13C" w14:textId="72DC5071" w:rsidR="00965413" w:rsidRDefault="00AB7A21" w:rsidP="00BE6A2F">
      <w:pPr>
        <w:rPr>
          <w:rFonts w:asciiTheme="majorBidi" w:hAnsiTheme="majorBidi" w:cstheme="majorBidi"/>
          <w:sz w:val="20"/>
          <w:szCs w:val="20"/>
          <w:lang w:val="en-US"/>
        </w:rPr>
      </w:pPr>
      <w:r>
        <w:rPr>
          <w:rFonts w:asciiTheme="majorBidi" w:hAnsiTheme="majorBidi" w:cstheme="majorBidi"/>
          <w:sz w:val="20"/>
          <w:szCs w:val="20"/>
          <w:lang w:val="en-US"/>
        </w:rPr>
        <w:t xml:space="preserve">During the storage stage of the </w:t>
      </w:r>
      <w:r w:rsidR="00BE6A2F">
        <w:rPr>
          <w:rFonts w:asciiTheme="majorBidi" w:hAnsiTheme="majorBidi" w:cstheme="majorBidi"/>
          <w:sz w:val="20"/>
          <w:szCs w:val="20"/>
          <w:lang w:val="en-US"/>
        </w:rPr>
        <w:t>munition’s</w:t>
      </w:r>
      <w:r>
        <w:rPr>
          <w:rFonts w:asciiTheme="majorBidi" w:hAnsiTheme="majorBidi" w:cstheme="majorBidi"/>
          <w:sz w:val="20"/>
          <w:szCs w:val="20"/>
          <w:lang w:val="en-US"/>
        </w:rPr>
        <w:t xml:space="preserve"> lifecycle, t</w:t>
      </w:r>
      <w:r w:rsidR="00965413">
        <w:rPr>
          <w:rFonts w:asciiTheme="majorBidi" w:hAnsiTheme="majorBidi" w:cstheme="majorBidi"/>
          <w:sz w:val="20"/>
          <w:szCs w:val="20"/>
          <w:lang w:val="en-US"/>
        </w:rPr>
        <w:t xml:space="preserve">he relevant duty holder in charge of mitigating the hazard of environmentally </w:t>
      </w:r>
      <w:r w:rsidR="003A183D">
        <w:rPr>
          <w:rFonts w:asciiTheme="majorBidi" w:hAnsiTheme="majorBidi" w:cstheme="majorBidi"/>
          <w:sz w:val="20"/>
          <w:szCs w:val="20"/>
          <w:lang w:val="en-US"/>
        </w:rPr>
        <w:t>cycling</w:t>
      </w:r>
      <w:r>
        <w:rPr>
          <w:rFonts w:asciiTheme="majorBidi" w:hAnsiTheme="majorBidi" w:cstheme="majorBidi"/>
          <w:sz w:val="20"/>
          <w:szCs w:val="20"/>
          <w:lang w:val="en-US"/>
        </w:rPr>
        <w:t xml:space="preserve"> is the storage facility personnel. The duty holder could potentially use varying authenticating methods to keep the storage facility at a stable humidity, stable temperature and minimal light changes, however, this would require a lot of power to maintain the simulated environment</w:t>
      </w:r>
      <w:r w:rsidR="00BE6A2F">
        <w:rPr>
          <w:rFonts w:asciiTheme="majorBidi" w:hAnsiTheme="majorBidi" w:cstheme="majorBidi"/>
          <w:sz w:val="20"/>
          <w:szCs w:val="20"/>
          <w:lang w:val="en-US"/>
        </w:rPr>
        <w:t>, as well as the cost of monitoring the conditions. As the relevant product is a munition, additional costs would include constant security and storage licenses.</w:t>
      </w:r>
    </w:p>
    <w:p w14:paraId="7414BF97" w14:textId="0A2728E8" w:rsidR="00E968F4" w:rsidRPr="00E968F4" w:rsidRDefault="002405FF" w:rsidP="001F780C">
      <w:pPr>
        <w:rPr>
          <w:rFonts w:asciiTheme="majorBidi" w:hAnsiTheme="majorBidi" w:cstheme="majorBidi"/>
          <w:color w:val="FF0000"/>
          <w:sz w:val="20"/>
          <w:szCs w:val="20"/>
          <w:lang w:val="en-US"/>
        </w:rPr>
      </w:pPr>
      <w:r>
        <w:rPr>
          <w:rFonts w:asciiTheme="majorBidi" w:hAnsiTheme="majorBidi" w:cstheme="majorBidi"/>
          <w:sz w:val="20"/>
          <w:szCs w:val="20"/>
          <w:lang w:val="en-US"/>
        </w:rPr>
        <w:t xml:space="preserve">The final duty holder would be the operators who would inspect the quality of the munitions, looking for key symptoms of degradation such as sun </w:t>
      </w:r>
      <w:r w:rsidR="001F780C">
        <w:rPr>
          <w:rFonts w:asciiTheme="majorBidi" w:hAnsiTheme="majorBidi" w:cstheme="majorBidi"/>
          <w:sz w:val="20"/>
          <w:szCs w:val="20"/>
          <w:lang w:val="en-US"/>
        </w:rPr>
        <w:t>bleaching,</w:t>
      </w:r>
      <w:r>
        <w:rPr>
          <w:rFonts w:asciiTheme="majorBidi" w:hAnsiTheme="majorBidi" w:cstheme="majorBidi"/>
          <w:sz w:val="20"/>
          <w:szCs w:val="20"/>
          <w:lang w:val="en-US"/>
        </w:rPr>
        <w:t xml:space="preserve"> potentially damaging labeling, loose components from thermal expansion cycles </w:t>
      </w:r>
      <w:r w:rsidR="001F780C">
        <w:rPr>
          <w:rFonts w:asciiTheme="majorBidi" w:hAnsiTheme="majorBidi" w:cstheme="majorBidi"/>
          <w:sz w:val="20"/>
          <w:szCs w:val="20"/>
          <w:lang w:val="en-US"/>
        </w:rPr>
        <w:t xml:space="preserve">as well as audible indication of damage from broken HE fill due to cracking and void creation. </w:t>
      </w:r>
      <w:bookmarkStart w:id="26" w:name="_Hlk234907644"/>
    </w:p>
    <w:p w14:paraId="544E9288" w14:textId="199FFFC5" w:rsidR="000150ED" w:rsidRDefault="000150ED" w:rsidP="000150ED">
      <w:pPr>
        <w:pStyle w:val="Heading2"/>
        <w:rPr>
          <w:rFonts w:ascii="Times New Roman" w:hAnsi="Times New Roman" w:cs="Times New Roman"/>
          <w:b w:val="0"/>
          <w:bCs w:val="0"/>
          <w:sz w:val="24"/>
          <w:szCs w:val="24"/>
          <w:lang w:val="en-US"/>
        </w:rPr>
      </w:pPr>
      <w:bookmarkStart w:id="27" w:name="_Toc234999886"/>
      <w:bookmarkEnd w:id="26"/>
      <w:r w:rsidRPr="00414F8F">
        <w:rPr>
          <w:rFonts w:ascii="Times New Roman" w:hAnsi="Times New Roman" w:cs="Times New Roman"/>
          <w:b w:val="0"/>
          <w:bCs w:val="0"/>
          <w:sz w:val="24"/>
          <w:szCs w:val="24"/>
          <w:lang w:val="en-US"/>
        </w:rPr>
        <w:t>Existing Mitigation</w:t>
      </w:r>
      <w:bookmarkEnd w:id="27"/>
      <w:r w:rsidRPr="00414F8F">
        <w:rPr>
          <w:rFonts w:ascii="Times New Roman" w:hAnsi="Times New Roman" w:cs="Times New Roman"/>
          <w:b w:val="0"/>
          <w:bCs w:val="0"/>
          <w:sz w:val="24"/>
          <w:szCs w:val="24"/>
          <w:lang w:val="en-US"/>
        </w:rPr>
        <w:t xml:space="preserve"> </w:t>
      </w:r>
    </w:p>
    <w:p w14:paraId="2822ED5D" w14:textId="0F58F9B7" w:rsidR="00A51DB1" w:rsidRDefault="00A51DB1" w:rsidP="0021482A">
      <w:pPr>
        <w:rPr>
          <w:rFonts w:asciiTheme="majorBidi" w:hAnsiTheme="majorBidi" w:cstheme="majorBidi"/>
          <w:sz w:val="20"/>
          <w:szCs w:val="20"/>
          <w:lang w:val="en-US"/>
        </w:rPr>
      </w:pPr>
      <w:r w:rsidRPr="00A51DB1">
        <w:rPr>
          <w:rFonts w:asciiTheme="majorBidi" w:hAnsiTheme="majorBidi" w:cstheme="majorBidi"/>
          <w:sz w:val="20"/>
          <w:szCs w:val="20"/>
          <w:lang w:val="en-US"/>
        </w:rPr>
        <w:t xml:space="preserve">Locational </w:t>
      </w:r>
      <w:r>
        <w:rPr>
          <w:rFonts w:asciiTheme="majorBidi" w:hAnsiTheme="majorBidi" w:cstheme="majorBidi"/>
          <w:sz w:val="20"/>
          <w:szCs w:val="20"/>
          <w:lang w:val="en-US"/>
        </w:rPr>
        <w:t xml:space="preserve">and geometric </w:t>
      </w:r>
      <w:r w:rsidRPr="00A51DB1">
        <w:rPr>
          <w:rFonts w:asciiTheme="majorBidi" w:hAnsiTheme="majorBidi" w:cstheme="majorBidi"/>
          <w:sz w:val="20"/>
          <w:szCs w:val="20"/>
          <w:lang w:val="en-US"/>
        </w:rPr>
        <w:t xml:space="preserve">mitigation </w:t>
      </w:r>
      <w:r>
        <w:rPr>
          <w:rFonts w:asciiTheme="majorBidi" w:hAnsiTheme="majorBidi" w:cstheme="majorBidi"/>
          <w:sz w:val="20"/>
          <w:szCs w:val="20"/>
          <w:lang w:val="en-US"/>
        </w:rPr>
        <w:t xml:space="preserve">involves storage location occurring in an area or geometry where the range of environmental cycling is minimally </w:t>
      </w:r>
      <w:r w:rsidR="001F7B83">
        <w:rPr>
          <w:rFonts w:asciiTheme="majorBidi" w:hAnsiTheme="majorBidi" w:cstheme="majorBidi"/>
          <w:sz w:val="20"/>
          <w:szCs w:val="20"/>
          <w:lang w:val="en-US"/>
        </w:rPr>
        <w:t>natural</w:t>
      </w:r>
      <w:r>
        <w:rPr>
          <w:rFonts w:asciiTheme="majorBidi" w:hAnsiTheme="majorBidi" w:cstheme="majorBidi"/>
          <w:sz w:val="20"/>
          <w:szCs w:val="20"/>
          <w:lang w:val="en-US"/>
        </w:rPr>
        <w:t xml:space="preserve">. This involves location such as underground storage, </w:t>
      </w:r>
      <w:r w:rsidR="001F7B83">
        <w:rPr>
          <w:rFonts w:asciiTheme="majorBidi" w:hAnsiTheme="majorBidi" w:cstheme="majorBidi"/>
          <w:sz w:val="20"/>
          <w:szCs w:val="20"/>
          <w:lang w:val="en-US"/>
        </w:rPr>
        <w:t>additionally using thermally absorbing materials such as concrete reduces the upper thermal range.</w:t>
      </w:r>
    </w:p>
    <w:p w14:paraId="26765DD4" w14:textId="432A1CD6" w:rsidR="00E8282B" w:rsidRDefault="00E8282B"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External packaging mitigation methods include </w:t>
      </w:r>
      <w:r w:rsidR="00203ABB">
        <w:rPr>
          <w:rFonts w:asciiTheme="majorBidi" w:hAnsiTheme="majorBidi" w:cstheme="majorBidi"/>
          <w:sz w:val="20"/>
          <w:szCs w:val="20"/>
          <w:lang w:val="en-US"/>
        </w:rPr>
        <w:t>thermally resistive boxing through both geometry and material selection to reduce internal temperature changes, so the product experiences the environmental cycles with a reduced effect.</w:t>
      </w:r>
    </w:p>
    <w:p w14:paraId="54DE2CC1" w14:textId="05FE1038" w:rsidR="00203ABB" w:rsidRPr="00A51DB1" w:rsidRDefault="00203ABB"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During the design phase, mitigation of the risk of the HE </w:t>
      </w:r>
      <w:r w:rsidR="00D45145">
        <w:rPr>
          <w:rFonts w:asciiTheme="majorBidi" w:hAnsiTheme="majorBidi" w:cstheme="majorBidi"/>
          <w:sz w:val="20"/>
          <w:szCs w:val="20"/>
          <w:lang w:val="en-US"/>
        </w:rPr>
        <w:t>fills</w:t>
      </w:r>
      <w:r>
        <w:rPr>
          <w:rFonts w:asciiTheme="majorBidi" w:hAnsiTheme="majorBidi" w:cstheme="majorBidi"/>
          <w:sz w:val="20"/>
          <w:szCs w:val="20"/>
          <w:lang w:val="en-US"/>
        </w:rPr>
        <w:t xml:space="preserve"> and addition components experiencing degradation and damage due to thermal expansion and moisture level cycles includes tolerancing of the components. Using expandable and compressible seals and rings, as the components geometry change and the volume of the HE fills increases, there is a tolerance to allow for </w:t>
      </w:r>
      <w:r w:rsidR="00D45145">
        <w:rPr>
          <w:rFonts w:asciiTheme="majorBidi" w:hAnsiTheme="majorBidi" w:cstheme="majorBidi"/>
          <w:sz w:val="20"/>
          <w:szCs w:val="20"/>
          <w:lang w:val="en-US"/>
        </w:rPr>
        <w:t>these changes</w:t>
      </w:r>
      <w:r>
        <w:rPr>
          <w:rFonts w:asciiTheme="majorBidi" w:hAnsiTheme="majorBidi" w:cstheme="majorBidi"/>
          <w:sz w:val="20"/>
          <w:szCs w:val="20"/>
          <w:lang w:val="en-US"/>
        </w:rPr>
        <w:t xml:space="preserve"> and revert with minimal damage. </w:t>
      </w:r>
      <w:r w:rsidR="00D45145">
        <w:rPr>
          <w:rFonts w:asciiTheme="majorBidi" w:hAnsiTheme="majorBidi" w:cstheme="majorBidi"/>
          <w:sz w:val="20"/>
          <w:szCs w:val="20"/>
          <w:lang w:val="en-US"/>
        </w:rPr>
        <w:t xml:space="preserve">Using components with standard tolerance interaction can also reduce the damage caused by expansion and compression such as on the threads. </w:t>
      </w:r>
    </w:p>
    <w:p w14:paraId="06DC117F" w14:textId="017EEB09" w:rsidR="000150ED" w:rsidRDefault="00414F8F" w:rsidP="000150ED">
      <w:pPr>
        <w:pStyle w:val="Heading2"/>
        <w:rPr>
          <w:rFonts w:ascii="Times New Roman" w:hAnsi="Times New Roman" w:cs="Times New Roman"/>
          <w:b w:val="0"/>
          <w:bCs w:val="0"/>
          <w:sz w:val="24"/>
          <w:szCs w:val="24"/>
          <w:lang w:val="en-US"/>
        </w:rPr>
      </w:pPr>
      <w:bookmarkStart w:id="28" w:name="_Toc234999887"/>
      <w:r w:rsidRPr="00414F8F">
        <w:rPr>
          <w:rFonts w:ascii="Times New Roman" w:hAnsi="Times New Roman" w:cs="Times New Roman"/>
          <w:b w:val="0"/>
          <w:bCs w:val="0"/>
          <w:sz w:val="24"/>
          <w:szCs w:val="24"/>
          <w:lang w:val="en-US"/>
        </w:rPr>
        <w:t>Relevant Legislation</w:t>
      </w:r>
      <w:bookmarkEnd w:id="28"/>
      <w:r w:rsidRPr="00414F8F">
        <w:rPr>
          <w:rFonts w:ascii="Times New Roman" w:hAnsi="Times New Roman" w:cs="Times New Roman"/>
          <w:b w:val="0"/>
          <w:bCs w:val="0"/>
          <w:sz w:val="24"/>
          <w:szCs w:val="24"/>
          <w:lang w:val="en-US"/>
        </w:rPr>
        <w:t xml:space="preserve"> </w:t>
      </w:r>
    </w:p>
    <w:p w14:paraId="50B5FE26" w14:textId="0AD6FD84" w:rsidR="0021482A" w:rsidRPr="00D45145" w:rsidRDefault="00D45145" w:rsidP="0021482A">
      <w:pPr>
        <w:rPr>
          <w:rFonts w:asciiTheme="majorBidi" w:hAnsiTheme="majorBidi" w:cstheme="majorBidi"/>
          <w:sz w:val="20"/>
          <w:szCs w:val="20"/>
          <w:lang w:val="en-US"/>
        </w:rPr>
      </w:pPr>
      <w:r>
        <w:rPr>
          <w:rFonts w:asciiTheme="majorBidi" w:hAnsiTheme="majorBidi" w:cstheme="majorBidi"/>
          <w:sz w:val="20"/>
          <w:szCs w:val="20"/>
          <w:lang w:val="en-US"/>
        </w:rPr>
        <w:t>The Explosive Regulations 2014 [5][6], dictate th</w:t>
      </w:r>
      <w:r w:rsidR="00AC39A9">
        <w:rPr>
          <w:rFonts w:asciiTheme="majorBidi" w:hAnsiTheme="majorBidi" w:cstheme="majorBidi"/>
          <w:sz w:val="20"/>
          <w:szCs w:val="20"/>
          <w:lang w:val="en-US"/>
        </w:rPr>
        <w:t>e licenses and storage conditions that are required to store munitions. Contextually, storing 40mm ammunition would</w:t>
      </w:r>
      <w:r w:rsidR="00905CD8">
        <w:rPr>
          <w:rFonts w:asciiTheme="majorBidi" w:hAnsiTheme="majorBidi" w:cstheme="majorBidi"/>
          <w:sz w:val="20"/>
          <w:szCs w:val="20"/>
          <w:lang w:val="en-US"/>
        </w:rPr>
        <w:t xml:space="preserve"> require adequate fire and explosive management, control access to authorized personnel, adherence to the storage facilities explosive safety case and appliance to JSP 482</w:t>
      </w:r>
      <w:r w:rsidR="0073615A">
        <w:rPr>
          <w:rFonts w:asciiTheme="majorBidi" w:hAnsiTheme="majorBidi" w:cstheme="majorBidi"/>
          <w:sz w:val="20"/>
          <w:szCs w:val="20"/>
          <w:lang w:val="en-US"/>
        </w:rPr>
        <w:t xml:space="preserve"> [7]. Therefore, risk mitigation is at the </w:t>
      </w:r>
      <w:r w:rsidR="0073615A" w:rsidRPr="0073615A">
        <w:rPr>
          <w:rFonts w:asciiTheme="majorBidi" w:hAnsiTheme="majorBidi" w:cstheme="majorBidi"/>
          <w:sz w:val="20"/>
          <w:szCs w:val="20"/>
          <w:lang w:val="en-US"/>
        </w:rPr>
        <w:t>discretion</w:t>
      </w:r>
      <w:r w:rsidR="0073615A" w:rsidRPr="0073615A">
        <w:rPr>
          <w:rFonts w:asciiTheme="majorBidi" w:hAnsiTheme="majorBidi" w:cstheme="majorBidi"/>
          <w:sz w:val="20"/>
          <w:szCs w:val="20"/>
          <w:lang w:val="en-US"/>
        </w:rPr>
        <w:t xml:space="preserve"> </w:t>
      </w:r>
      <w:r w:rsidR="0073615A">
        <w:rPr>
          <w:rFonts w:asciiTheme="majorBidi" w:hAnsiTheme="majorBidi" w:cstheme="majorBidi"/>
          <w:sz w:val="20"/>
          <w:szCs w:val="20"/>
          <w:lang w:val="en-US"/>
        </w:rPr>
        <w:t>of the duty holders at each stage of the process</w:t>
      </w:r>
      <w:r w:rsidR="00501BB0">
        <w:rPr>
          <w:rFonts w:asciiTheme="majorBidi" w:hAnsiTheme="majorBidi" w:cstheme="majorBidi"/>
          <w:sz w:val="20"/>
          <w:szCs w:val="20"/>
          <w:lang w:val="en-US"/>
        </w:rPr>
        <w:t xml:space="preserve"> with guidance of SFAIR noted withing the legislation. </w:t>
      </w:r>
    </w:p>
    <w:p w14:paraId="2A879878" w14:textId="2AB86038" w:rsidR="00414F8F" w:rsidRDefault="00414F8F" w:rsidP="00414F8F">
      <w:pPr>
        <w:pStyle w:val="Heading2"/>
        <w:rPr>
          <w:rFonts w:ascii="Times New Roman" w:hAnsi="Times New Roman" w:cs="Times New Roman"/>
          <w:b w:val="0"/>
          <w:bCs w:val="0"/>
          <w:sz w:val="24"/>
          <w:szCs w:val="24"/>
          <w:lang w:val="en-US"/>
        </w:rPr>
      </w:pPr>
      <w:bookmarkStart w:id="29" w:name="_Toc234999888"/>
      <w:r w:rsidRPr="00414F8F">
        <w:rPr>
          <w:rFonts w:ascii="Times New Roman" w:hAnsi="Times New Roman" w:cs="Times New Roman"/>
          <w:b w:val="0"/>
          <w:bCs w:val="0"/>
          <w:sz w:val="24"/>
          <w:szCs w:val="24"/>
          <w:lang w:val="en-US"/>
        </w:rPr>
        <w:t>Relevant good practice</w:t>
      </w:r>
      <w:bookmarkEnd w:id="29"/>
      <w:r w:rsidRPr="00414F8F">
        <w:rPr>
          <w:rFonts w:ascii="Times New Roman" w:hAnsi="Times New Roman" w:cs="Times New Roman"/>
          <w:b w:val="0"/>
          <w:bCs w:val="0"/>
          <w:sz w:val="24"/>
          <w:szCs w:val="24"/>
          <w:lang w:val="en-US"/>
        </w:rPr>
        <w:t xml:space="preserve"> </w:t>
      </w:r>
    </w:p>
    <w:p w14:paraId="1EF79B4A" w14:textId="25192B1A" w:rsidR="00A0057B" w:rsidRDefault="00A0057B"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Relevant good practice for using munitions that have previously experienced long-term storage is the group of operators having at least one person with long to medium term relevant experience with munitions and therefore being able to identify key features of a product which has undergone damage due to the durian cycle. Although the practice of having a group of operators with varying experience and technical knowledge is good practice, due to the unique nature and resent development of the CT40, specific experience is not possible. </w:t>
      </w:r>
    </w:p>
    <w:p w14:paraId="32FE16C0" w14:textId="288ABFB7" w:rsidR="00A0057B" w:rsidRDefault="00A0057B"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Reducing costs and </w:t>
      </w:r>
      <w:r w:rsidR="003B77E1">
        <w:rPr>
          <w:rFonts w:asciiTheme="majorBidi" w:hAnsiTheme="majorBidi" w:cstheme="majorBidi"/>
          <w:sz w:val="20"/>
          <w:szCs w:val="20"/>
          <w:lang w:val="en-US"/>
        </w:rPr>
        <w:t>minimising</w:t>
      </w:r>
      <w:r>
        <w:rPr>
          <w:rFonts w:asciiTheme="majorBidi" w:hAnsiTheme="majorBidi" w:cstheme="majorBidi"/>
          <w:sz w:val="20"/>
          <w:szCs w:val="20"/>
          <w:lang w:val="en-US"/>
        </w:rPr>
        <w:t xml:space="preserve"> the margin for human error is by using electronic monitoring to measure exact quantities of temperature, </w:t>
      </w:r>
      <w:r w:rsidR="003B77E1">
        <w:rPr>
          <w:rFonts w:asciiTheme="majorBidi" w:hAnsiTheme="majorBidi" w:cstheme="majorBidi"/>
          <w:sz w:val="20"/>
          <w:szCs w:val="20"/>
          <w:lang w:val="en-US"/>
        </w:rPr>
        <w:t>humidity</w:t>
      </w:r>
      <w:r>
        <w:rPr>
          <w:rFonts w:asciiTheme="majorBidi" w:hAnsiTheme="majorBidi" w:cstheme="majorBidi"/>
          <w:sz w:val="20"/>
          <w:szCs w:val="20"/>
          <w:lang w:val="en-US"/>
        </w:rPr>
        <w:t xml:space="preserve"> and light level. This is considered relevant good practice and Best Available Technique (BAT) </w:t>
      </w:r>
      <w:r w:rsidR="003B77E1">
        <w:rPr>
          <w:rFonts w:asciiTheme="majorBidi" w:hAnsiTheme="majorBidi" w:cstheme="majorBidi"/>
          <w:sz w:val="20"/>
          <w:szCs w:val="20"/>
          <w:lang w:val="en-US"/>
        </w:rPr>
        <w:t>across</w:t>
      </w:r>
      <w:r>
        <w:rPr>
          <w:rFonts w:asciiTheme="majorBidi" w:hAnsiTheme="majorBidi" w:cstheme="majorBidi"/>
          <w:sz w:val="20"/>
          <w:szCs w:val="20"/>
          <w:lang w:val="en-US"/>
        </w:rPr>
        <w:t xml:space="preserve"> the industry as even though these sensors do not reduce environmental cycling</w:t>
      </w:r>
      <w:r w:rsidR="003B77E1">
        <w:rPr>
          <w:rFonts w:asciiTheme="majorBidi" w:hAnsiTheme="majorBidi" w:cstheme="majorBidi"/>
          <w:sz w:val="20"/>
          <w:szCs w:val="20"/>
          <w:lang w:val="en-US"/>
        </w:rPr>
        <w:t xml:space="preserve">, they can inform engineers of material properties and the effect of </w:t>
      </w:r>
      <w:r w:rsidR="00501BB0">
        <w:rPr>
          <w:rFonts w:asciiTheme="majorBidi" w:hAnsiTheme="majorBidi" w:cstheme="majorBidi"/>
          <w:sz w:val="20"/>
          <w:szCs w:val="20"/>
          <w:lang w:val="en-US"/>
        </w:rPr>
        <w:t>the</w:t>
      </w:r>
      <w:r w:rsidR="003B77E1">
        <w:rPr>
          <w:rFonts w:asciiTheme="majorBidi" w:hAnsiTheme="majorBidi" w:cstheme="majorBidi"/>
          <w:sz w:val="20"/>
          <w:szCs w:val="20"/>
          <w:lang w:val="en-US"/>
        </w:rPr>
        <w:t xml:space="preserve"> cycles and operators of the condition of the current working munitions. </w:t>
      </w:r>
    </w:p>
    <w:p w14:paraId="4F3A5982" w14:textId="369EB125" w:rsidR="00B102CC" w:rsidRDefault="003B77E1" w:rsidP="003B77E1">
      <w:pPr>
        <w:rPr>
          <w:rFonts w:asciiTheme="majorBidi" w:hAnsiTheme="majorBidi" w:cstheme="majorBidi"/>
          <w:sz w:val="20"/>
          <w:szCs w:val="20"/>
          <w:lang w:val="en-US"/>
        </w:rPr>
      </w:pPr>
      <w:r>
        <w:rPr>
          <w:rFonts w:asciiTheme="majorBidi" w:hAnsiTheme="majorBidi" w:cstheme="majorBidi"/>
          <w:sz w:val="20"/>
          <w:szCs w:val="20"/>
          <w:lang w:val="en-US"/>
        </w:rPr>
        <w:t xml:space="preserve">Although electronic monitoring is a useful tool, good practice is to have several monitoring systems to reduce the likelihood of incorrect results. Due to the </w:t>
      </w:r>
      <w:r w:rsidR="00A64F8B">
        <w:rPr>
          <w:rFonts w:asciiTheme="majorBidi" w:hAnsiTheme="majorBidi" w:cstheme="majorBidi"/>
          <w:sz w:val="20"/>
          <w:szCs w:val="20"/>
          <w:lang w:val="en-US"/>
        </w:rPr>
        <w:t>long-term</w:t>
      </w:r>
      <w:r>
        <w:rPr>
          <w:rFonts w:asciiTheme="majorBidi" w:hAnsiTheme="majorBidi" w:cstheme="majorBidi"/>
          <w:sz w:val="20"/>
          <w:szCs w:val="20"/>
          <w:lang w:val="en-US"/>
        </w:rPr>
        <w:t xml:space="preserve"> nature, naturally occurring degradation, residue on sensor build up, external and internal factors can all </w:t>
      </w:r>
      <w:r w:rsidR="00501BB0">
        <w:rPr>
          <w:rFonts w:asciiTheme="majorBidi" w:hAnsiTheme="majorBidi" w:cstheme="majorBidi"/>
          <w:sz w:val="20"/>
          <w:szCs w:val="20"/>
          <w:lang w:val="en-US"/>
        </w:rPr>
        <w:t>a</w:t>
      </w:r>
      <w:r>
        <w:rPr>
          <w:rFonts w:asciiTheme="majorBidi" w:hAnsiTheme="majorBidi" w:cstheme="majorBidi"/>
          <w:sz w:val="20"/>
          <w:szCs w:val="20"/>
          <w:lang w:val="en-US"/>
        </w:rPr>
        <w:t xml:space="preserve">ffect the quality of the electronic data collected via sensors. Regular and in person monitoring and maintenance is required to ensure </w:t>
      </w:r>
      <w:r w:rsidR="00501BB0">
        <w:rPr>
          <w:rFonts w:asciiTheme="majorBidi" w:hAnsiTheme="majorBidi" w:cstheme="majorBidi"/>
          <w:sz w:val="20"/>
          <w:szCs w:val="20"/>
          <w:lang w:val="en-US"/>
        </w:rPr>
        <w:t>stockpile</w:t>
      </w:r>
      <w:r>
        <w:rPr>
          <w:rFonts w:asciiTheme="majorBidi" w:hAnsiTheme="majorBidi" w:cstheme="majorBidi"/>
          <w:sz w:val="20"/>
          <w:szCs w:val="20"/>
          <w:lang w:val="en-US"/>
        </w:rPr>
        <w:t xml:space="preserve"> conditions are being monitored correctly and if a fault does occur, it is identified with haste and damage can be mitigated. </w:t>
      </w:r>
    </w:p>
    <w:p w14:paraId="5D94DA3B" w14:textId="77777777" w:rsidR="003B77E1" w:rsidRPr="003B77E1" w:rsidRDefault="003B77E1" w:rsidP="003B77E1">
      <w:pPr>
        <w:rPr>
          <w:rFonts w:asciiTheme="majorBidi" w:hAnsiTheme="majorBidi" w:cstheme="majorBidi"/>
          <w:sz w:val="20"/>
          <w:szCs w:val="20"/>
          <w:lang w:val="en-US"/>
        </w:rPr>
      </w:pPr>
    </w:p>
    <w:p w14:paraId="41F1182F" w14:textId="2160BBAF" w:rsidR="00B102CC" w:rsidRDefault="00414F8F" w:rsidP="00B102CC">
      <w:pPr>
        <w:pStyle w:val="Heading1"/>
        <w:rPr>
          <w:rFonts w:ascii="Times New Roman" w:hAnsi="Times New Roman" w:cs="Times New Roman"/>
          <w:b w:val="0"/>
          <w:bCs w:val="0"/>
          <w:sz w:val="28"/>
          <w:szCs w:val="28"/>
          <w:lang w:val="en-US"/>
        </w:rPr>
      </w:pPr>
      <w:bookmarkStart w:id="30" w:name="_Toc234999889"/>
      <w:r w:rsidRPr="00414F8F">
        <w:rPr>
          <w:rFonts w:ascii="Times New Roman" w:hAnsi="Times New Roman" w:cs="Times New Roman"/>
          <w:b w:val="0"/>
          <w:bCs w:val="0"/>
          <w:sz w:val="28"/>
          <w:szCs w:val="28"/>
          <w:lang w:val="en-US"/>
        </w:rPr>
        <w:t>Consideration of Cost benefit Analysis and Grossly Disproportionate Cost</w:t>
      </w:r>
      <w:bookmarkEnd w:id="30"/>
      <w:r w:rsidRPr="00414F8F">
        <w:rPr>
          <w:rFonts w:ascii="Times New Roman" w:hAnsi="Times New Roman" w:cs="Times New Roman"/>
          <w:b w:val="0"/>
          <w:bCs w:val="0"/>
          <w:sz w:val="28"/>
          <w:szCs w:val="28"/>
          <w:lang w:val="en-US"/>
        </w:rPr>
        <w:t xml:space="preserve"> </w:t>
      </w:r>
    </w:p>
    <w:p w14:paraId="6C636A3E" w14:textId="4C2F8F67" w:rsidR="003B77E1" w:rsidRDefault="003B77E1" w:rsidP="003B77E1">
      <w:pPr>
        <w:rPr>
          <w:rFonts w:asciiTheme="majorBidi" w:hAnsiTheme="majorBidi" w:cstheme="majorBidi"/>
          <w:sz w:val="20"/>
          <w:szCs w:val="20"/>
          <w:lang w:val="en-US"/>
        </w:rPr>
      </w:pPr>
      <w:r>
        <w:rPr>
          <w:rFonts w:asciiTheme="majorBidi" w:hAnsiTheme="majorBidi" w:cstheme="majorBidi"/>
          <w:sz w:val="20"/>
          <w:szCs w:val="20"/>
          <w:lang w:val="en-US"/>
        </w:rPr>
        <w:t xml:space="preserve">A simplified calculation to determine the Grossly Disproportionate Cost </w:t>
      </w:r>
      <w:r w:rsidR="002B54E7">
        <w:rPr>
          <w:rFonts w:asciiTheme="majorBidi" w:hAnsiTheme="majorBidi" w:cstheme="majorBidi"/>
          <w:sz w:val="20"/>
          <w:szCs w:val="20"/>
          <w:lang w:val="en-US"/>
        </w:rPr>
        <w:t>is:</w:t>
      </w:r>
    </w:p>
    <w:p w14:paraId="46DF3EDA" w14:textId="6F09C9DF" w:rsidR="003B77E1" w:rsidRDefault="003B77E1" w:rsidP="002B54E7">
      <w:pPr>
        <w:jc w:val="center"/>
        <w:rPr>
          <w:rFonts w:asciiTheme="majorBidi" w:hAnsiTheme="majorBidi" w:cstheme="majorBidi"/>
          <w:sz w:val="20"/>
          <w:szCs w:val="20"/>
          <w:lang w:val="en-US"/>
        </w:rPr>
      </w:pPr>
      <w:r>
        <w:rPr>
          <w:rFonts w:asciiTheme="majorBidi" w:hAnsiTheme="majorBidi" w:cstheme="majorBidi"/>
          <w:sz w:val="20"/>
          <w:szCs w:val="20"/>
          <w:lang w:val="en-US"/>
        </w:rPr>
        <w:t>GDC = P x VPF x GDF</w:t>
      </w:r>
    </w:p>
    <w:p w14:paraId="39AEF05B" w14:textId="0678BE7D" w:rsidR="003B77E1" w:rsidRPr="003B77E1" w:rsidRDefault="003B77E1" w:rsidP="003B77E1">
      <w:pPr>
        <w:rPr>
          <w:rFonts w:asciiTheme="majorBidi" w:hAnsiTheme="majorBidi" w:cstheme="majorBidi"/>
          <w:sz w:val="20"/>
          <w:szCs w:val="20"/>
          <w:lang w:val="en-US"/>
        </w:rPr>
      </w:pPr>
      <w:r>
        <w:rPr>
          <w:rFonts w:asciiTheme="majorBidi" w:hAnsiTheme="majorBidi" w:cstheme="majorBidi"/>
          <w:sz w:val="20"/>
          <w:szCs w:val="20"/>
          <w:lang w:val="en-US"/>
        </w:rPr>
        <w:t xml:space="preserve">Where ‘P’ signified probability of </w:t>
      </w:r>
      <w:r w:rsidR="00A64F8B">
        <w:rPr>
          <w:rFonts w:asciiTheme="majorBidi" w:hAnsiTheme="majorBidi" w:cstheme="majorBidi"/>
          <w:sz w:val="20"/>
          <w:szCs w:val="20"/>
          <w:lang w:val="en-US"/>
        </w:rPr>
        <w:t xml:space="preserve">accident, </w:t>
      </w:r>
      <w:r>
        <w:rPr>
          <w:rFonts w:asciiTheme="majorBidi" w:hAnsiTheme="majorBidi" w:cstheme="majorBidi"/>
          <w:sz w:val="20"/>
          <w:szCs w:val="20"/>
          <w:lang w:val="en-US"/>
        </w:rPr>
        <w:t>VPF</w:t>
      </w:r>
      <w:r w:rsidR="00A64F8B">
        <w:rPr>
          <w:rFonts w:asciiTheme="majorBidi" w:hAnsiTheme="majorBidi" w:cstheme="majorBidi"/>
          <w:sz w:val="20"/>
          <w:szCs w:val="20"/>
          <w:lang w:val="en-US"/>
        </w:rPr>
        <w:t>’</w:t>
      </w:r>
      <w:r>
        <w:rPr>
          <w:rFonts w:asciiTheme="majorBidi" w:hAnsiTheme="majorBidi" w:cstheme="majorBidi"/>
          <w:sz w:val="20"/>
          <w:szCs w:val="20"/>
          <w:lang w:val="en-US"/>
        </w:rPr>
        <w:t xml:space="preserve"> is the value of the prevented </w:t>
      </w:r>
      <w:r w:rsidR="00A64F8B">
        <w:rPr>
          <w:rFonts w:asciiTheme="majorBidi" w:hAnsiTheme="majorBidi" w:cstheme="majorBidi"/>
          <w:sz w:val="20"/>
          <w:szCs w:val="20"/>
          <w:lang w:val="en-US"/>
        </w:rPr>
        <w:t>fatality</w:t>
      </w:r>
      <w:r>
        <w:rPr>
          <w:rFonts w:asciiTheme="majorBidi" w:hAnsiTheme="majorBidi" w:cstheme="majorBidi"/>
          <w:sz w:val="20"/>
          <w:szCs w:val="20"/>
          <w:lang w:val="en-US"/>
        </w:rPr>
        <w:t xml:space="preserve"> </w:t>
      </w:r>
      <w:r w:rsidR="00A64F8B">
        <w:rPr>
          <w:rFonts w:asciiTheme="majorBidi" w:hAnsiTheme="majorBidi" w:cstheme="majorBidi"/>
          <w:sz w:val="20"/>
          <w:szCs w:val="20"/>
          <w:lang w:val="en-US"/>
        </w:rPr>
        <w:t xml:space="preserve">and ‘GDF’ is the grossly proportionate factor. Although with existing mitigations and good practice controls the probability is considerably low, the hazard of the durian cycle causing internal damage to the HE fills resulting in detonation withing the barrel causes the risk </w:t>
      </w:r>
      <w:r w:rsidR="002B54E7">
        <w:rPr>
          <w:rFonts w:asciiTheme="majorBidi" w:hAnsiTheme="majorBidi" w:cstheme="majorBidi"/>
          <w:sz w:val="20"/>
          <w:szCs w:val="20"/>
          <w:lang w:val="en-US"/>
        </w:rPr>
        <w:t>of</w:t>
      </w:r>
      <w:r w:rsidR="00A64F8B">
        <w:rPr>
          <w:rFonts w:asciiTheme="majorBidi" w:hAnsiTheme="majorBidi" w:cstheme="majorBidi"/>
          <w:sz w:val="20"/>
          <w:szCs w:val="20"/>
          <w:lang w:val="en-US"/>
        </w:rPr>
        <w:t xml:space="preserve"> the operators being multiple potential fatalities. Therefore, when analysing the overall cost benefit of the cost of special storage geometric, electronic monitoring of systems, maintenance and security costs of the storage facility, specialist monitoring employees and environmentally considerate design, the reduction of the probably of a fatality is of greater worth. </w:t>
      </w:r>
    </w:p>
    <w:p w14:paraId="2488E299" w14:textId="347B5A46" w:rsidR="00B102CC" w:rsidRPr="00414F8F" w:rsidRDefault="00B102CC" w:rsidP="0021482A">
      <w:pPr>
        <w:pStyle w:val="NormalWeb"/>
        <w:spacing w:before="0" w:beforeAutospacing="0" w:after="0" w:afterAutospacing="0"/>
        <w:rPr>
          <w:sz w:val="28"/>
          <w:szCs w:val="28"/>
          <w:lang w:val="en-US"/>
        </w:rPr>
      </w:pPr>
      <w:r w:rsidRPr="00414F8F">
        <w:rPr>
          <w:sz w:val="28"/>
          <w:szCs w:val="28"/>
          <w:lang w:val="en-US"/>
        </w:rPr>
        <w:t> </w:t>
      </w:r>
    </w:p>
    <w:p w14:paraId="3269DB21" w14:textId="367DA196" w:rsidR="00B102CC" w:rsidRPr="00414F8F" w:rsidRDefault="00B102CC" w:rsidP="00B102CC">
      <w:pPr>
        <w:pStyle w:val="Heading1"/>
        <w:rPr>
          <w:rFonts w:ascii="Times New Roman" w:hAnsi="Times New Roman" w:cs="Times New Roman"/>
          <w:b w:val="0"/>
          <w:bCs w:val="0"/>
          <w:sz w:val="28"/>
          <w:szCs w:val="28"/>
          <w:lang w:val="en-US"/>
        </w:rPr>
      </w:pPr>
      <w:bookmarkStart w:id="31" w:name="_Toc234999890"/>
      <w:r w:rsidRPr="00414F8F">
        <w:rPr>
          <w:rFonts w:ascii="Times New Roman" w:hAnsi="Times New Roman" w:cs="Times New Roman"/>
          <w:b w:val="0"/>
          <w:bCs w:val="0"/>
          <w:sz w:val="28"/>
          <w:szCs w:val="28"/>
          <w:lang w:val="en-US"/>
        </w:rPr>
        <w:t>Collective summary and further recommendations</w:t>
      </w:r>
      <w:bookmarkEnd w:id="31"/>
      <w:r w:rsidRPr="00414F8F">
        <w:rPr>
          <w:rFonts w:ascii="Times New Roman" w:hAnsi="Times New Roman" w:cs="Times New Roman"/>
          <w:b w:val="0"/>
          <w:bCs w:val="0"/>
          <w:sz w:val="28"/>
          <w:szCs w:val="28"/>
          <w:lang w:val="en-US"/>
        </w:rPr>
        <w:t xml:space="preserve"> </w:t>
      </w:r>
    </w:p>
    <w:p w14:paraId="70083E51" w14:textId="272DBE5D" w:rsidR="00A64F8B" w:rsidRPr="00A64F8B" w:rsidRDefault="00A64F8B" w:rsidP="00A64F8B">
      <w:pPr>
        <w:rPr>
          <w:rFonts w:ascii="Times New Roman" w:hAnsi="Times New Roman"/>
          <w:sz w:val="20"/>
          <w:szCs w:val="20"/>
        </w:rPr>
      </w:pPr>
      <w:r>
        <w:rPr>
          <w:rFonts w:ascii="Times New Roman" w:hAnsi="Times New Roman"/>
          <w:sz w:val="20"/>
          <w:szCs w:val="20"/>
        </w:rPr>
        <w:t xml:space="preserve">Identification and methods of prevention of the hazard that the product degrades due to the durian cycling effect is crucial to decrease the risk of multiple fatalities which could be experienced by the operators. Training and practice with similar munitions can emulate the best practice of having experience in identifying degraded rounds however, operators should be mindful of the increased risk of human error due to the involvement of new technology. </w:t>
      </w:r>
      <w:r w:rsidR="003175AA">
        <w:rPr>
          <w:rFonts w:ascii="Times New Roman" w:hAnsi="Times New Roman"/>
          <w:sz w:val="20"/>
          <w:szCs w:val="20"/>
        </w:rPr>
        <w:t xml:space="preserve">The CBA and review of the GDC lead to the conclusion that significant resource diversion to prevention of degradation has greater value that the cost of these resources overall. </w:t>
      </w:r>
    </w:p>
    <w:p w14:paraId="7068FD0E" w14:textId="5098215D" w:rsidR="003175AA" w:rsidRDefault="003175AA">
      <w:pPr>
        <w:spacing w:before="0" w:after="200" w:line="276" w:lineRule="auto"/>
        <w:jc w:val="left"/>
        <w:rPr>
          <w:rFonts w:ascii="Times New Roman" w:hAnsi="Times New Roman"/>
          <w:sz w:val="28"/>
          <w:szCs w:val="28"/>
        </w:rPr>
      </w:pPr>
      <w:r>
        <w:rPr>
          <w:rFonts w:ascii="Times New Roman" w:hAnsi="Times New Roman"/>
          <w:sz w:val="28"/>
          <w:szCs w:val="28"/>
        </w:rPr>
        <w:br w:type="page"/>
      </w:r>
    </w:p>
    <w:p w14:paraId="52660301" w14:textId="77777777" w:rsidR="003175AA" w:rsidRPr="003175AA" w:rsidRDefault="003175AA" w:rsidP="003175AA">
      <w:pPr>
        <w:spacing w:before="0" w:after="240"/>
        <w:jc w:val="left"/>
        <w:outlineLvl w:val="0"/>
        <w:rPr>
          <w:rFonts w:ascii="Times New Roman" w:hAnsi="Times New Roman"/>
          <w:kern w:val="36"/>
          <w:sz w:val="28"/>
          <w:szCs w:val="28"/>
          <w:lang w:eastAsia="en-GB"/>
        </w:rPr>
      </w:pPr>
      <w:bookmarkStart w:id="32" w:name="_Toc234999891"/>
      <w:bookmarkEnd w:id="18"/>
      <w:r w:rsidRPr="003175AA">
        <w:rPr>
          <w:rFonts w:ascii="Times New Roman" w:hAnsi="Times New Roman"/>
          <w:kern w:val="36"/>
          <w:sz w:val="28"/>
          <w:szCs w:val="28"/>
          <w:lang w:eastAsia="en-GB"/>
        </w:rPr>
        <w:t>Bibliography</w:t>
      </w:r>
      <w:bookmarkEnd w:id="32"/>
    </w:p>
    <w:tbl>
      <w:tblPr>
        <w:tblW w:w="5000" w:type="pct"/>
        <w:tblCellMar>
          <w:top w:w="15" w:type="dxa"/>
          <w:left w:w="15" w:type="dxa"/>
          <w:bottom w:w="15" w:type="dxa"/>
          <w:right w:w="15" w:type="dxa"/>
        </w:tblCellMar>
        <w:tblLook w:val="04A0" w:firstRow="1" w:lastRow="0" w:firstColumn="1" w:lastColumn="0" w:noHBand="0" w:noVBand="1"/>
      </w:tblPr>
      <w:tblGrid>
        <w:gridCol w:w="752"/>
        <w:gridCol w:w="7752"/>
      </w:tblGrid>
      <w:tr w:rsidR="003175AA" w:rsidRPr="003175AA" w14:paraId="00B2C5C9" w14:textId="77777777" w:rsidTr="003175AA">
        <w:tc>
          <w:tcPr>
            <w:tcW w:w="736" w:type="dxa"/>
            <w:noWrap/>
            <w:tcMar>
              <w:top w:w="0" w:type="dxa"/>
              <w:left w:w="0" w:type="dxa"/>
              <w:bottom w:w="0" w:type="dxa"/>
              <w:right w:w="0" w:type="dxa"/>
            </w:tcMar>
            <w:hideMark/>
          </w:tcPr>
          <w:p w14:paraId="2E8E1A93"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[1]</w:t>
            </w:r>
          </w:p>
        </w:tc>
        <w:tc>
          <w:tcPr>
            <w:tcW w:w="0" w:type="auto"/>
            <w:tcMar>
              <w:top w:w="0" w:type="dxa"/>
              <w:left w:w="0" w:type="dxa"/>
              <w:bottom w:w="0" w:type="dxa"/>
              <w:right w:w="0" w:type="dxa"/>
            </w:tcMar>
            <w:hideMark/>
          </w:tcPr>
          <w:p w14:paraId="66FC42AE"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“Cased Telescoped Cannon,” </w:t>
            </w:r>
            <w:r w:rsidRPr="003175AA">
              <w:rPr>
                <w:rFonts w:ascii="Times New Roman" w:hAnsi="Times New Roman"/>
                <w:i/>
                <w:iCs/>
                <w:lang w:eastAsia="en-GB"/>
              </w:rPr>
              <w:t>Baesystems.com</w:t>
            </w:r>
            <w:r w:rsidRPr="003175AA">
              <w:rPr>
                <w:rFonts w:ascii="Times New Roman" w:hAnsi="Times New Roman"/>
                <w:lang w:eastAsia="en-GB"/>
              </w:rPr>
              <w:t>, 2026. https://www.baesystems.com/en/product/cased-telescoped-cannon (accessed July 13, 2026).</w:t>
            </w:r>
          </w:p>
          <w:p w14:paraId="3E239EF1" w14:textId="77777777" w:rsidR="003175AA" w:rsidRDefault="003175AA" w:rsidP="003175AA">
            <w:pPr>
              <w:spacing w:before="0"/>
              <w:jc w:val="left"/>
              <w:rPr>
                <w:rFonts w:ascii="Times New Roman" w:hAnsi="Times New Roman"/>
                <w:lang w:eastAsia="en-GB"/>
              </w:rPr>
            </w:pPr>
          </w:p>
          <w:p w14:paraId="1C9E51BF" w14:textId="77777777" w:rsidR="003175AA" w:rsidRPr="003175AA" w:rsidRDefault="003175AA" w:rsidP="003175AA">
            <w:pPr>
              <w:spacing w:before="0"/>
              <w:jc w:val="left"/>
              <w:rPr>
                <w:rFonts w:ascii="Times New Roman" w:hAnsi="Times New Roman"/>
                <w:lang w:eastAsia="en-GB"/>
              </w:rPr>
            </w:pPr>
          </w:p>
        </w:tc>
      </w:tr>
      <w:tr w:rsidR="003175AA" w:rsidRPr="003175AA" w14:paraId="03436E67" w14:textId="77777777" w:rsidTr="003175AA">
        <w:tc>
          <w:tcPr>
            <w:tcW w:w="736" w:type="dxa"/>
            <w:noWrap/>
            <w:tcMar>
              <w:top w:w="0" w:type="dxa"/>
              <w:left w:w="0" w:type="dxa"/>
              <w:bottom w:w="0" w:type="dxa"/>
              <w:right w:w="0" w:type="dxa"/>
            </w:tcMar>
            <w:hideMark/>
          </w:tcPr>
          <w:p w14:paraId="655A68BD"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[2]</w:t>
            </w:r>
          </w:p>
        </w:tc>
        <w:tc>
          <w:tcPr>
            <w:tcW w:w="0" w:type="auto"/>
            <w:tcMar>
              <w:top w:w="0" w:type="dxa"/>
              <w:left w:w="0" w:type="dxa"/>
              <w:bottom w:w="0" w:type="dxa"/>
              <w:right w:w="0" w:type="dxa"/>
            </w:tcMar>
            <w:hideMark/>
          </w:tcPr>
          <w:p w14:paraId="587107C1"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S. Ramesh, “The Armoured Tracked Vehicle - Future Perspective,” </w:t>
            </w:r>
            <w:r w:rsidRPr="003175AA">
              <w:rPr>
                <w:rFonts w:ascii="Times New Roman" w:hAnsi="Times New Roman"/>
                <w:i/>
                <w:iCs/>
                <w:lang w:eastAsia="en-GB"/>
              </w:rPr>
              <w:t>Defence Science Journal</w:t>
            </w:r>
            <w:r w:rsidRPr="003175AA">
              <w:rPr>
                <w:rFonts w:ascii="Times New Roman" w:hAnsi="Times New Roman"/>
                <w:lang w:eastAsia="en-GB"/>
              </w:rPr>
              <w:t>, vol. 67, no. 4, p. 341, June 2017, doi: 10.14429/dsj.67.11544.</w:t>
            </w:r>
          </w:p>
        </w:tc>
      </w:tr>
      <w:tr w:rsidR="003175AA" w:rsidRPr="003175AA" w14:paraId="1AC0FF4A" w14:textId="77777777" w:rsidTr="003175AA">
        <w:tc>
          <w:tcPr>
            <w:tcW w:w="736" w:type="dxa"/>
            <w:noWrap/>
            <w:tcMar>
              <w:top w:w="0" w:type="dxa"/>
              <w:left w:w="0" w:type="dxa"/>
              <w:bottom w:w="0" w:type="dxa"/>
              <w:right w:w="0" w:type="dxa"/>
            </w:tcMar>
          </w:tcPr>
          <w:p w14:paraId="70ABC12C" w14:textId="77777777" w:rsidR="003175AA" w:rsidRPr="003175AA" w:rsidRDefault="003175AA" w:rsidP="003175AA">
            <w:pPr>
              <w:spacing w:before="0"/>
              <w:jc w:val="left"/>
              <w:rPr>
                <w:rFonts w:ascii="Times New Roman" w:hAnsi="Times New Roman"/>
                <w:lang w:eastAsia="en-GB"/>
              </w:rPr>
            </w:pPr>
          </w:p>
        </w:tc>
        <w:tc>
          <w:tcPr>
            <w:tcW w:w="0" w:type="auto"/>
            <w:tcMar>
              <w:top w:w="0" w:type="dxa"/>
              <w:left w:w="0" w:type="dxa"/>
              <w:bottom w:w="0" w:type="dxa"/>
              <w:right w:w="0" w:type="dxa"/>
            </w:tcMar>
          </w:tcPr>
          <w:p w14:paraId="081EA588" w14:textId="77777777" w:rsidR="003175AA" w:rsidRPr="003175AA" w:rsidRDefault="003175AA" w:rsidP="003175AA">
            <w:pPr>
              <w:spacing w:before="0"/>
              <w:jc w:val="left"/>
              <w:rPr>
                <w:rFonts w:ascii="Times New Roman" w:hAnsi="Times New Roman"/>
                <w:lang w:eastAsia="en-GB"/>
              </w:rPr>
            </w:pPr>
          </w:p>
        </w:tc>
      </w:tr>
      <w:tr w:rsidR="003175AA" w:rsidRPr="003175AA" w14:paraId="36FFA70F" w14:textId="77777777" w:rsidTr="003175AA">
        <w:tc>
          <w:tcPr>
            <w:tcW w:w="736" w:type="dxa"/>
            <w:noWrap/>
            <w:tcMar>
              <w:top w:w="0" w:type="dxa"/>
              <w:left w:w="0" w:type="dxa"/>
              <w:bottom w:w="0" w:type="dxa"/>
              <w:right w:w="0" w:type="dxa"/>
            </w:tcMar>
            <w:hideMark/>
          </w:tcPr>
          <w:p w14:paraId="4CEF1F7D"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[3]</w:t>
            </w:r>
          </w:p>
        </w:tc>
        <w:tc>
          <w:tcPr>
            <w:tcW w:w="0" w:type="auto"/>
            <w:tcMar>
              <w:top w:w="0" w:type="dxa"/>
              <w:left w:w="0" w:type="dxa"/>
              <w:bottom w:w="0" w:type="dxa"/>
              <w:right w:w="0" w:type="dxa"/>
            </w:tcMar>
            <w:hideMark/>
          </w:tcPr>
          <w:p w14:paraId="3740E19B"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D. for, “Ways of Working – principles to guide the application of ALARP and BAT in the nuclear industry (accessible webpage),” </w:t>
            </w:r>
            <w:r w:rsidRPr="003175AA">
              <w:rPr>
                <w:rFonts w:ascii="Times New Roman" w:hAnsi="Times New Roman"/>
                <w:i/>
                <w:iCs/>
                <w:lang w:eastAsia="en-GB"/>
              </w:rPr>
              <w:t>GOV.UK</w:t>
            </w:r>
            <w:r w:rsidRPr="003175AA">
              <w:rPr>
                <w:rFonts w:ascii="Times New Roman" w:hAnsi="Times New Roman"/>
                <w:lang w:eastAsia="en-GB"/>
              </w:rPr>
              <w:t>, Nov. 26, 2025. https://www.gov.uk/government/publications/nuclear-industry-principles-to-guide-the-application-of-as-low-as-reasonably-practicable-alarp-and-best-available-techniques-bat/ways-of-working-principles-to-guide-the-application-of-alarp-and-bat-in-the-nuclear-industry-accessible-webpage (accessed July 13, 2026).</w:t>
            </w:r>
          </w:p>
          <w:p w14:paraId="2022F4B9" w14:textId="77777777" w:rsidR="002B54E7" w:rsidRDefault="002B54E7" w:rsidP="003175AA">
            <w:pPr>
              <w:spacing w:before="0"/>
              <w:jc w:val="left"/>
              <w:rPr>
                <w:rFonts w:ascii="Times New Roman" w:hAnsi="Times New Roman"/>
                <w:lang w:eastAsia="en-GB"/>
              </w:rPr>
            </w:pPr>
          </w:p>
          <w:p w14:paraId="0C97CF7D" w14:textId="77777777" w:rsidR="003175AA" w:rsidRPr="003175AA" w:rsidRDefault="003175AA" w:rsidP="003175AA">
            <w:pPr>
              <w:spacing w:before="0"/>
              <w:jc w:val="left"/>
              <w:rPr>
                <w:rFonts w:ascii="Times New Roman" w:hAnsi="Times New Roman"/>
                <w:lang w:eastAsia="en-GB"/>
              </w:rPr>
            </w:pPr>
          </w:p>
        </w:tc>
      </w:tr>
      <w:tr w:rsidR="003175AA" w:rsidRPr="003175AA" w14:paraId="154F5B07" w14:textId="77777777" w:rsidTr="003175AA">
        <w:tc>
          <w:tcPr>
            <w:tcW w:w="736" w:type="dxa"/>
            <w:noWrap/>
            <w:tcMar>
              <w:top w:w="0" w:type="dxa"/>
              <w:left w:w="0" w:type="dxa"/>
              <w:bottom w:w="0" w:type="dxa"/>
              <w:right w:w="0" w:type="dxa"/>
            </w:tcMar>
            <w:hideMark/>
          </w:tcPr>
          <w:p w14:paraId="08B8AA38"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[4]</w:t>
            </w:r>
          </w:p>
        </w:tc>
        <w:tc>
          <w:tcPr>
            <w:tcW w:w="0" w:type="auto"/>
            <w:tcMar>
              <w:top w:w="0" w:type="dxa"/>
              <w:left w:w="0" w:type="dxa"/>
              <w:bottom w:w="0" w:type="dxa"/>
              <w:right w:w="0" w:type="dxa"/>
            </w:tcMar>
            <w:hideMark/>
          </w:tcPr>
          <w:p w14:paraId="78087DEC"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“Health and Safety at Work etc. Act 1974,” </w:t>
            </w:r>
            <w:r w:rsidRPr="003175AA">
              <w:rPr>
                <w:rFonts w:ascii="Times New Roman" w:hAnsi="Times New Roman"/>
                <w:i/>
                <w:iCs/>
                <w:lang w:eastAsia="en-GB"/>
              </w:rPr>
              <w:t>Managerial Law</w:t>
            </w:r>
            <w:r w:rsidRPr="003175AA">
              <w:rPr>
                <w:rFonts w:ascii="Times New Roman" w:hAnsi="Times New Roman"/>
                <w:lang w:eastAsia="en-GB"/>
              </w:rPr>
              <w:t>, vol. 17, no. 3, pp. 247–363, Nov. 1974, doi: 10.1108/eb022382.</w:t>
            </w:r>
          </w:p>
          <w:p w14:paraId="1AC1BCFC" w14:textId="77777777" w:rsidR="002B54E7" w:rsidRDefault="002B54E7" w:rsidP="003175AA">
            <w:pPr>
              <w:spacing w:before="0"/>
              <w:jc w:val="left"/>
              <w:rPr>
                <w:rFonts w:ascii="Times New Roman" w:hAnsi="Times New Roman"/>
                <w:lang w:eastAsia="en-GB"/>
              </w:rPr>
            </w:pPr>
          </w:p>
          <w:p w14:paraId="2F66C990" w14:textId="77777777" w:rsidR="003175AA" w:rsidRPr="003175AA" w:rsidRDefault="003175AA" w:rsidP="003175AA">
            <w:pPr>
              <w:spacing w:before="0"/>
              <w:jc w:val="left"/>
              <w:rPr>
                <w:rFonts w:ascii="Times New Roman" w:hAnsi="Times New Roman"/>
                <w:lang w:eastAsia="en-GB"/>
              </w:rPr>
            </w:pPr>
          </w:p>
        </w:tc>
      </w:tr>
      <w:tr w:rsidR="003175AA" w:rsidRPr="003175AA" w14:paraId="69D91212" w14:textId="77777777" w:rsidTr="003175AA">
        <w:tc>
          <w:tcPr>
            <w:tcW w:w="736" w:type="dxa"/>
            <w:noWrap/>
            <w:tcMar>
              <w:top w:w="0" w:type="dxa"/>
              <w:left w:w="0" w:type="dxa"/>
              <w:bottom w:w="0" w:type="dxa"/>
              <w:right w:w="0" w:type="dxa"/>
            </w:tcMar>
            <w:hideMark/>
          </w:tcPr>
          <w:p w14:paraId="2063DA7C"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[5]</w:t>
            </w:r>
          </w:p>
        </w:tc>
        <w:tc>
          <w:tcPr>
            <w:tcW w:w="0" w:type="auto"/>
            <w:tcMar>
              <w:top w:w="0" w:type="dxa"/>
              <w:left w:w="0" w:type="dxa"/>
              <w:bottom w:w="0" w:type="dxa"/>
              <w:right w:w="0" w:type="dxa"/>
            </w:tcMar>
            <w:hideMark/>
          </w:tcPr>
          <w:p w14:paraId="706F6C54"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“DSA 03.OME Part 2 (JSP 482) - Defence Code of Practice (DCOP) and Guidance Notes for In-Service and Operational Safety Management of OME Defence OME Safety Regulator DOSR.”</w:t>
            </w:r>
          </w:p>
          <w:p w14:paraId="49FAF793" w14:textId="77777777" w:rsidR="002B54E7" w:rsidRDefault="002B54E7" w:rsidP="003175AA">
            <w:pPr>
              <w:spacing w:before="0"/>
              <w:jc w:val="left"/>
              <w:rPr>
                <w:rFonts w:ascii="Times New Roman" w:hAnsi="Times New Roman"/>
                <w:lang w:eastAsia="en-GB"/>
              </w:rPr>
            </w:pPr>
          </w:p>
          <w:p w14:paraId="31C190B4" w14:textId="77777777" w:rsidR="003175AA" w:rsidRPr="003175AA" w:rsidRDefault="003175AA" w:rsidP="003175AA">
            <w:pPr>
              <w:spacing w:before="0"/>
              <w:jc w:val="left"/>
              <w:rPr>
                <w:rFonts w:ascii="Times New Roman" w:hAnsi="Times New Roman"/>
                <w:lang w:eastAsia="en-GB"/>
              </w:rPr>
            </w:pPr>
          </w:p>
        </w:tc>
      </w:tr>
      <w:tr w:rsidR="003175AA" w:rsidRPr="003175AA" w14:paraId="654E4551" w14:textId="77777777" w:rsidTr="003175AA">
        <w:tc>
          <w:tcPr>
            <w:tcW w:w="736" w:type="dxa"/>
            <w:noWrap/>
            <w:tcMar>
              <w:top w:w="0" w:type="dxa"/>
              <w:left w:w="0" w:type="dxa"/>
              <w:bottom w:w="0" w:type="dxa"/>
              <w:right w:w="0" w:type="dxa"/>
            </w:tcMar>
            <w:hideMark/>
          </w:tcPr>
          <w:p w14:paraId="47971DB9"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[6]</w:t>
            </w:r>
          </w:p>
        </w:tc>
        <w:tc>
          <w:tcPr>
            <w:tcW w:w="0" w:type="auto"/>
            <w:tcMar>
              <w:top w:w="0" w:type="dxa"/>
              <w:left w:w="0" w:type="dxa"/>
              <w:bottom w:w="0" w:type="dxa"/>
              <w:right w:w="0" w:type="dxa"/>
            </w:tcMar>
            <w:hideMark/>
          </w:tcPr>
          <w:p w14:paraId="13DE1418"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“The Explosives Regulations 2014,” </w:t>
            </w:r>
            <w:r w:rsidRPr="003175AA">
              <w:rPr>
                <w:rFonts w:ascii="Times New Roman" w:hAnsi="Times New Roman"/>
                <w:i/>
                <w:iCs/>
                <w:lang w:eastAsia="en-GB"/>
              </w:rPr>
              <w:t>Legislation.gov.uk</w:t>
            </w:r>
            <w:r w:rsidRPr="003175AA">
              <w:rPr>
                <w:rFonts w:ascii="Times New Roman" w:hAnsi="Times New Roman"/>
                <w:lang w:eastAsia="en-GB"/>
              </w:rPr>
              <w:t>, 2025. https://www.legislation.gov.uk/uksi/2014/1638/contents (accessed July 14, 2026).</w:t>
            </w:r>
          </w:p>
          <w:p w14:paraId="498F1F37" w14:textId="77777777" w:rsidR="002B54E7" w:rsidRDefault="002B54E7" w:rsidP="003175AA">
            <w:pPr>
              <w:spacing w:before="0"/>
              <w:jc w:val="left"/>
              <w:rPr>
                <w:rFonts w:ascii="Times New Roman" w:hAnsi="Times New Roman"/>
                <w:lang w:eastAsia="en-GB"/>
              </w:rPr>
            </w:pPr>
          </w:p>
          <w:p w14:paraId="0B5C0C3D" w14:textId="77777777" w:rsidR="003175AA" w:rsidRPr="003175AA" w:rsidRDefault="003175AA" w:rsidP="003175AA">
            <w:pPr>
              <w:spacing w:before="0"/>
              <w:jc w:val="left"/>
              <w:rPr>
                <w:rFonts w:ascii="Times New Roman" w:hAnsi="Times New Roman"/>
                <w:lang w:eastAsia="en-GB"/>
              </w:rPr>
            </w:pPr>
          </w:p>
        </w:tc>
      </w:tr>
      <w:tr w:rsidR="003175AA" w:rsidRPr="003175AA" w14:paraId="26BE85A3" w14:textId="77777777" w:rsidTr="003175AA">
        <w:tc>
          <w:tcPr>
            <w:tcW w:w="736" w:type="dxa"/>
            <w:noWrap/>
            <w:tcMar>
              <w:top w:w="0" w:type="dxa"/>
              <w:left w:w="0" w:type="dxa"/>
              <w:bottom w:w="0" w:type="dxa"/>
              <w:right w:w="0" w:type="dxa"/>
            </w:tcMar>
            <w:hideMark/>
          </w:tcPr>
          <w:p w14:paraId="06C6275F"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[7]</w:t>
            </w:r>
          </w:p>
        </w:tc>
        <w:tc>
          <w:tcPr>
            <w:tcW w:w="0" w:type="auto"/>
            <w:tcMar>
              <w:top w:w="0" w:type="dxa"/>
              <w:left w:w="0" w:type="dxa"/>
              <w:bottom w:w="0" w:type="dxa"/>
              <w:right w:w="0" w:type="dxa"/>
            </w:tcMar>
            <w:hideMark/>
          </w:tcPr>
          <w:p w14:paraId="7AE10D0C"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“Preliminary Pages JSP 482 MINISTRY OF DEFENCE EXPLOSIVES REGULATIONS Edition 4,” 2013.</w:t>
            </w:r>
          </w:p>
        </w:tc>
      </w:tr>
    </w:tbl>
    <w:p w14:paraId="6131CB69" w14:textId="0FC60A96" w:rsidR="004747AF" w:rsidRDefault="004747AF" w:rsidP="00CB789F">
      <w:pPr>
        <w:pStyle w:val="BodyText"/>
      </w:pPr>
    </w:p>
    <w:sectPr w:rsidR="004747AF" w:rsidSect="000D3AB7">
      <w:headerReference w:type="default" r:id="rId20"/>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06599" w14:textId="77777777" w:rsidR="005940B9" w:rsidRDefault="005940B9">
      <w:r>
        <w:separator/>
      </w:r>
    </w:p>
  </w:endnote>
  <w:endnote w:type="continuationSeparator" w:id="0">
    <w:p w14:paraId="488DE47D" w14:textId="77777777" w:rsidR="005940B9" w:rsidRDefault="00594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6FF8F" w14:textId="77777777" w:rsidR="00904979" w:rsidRDefault="009049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3E240D6B" w:rsidR="002B0693" w:rsidRDefault="002B0693" w:rsidP="00A53C68">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3A8DC" w14:textId="77777777" w:rsidR="00904979" w:rsidRDefault="0090497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2F4AB" w14:textId="73D50C34" w:rsidR="00904979" w:rsidRDefault="00904979" w:rsidP="00A53C68">
    <w:pPr>
      <w:pStyle w:val="Footer"/>
      <w:spacing w:before="0"/>
      <w:jc w:val="center"/>
      <w:rPr>
        <w:rStyle w:val="PageNumber"/>
      </w:rPr>
    </w:pPr>
  </w:p>
  <w:p w14:paraId="0983DDEC" w14:textId="7FC72B3E"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BB4FF" w14:textId="77777777" w:rsidR="005940B9" w:rsidRDefault="005940B9">
      <w:r>
        <w:separator/>
      </w:r>
    </w:p>
  </w:footnote>
  <w:footnote w:type="continuationSeparator" w:id="0">
    <w:p w14:paraId="32E338D2" w14:textId="77777777" w:rsidR="005940B9" w:rsidRDefault="005940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567AE" w14:textId="77777777" w:rsidR="00904979" w:rsidRDefault="009049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BB6B" w14:textId="250C519B" w:rsidR="00904979" w:rsidRDefault="00904979" w:rsidP="00A53C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4AA2F" w14:textId="77777777" w:rsidR="00904979" w:rsidRDefault="0090497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5D36FEDB" w:rsidR="002B0693" w:rsidRDefault="002B0693" w:rsidP="00A53C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1D091E77"/>
    <w:multiLevelType w:val="hybridMultilevel"/>
    <w:tmpl w:val="7458C8D6"/>
    <w:lvl w:ilvl="0" w:tplc="08E48D3A">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3106F12"/>
    <w:multiLevelType w:val="hybridMultilevel"/>
    <w:tmpl w:val="C9B01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68BD59CC"/>
    <w:multiLevelType w:val="hybridMultilevel"/>
    <w:tmpl w:val="C1346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AF97386"/>
    <w:multiLevelType w:val="multilevel"/>
    <w:tmpl w:val="82B25B16"/>
    <w:lvl w:ilvl="0">
      <w:start w:val="1"/>
      <w:numFmt w:val="decimal"/>
      <w:pStyle w:val="Heading1"/>
      <w:suff w:val="space"/>
      <w:lvlText w:val="%1"/>
      <w:lvlJc w:val="left"/>
      <w:pPr>
        <w:ind w:left="432" w:hanging="432"/>
      </w:pPr>
      <w:rPr>
        <w:rFonts w:cs="Times New Roman" w:hint="default"/>
        <w:b w:val="0"/>
        <w:bCs w:val="0"/>
        <w:color w:val="auto"/>
        <w:sz w:val="28"/>
        <w:szCs w:val="28"/>
      </w:rPr>
    </w:lvl>
    <w:lvl w:ilvl="1">
      <w:start w:val="1"/>
      <w:numFmt w:val="decimal"/>
      <w:pStyle w:val="Heading2"/>
      <w:suff w:val="space"/>
      <w:lvlText w:val="%1.%2"/>
      <w:lvlJc w:val="left"/>
      <w:pPr>
        <w:ind w:left="576" w:hanging="576"/>
      </w:pPr>
      <w:rPr>
        <w:rFonts w:cs="Times New Roman" w:hint="default"/>
        <w:color w:val="auto"/>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4"/>
  </w:num>
  <w:num w:numId="2" w16cid:durableId="1489785511">
    <w:abstractNumId w:val="19"/>
  </w:num>
  <w:num w:numId="3" w16cid:durableId="905871091">
    <w:abstractNumId w:val="14"/>
  </w:num>
  <w:num w:numId="4" w16cid:durableId="534970395">
    <w:abstractNumId w:val="10"/>
  </w:num>
  <w:num w:numId="5" w16cid:durableId="38435229">
    <w:abstractNumId w:val="33"/>
  </w:num>
  <w:num w:numId="6" w16cid:durableId="2057730824">
    <w:abstractNumId w:val="21"/>
  </w:num>
  <w:num w:numId="7" w16cid:durableId="1675720074">
    <w:abstractNumId w:val="24"/>
  </w:num>
  <w:num w:numId="8" w16cid:durableId="1014383751">
    <w:abstractNumId w:val="17"/>
  </w:num>
  <w:num w:numId="9" w16cid:durableId="201672474">
    <w:abstractNumId w:val="29"/>
  </w:num>
  <w:num w:numId="10" w16cid:durableId="256066161">
    <w:abstractNumId w:val="35"/>
  </w:num>
  <w:num w:numId="11" w16cid:durableId="2087680663">
    <w:abstractNumId w:val="13"/>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2"/>
  </w:num>
  <w:num w:numId="24" w16cid:durableId="657152095">
    <w:abstractNumId w:val="11"/>
  </w:num>
  <w:num w:numId="25" w16cid:durableId="649095097">
    <w:abstractNumId w:val="25"/>
  </w:num>
  <w:num w:numId="26" w16cid:durableId="2025472307">
    <w:abstractNumId w:val="12"/>
  </w:num>
  <w:num w:numId="27" w16cid:durableId="732191785">
    <w:abstractNumId w:val="27"/>
  </w:num>
  <w:num w:numId="28" w16cid:durableId="1293512764">
    <w:abstractNumId w:val="15"/>
  </w:num>
  <w:num w:numId="29" w16cid:durableId="1552501508">
    <w:abstractNumId w:val="31"/>
  </w:num>
  <w:num w:numId="30" w16cid:durableId="1990475844">
    <w:abstractNumId w:val="28"/>
  </w:num>
  <w:num w:numId="31" w16cid:durableId="1087464949">
    <w:abstractNumId w:val="18"/>
  </w:num>
  <w:num w:numId="32" w16cid:durableId="516886674">
    <w:abstractNumId w:val="26"/>
  </w:num>
  <w:num w:numId="33" w16cid:durableId="1720863631">
    <w:abstractNumId w:val="20"/>
  </w:num>
  <w:num w:numId="34" w16cid:durableId="207500379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685405686">
    <w:abstractNumId w:val="23"/>
  </w:num>
  <w:num w:numId="36" w16cid:durableId="183710405">
    <w:abstractNumId w:val="30"/>
  </w:num>
  <w:num w:numId="37" w16cid:durableId="3959788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E29"/>
    <w:rsid w:val="0000485E"/>
    <w:rsid w:val="00013C55"/>
    <w:rsid w:val="000146A5"/>
    <w:rsid w:val="000150ED"/>
    <w:rsid w:val="00015A13"/>
    <w:rsid w:val="00016BC8"/>
    <w:rsid w:val="0003024C"/>
    <w:rsid w:val="0003188E"/>
    <w:rsid w:val="0003240B"/>
    <w:rsid w:val="00045D6F"/>
    <w:rsid w:val="00051841"/>
    <w:rsid w:val="00052D81"/>
    <w:rsid w:val="00061447"/>
    <w:rsid w:val="00063CEE"/>
    <w:rsid w:val="00065259"/>
    <w:rsid w:val="00065A60"/>
    <w:rsid w:val="00067512"/>
    <w:rsid w:val="00071CD5"/>
    <w:rsid w:val="00082C27"/>
    <w:rsid w:val="000853BC"/>
    <w:rsid w:val="00086305"/>
    <w:rsid w:val="00092AE7"/>
    <w:rsid w:val="00097727"/>
    <w:rsid w:val="000A4407"/>
    <w:rsid w:val="000B5F83"/>
    <w:rsid w:val="000B6677"/>
    <w:rsid w:val="000C6559"/>
    <w:rsid w:val="000D3236"/>
    <w:rsid w:val="000D3AB7"/>
    <w:rsid w:val="000E1399"/>
    <w:rsid w:val="000E1E14"/>
    <w:rsid w:val="000E5531"/>
    <w:rsid w:val="000F1933"/>
    <w:rsid w:val="000F3237"/>
    <w:rsid w:val="000F3FC7"/>
    <w:rsid w:val="000F5578"/>
    <w:rsid w:val="000F5DF6"/>
    <w:rsid w:val="0011323A"/>
    <w:rsid w:val="00116E57"/>
    <w:rsid w:val="00124E49"/>
    <w:rsid w:val="00126903"/>
    <w:rsid w:val="00130109"/>
    <w:rsid w:val="00132B6A"/>
    <w:rsid w:val="00144ED0"/>
    <w:rsid w:val="00145332"/>
    <w:rsid w:val="001507DE"/>
    <w:rsid w:val="0015243A"/>
    <w:rsid w:val="00161B9D"/>
    <w:rsid w:val="00171953"/>
    <w:rsid w:val="00180A95"/>
    <w:rsid w:val="001850E2"/>
    <w:rsid w:val="00187AAB"/>
    <w:rsid w:val="001919FF"/>
    <w:rsid w:val="00196CAA"/>
    <w:rsid w:val="001A6D66"/>
    <w:rsid w:val="001A79F9"/>
    <w:rsid w:val="001B0633"/>
    <w:rsid w:val="001B63F7"/>
    <w:rsid w:val="001C1A69"/>
    <w:rsid w:val="001C2208"/>
    <w:rsid w:val="001C23E5"/>
    <w:rsid w:val="001D1209"/>
    <w:rsid w:val="001D1974"/>
    <w:rsid w:val="001D2FAF"/>
    <w:rsid w:val="001D636A"/>
    <w:rsid w:val="001D7982"/>
    <w:rsid w:val="001E00D5"/>
    <w:rsid w:val="001E388D"/>
    <w:rsid w:val="001E609B"/>
    <w:rsid w:val="001E7302"/>
    <w:rsid w:val="001F0D65"/>
    <w:rsid w:val="001F1539"/>
    <w:rsid w:val="001F3055"/>
    <w:rsid w:val="001F3D4B"/>
    <w:rsid w:val="001F41DE"/>
    <w:rsid w:val="001F5E68"/>
    <w:rsid w:val="001F780C"/>
    <w:rsid w:val="001F7B83"/>
    <w:rsid w:val="001F7EBB"/>
    <w:rsid w:val="00203ABB"/>
    <w:rsid w:val="00204473"/>
    <w:rsid w:val="002121F3"/>
    <w:rsid w:val="00212D6E"/>
    <w:rsid w:val="0021482A"/>
    <w:rsid w:val="00224C6D"/>
    <w:rsid w:val="00224E7F"/>
    <w:rsid w:val="00230B99"/>
    <w:rsid w:val="00232B80"/>
    <w:rsid w:val="002405FF"/>
    <w:rsid w:val="00240C8F"/>
    <w:rsid w:val="00241B48"/>
    <w:rsid w:val="00243313"/>
    <w:rsid w:val="00245DA7"/>
    <w:rsid w:val="00246995"/>
    <w:rsid w:val="0025099B"/>
    <w:rsid w:val="00251120"/>
    <w:rsid w:val="00267F4D"/>
    <w:rsid w:val="00271B24"/>
    <w:rsid w:val="00285034"/>
    <w:rsid w:val="0029166E"/>
    <w:rsid w:val="002941E8"/>
    <w:rsid w:val="0029721E"/>
    <w:rsid w:val="002A5491"/>
    <w:rsid w:val="002A5948"/>
    <w:rsid w:val="002A7DD0"/>
    <w:rsid w:val="002B0693"/>
    <w:rsid w:val="002B133F"/>
    <w:rsid w:val="002B54E7"/>
    <w:rsid w:val="002B7456"/>
    <w:rsid w:val="002B7B28"/>
    <w:rsid w:val="002C4CFB"/>
    <w:rsid w:val="002D05CE"/>
    <w:rsid w:val="002D4A7B"/>
    <w:rsid w:val="002D5449"/>
    <w:rsid w:val="002E4E10"/>
    <w:rsid w:val="002E6E9F"/>
    <w:rsid w:val="002F0FDA"/>
    <w:rsid w:val="002F7211"/>
    <w:rsid w:val="00304798"/>
    <w:rsid w:val="00315527"/>
    <w:rsid w:val="0031758D"/>
    <w:rsid w:val="003175AA"/>
    <w:rsid w:val="003175DD"/>
    <w:rsid w:val="0032056F"/>
    <w:rsid w:val="003500A4"/>
    <w:rsid w:val="00351E83"/>
    <w:rsid w:val="003528D7"/>
    <w:rsid w:val="00352EC4"/>
    <w:rsid w:val="003550A0"/>
    <w:rsid w:val="0035720C"/>
    <w:rsid w:val="00361EFD"/>
    <w:rsid w:val="0037068D"/>
    <w:rsid w:val="00372935"/>
    <w:rsid w:val="00376DA6"/>
    <w:rsid w:val="0039248E"/>
    <w:rsid w:val="003936E5"/>
    <w:rsid w:val="00393F05"/>
    <w:rsid w:val="003A183D"/>
    <w:rsid w:val="003A1BE4"/>
    <w:rsid w:val="003A5815"/>
    <w:rsid w:val="003B075E"/>
    <w:rsid w:val="003B1C9F"/>
    <w:rsid w:val="003B2155"/>
    <w:rsid w:val="003B77E1"/>
    <w:rsid w:val="003C3B3C"/>
    <w:rsid w:val="003E22AC"/>
    <w:rsid w:val="003E41E0"/>
    <w:rsid w:val="003F36E7"/>
    <w:rsid w:val="003F42E4"/>
    <w:rsid w:val="003F67A2"/>
    <w:rsid w:val="004015E2"/>
    <w:rsid w:val="00404309"/>
    <w:rsid w:val="00405FBA"/>
    <w:rsid w:val="0041249C"/>
    <w:rsid w:val="00414F8F"/>
    <w:rsid w:val="0041685B"/>
    <w:rsid w:val="00420CA0"/>
    <w:rsid w:val="00423DB3"/>
    <w:rsid w:val="004274ED"/>
    <w:rsid w:val="00443A5F"/>
    <w:rsid w:val="00445061"/>
    <w:rsid w:val="00445556"/>
    <w:rsid w:val="0045132C"/>
    <w:rsid w:val="004534AC"/>
    <w:rsid w:val="00460314"/>
    <w:rsid w:val="0046152D"/>
    <w:rsid w:val="004629F9"/>
    <w:rsid w:val="004727CF"/>
    <w:rsid w:val="004747AF"/>
    <w:rsid w:val="0049076B"/>
    <w:rsid w:val="00496FF9"/>
    <w:rsid w:val="004A0AD3"/>
    <w:rsid w:val="004A1164"/>
    <w:rsid w:val="004A133A"/>
    <w:rsid w:val="004A6377"/>
    <w:rsid w:val="004B2CA9"/>
    <w:rsid w:val="004B5597"/>
    <w:rsid w:val="004B5D2E"/>
    <w:rsid w:val="004C03F0"/>
    <w:rsid w:val="004C2C9C"/>
    <w:rsid w:val="004C2EEB"/>
    <w:rsid w:val="004C5E7C"/>
    <w:rsid w:val="004D265B"/>
    <w:rsid w:val="004D5EBD"/>
    <w:rsid w:val="004D796A"/>
    <w:rsid w:val="004E4648"/>
    <w:rsid w:val="004E78DD"/>
    <w:rsid w:val="004E7AF1"/>
    <w:rsid w:val="004F384F"/>
    <w:rsid w:val="004F3C28"/>
    <w:rsid w:val="00501BB0"/>
    <w:rsid w:val="005064F6"/>
    <w:rsid w:val="00506989"/>
    <w:rsid w:val="00507FA4"/>
    <w:rsid w:val="005125CD"/>
    <w:rsid w:val="005134B3"/>
    <w:rsid w:val="00513E67"/>
    <w:rsid w:val="0052247A"/>
    <w:rsid w:val="005244BB"/>
    <w:rsid w:val="00524E57"/>
    <w:rsid w:val="00527575"/>
    <w:rsid w:val="005304A9"/>
    <w:rsid w:val="00541950"/>
    <w:rsid w:val="00543179"/>
    <w:rsid w:val="00547EA4"/>
    <w:rsid w:val="005528A4"/>
    <w:rsid w:val="00571D27"/>
    <w:rsid w:val="00573310"/>
    <w:rsid w:val="005800F4"/>
    <w:rsid w:val="00584C83"/>
    <w:rsid w:val="00593255"/>
    <w:rsid w:val="005940B9"/>
    <w:rsid w:val="00596477"/>
    <w:rsid w:val="0059796D"/>
    <w:rsid w:val="00597E9E"/>
    <w:rsid w:val="005A0686"/>
    <w:rsid w:val="005A12DA"/>
    <w:rsid w:val="005A29B0"/>
    <w:rsid w:val="005A439F"/>
    <w:rsid w:val="005A563B"/>
    <w:rsid w:val="005B365C"/>
    <w:rsid w:val="005B61C5"/>
    <w:rsid w:val="005C0AF1"/>
    <w:rsid w:val="005C6FA2"/>
    <w:rsid w:val="005D3376"/>
    <w:rsid w:val="005D4968"/>
    <w:rsid w:val="005D68D1"/>
    <w:rsid w:val="005E3ACA"/>
    <w:rsid w:val="005E4B39"/>
    <w:rsid w:val="00600F1E"/>
    <w:rsid w:val="00610042"/>
    <w:rsid w:val="006159AA"/>
    <w:rsid w:val="006170ED"/>
    <w:rsid w:val="00620197"/>
    <w:rsid w:val="00623A81"/>
    <w:rsid w:val="00624CB0"/>
    <w:rsid w:val="00626744"/>
    <w:rsid w:val="0062728E"/>
    <w:rsid w:val="006342AB"/>
    <w:rsid w:val="00635EF3"/>
    <w:rsid w:val="006454D8"/>
    <w:rsid w:val="00654786"/>
    <w:rsid w:val="0065601E"/>
    <w:rsid w:val="006573D9"/>
    <w:rsid w:val="006575E8"/>
    <w:rsid w:val="00663DC7"/>
    <w:rsid w:val="00667EA4"/>
    <w:rsid w:val="00671FA2"/>
    <w:rsid w:val="00672CBB"/>
    <w:rsid w:val="00684F95"/>
    <w:rsid w:val="00685088"/>
    <w:rsid w:val="0069052C"/>
    <w:rsid w:val="00693975"/>
    <w:rsid w:val="006A19EC"/>
    <w:rsid w:val="006A3182"/>
    <w:rsid w:val="006A3B13"/>
    <w:rsid w:val="006A797F"/>
    <w:rsid w:val="006B5548"/>
    <w:rsid w:val="006C39D5"/>
    <w:rsid w:val="006C6C98"/>
    <w:rsid w:val="006D079A"/>
    <w:rsid w:val="006D47CE"/>
    <w:rsid w:val="006D680A"/>
    <w:rsid w:val="006E511E"/>
    <w:rsid w:val="006E7473"/>
    <w:rsid w:val="006F04A3"/>
    <w:rsid w:val="006F339E"/>
    <w:rsid w:val="006F48A8"/>
    <w:rsid w:val="006F6F09"/>
    <w:rsid w:val="00700D30"/>
    <w:rsid w:val="0070144B"/>
    <w:rsid w:val="0070544E"/>
    <w:rsid w:val="00706A9E"/>
    <w:rsid w:val="00706FC0"/>
    <w:rsid w:val="00711B09"/>
    <w:rsid w:val="007153E8"/>
    <w:rsid w:val="00716193"/>
    <w:rsid w:val="00720589"/>
    <w:rsid w:val="0072198E"/>
    <w:rsid w:val="007240B6"/>
    <w:rsid w:val="00735256"/>
    <w:rsid w:val="0073615A"/>
    <w:rsid w:val="00747900"/>
    <w:rsid w:val="0075020C"/>
    <w:rsid w:val="00751BC0"/>
    <w:rsid w:val="007917FA"/>
    <w:rsid w:val="00792A54"/>
    <w:rsid w:val="00793B34"/>
    <w:rsid w:val="00795AC0"/>
    <w:rsid w:val="0079773C"/>
    <w:rsid w:val="007A4D4A"/>
    <w:rsid w:val="007A5657"/>
    <w:rsid w:val="007B01AA"/>
    <w:rsid w:val="007D48F0"/>
    <w:rsid w:val="007D76ED"/>
    <w:rsid w:val="007E3442"/>
    <w:rsid w:val="007F0255"/>
    <w:rsid w:val="007F0654"/>
    <w:rsid w:val="007F186D"/>
    <w:rsid w:val="007F5C55"/>
    <w:rsid w:val="00801843"/>
    <w:rsid w:val="00803227"/>
    <w:rsid w:val="00806B8E"/>
    <w:rsid w:val="00807610"/>
    <w:rsid w:val="00807CDF"/>
    <w:rsid w:val="008110D1"/>
    <w:rsid w:val="00820D1B"/>
    <w:rsid w:val="00830238"/>
    <w:rsid w:val="00831E12"/>
    <w:rsid w:val="00832F93"/>
    <w:rsid w:val="00833618"/>
    <w:rsid w:val="00835E1B"/>
    <w:rsid w:val="00837448"/>
    <w:rsid w:val="008428F4"/>
    <w:rsid w:val="008462C0"/>
    <w:rsid w:val="00851ADB"/>
    <w:rsid w:val="00875B58"/>
    <w:rsid w:val="00875EB2"/>
    <w:rsid w:val="00876ECB"/>
    <w:rsid w:val="0088087A"/>
    <w:rsid w:val="00881A26"/>
    <w:rsid w:val="0088366F"/>
    <w:rsid w:val="00884ECE"/>
    <w:rsid w:val="008906BD"/>
    <w:rsid w:val="00895BFB"/>
    <w:rsid w:val="008B72AE"/>
    <w:rsid w:val="008B731F"/>
    <w:rsid w:val="008C5644"/>
    <w:rsid w:val="008C56B9"/>
    <w:rsid w:val="008D00C5"/>
    <w:rsid w:val="008D0F71"/>
    <w:rsid w:val="008D1F23"/>
    <w:rsid w:val="008D5D60"/>
    <w:rsid w:val="008D5DD7"/>
    <w:rsid w:val="008D5E4C"/>
    <w:rsid w:val="008E5A35"/>
    <w:rsid w:val="008E7822"/>
    <w:rsid w:val="008F0A2B"/>
    <w:rsid w:val="008F2598"/>
    <w:rsid w:val="008F25E0"/>
    <w:rsid w:val="00904014"/>
    <w:rsid w:val="00904979"/>
    <w:rsid w:val="00905CD8"/>
    <w:rsid w:val="00910028"/>
    <w:rsid w:val="00922BCA"/>
    <w:rsid w:val="009242A6"/>
    <w:rsid w:val="00925B40"/>
    <w:rsid w:val="0093381A"/>
    <w:rsid w:val="00933F08"/>
    <w:rsid w:val="009345D5"/>
    <w:rsid w:val="009404A4"/>
    <w:rsid w:val="0094060A"/>
    <w:rsid w:val="00941D35"/>
    <w:rsid w:val="00945764"/>
    <w:rsid w:val="009504C2"/>
    <w:rsid w:val="00955A78"/>
    <w:rsid w:val="009616E1"/>
    <w:rsid w:val="009640EE"/>
    <w:rsid w:val="00965413"/>
    <w:rsid w:val="00974BD2"/>
    <w:rsid w:val="0098340A"/>
    <w:rsid w:val="00985EE8"/>
    <w:rsid w:val="00995B4F"/>
    <w:rsid w:val="00996FFA"/>
    <w:rsid w:val="009A1B4D"/>
    <w:rsid w:val="009B52E2"/>
    <w:rsid w:val="009B68EF"/>
    <w:rsid w:val="009B7734"/>
    <w:rsid w:val="009D6DA4"/>
    <w:rsid w:val="009F42D6"/>
    <w:rsid w:val="009F4F9E"/>
    <w:rsid w:val="00A0057B"/>
    <w:rsid w:val="00A0329E"/>
    <w:rsid w:val="00A03F7E"/>
    <w:rsid w:val="00A128AB"/>
    <w:rsid w:val="00A13188"/>
    <w:rsid w:val="00A226AF"/>
    <w:rsid w:val="00A238BE"/>
    <w:rsid w:val="00A259D4"/>
    <w:rsid w:val="00A25E3F"/>
    <w:rsid w:val="00A33D5D"/>
    <w:rsid w:val="00A36F61"/>
    <w:rsid w:val="00A43C40"/>
    <w:rsid w:val="00A51DB1"/>
    <w:rsid w:val="00A53C68"/>
    <w:rsid w:val="00A57740"/>
    <w:rsid w:val="00A633BD"/>
    <w:rsid w:val="00A64F8B"/>
    <w:rsid w:val="00A651C5"/>
    <w:rsid w:val="00A66351"/>
    <w:rsid w:val="00A85678"/>
    <w:rsid w:val="00A85E77"/>
    <w:rsid w:val="00A916EE"/>
    <w:rsid w:val="00A922D7"/>
    <w:rsid w:val="00A95671"/>
    <w:rsid w:val="00AA1E42"/>
    <w:rsid w:val="00AA2009"/>
    <w:rsid w:val="00AA4D83"/>
    <w:rsid w:val="00AA61F1"/>
    <w:rsid w:val="00AB4324"/>
    <w:rsid w:val="00AB7A21"/>
    <w:rsid w:val="00AC39A9"/>
    <w:rsid w:val="00AC5C78"/>
    <w:rsid w:val="00AD1A00"/>
    <w:rsid w:val="00AD6D75"/>
    <w:rsid w:val="00AE480E"/>
    <w:rsid w:val="00AF25BB"/>
    <w:rsid w:val="00B018D1"/>
    <w:rsid w:val="00B03D9F"/>
    <w:rsid w:val="00B102CC"/>
    <w:rsid w:val="00B1530F"/>
    <w:rsid w:val="00B17824"/>
    <w:rsid w:val="00B20072"/>
    <w:rsid w:val="00B20B2C"/>
    <w:rsid w:val="00B2492B"/>
    <w:rsid w:val="00B30745"/>
    <w:rsid w:val="00B332E3"/>
    <w:rsid w:val="00B40908"/>
    <w:rsid w:val="00B516D8"/>
    <w:rsid w:val="00B518ED"/>
    <w:rsid w:val="00B51E44"/>
    <w:rsid w:val="00B53E08"/>
    <w:rsid w:val="00B62048"/>
    <w:rsid w:val="00B64DC5"/>
    <w:rsid w:val="00B765F2"/>
    <w:rsid w:val="00B76AF4"/>
    <w:rsid w:val="00B77263"/>
    <w:rsid w:val="00B8752D"/>
    <w:rsid w:val="00B91C5E"/>
    <w:rsid w:val="00B9393F"/>
    <w:rsid w:val="00B93965"/>
    <w:rsid w:val="00B96699"/>
    <w:rsid w:val="00B9798F"/>
    <w:rsid w:val="00BA0D4C"/>
    <w:rsid w:val="00BA279E"/>
    <w:rsid w:val="00BA5321"/>
    <w:rsid w:val="00BB115E"/>
    <w:rsid w:val="00BC00B2"/>
    <w:rsid w:val="00BC3BDF"/>
    <w:rsid w:val="00BC4978"/>
    <w:rsid w:val="00BD2A70"/>
    <w:rsid w:val="00BE1C94"/>
    <w:rsid w:val="00BE3C30"/>
    <w:rsid w:val="00BE6A2F"/>
    <w:rsid w:val="00BE6F0E"/>
    <w:rsid w:val="00BE77DE"/>
    <w:rsid w:val="00BF4B1B"/>
    <w:rsid w:val="00BF5778"/>
    <w:rsid w:val="00BF5FBE"/>
    <w:rsid w:val="00C04DD4"/>
    <w:rsid w:val="00C10332"/>
    <w:rsid w:val="00C20EF8"/>
    <w:rsid w:val="00C229CA"/>
    <w:rsid w:val="00C23009"/>
    <w:rsid w:val="00C27103"/>
    <w:rsid w:val="00C32CA7"/>
    <w:rsid w:val="00C4482E"/>
    <w:rsid w:val="00C44DF7"/>
    <w:rsid w:val="00C45389"/>
    <w:rsid w:val="00C473DF"/>
    <w:rsid w:val="00C52F9C"/>
    <w:rsid w:val="00C53236"/>
    <w:rsid w:val="00C626AF"/>
    <w:rsid w:val="00C62DD8"/>
    <w:rsid w:val="00C658CA"/>
    <w:rsid w:val="00C71D1F"/>
    <w:rsid w:val="00C82E8D"/>
    <w:rsid w:val="00C90A14"/>
    <w:rsid w:val="00C927D8"/>
    <w:rsid w:val="00CA7AF4"/>
    <w:rsid w:val="00CB3287"/>
    <w:rsid w:val="00CB6A32"/>
    <w:rsid w:val="00CB789F"/>
    <w:rsid w:val="00CC21F1"/>
    <w:rsid w:val="00CC34C7"/>
    <w:rsid w:val="00CC6F3F"/>
    <w:rsid w:val="00CD4E0A"/>
    <w:rsid w:val="00CD6BE3"/>
    <w:rsid w:val="00CD7166"/>
    <w:rsid w:val="00CE3F44"/>
    <w:rsid w:val="00CF66E5"/>
    <w:rsid w:val="00CF6AA9"/>
    <w:rsid w:val="00D00922"/>
    <w:rsid w:val="00D03036"/>
    <w:rsid w:val="00D03E8E"/>
    <w:rsid w:val="00D04795"/>
    <w:rsid w:val="00D054B5"/>
    <w:rsid w:val="00D124F1"/>
    <w:rsid w:val="00D124F9"/>
    <w:rsid w:val="00D135C3"/>
    <w:rsid w:val="00D233FE"/>
    <w:rsid w:val="00D234C6"/>
    <w:rsid w:val="00D23D5B"/>
    <w:rsid w:val="00D27936"/>
    <w:rsid w:val="00D3056F"/>
    <w:rsid w:val="00D31007"/>
    <w:rsid w:val="00D333B2"/>
    <w:rsid w:val="00D33B7F"/>
    <w:rsid w:val="00D34064"/>
    <w:rsid w:val="00D351A6"/>
    <w:rsid w:val="00D3724C"/>
    <w:rsid w:val="00D43BBA"/>
    <w:rsid w:val="00D44E13"/>
    <w:rsid w:val="00D45145"/>
    <w:rsid w:val="00D507DF"/>
    <w:rsid w:val="00D52AC3"/>
    <w:rsid w:val="00D54B4D"/>
    <w:rsid w:val="00D76739"/>
    <w:rsid w:val="00D7716A"/>
    <w:rsid w:val="00D86ECE"/>
    <w:rsid w:val="00D96B02"/>
    <w:rsid w:val="00DA01AE"/>
    <w:rsid w:val="00DA1343"/>
    <w:rsid w:val="00DA1B85"/>
    <w:rsid w:val="00DA28B2"/>
    <w:rsid w:val="00DA7B8C"/>
    <w:rsid w:val="00DB0932"/>
    <w:rsid w:val="00DC6E45"/>
    <w:rsid w:val="00DD31A4"/>
    <w:rsid w:val="00DD3DA3"/>
    <w:rsid w:val="00DE4B07"/>
    <w:rsid w:val="00DF6781"/>
    <w:rsid w:val="00E025DC"/>
    <w:rsid w:val="00E06505"/>
    <w:rsid w:val="00E106AD"/>
    <w:rsid w:val="00E17857"/>
    <w:rsid w:val="00E27131"/>
    <w:rsid w:val="00E27644"/>
    <w:rsid w:val="00E31BDA"/>
    <w:rsid w:val="00E367E5"/>
    <w:rsid w:val="00E37F83"/>
    <w:rsid w:val="00E43A41"/>
    <w:rsid w:val="00E53D4B"/>
    <w:rsid w:val="00E60686"/>
    <w:rsid w:val="00E66614"/>
    <w:rsid w:val="00E67D8C"/>
    <w:rsid w:val="00E71C90"/>
    <w:rsid w:val="00E75826"/>
    <w:rsid w:val="00E8030E"/>
    <w:rsid w:val="00E80D98"/>
    <w:rsid w:val="00E81DD4"/>
    <w:rsid w:val="00E8282B"/>
    <w:rsid w:val="00E864B0"/>
    <w:rsid w:val="00E939C1"/>
    <w:rsid w:val="00E94F51"/>
    <w:rsid w:val="00E94FC1"/>
    <w:rsid w:val="00E968F4"/>
    <w:rsid w:val="00EA3654"/>
    <w:rsid w:val="00EB311A"/>
    <w:rsid w:val="00EB47D6"/>
    <w:rsid w:val="00EC42E2"/>
    <w:rsid w:val="00EC4663"/>
    <w:rsid w:val="00EC473B"/>
    <w:rsid w:val="00EC5BBE"/>
    <w:rsid w:val="00EC6629"/>
    <w:rsid w:val="00EC746C"/>
    <w:rsid w:val="00ED410A"/>
    <w:rsid w:val="00EE07F2"/>
    <w:rsid w:val="00EE6208"/>
    <w:rsid w:val="00EF21A6"/>
    <w:rsid w:val="00EF35D7"/>
    <w:rsid w:val="00EF5C69"/>
    <w:rsid w:val="00EF7415"/>
    <w:rsid w:val="00F15523"/>
    <w:rsid w:val="00F16B63"/>
    <w:rsid w:val="00F16E24"/>
    <w:rsid w:val="00F2159F"/>
    <w:rsid w:val="00F32ADB"/>
    <w:rsid w:val="00F33B50"/>
    <w:rsid w:val="00F4072F"/>
    <w:rsid w:val="00F44E18"/>
    <w:rsid w:val="00F4729A"/>
    <w:rsid w:val="00F509C2"/>
    <w:rsid w:val="00F54DA6"/>
    <w:rsid w:val="00F551D0"/>
    <w:rsid w:val="00F65825"/>
    <w:rsid w:val="00F70D29"/>
    <w:rsid w:val="00F718E3"/>
    <w:rsid w:val="00F72FA5"/>
    <w:rsid w:val="00F73103"/>
    <w:rsid w:val="00F73DA6"/>
    <w:rsid w:val="00F80DBD"/>
    <w:rsid w:val="00F84DA7"/>
    <w:rsid w:val="00F86DFA"/>
    <w:rsid w:val="00F95306"/>
    <w:rsid w:val="00F97131"/>
    <w:rsid w:val="00FA46DB"/>
    <w:rsid w:val="00FA55B5"/>
    <w:rsid w:val="00FA7F7D"/>
    <w:rsid w:val="00FB163E"/>
    <w:rsid w:val="00FB5D40"/>
    <w:rsid w:val="00FB5D74"/>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unhideWhenUsed/>
    <w:rsid w:val="004727CF"/>
    <w:pPr>
      <w:spacing w:before="100" w:beforeAutospacing="1" w:after="100" w:afterAutospacing="1" w:line="240" w:lineRule="auto"/>
      <w:jc w:val="left"/>
    </w:pPr>
    <w:rPr>
      <w:rFonts w:ascii="Times New Roman" w:hAnsi="Times New Roman"/>
      <w:lang w:eastAsia="en-GB"/>
    </w:rPr>
  </w:style>
  <w:style w:type="character" w:styleId="UnresolvedMention">
    <w:name w:val="Unresolved Mention"/>
    <w:basedOn w:val="DefaultParagraphFont"/>
    <w:uiPriority w:val="99"/>
    <w:semiHidden/>
    <w:unhideWhenUsed/>
    <w:rsid w:val="003175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1713">
      <w:bodyDiv w:val="1"/>
      <w:marLeft w:val="0"/>
      <w:marRight w:val="0"/>
      <w:marTop w:val="0"/>
      <w:marBottom w:val="0"/>
      <w:divBdr>
        <w:top w:val="none" w:sz="0" w:space="0" w:color="auto"/>
        <w:left w:val="none" w:sz="0" w:space="0" w:color="auto"/>
        <w:bottom w:val="none" w:sz="0" w:space="0" w:color="auto"/>
        <w:right w:val="none" w:sz="0" w:space="0" w:color="auto"/>
      </w:divBdr>
      <w:divsChild>
        <w:div w:id="681737989">
          <w:marLeft w:val="0"/>
          <w:marRight w:val="0"/>
          <w:marTop w:val="0"/>
          <w:marBottom w:val="0"/>
          <w:divBdr>
            <w:top w:val="none" w:sz="0" w:space="0" w:color="auto"/>
            <w:left w:val="none" w:sz="0" w:space="0" w:color="auto"/>
            <w:bottom w:val="none" w:sz="0" w:space="0" w:color="auto"/>
            <w:right w:val="none" w:sz="0" w:space="0" w:color="auto"/>
          </w:divBdr>
        </w:div>
      </w:divsChild>
    </w:div>
    <w:div w:id="398745811">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7261603">
      <w:bodyDiv w:val="1"/>
      <w:marLeft w:val="0"/>
      <w:marRight w:val="0"/>
      <w:marTop w:val="0"/>
      <w:marBottom w:val="0"/>
      <w:divBdr>
        <w:top w:val="none" w:sz="0" w:space="0" w:color="auto"/>
        <w:left w:val="none" w:sz="0" w:space="0" w:color="auto"/>
        <w:bottom w:val="none" w:sz="0" w:space="0" w:color="auto"/>
        <w:right w:val="none" w:sz="0" w:space="0" w:color="auto"/>
      </w:divBdr>
      <w:divsChild>
        <w:div w:id="485128958">
          <w:marLeft w:val="0"/>
          <w:marRight w:val="0"/>
          <w:marTop w:val="0"/>
          <w:marBottom w:val="0"/>
          <w:divBdr>
            <w:top w:val="none" w:sz="0" w:space="0" w:color="auto"/>
            <w:left w:val="none" w:sz="0" w:space="0" w:color="auto"/>
            <w:bottom w:val="none" w:sz="0" w:space="0" w:color="auto"/>
            <w:right w:val="none" w:sz="0" w:space="0" w:color="auto"/>
          </w:divBdr>
          <w:divsChild>
            <w:div w:id="1670789545">
              <w:marLeft w:val="0"/>
              <w:marRight w:val="0"/>
              <w:marTop w:val="0"/>
              <w:marBottom w:val="0"/>
              <w:divBdr>
                <w:top w:val="none" w:sz="0" w:space="0" w:color="auto"/>
                <w:left w:val="none" w:sz="0" w:space="0" w:color="auto"/>
                <w:bottom w:val="none" w:sz="0" w:space="0" w:color="auto"/>
                <w:right w:val="none" w:sz="0" w:space="0" w:color="auto"/>
              </w:divBdr>
              <w:divsChild>
                <w:div w:id="127729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914706091">
      <w:bodyDiv w:val="1"/>
      <w:marLeft w:val="0"/>
      <w:marRight w:val="0"/>
      <w:marTop w:val="0"/>
      <w:marBottom w:val="0"/>
      <w:divBdr>
        <w:top w:val="none" w:sz="0" w:space="0" w:color="auto"/>
        <w:left w:val="none" w:sz="0" w:space="0" w:color="auto"/>
        <w:bottom w:val="none" w:sz="0" w:space="0" w:color="auto"/>
        <w:right w:val="none" w:sz="0" w:space="0" w:color="auto"/>
      </w:divBdr>
      <w:divsChild>
        <w:div w:id="1464498349">
          <w:marLeft w:val="0"/>
          <w:marRight w:val="0"/>
          <w:marTop w:val="0"/>
          <w:marBottom w:val="0"/>
          <w:divBdr>
            <w:top w:val="none" w:sz="0" w:space="0" w:color="auto"/>
            <w:left w:val="none" w:sz="0" w:space="0" w:color="auto"/>
            <w:bottom w:val="none" w:sz="0" w:space="0" w:color="auto"/>
            <w:right w:val="none" w:sz="0" w:space="0" w:color="auto"/>
          </w:divBdr>
          <w:divsChild>
            <w:div w:id="1913077596">
              <w:marLeft w:val="0"/>
              <w:marRight w:val="0"/>
              <w:marTop w:val="0"/>
              <w:marBottom w:val="0"/>
              <w:divBdr>
                <w:top w:val="none" w:sz="0" w:space="0" w:color="auto"/>
                <w:left w:val="none" w:sz="0" w:space="0" w:color="auto"/>
                <w:bottom w:val="none" w:sz="0" w:space="0" w:color="auto"/>
                <w:right w:val="none" w:sz="0" w:space="0" w:color="auto"/>
              </w:divBdr>
              <w:divsChild>
                <w:div w:id="126661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459246">
      <w:bodyDiv w:val="1"/>
      <w:marLeft w:val="0"/>
      <w:marRight w:val="0"/>
      <w:marTop w:val="0"/>
      <w:marBottom w:val="0"/>
      <w:divBdr>
        <w:top w:val="none" w:sz="0" w:space="0" w:color="auto"/>
        <w:left w:val="none" w:sz="0" w:space="0" w:color="auto"/>
        <w:bottom w:val="none" w:sz="0" w:space="0" w:color="auto"/>
        <w:right w:val="none" w:sz="0" w:space="0" w:color="auto"/>
      </w:divBdr>
    </w:div>
    <w:div w:id="1211839377">
      <w:bodyDiv w:val="1"/>
      <w:marLeft w:val="0"/>
      <w:marRight w:val="0"/>
      <w:marTop w:val="0"/>
      <w:marBottom w:val="0"/>
      <w:divBdr>
        <w:top w:val="none" w:sz="0" w:space="0" w:color="auto"/>
        <w:left w:val="none" w:sz="0" w:space="0" w:color="auto"/>
        <w:bottom w:val="none" w:sz="0" w:space="0" w:color="auto"/>
        <w:right w:val="none" w:sz="0" w:space="0" w:color="auto"/>
      </w:divBdr>
      <w:divsChild>
        <w:div w:id="1386686645">
          <w:marLeft w:val="0"/>
          <w:marRight w:val="0"/>
          <w:marTop w:val="0"/>
          <w:marBottom w:val="0"/>
          <w:divBdr>
            <w:top w:val="none" w:sz="0" w:space="0" w:color="auto"/>
            <w:left w:val="none" w:sz="0" w:space="0" w:color="auto"/>
            <w:bottom w:val="none" w:sz="0" w:space="0" w:color="auto"/>
            <w:right w:val="none" w:sz="0" w:space="0" w:color="auto"/>
          </w:divBdr>
          <w:divsChild>
            <w:div w:id="774402528">
              <w:marLeft w:val="0"/>
              <w:marRight w:val="0"/>
              <w:marTop w:val="0"/>
              <w:marBottom w:val="0"/>
              <w:divBdr>
                <w:top w:val="none" w:sz="0" w:space="0" w:color="auto"/>
                <w:left w:val="none" w:sz="0" w:space="0" w:color="auto"/>
                <w:bottom w:val="none" w:sz="0" w:space="0" w:color="auto"/>
                <w:right w:val="none" w:sz="0" w:space="0" w:color="auto"/>
              </w:divBdr>
              <w:divsChild>
                <w:div w:id="185310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712906">
      <w:bodyDiv w:val="1"/>
      <w:marLeft w:val="0"/>
      <w:marRight w:val="0"/>
      <w:marTop w:val="0"/>
      <w:marBottom w:val="0"/>
      <w:divBdr>
        <w:top w:val="none" w:sz="0" w:space="0" w:color="auto"/>
        <w:left w:val="none" w:sz="0" w:space="0" w:color="auto"/>
        <w:bottom w:val="none" w:sz="0" w:space="0" w:color="auto"/>
        <w:right w:val="none" w:sz="0" w:space="0" w:color="auto"/>
      </w:divBdr>
      <w:divsChild>
        <w:div w:id="672758751">
          <w:marLeft w:val="0"/>
          <w:marRight w:val="0"/>
          <w:marTop w:val="0"/>
          <w:marBottom w:val="0"/>
          <w:divBdr>
            <w:top w:val="none" w:sz="0" w:space="0" w:color="auto"/>
            <w:left w:val="none" w:sz="0" w:space="0" w:color="auto"/>
            <w:bottom w:val="none" w:sz="0" w:space="0" w:color="auto"/>
            <w:right w:val="none" w:sz="0" w:space="0" w:color="auto"/>
          </w:divBdr>
          <w:divsChild>
            <w:div w:id="707417462">
              <w:marLeft w:val="0"/>
              <w:marRight w:val="0"/>
              <w:marTop w:val="0"/>
              <w:marBottom w:val="0"/>
              <w:divBdr>
                <w:top w:val="none" w:sz="0" w:space="0" w:color="auto"/>
                <w:left w:val="none" w:sz="0" w:space="0" w:color="auto"/>
                <w:bottom w:val="none" w:sz="0" w:space="0" w:color="auto"/>
                <w:right w:val="none" w:sz="0" w:space="0" w:color="auto"/>
              </w:divBdr>
            </w:div>
            <w:div w:id="734550722">
              <w:marLeft w:val="0"/>
              <w:marRight w:val="0"/>
              <w:marTop w:val="0"/>
              <w:marBottom w:val="0"/>
              <w:divBdr>
                <w:top w:val="none" w:sz="0" w:space="0" w:color="auto"/>
                <w:left w:val="none" w:sz="0" w:space="0" w:color="auto"/>
                <w:bottom w:val="none" w:sz="0" w:space="0" w:color="auto"/>
                <w:right w:val="none" w:sz="0" w:space="0" w:color="auto"/>
              </w:divBdr>
            </w:div>
            <w:div w:id="1757707870">
              <w:marLeft w:val="0"/>
              <w:marRight w:val="0"/>
              <w:marTop w:val="0"/>
              <w:marBottom w:val="0"/>
              <w:divBdr>
                <w:top w:val="none" w:sz="0" w:space="0" w:color="auto"/>
                <w:left w:val="none" w:sz="0" w:space="0" w:color="auto"/>
                <w:bottom w:val="none" w:sz="0" w:space="0" w:color="auto"/>
                <w:right w:val="none" w:sz="0" w:space="0" w:color="auto"/>
              </w:divBdr>
            </w:div>
            <w:div w:id="209079998">
              <w:marLeft w:val="0"/>
              <w:marRight w:val="0"/>
              <w:marTop w:val="0"/>
              <w:marBottom w:val="0"/>
              <w:divBdr>
                <w:top w:val="none" w:sz="0" w:space="0" w:color="auto"/>
                <w:left w:val="none" w:sz="0" w:space="0" w:color="auto"/>
                <w:bottom w:val="none" w:sz="0" w:space="0" w:color="auto"/>
                <w:right w:val="none" w:sz="0" w:space="0" w:color="auto"/>
              </w:divBdr>
            </w:div>
            <w:div w:id="2139032105">
              <w:marLeft w:val="0"/>
              <w:marRight w:val="0"/>
              <w:marTop w:val="0"/>
              <w:marBottom w:val="0"/>
              <w:divBdr>
                <w:top w:val="none" w:sz="0" w:space="0" w:color="auto"/>
                <w:left w:val="none" w:sz="0" w:space="0" w:color="auto"/>
                <w:bottom w:val="none" w:sz="0" w:space="0" w:color="auto"/>
                <w:right w:val="none" w:sz="0" w:space="0" w:color="auto"/>
              </w:divBdr>
            </w:div>
            <w:div w:id="1206525191">
              <w:marLeft w:val="0"/>
              <w:marRight w:val="0"/>
              <w:marTop w:val="0"/>
              <w:marBottom w:val="0"/>
              <w:divBdr>
                <w:top w:val="none" w:sz="0" w:space="0" w:color="auto"/>
                <w:left w:val="none" w:sz="0" w:space="0" w:color="auto"/>
                <w:bottom w:val="none" w:sz="0" w:space="0" w:color="auto"/>
                <w:right w:val="none" w:sz="0" w:space="0" w:color="auto"/>
              </w:divBdr>
            </w:div>
            <w:div w:id="614097846">
              <w:marLeft w:val="0"/>
              <w:marRight w:val="0"/>
              <w:marTop w:val="0"/>
              <w:marBottom w:val="0"/>
              <w:divBdr>
                <w:top w:val="none" w:sz="0" w:space="0" w:color="auto"/>
                <w:left w:val="none" w:sz="0" w:space="0" w:color="auto"/>
                <w:bottom w:val="none" w:sz="0" w:space="0" w:color="auto"/>
                <w:right w:val="none" w:sz="0" w:space="0" w:color="auto"/>
              </w:divBdr>
            </w:div>
            <w:div w:id="1766539437">
              <w:marLeft w:val="0"/>
              <w:marRight w:val="0"/>
              <w:marTop w:val="0"/>
              <w:marBottom w:val="0"/>
              <w:divBdr>
                <w:top w:val="none" w:sz="0" w:space="0" w:color="auto"/>
                <w:left w:val="none" w:sz="0" w:space="0" w:color="auto"/>
                <w:bottom w:val="none" w:sz="0" w:space="0" w:color="auto"/>
                <w:right w:val="none" w:sz="0" w:space="0" w:color="auto"/>
              </w:divBdr>
            </w:div>
            <w:div w:id="1249995750">
              <w:marLeft w:val="0"/>
              <w:marRight w:val="0"/>
              <w:marTop w:val="0"/>
              <w:marBottom w:val="0"/>
              <w:divBdr>
                <w:top w:val="none" w:sz="0" w:space="0" w:color="auto"/>
                <w:left w:val="none" w:sz="0" w:space="0" w:color="auto"/>
                <w:bottom w:val="none" w:sz="0" w:space="0" w:color="auto"/>
                <w:right w:val="none" w:sz="0" w:space="0" w:color="auto"/>
              </w:divBdr>
            </w:div>
            <w:div w:id="2037807844">
              <w:marLeft w:val="0"/>
              <w:marRight w:val="0"/>
              <w:marTop w:val="0"/>
              <w:marBottom w:val="0"/>
              <w:divBdr>
                <w:top w:val="none" w:sz="0" w:space="0" w:color="auto"/>
                <w:left w:val="none" w:sz="0" w:space="0" w:color="auto"/>
                <w:bottom w:val="none" w:sz="0" w:space="0" w:color="auto"/>
                <w:right w:val="none" w:sz="0" w:space="0" w:color="auto"/>
              </w:divBdr>
            </w:div>
            <w:div w:id="843587893">
              <w:marLeft w:val="0"/>
              <w:marRight w:val="0"/>
              <w:marTop w:val="0"/>
              <w:marBottom w:val="0"/>
              <w:divBdr>
                <w:top w:val="none" w:sz="0" w:space="0" w:color="auto"/>
                <w:left w:val="none" w:sz="0" w:space="0" w:color="auto"/>
                <w:bottom w:val="none" w:sz="0" w:space="0" w:color="auto"/>
                <w:right w:val="none" w:sz="0" w:space="0" w:color="auto"/>
              </w:divBdr>
            </w:div>
            <w:div w:id="2014601810">
              <w:marLeft w:val="0"/>
              <w:marRight w:val="0"/>
              <w:marTop w:val="0"/>
              <w:marBottom w:val="0"/>
              <w:divBdr>
                <w:top w:val="none" w:sz="0" w:space="0" w:color="auto"/>
                <w:left w:val="none" w:sz="0" w:space="0" w:color="auto"/>
                <w:bottom w:val="none" w:sz="0" w:space="0" w:color="auto"/>
                <w:right w:val="none" w:sz="0" w:space="0" w:color="auto"/>
              </w:divBdr>
            </w:div>
            <w:div w:id="2107000813">
              <w:marLeft w:val="0"/>
              <w:marRight w:val="0"/>
              <w:marTop w:val="0"/>
              <w:marBottom w:val="0"/>
              <w:divBdr>
                <w:top w:val="none" w:sz="0" w:space="0" w:color="auto"/>
                <w:left w:val="none" w:sz="0" w:space="0" w:color="auto"/>
                <w:bottom w:val="none" w:sz="0" w:space="0" w:color="auto"/>
                <w:right w:val="none" w:sz="0" w:space="0" w:color="auto"/>
              </w:divBdr>
            </w:div>
            <w:div w:id="1688022349">
              <w:marLeft w:val="0"/>
              <w:marRight w:val="0"/>
              <w:marTop w:val="0"/>
              <w:marBottom w:val="0"/>
              <w:divBdr>
                <w:top w:val="none" w:sz="0" w:space="0" w:color="auto"/>
                <w:left w:val="none" w:sz="0" w:space="0" w:color="auto"/>
                <w:bottom w:val="none" w:sz="0" w:space="0" w:color="auto"/>
                <w:right w:val="none" w:sz="0" w:space="0" w:color="auto"/>
              </w:divBdr>
            </w:div>
            <w:div w:id="2026785928">
              <w:marLeft w:val="0"/>
              <w:marRight w:val="0"/>
              <w:marTop w:val="0"/>
              <w:marBottom w:val="0"/>
              <w:divBdr>
                <w:top w:val="none" w:sz="0" w:space="0" w:color="auto"/>
                <w:left w:val="none" w:sz="0" w:space="0" w:color="auto"/>
                <w:bottom w:val="none" w:sz="0" w:space="0" w:color="auto"/>
                <w:right w:val="none" w:sz="0" w:space="0" w:color="auto"/>
              </w:divBdr>
            </w:div>
            <w:div w:id="187791917">
              <w:marLeft w:val="0"/>
              <w:marRight w:val="0"/>
              <w:marTop w:val="0"/>
              <w:marBottom w:val="0"/>
              <w:divBdr>
                <w:top w:val="none" w:sz="0" w:space="0" w:color="auto"/>
                <w:left w:val="none" w:sz="0" w:space="0" w:color="auto"/>
                <w:bottom w:val="none" w:sz="0" w:space="0" w:color="auto"/>
                <w:right w:val="none" w:sz="0" w:space="0" w:color="auto"/>
              </w:divBdr>
            </w:div>
            <w:div w:id="868646529">
              <w:marLeft w:val="0"/>
              <w:marRight w:val="0"/>
              <w:marTop w:val="0"/>
              <w:marBottom w:val="0"/>
              <w:divBdr>
                <w:top w:val="none" w:sz="0" w:space="0" w:color="auto"/>
                <w:left w:val="none" w:sz="0" w:space="0" w:color="auto"/>
                <w:bottom w:val="none" w:sz="0" w:space="0" w:color="auto"/>
                <w:right w:val="none" w:sz="0" w:space="0" w:color="auto"/>
              </w:divBdr>
            </w:div>
            <w:div w:id="998535315">
              <w:marLeft w:val="0"/>
              <w:marRight w:val="0"/>
              <w:marTop w:val="0"/>
              <w:marBottom w:val="0"/>
              <w:divBdr>
                <w:top w:val="none" w:sz="0" w:space="0" w:color="auto"/>
                <w:left w:val="none" w:sz="0" w:space="0" w:color="auto"/>
                <w:bottom w:val="none" w:sz="0" w:space="0" w:color="auto"/>
                <w:right w:val="none" w:sz="0" w:space="0" w:color="auto"/>
              </w:divBdr>
            </w:div>
            <w:div w:id="1727683412">
              <w:marLeft w:val="0"/>
              <w:marRight w:val="0"/>
              <w:marTop w:val="0"/>
              <w:marBottom w:val="0"/>
              <w:divBdr>
                <w:top w:val="none" w:sz="0" w:space="0" w:color="auto"/>
                <w:left w:val="none" w:sz="0" w:space="0" w:color="auto"/>
                <w:bottom w:val="none" w:sz="0" w:space="0" w:color="auto"/>
                <w:right w:val="none" w:sz="0" w:space="0" w:color="auto"/>
              </w:divBdr>
            </w:div>
            <w:div w:id="1523396122">
              <w:marLeft w:val="0"/>
              <w:marRight w:val="0"/>
              <w:marTop w:val="0"/>
              <w:marBottom w:val="0"/>
              <w:divBdr>
                <w:top w:val="none" w:sz="0" w:space="0" w:color="auto"/>
                <w:left w:val="none" w:sz="0" w:space="0" w:color="auto"/>
                <w:bottom w:val="none" w:sz="0" w:space="0" w:color="auto"/>
                <w:right w:val="none" w:sz="0" w:space="0" w:color="auto"/>
              </w:divBdr>
            </w:div>
            <w:div w:id="674721554">
              <w:marLeft w:val="0"/>
              <w:marRight w:val="0"/>
              <w:marTop w:val="0"/>
              <w:marBottom w:val="0"/>
              <w:divBdr>
                <w:top w:val="none" w:sz="0" w:space="0" w:color="auto"/>
                <w:left w:val="none" w:sz="0" w:space="0" w:color="auto"/>
                <w:bottom w:val="none" w:sz="0" w:space="0" w:color="auto"/>
                <w:right w:val="none" w:sz="0" w:space="0" w:color="auto"/>
              </w:divBdr>
            </w:div>
            <w:div w:id="929700225">
              <w:marLeft w:val="0"/>
              <w:marRight w:val="0"/>
              <w:marTop w:val="0"/>
              <w:marBottom w:val="0"/>
              <w:divBdr>
                <w:top w:val="none" w:sz="0" w:space="0" w:color="auto"/>
                <w:left w:val="none" w:sz="0" w:space="0" w:color="auto"/>
                <w:bottom w:val="none" w:sz="0" w:space="0" w:color="auto"/>
                <w:right w:val="none" w:sz="0" w:space="0" w:color="auto"/>
              </w:divBdr>
            </w:div>
            <w:div w:id="1757314082">
              <w:marLeft w:val="0"/>
              <w:marRight w:val="0"/>
              <w:marTop w:val="0"/>
              <w:marBottom w:val="0"/>
              <w:divBdr>
                <w:top w:val="none" w:sz="0" w:space="0" w:color="auto"/>
                <w:left w:val="none" w:sz="0" w:space="0" w:color="auto"/>
                <w:bottom w:val="none" w:sz="0" w:space="0" w:color="auto"/>
                <w:right w:val="none" w:sz="0" w:space="0" w:color="auto"/>
              </w:divBdr>
            </w:div>
            <w:div w:id="1497259846">
              <w:marLeft w:val="0"/>
              <w:marRight w:val="0"/>
              <w:marTop w:val="0"/>
              <w:marBottom w:val="0"/>
              <w:divBdr>
                <w:top w:val="none" w:sz="0" w:space="0" w:color="auto"/>
                <w:left w:val="none" w:sz="0" w:space="0" w:color="auto"/>
                <w:bottom w:val="none" w:sz="0" w:space="0" w:color="auto"/>
                <w:right w:val="none" w:sz="0" w:space="0" w:color="auto"/>
              </w:divBdr>
            </w:div>
            <w:div w:id="382367070">
              <w:marLeft w:val="0"/>
              <w:marRight w:val="0"/>
              <w:marTop w:val="0"/>
              <w:marBottom w:val="0"/>
              <w:divBdr>
                <w:top w:val="none" w:sz="0" w:space="0" w:color="auto"/>
                <w:left w:val="none" w:sz="0" w:space="0" w:color="auto"/>
                <w:bottom w:val="none" w:sz="0" w:space="0" w:color="auto"/>
                <w:right w:val="none" w:sz="0" w:space="0" w:color="auto"/>
              </w:divBdr>
            </w:div>
            <w:div w:id="1245265893">
              <w:marLeft w:val="0"/>
              <w:marRight w:val="0"/>
              <w:marTop w:val="0"/>
              <w:marBottom w:val="0"/>
              <w:divBdr>
                <w:top w:val="none" w:sz="0" w:space="0" w:color="auto"/>
                <w:left w:val="none" w:sz="0" w:space="0" w:color="auto"/>
                <w:bottom w:val="none" w:sz="0" w:space="0" w:color="auto"/>
                <w:right w:val="none" w:sz="0" w:space="0" w:color="auto"/>
              </w:divBdr>
            </w:div>
            <w:div w:id="1387993124">
              <w:marLeft w:val="0"/>
              <w:marRight w:val="0"/>
              <w:marTop w:val="0"/>
              <w:marBottom w:val="0"/>
              <w:divBdr>
                <w:top w:val="none" w:sz="0" w:space="0" w:color="auto"/>
                <w:left w:val="none" w:sz="0" w:space="0" w:color="auto"/>
                <w:bottom w:val="none" w:sz="0" w:space="0" w:color="auto"/>
                <w:right w:val="none" w:sz="0" w:space="0" w:color="auto"/>
              </w:divBdr>
            </w:div>
            <w:div w:id="87242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titus xmlns="http://schemas.titus.com/TitusProperties/">
  <TitusGUID xmlns="">c7ca475a-0b82-4472-a9df-9ee3ff208ad4</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FFDC2C-6513-4E4D-8FFE-474ADEC3DCE0}">
  <ds:schemaRefs>
    <ds:schemaRef ds:uri="http://schemas.titus.com/TitusProperties/"/>
    <ds:schemaRef ds:uri=""/>
  </ds:schemaRefs>
</ds:datastoreItem>
</file>

<file path=customXml/itemProps3.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5.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2798</TotalTime>
  <Pages>15</Pages>
  <Words>3704</Words>
  <Characters>21117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Legg, Eryn (UK)</cp:lastModifiedBy>
  <cp:revision>7</cp:revision>
  <dcterms:created xsi:type="dcterms:W3CDTF">2026-07-14T09:56:00Z</dcterms:created>
  <dcterms:modified xsi:type="dcterms:W3CDTF">2026-07-16T08:18:00Z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c7ca475a-0b82-4472-a9df-9ee3ff208ad4</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