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93FCFB" w14:textId="77777777" w:rsidR="004C07A6" w:rsidRDefault="004C07A6" w:rsidP="00380C64">
      <w:pPr>
        <w:jc w:val="both"/>
      </w:pPr>
    </w:p>
    <w:p w14:paraId="66D2B983" w14:textId="77777777" w:rsidR="00796188" w:rsidRDefault="00796188" w:rsidP="00380C64">
      <w:pPr>
        <w:jc w:val="both"/>
      </w:pPr>
    </w:p>
    <w:p w14:paraId="20F17292" w14:textId="77777777" w:rsidR="00796188" w:rsidRDefault="00796188" w:rsidP="00380C64">
      <w:pPr>
        <w:jc w:val="both"/>
      </w:pPr>
    </w:p>
    <w:p w14:paraId="436FC4B3" w14:textId="77777777" w:rsidR="00796188" w:rsidRDefault="00796188" w:rsidP="00380C64">
      <w:pPr>
        <w:jc w:val="both"/>
      </w:pPr>
    </w:p>
    <w:p w14:paraId="0D66A3E7" w14:textId="77777777" w:rsidR="00796188" w:rsidRDefault="00796188" w:rsidP="00380C64">
      <w:pPr>
        <w:jc w:val="both"/>
      </w:pPr>
    </w:p>
    <w:p w14:paraId="6BC92AA5" w14:textId="77777777" w:rsidR="00796188" w:rsidRDefault="00796188" w:rsidP="00380C64">
      <w:pPr>
        <w:jc w:val="both"/>
      </w:pPr>
    </w:p>
    <w:p w14:paraId="0826B981" w14:textId="77777777" w:rsidR="00796188" w:rsidRDefault="00796188" w:rsidP="00380C64">
      <w:pPr>
        <w:jc w:val="both"/>
      </w:pPr>
    </w:p>
    <w:p w14:paraId="3D530879" w14:textId="77777777" w:rsidR="00796188" w:rsidRDefault="00796188" w:rsidP="00380C64">
      <w:pPr>
        <w:jc w:val="both"/>
      </w:pPr>
    </w:p>
    <w:p w14:paraId="7929C1E4" w14:textId="77777777" w:rsidR="00796188" w:rsidRDefault="00796188" w:rsidP="00380C64">
      <w:pPr>
        <w:jc w:val="both"/>
      </w:pPr>
    </w:p>
    <w:p w14:paraId="6F3FD394" w14:textId="77777777" w:rsidR="00796188" w:rsidRDefault="00796188" w:rsidP="00380C64">
      <w:pPr>
        <w:jc w:val="both"/>
      </w:pPr>
    </w:p>
    <w:p w14:paraId="14CD1CF2" w14:textId="77777777" w:rsidR="00796188" w:rsidRDefault="00796188" w:rsidP="00380C64">
      <w:pPr>
        <w:jc w:val="both"/>
      </w:pPr>
    </w:p>
    <w:p w14:paraId="669A0CC2" w14:textId="77777777" w:rsidR="00796188" w:rsidRDefault="00796188" w:rsidP="00380C64">
      <w:pPr>
        <w:jc w:val="both"/>
      </w:pPr>
    </w:p>
    <w:p w14:paraId="710AC737" w14:textId="77777777" w:rsidR="00796188" w:rsidRDefault="00796188" w:rsidP="00380C64">
      <w:pPr>
        <w:jc w:val="both"/>
      </w:pPr>
    </w:p>
    <w:p w14:paraId="797AF343" w14:textId="4AB87FB0" w:rsidR="00796188" w:rsidRPr="00635C61" w:rsidRDefault="00796188" w:rsidP="00380C64">
      <w:pPr>
        <w:pStyle w:val="NoSpacing"/>
        <w:jc w:val="both"/>
        <w:rPr>
          <w:rFonts w:ascii="Times New Roman" w:hAnsi="Times New Roman" w:cs="Times New Roman"/>
          <w:i/>
          <w:iCs/>
          <w:sz w:val="24"/>
        </w:rPr>
      </w:pPr>
      <w:r w:rsidRPr="00AF4B39">
        <w:rPr>
          <w:rFonts w:ascii="Times New Roman" w:hAnsi="Times New Roman" w:cs="Times New Roman"/>
          <w:b/>
          <w:sz w:val="24"/>
        </w:rPr>
        <w:t>Report Title:</w:t>
      </w:r>
      <w:r w:rsidRPr="00AF4B39">
        <w:rPr>
          <w:rFonts w:ascii="Times New Roman" w:hAnsi="Times New Roman" w:cs="Times New Roman"/>
          <w:sz w:val="24"/>
        </w:rPr>
        <w:t xml:space="preserve"> </w:t>
      </w:r>
      <w:r w:rsidR="00635C61">
        <w:rPr>
          <w:rFonts w:ascii="Times New Roman" w:hAnsi="Times New Roman" w:cs="Times New Roman"/>
          <w:i/>
          <w:iCs/>
          <w:sz w:val="24"/>
        </w:rPr>
        <w:t>Literature Review</w:t>
      </w:r>
      <w:r w:rsidR="00380C64">
        <w:rPr>
          <w:rFonts w:ascii="Times New Roman" w:hAnsi="Times New Roman" w:cs="Times New Roman"/>
          <w:i/>
          <w:iCs/>
          <w:sz w:val="24"/>
        </w:rPr>
        <w:t xml:space="preserve"> </w:t>
      </w:r>
      <w:r>
        <w:rPr>
          <w:rFonts w:ascii="Times New Roman" w:hAnsi="Times New Roman" w:cs="Times New Roman"/>
          <w:i/>
          <w:iCs/>
          <w:sz w:val="24"/>
        </w:rPr>
        <w:t xml:space="preserve">– </w:t>
      </w:r>
      <w:r w:rsidR="00380C64" w:rsidRPr="00380C64">
        <w:rPr>
          <w:rFonts w:ascii="Times New Roman" w:hAnsi="Times New Roman" w:cs="Times New Roman"/>
          <w:i/>
          <w:iCs/>
          <w:sz w:val="24"/>
        </w:rPr>
        <w:t>How has Regulatory Reform Impacted</w:t>
      </w:r>
      <w:r w:rsidR="00A372E8">
        <w:rPr>
          <w:rFonts w:ascii="Times New Roman" w:hAnsi="Times New Roman" w:cs="Times New Roman"/>
          <w:i/>
          <w:iCs/>
          <w:sz w:val="24"/>
        </w:rPr>
        <w:t xml:space="preserve"> Key</w:t>
      </w:r>
      <w:r w:rsidR="00380C64" w:rsidRPr="00380C64">
        <w:rPr>
          <w:rFonts w:ascii="Times New Roman" w:hAnsi="Times New Roman" w:cs="Times New Roman"/>
          <w:i/>
          <w:iCs/>
          <w:sz w:val="24"/>
        </w:rPr>
        <w:t xml:space="preserve"> Dutyholder Competence in the UK Construction Industry?</w:t>
      </w:r>
    </w:p>
    <w:p w14:paraId="7CD342B4" w14:textId="77777777" w:rsidR="00796188" w:rsidRPr="009D6763" w:rsidRDefault="00796188" w:rsidP="00380C64">
      <w:pPr>
        <w:pStyle w:val="NoSpacing"/>
        <w:jc w:val="both"/>
        <w:rPr>
          <w:rFonts w:ascii="Times New Roman" w:hAnsi="Times New Roman" w:cs="Times New Roman"/>
          <w:i/>
          <w:sz w:val="24"/>
        </w:rPr>
      </w:pPr>
    </w:p>
    <w:p w14:paraId="4FB2ECD9" w14:textId="3AF1EBEC" w:rsidR="00796188" w:rsidRPr="00AF4B39" w:rsidRDefault="00796188" w:rsidP="00380C64">
      <w:pPr>
        <w:pStyle w:val="NoSpacing"/>
        <w:jc w:val="both"/>
        <w:rPr>
          <w:rFonts w:ascii="Times New Roman" w:hAnsi="Times New Roman" w:cs="Times New Roman"/>
          <w:sz w:val="24"/>
        </w:rPr>
      </w:pPr>
      <w:r w:rsidRPr="00AF4B39">
        <w:rPr>
          <w:rFonts w:ascii="Times New Roman" w:hAnsi="Times New Roman" w:cs="Times New Roman"/>
          <w:b/>
          <w:sz w:val="24"/>
        </w:rPr>
        <w:t>Module Name:</w:t>
      </w:r>
      <w:r w:rsidRPr="00AF4B39">
        <w:rPr>
          <w:rFonts w:ascii="Times New Roman" w:hAnsi="Times New Roman" w:cs="Times New Roman"/>
          <w:sz w:val="24"/>
        </w:rPr>
        <w:t xml:space="preserve"> </w:t>
      </w:r>
      <w:r w:rsidRPr="00796188">
        <w:rPr>
          <w:rFonts w:ascii="Times New Roman" w:hAnsi="Times New Roman" w:cs="Times New Roman"/>
          <w:i/>
          <w:sz w:val="24"/>
        </w:rPr>
        <w:t>Approaches to Research and Academic Communication</w:t>
      </w:r>
    </w:p>
    <w:p w14:paraId="1E352B9B" w14:textId="09CACF9F" w:rsidR="00796188" w:rsidRPr="00AF4B39" w:rsidRDefault="00796188" w:rsidP="00380C64">
      <w:pPr>
        <w:pStyle w:val="NoSpacing"/>
        <w:jc w:val="both"/>
        <w:rPr>
          <w:rFonts w:ascii="Times New Roman" w:hAnsi="Times New Roman" w:cs="Times New Roman"/>
          <w:sz w:val="24"/>
        </w:rPr>
      </w:pPr>
      <w:r w:rsidRPr="00AF4B39">
        <w:rPr>
          <w:rFonts w:ascii="Times New Roman" w:hAnsi="Times New Roman" w:cs="Times New Roman"/>
          <w:b/>
          <w:sz w:val="24"/>
        </w:rPr>
        <w:t xml:space="preserve">Module Code: </w:t>
      </w:r>
      <w:r w:rsidRPr="00796188">
        <w:rPr>
          <w:rFonts w:ascii="Times New Roman" w:hAnsi="Times New Roman" w:cs="Times New Roman"/>
          <w:i/>
          <w:sz w:val="24"/>
        </w:rPr>
        <w:t>BMDP7000</w:t>
      </w:r>
    </w:p>
    <w:p w14:paraId="78D6ACED" w14:textId="457D6E8E" w:rsidR="00796188" w:rsidRDefault="00796188" w:rsidP="00380C64">
      <w:pPr>
        <w:pStyle w:val="NoSpacing"/>
        <w:jc w:val="both"/>
        <w:rPr>
          <w:rFonts w:ascii="Times New Roman" w:hAnsi="Times New Roman" w:cs="Times New Roman"/>
          <w:i/>
          <w:sz w:val="24"/>
        </w:rPr>
      </w:pPr>
      <w:r w:rsidRPr="00AF4B39">
        <w:rPr>
          <w:rFonts w:ascii="Times New Roman" w:hAnsi="Times New Roman" w:cs="Times New Roman"/>
          <w:b/>
          <w:sz w:val="24"/>
        </w:rPr>
        <w:t>Date:</w:t>
      </w:r>
      <w:r>
        <w:rPr>
          <w:rFonts w:ascii="Times New Roman" w:hAnsi="Times New Roman" w:cs="Times New Roman"/>
          <w:i/>
          <w:sz w:val="24"/>
        </w:rPr>
        <w:t xml:space="preserve"> </w:t>
      </w:r>
      <w:r w:rsidR="0064790F">
        <w:rPr>
          <w:rFonts w:ascii="Times New Roman" w:hAnsi="Times New Roman" w:cs="Times New Roman"/>
          <w:i/>
          <w:sz w:val="24"/>
        </w:rPr>
        <w:t>10</w:t>
      </w:r>
      <w:r>
        <w:rPr>
          <w:rFonts w:ascii="Times New Roman" w:hAnsi="Times New Roman" w:cs="Times New Roman"/>
          <w:i/>
          <w:sz w:val="24"/>
        </w:rPr>
        <w:t>/</w:t>
      </w:r>
      <w:r w:rsidR="0064790F">
        <w:rPr>
          <w:rFonts w:ascii="Times New Roman" w:hAnsi="Times New Roman" w:cs="Times New Roman"/>
          <w:i/>
          <w:sz w:val="24"/>
        </w:rPr>
        <w:t>01</w:t>
      </w:r>
      <w:r>
        <w:rPr>
          <w:rFonts w:ascii="Times New Roman" w:hAnsi="Times New Roman" w:cs="Times New Roman"/>
          <w:i/>
          <w:sz w:val="24"/>
        </w:rPr>
        <w:t>/202</w:t>
      </w:r>
      <w:r w:rsidR="0064790F">
        <w:rPr>
          <w:rFonts w:ascii="Times New Roman" w:hAnsi="Times New Roman" w:cs="Times New Roman"/>
          <w:i/>
          <w:sz w:val="24"/>
        </w:rPr>
        <w:t>6</w:t>
      </w:r>
    </w:p>
    <w:p w14:paraId="5EB4F536" w14:textId="698A5AD7" w:rsidR="00796188" w:rsidRPr="00AF4B39" w:rsidRDefault="00796188" w:rsidP="00380C64">
      <w:pPr>
        <w:pStyle w:val="NoSpacing"/>
        <w:jc w:val="both"/>
        <w:rPr>
          <w:rFonts w:ascii="Times New Roman" w:hAnsi="Times New Roman" w:cs="Times New Roman"/>
          <w:sz w:val="24"/>
        </w:rPr>
      </w:pPr>
      <w:r>
        <w:rPr>
          <w:rFonts w:ascii="Times New Roman" w:hAnsi="Times New Roman" w:cs="Times New Roman"/>
          <w:b/>
          <w:bCs/>
          <w:sz w:val="24"/>
        </w:rPr>
        <w:t>Word Count</w:t>
      </w:r>
      <w:r w:rsidRPr="00D07380">
        <w:rPr>
          <w:rFonts w:ascii="Times New Roman" w:hAnsi="Times New Roman" w:cs="Times New Roman"/>
          <w:b/>
          <w:bCs/>
          <w:sz w:val="24"/>
        </w:rPr>
        <w:t>:</w:t>
      </w:r>
      <w:r w:rsidRPr="00D07380">
        <w:rPr>
          <w:rFonts w:ascii="Times New Roman" w:hAnsi="Times New Roman" w:cs="Times New Roman"/>
          <w:sz w:val="24"/>
        </w:rPr>
        <w:t xml:space="preserve"> </w:t>
      </w:r>
      <w:r w:rsidR="005142B8">
        <w:rPr>
          <w:rFonts w:ascii="Times New Roman" w:hAnsi="Times New Roman" w:cs="Times New Roman"/>
          <w:sz w:val="24"/>
        </w:rPr>
        <w:t>5</w:t>
      </w:r>
      <w:r w:rsidR="00C21CFA">
        <w:rPr>
          <w:rFonts w:ascii="Times New Roman" w:hAnsi="Times New Roman" w:cs="Times New Roman"/>
          <w:sz w:val="24"/>
        </w:rPr>
        <w:t>7</w:t>
      </w:r>
      <w:r w:rsidR="0093643B">
        <w:rPr>
          <w:rFonts w:ascii="Times New Roman" w:hAnsi="Times New Roman" w:cs="Times New Roman"/>
          <w:sz w:val="24"/>
        </w:rPr>
        <w:t>57</w:t>
      </w:r>
      <w:r>
        <w:rPr>
          <w:rFonts w:ascii="Times New Roman" w:hAnsi="Times New Roman" w:cs="Times New Roman"/>
          <w:sz w:val="24"/>
        </w:rPr>
        <w:t xml:space="preserve"> [Max 6000]</w:t>
      </w:r>
    </w:p>
    <w:p w14:paraId="5F2FEEDC" w14:textId="2A2C05A1" w:rsidR="00796188" w:rsidRPr="00C53ABC" w:rsidRDefault="00796188" w:rsidP="00380C64">
      <w:pPr>
        <w:tabs>
          <w:tab w:val="left" w:pos="6983"/>
        </w:tabs>
        <w:jc w:val="both"/>
        <w:rPr>
          <w:rFonts w:ascii="Times New Roman" w:hAnsi="Times New Roman" w:cs="Times New Roman"/>
          <w:i/>
          <w:iCs/>
        </w:rPr>
      </w:pPr>
      <w:r w:rsidRPr="00C53ABC">
        <w:rPr>
          <w:rFonts w:ascii="Times New Roman" w:hAnsi="Times New Roman" w:cs="Times New Roman"/>
          <w:i/>
          <w:iCs/>
        </w:rPr>
        <w:t>*NOTE – Word Count excludes title page, contents page</w:t>
      </w:r>
      <w:r>
        <w:rPr>
          <w:rFonts w:ascii="Times New Roman" w:hAnsi="Times New Roman" w:cs="Times New Roman"/>
          <w:i/>
          <w:iCs/>
        </w:rPr>
        <w:t>,</w:t>
      </w:r>
      <w:r w:rsidRPr="00C53ABC">
        <w:rPr>
          <w:rFonts w:ascii="Times New Roman" w:hAnsi="Times New Roman" w:cs="Times New Roman"/>
          <w:i/>
          <w:iCs/>
        </w:rPr>
        <w:t xml:space="preserve"> </w:t>
      </w:r>
      <w:r>
        <w:rPr>
          <w:rFonts w:ascii="Times New Roman" w:hAnsi="Times New Roman" w:cs="Times New Roman"/>
          <w:i/>
          <w:iCs/>
        </w:rPr>
        <w:t>and</w:t>
      </w:r>
      <w:r w:rsidRPr="00C53ABC">
        <w:rPr>
          <w:rFonts w:ascii="Times New Roman" w:hAnsi="Times New Roman" w:cs="Times New Roman"/>
          <w:i/>
          <w:iCs/>
        </w:rPr>
        <w:t xml:space="preserve"> references</w:t>
      </w:r>
      <w:r>
        <w:rPr>
          <w:rFonts w:ascii="Times New Roman" w:hAnsi="Times New Roman" w:cs="Times New Roman"/>
          <w:i/>
          <w:iCs/>
        </w:rPr>
        <w:t xml:space="preserve"> list</w:t>
      </w:r>
      <w:r w:rsidRPr="00C53ABC">
        <w:rPr>
          <w:rFonts w:ascii="Times New Roman" w:hAnsi="Times New Roman" w:cs="Times New Roman"/>
          <w:i/>
          <w:iCs/>
        </w:rPr>
        <w:t>.</w:t>
      </w:r>
    </w:p>
    <w:p w14:paraId="030F77E4" w14:textId="77777777" w:rsidR="004C07A6" w:rsidRDefault="004C07A6" w:rsidP="00380C64">
      <w:pPr>
        <w:jc w:val="both"/>
      </w:pPr>
    </w:p>
    <w:p w14:paraId="0CFE20E6" w14:textId="77777777" w:rsidR="004C07A6" w:rsidRDefault="004C07A6" w:rsidP="00380C64">
      <w:pPr>
        <w:jc w:val="both"/>
      </w:pPr>
    </w:p>
    <w:p w14:paraId="6434A9D1" w14:textId="77777777" w:rsidR="004C07A6" w:rsidRDefault="004C07A6" w:rsidP="00380C64">
      <w:pPr>
        <w:jc w:val="both"/>
      </w:pPr>
    </w:p>
    <w:p w14:paraId="3310A330" w14:textId="77777777" w:rsidR="004C07A6" w:rsidRDefault="004C07A6" w:rsidP="00380C64">
      <w:pPr>
        <w:jc w:val="both"/>
      </w:pPr>
    </w:p>
    <w:p w14:paraId="66F5A025" w14:textId="77777777" w:rsidR="004C07A6" w:rsidRDefault="004C07A6" w:rsidP="00380C64">
      <w:pPr>
        <w:jc w:val="both"/>
      </w:pPr>
    </w:p>
    <w:p w14:paraId="3E9B94D5" w14:textId="77777777" w:rsidR="004C07A6" w:rsidRDefault="004C07A6" w:rsidP="00380C64">
      <w:pPr>
        <w:jc w:val="both"/>
      </w:pPr>
    </w:p>
    <w:p w14:paraId="0CFF9DAE" w14:textId="77777777" w:rsidR="004C07A6" w:rsidRDefault="004C07A6" w:rsidP="00380C64">
      <w:pPr>
        <w:jc w:val="both"/>
      </w:pPr>
    </w:p>
    <w:p w14:paraId="46FA7318" w14:textId="77777777" w:rsidR="004C07A6" w:rsidRDefault="004C07A6" w:rsidP="00380C64">
      <w:pPr>
        <w:jc w:val="both"/>
      </w:pPr>
    </w:p>
    <w:p w14:paraId="4FAFB354" w14:textId="77777777" w:rsidR="004C07A6" w:rsidRDefault="004C07A6" w:rsidP="00380C64">
      <w:pPr>
        <w:jc w:val="both"/>
      </w:pPr>
    </w:p>
    <w:p w14:paraId="0E94356D" w14:textId="77777777" w:rsidR="004C07A6" w:rsidRDefault="004C07A6" w:rsidP="00380C64">
      <w:pPr>
        <w:jc w:val="both"/>
      </w:pPr>
    </w:p>
    <w:p w14:paraId="2ACCDF75" w14:textId="77777777" w:rsidR="004C07A6" w:rsidRDefault="004C07A6" w:rsidP="00380C64">
      <w:pPr>
        <w:jc w:val="both"/>
      </w:pPr>
    </w:p>
    <w:p w14:paraId="324AC85E" w14:textId="77777777" w:rsidR="004C07A6" w:rsidRDefault="004C07A6" w:rsidP="00380C64">
      <w:pPr>
        <w:jc w:val="both"/>
      </w:pPr>
    </w:p>
    <w:p w14:paraId="5E085441" w14:textId="77777777" w:rsidR="004C07A6" w:rsidRDefault="004C07A6" w:rsidP="00380C64">
      <w:pPr>
        <w:jc w:val="both"/>
      </w:pPr>
    </w:p>
    <w:bookmarkStart w:id="0" w:name="_Toc174046096" w:displacedByCustomXml="next"/>
    <w:bookmarkStart w:id="1" w:name="_Toc218947613" w:displacedByCustomXml="next"/>
    <w:bookmarkStart w:id="2" w:name="_Toc174047254" w:displacedByCustomXml="next"/>
    <w:bookmarkStart w:id="3" w:name="_Toc174046643" w:displacedByCustomXml="next"/>
    <w:sdt>
      <w:sdtPr>
        <w:rPr>
          <w:rFonts w:asciiTheme="minorHAnsi" w:eastAsiaTheme="minorHAnsi" w:hAnsiTheme="minorHAnsi" w:cstheme="minorBidi"/>
          <w:b w:val="0"/>
          <w:bCs w:val="0"/>
          <w:caps w:val="0"/>
          <w:kern w:val="2"/>
          <w:sz w:val="22"/>
          <w:szCs w:val="22"/>
          <w14:ligatures w14:val="standardContextual"/>
        </w:rPr>
        <w:id w:val="-1776559030"/>
        <w:docPartObj>
          <w:docPartGallery w:val="Table of Contents"/>
          <w:docPartUnique/>
        </w:docPartObj>
      </w:sdtPr>
      <w:sdtEndPr>
        <w:rPr>
          <w:noProof/>
        </w:rPr>
      </w:sdtEndPr>
      <w:sdtContent>
        <w:bookmarkEnd w:id="0" w:displacedByCustomXml="prev"/>
        <w:p w14:paraId="205C2C6F" w14:textId="12944EC3" w:rsidR="007A5C51" w:rsidRPr="007A5C51" w:rsidRDefault="003C7872" w:rsidP="00380C64">
          <w:pPr>
            <w:pStyle w:val="TOCHeading"/>
            <w:jc w:val="both"/>
            <w:rPr>
              <w:rFonts w:asciiTheme="minorHAnsi" w:hAnsiTheme="minorHAnsi"/>
            </w:rPr>
          </w:pPr>
          <w:r>
            <w:rPr>
              <w:rFonts w:asciiTheme="minorHAnsi" w:hAnsiTheme="minorHAnsi"/>
            </w:rPr>
            <w:t>T</w:t>
          </w:r>
          <w:bookmarkEnd w:id="3"/>
          <w:bookmarkEnd w:id="2"/>
          <w:r>
            <w:rPr>
              <w:rFonts w:asciiTheme="minorHAnsi" w:hAnsiTheme="minorHAnsi"/>
            </w:rPr>
            <w:t>able of Contents</w:t>
          </w:r>
          <w:bookmarkEnd w:id="1"/>
        </w:p>
        <w:p w14:paraId="3FF8A020" w14:textId="65223499" w:rsidR="00C21CFA" w:rsidRDefault="007A5C51">
          <w:pPr>
            <w:pStyle w:val="TOC1"/>
            <w:tabs>
              <w:tab w:val="right" w:leader="dot" w:pos="9016"/>
            </w:tabs>
            <w:rPr>
              <w:rFonts w:eastAsiaTheme="minorEastAsia"/>
              <w:noProof/>
              <w:sz w:val="24"/>
              <w:szCs w:val="24"/>
              <w:lang w:eastAsia="en-GB"/>
            </w:rPr>
          </w:pPr>
          <w:r w:rsidRPr="000066EF">
            <w:fldChar w:fldCharType="begin"/>
          </w:r>
          <w:r w:rsidRPr="000066EF">
            <w:instrText xml:space="preserve"> TOC \o "1-3" \h \z \u </w:instrText>
          </w:r>
          <w:r w:rsidRPr="000066EF">
            <w:fldChar w:fldCharType="separate"/>
          </w:r>
          <w:hyperlink w:anchor="_Toc218947613" w:history="1">
            <w:r w:rsidR="00C21CFA" w:rsidRPr="00C3764A">
              <w:rPr>
                <w:rStyle w:val="Hyperlink"/>
                <w:noProof/>
              </w:rPr>
              <w:t>Table of Contents</w:t>
            </w:r>
            <w:r w:rsidR="00C21CFA">
              <w:rPr>
                <w:noProof/>
                <w:webHidden/>
              </w:rPr>
              <w:tab/>
            </w:r>
            <w:r w:rsidR="00C21CFA">
              <w:rPr>
                <w:noProof/>
                <w:webHidden/>
              </w:rPr>
              <w:fldChar w:fldCharType="begin"/>
            </w:r>
            <w:r w:rsidR="00C21CFA">
              <w:rPr>
                <w:noProof/>
                <w:webHidden/>
              </w:rPr>
              <w:instrText xml:space="preserve"> PAGEREF _Toc218947613 \h </w:instrText>
            </w:r>
            <w:r w:rsidR="00C21CFA">
              <w:rPr>
                <w:noProof/>
                <w:webHidden/>
              </w:rPr>
            </w:r>
            <w:r w:rsidR="00C21CFA">
              <w:rPr>
                <w:noProof/>
                <w:webHidden/>
              </w:rPr>
              <w:fldChar w:fldCharType="separate"/>
            </w:r>
            <w:r w:rsidR="00C21CFA">
              <w:rPr>
                <w:noProof/>
                <w:webHidden/>
              </w:rPr>
              <w:t>2</w:t>
            </w:r>
            <w:r w:rsidR="00C21CFA">
              <w:rPr>
                <w:noProof/>
                <w:webHidden/>
              </w:rPr>
              <w:fldChar w:fldCharType="end"/>
            </w:r>
          </w:hyperlink>
        </w:p>
        <w:p w14:paraId="4023B248" w14:textId="3DFB9C58" w:rsidR="00C21CFA" w:rsidRPr="00C21CFA" w:rsidRDefault="00C21CFA">
          <w:pPr>
            <w:pStyle w:val="TOC1"/>
            <w:tabs>
              <w:tab w:val="right" w:leader="dot" w:pos="9016"/>
            </w:tabs>
            <w:rPr>
              <w:rFonts w:eastAsiaTheme="minorEastAsia"/>
              <w:noProof/>
              <w:sz w:val="24"/>
              <w:szCs w:val="24"/>
              <w:lang w:eastAsia="en-GB"/>
            </w:rPr>
          </w:pPr>
          <w:hyperlink w:anchor="_Toc218947614" w:history="1">
            <w:r w:rsidRPr="00C21CFA">
              <w:rPr>
                <w:rStyle w:val="Hyperlink"/>
                <w:rFonts w:cs="Times New Roman"/>
                <w:noProof/>
              </w:rPr>
              <w:t>Abstract</w:t>
            </w:r>
            <w:r w:rsidRPr="00C21CFA">
              <w:rPr>
                <w:noProof/>
                <w:webHidden/>
              </w:rPr>
              <w:tab/>
            </w:r>
            <w:r w:rsidRPr="00C21CFA">
              <w:rPr>
                <w:noProof/>
                <w:webHidden/>
              </w:rPr>
              <w:fldChar w:fldCharType="begin"/>
            </w:r>
            <w:r w:rsidRPr="00C21CFA">
              <w:rPr>
                <w:noProof/>
                <w:webHidden/>
              </w:rPr>
              <w:instrText xml:space="preserve"> PAGEREF _Toc218947614 \h </w:instrText>
            </w:r>
            <w:r w:rsidRPr="00C21CFA">
              <w:rPr>
                <w:noProof/>
                <w:webHidden/>
              </w:rPr>
            </w:r>
            <w:r w:rsidRPr="00C21CFA">
              <w:rPr>
                <w:noProof/>
                <w:webHidden/>
              </w:rPr>
              <w:fldChar w:fldCharType="separate"/>
            </w:r>
            <w:r w:rsidRPr="00C21CFA">
              <w:rPr>
                <w:noProof/>
                <w:webHidden/>
              </w:rPr>
              <w:t>3</w:t>
            </w:r>
            <w:r w:rsidRPr="00C21CFA">
              <w:rPr>
                <w:noProof/>
                <w:webHidden/>
              </w:rPr>
              <w:fldChar w:fldCharType="end"/>
            </w:r>
          </w:hyperlink>
        </w:p>
        <w:p w14:paraId="347B5903" w14:textId="1E85FC58" w:rsidR="00C21CFA" w:rsidRPr="00C21CFA" w:rsidRDefault="00C21CFA">
          <w:pPr>
            <w:pStyle w:val="TOC1"/>
            <w:tabs>
              <w:tab w:val="right" w:leader="dot" w:pos="9016"/>
            </w:tabs>
            <w:rPr>
              <w:rFonts w:eastAsiaTheme="minorEastAsia"/>
              <w:noProof/>
              <w:sz w:val="24"/>
              <w:szCs w:val="24"/>
              <w:lang w:eastAsia="en-GB"/>
            </w:rPr>
          </w:pPr>
          <w:hyperlink w:anchor="_Toc218947615" w:history="1">
            <w:r w:rsidRPr="00C21CFA">
              <w:rPr>
                <w:rStyle w:val="Hyperlink"/>
                <w:rFonts w:cs="Times New Roman"/>
                <w:noProof/>
              </w:rPr>
              <w:t>1.0 Aim, Objectives &amp; Scope</w:t>
            </w:r>
            <w:r w:rsidRPr="00C21CFA">
              <w:rPr>
                <w:noProof/>
                <w:webHidden/>
              </w:rPr>
              <w:tab/>
            </w:r>
            <w:r w:rsidRPr="00C21CFA">
              <w:rPr>
                <w:noProof/>
                <w:webHidden/>
              </w:rPr>
              <w:fldChar w:fldCharType="begin"/>
            </w:r>
            <w:r w:rsidRPr="00C21CFA">
              <w:rPr>
                <w:noProof/>
                <w:webHidden/>
              </w:rPr>
              <w:instrText xml:space="preserve"> PAGEREF _Toc218947615 \h </w:instrText>
            </w:r>
            <w:r w:rsidRPr="00C21CFA">
              <w:rPr>
                <w:noProof/>
                <w:webHidden/>
              </w:rPr>
            </w:r>
            <w:r w:rsidRPr="00C21CFA">
              <w:rPr>
                <w:noProof/>
                <w:webHidden/>
              </w:rPr>
              <w:fldChar w:fldCharType="separate"/>
            </w:r>
            <w:r w:rsidRPr="00C21CFA">
              <w:rPr>
                <w:noProof/>
                <w:webHidden/>
              </w:rPr>
              <w:t>4</w:t>
            </w:r>
            <w:r w:rsidRPr="00C21CFA">
              <w:rPr>
                <w:noProof/>
                <w:webHidden/>
              </w:rPr>
              <w:fldChar w:fldCharType="end"/>
            </w:r>
          </w:hyperlink>
        </w:p>
        <w:p w14:paraId="7B128E4B" w14:textId="33142777" w:rsidR="00C21CFA" w:rsidRPr="00C21CFA" w:rsidRDefault="00C21CFA">
          <w:pPr>
            <w:pStyle w:val="TOC2"/>
            <w:tabs>
              <w:tab w:val="right" w:leader="dot" w:pos="9016"/>
            </w:tabs>
            <w:rPr>
              <w:rFonts w:cstheme="minorBidi"/>
              <w:noProof/>
              <w:kern w:val="2"/>
              <w:sz w:val="24"/>
              <w:szCs w:val="24"/>
              <w:lang w:val="en-GB" w:eastAsia="en-GB"/>
              <w14:ligatures w14:val="standardContextual"/>
            </w:rPr>
          </w:pPr>
          <w:hyperlink w:anchor="_Toc218947616" w:history="1">
            <w:r w:rsidRPr="00C21CFA">
              <w:rPr>
                <w:rStyle w:val="Hyperlink"/>
                <w:noProof/>
              </w:rPr>
              <w:t>1.1 Aim</w:t>
            </w:r>
            <w:r w:rsidRPr="00C21CFA">
              <w:rPr>
                <w:noProof/>
                <w:webHidden/>
              </w:rPr>
              <w:tab/>
            </w:r>
            <w:r w:rsidRPr="00C21CFA">
              <w:rPr>
                <w:noProof/>
                <w:webHidden/>
              </w:rPr>
              <w:fldChar w:fldCharType="begin"/>
            </w:r>
            <w:r w:rsidRPr="00C21CFA">
              <w:rPr>
                <w:noProof/>
                <w:webHidden/>
              </w:rPr>
              <w:instrText xml:space="preserve"> PAGEREF _Toc218947616 \h </w:instrText>
            </w:r>
            <w:r w:rsidRPr="00C21CFA">
              <w:rPr>
                <w:noProof/>
                <w:webHidden/>
              </w:rPr>
            </w:r>
            <w:r w:rsidRPr="00C21CFA">
              <w:rPr>
                <w:noProof/>
                <w:webHidden/>
              </w:rPr>
              <w:fldChar w:fldCharType="separate"/>
            </w:r>
            <w:r w:rsidRPr="00C21CFA">
              <w:rPr>
                <w:noProof/>
                <w:webHidden/>
              </w:rPr>
              <w:t>4</w:t>
            </w:r>
            <w:r w:rsidRPr="00C21CFA">
              <w:rPr>
                <w:noProof/>
                <w:webHidden/>
              </w:rPr>
              <w:fldChar w:fldCharType="end"/>
            </w:r>
          </w:hyperlink>
        </w:p>
        <w:p w14:paraId="11E9DB05" w14:textId="15099607" w:rsidR="00C21CFA" w:rsidRPr="00C21CFA" w:rsidRDefault="00C21CFA">
          <w:pPr>
            <w:pStyle w:val="TOC2"/>
            <w:tabs>
              <w:tab w:val="right" w:leader="dot" w:pos="9016"/>
            </w:tabs>
            <w:rPr>
              <w:rFonts w:cstheme="minorBidi"/>
              <w:noProof/>
              <w:kern w:val="2"/>
              <w:sz w:val="24"/>
              <w:szCs w:val="24"/>
              <w:lang w:val="en-GB" w:eastAsia="en-GB"/>
              <w14:ligatures w14:val="standardContextual"/>
            </w:rPr>
          </w:pPr>
          <w:hyperlink w:anchor="_Toc218947617" w:history="1">
            <w:r w:rsidRPr="00C21CFA">
              <w:rPr>
                <w:rStyle w:val="Hyperlink"/>
                <w:noProof/>
              </w:rPr>
              <w:t>1.2 Objectives</w:t>
            </w:r>
            <w:r w:rsidRPr="00C21CFA">
              <w:rPr>
                <w:noProof/>
                <w:webHidden/>
              </w:rPr>
              <w:tab/>
            </w:r>
            <w:r w:rsidRPr="00C21CFA">
              <w:rPr>
                <w:noProof/>
                <w:webHidden/>
              </w:rPr>
              <w:fldChar w:fldCharType="begin"/>
            </w:r>
            <w:r w:rsidRPr="00C21CFA">
              <w:rPr>
                <w:noProof/>
                <w:webHidden/>
              </w:rPr>
              <w:instrText xml:space="preserve"> PAGEREF _Toc218947617 \h </w:instrText>
            </w:r>
            <w:r w:rsidRPr="00C21CFA">
              <w:rPr>
                <w:noProof/>
                <w:webHidden/>
              </w:rPr>
            </w:r>
            <w:r w:rsidRPr="00C21CFA">
              <w:rPr>
                <w:noProof/>
                <w:webHidden/>
              </w:rPr>
              <w:fldChar w:fldCharType="separate"/>
            </w:r>
            <w:r w:rsidRPr="00C21CFA">
              <w:rPr>
                <w:noProof/>
                <w:webHidden/>
              </w:rPr>
              <w:t>4</w:t>
            </w:r>
            <w:r w:rsidRPr="00C21CFA">
              <w:rPr>
                <w:noProof/>
                <w:webHidden/>
              </w:rPr>
              <w:fldChar w:fldCharType="end"/>
            </w:r>
          </w:hyperlink>
        </w:p>
        <w:p w14:paraId="53840763" w14:textId="7E327C11" w:rsidR="00C21CFA" w:rsidRPr="00C21CFA" w:rsidRDefault="00C21CFA">
          <w:pPr>
            <w:pStyle w:val="TOC2"/>
            <w:tabs>
              <w:tab w:val="right" w:leader="dot" w:pos="9016"/>
            </w:tabs>
            <w:rPr>
              <w:rFonts w:cstheme="minorBidi"/>
              <w:noProof/>
              <w:kern w:val="2"/>
              <w:sz w:val="24"/>
              <w:szCs w:val="24"/>
              <w:lang w:val="en-GB" w:eastAsia="en-GB"/>
              <w14:ligatures w14:val="standardContextual"/>
            </w:rPr>
          </w:pPr>
          <w:hyperlink w:anchor="_Toc218947618" w:history="1">
            <w:r w:rsidRPr="00C21CFA">
              <w:rPr>
                <w:rStyle w:val="Hyperlink"/>
                <w:noProof/>
              </w:rPr>
              <w:t>1.3 Scope</w:t>
            </w:r>
            <w:r w:rsidRPr="00C21CFA">
              <w:rPr>
                <w:noProof/>
                <w:webHidden/>
              </w:rPr>
              <w:tab/>
            </w:r>
            <w:r w:rsidRPr="00C21CFA">
              <w:rPr>
                <w:noProof/>
                <w:webHidden/>
              </w:rPr>
              <w:fldChar w:fldCharType="begin"/>
            </w:r>
            <w:r w:rsidRPr="00C21CFA">
              <w:rPr>
                <w:noProof/>
                <w:webHidden/>
              </w:rPr>
              <w:instrText xml:space="preserve"> PAGEREF _Toc218947618 \h </w:instrText>
            </w:r>
            <w:r w:rsidRPr="00C21CFA">
              <w:rPr>
                <w:noProof/>
                <w:webHidden/>
              </w:rPr>
            </w:r>
            <w:r w:rsidRPr="00C21CFA">
              <w:rPr>
                <w:noProof/>
                <w:webHidden/>
              </w:rPr>
              <w:fldChar w:fldCharType="separate"/>
            </w:r>
            <w:r w:rsidRPr="00C21CFA">
              <w:rPr>
                <w:noProof/>
                <w:webHidden/>
              </w:rPr>
              <w:t>4</w:t>
            </w:r>
            <w:r w:rsidRPr="00C21CFA">
              <w:rPr>
                <w:noProof/>
                <w:webHidden/>
              </w:rPr>
              <w:fldChar w:fldCharType="end"/>
            </w:r>
          </w:hyperlink>
        </w:p>
        <w:p w14:paraId="0B1C4021" w14:textId="1EF4C4C3" w:rsidR="00C21CFA" w:rsidRPr="00C21CFA" w:rsidRDefault="00C21CFA">
          <w:pPr>
            <w:pStyle w:val="TOC1"/>
            <w:tabs>
              <w:tab w:val="right" w:leader="dot" w:pos="9016"/>
            </w:tabs>
            <w:rPr>
              <w:rFonts w:eastAsiaTheme="minorEastAsia"/>
              <w:noProof/>
              <w:sz w:val="24"/>
              <w:szCs w:val="24"/>
              <w:lang w:eastAsia="en-GB"/>
            </w:rPr>
          </w:pPr>
          <w:hyperlink w:anchor="_Toc218947619" w:history="1">
            <w:r w:rsidRPr="00C21CFA">
              <w:rPr>
                <w:rStyle w:val="Hyperlink"/>
                <w:rFonts w:cs="Times New Roman"/>
                <w:noProof/>
              </w:rPr>
              <w:t>2.0 Literature Review</w:t>
            </w:r>
            <w:r w:rsidRPr="00C21CFA">
              <w:rPr>
                <w:noProof/>
                <w:webHidden/>
              </w:rPr>
              <w:tab/>
            </w:r>
            <w:r w:rsidRPr="00C21CFA">
              <w:rPr>
                <w:noProof/>
                <w:webHidden/>
              </w:rPr>
              <w:fldChar w:fldCharType="begin"/>
            </w:r>
            <w:r w:rsidRPr="00C21CFA">
              <w:rPr>
                <w:noProof/>
                <w:webHidden/>
              </w:rPr>
              <w:instrText xml:space="preserve"> PAGEREF _Toc218947619 \h </w:instrText>
            </w:r>
            <w:r w:rsidRPr="00C21CFA">
              <w:rPr>
                <w:noProof/>
                <w:webHidden/>
              </w:rPr>
            </w:r>
            <w:r w:rsidRPr="00C21CFA">
              <w:rPr>
                <w:noProof/>
                <w:webHidden/>
              </w:rPr>
              <w:fldChar w:fldCharType="separate"/>
            </w:r>
            <w:r w:rsidRPr="00C21CFA">
              <w:rPr>
                <w:noProof/>
                <w:webHidden/>
              </w:rPr>
              <w:t>5</w:t>
            </w:r>
            <w:r w:rsidRPr="00C21CFA">
              <w:rPr>
                <w:noProof/>
                <w:webHidden/>
              </w:rPr>
              <w:fldChar w:fldCharType="end"/>
            </w:r>
          </w:hyperlink>
        </w:p>
        <w:p w14:paraId="55D4D953" w14:textId="7348BD8F" w:rsidR="00C21CFA" w:rsidRPr="00C21CFA" w:rsidRDefault="00C21CFA">
          <w:pPr>
            <w:pStyle w:val="TOC2"/>
            <w:tabs>
              <w:tab w:val="right" w:leader="dot" w:pos="9016"/>
            </w:tabs>
            <w:rPr>
              <w:rFonts w:cstheme="minorBidi"/>
              <w:noProof/>
              <w:kern w:val="2"/>
              <w:sz w:val="24"/>
              <w:szCs w:val="24"/>
              <w:lang w:val="en-GB" w:eastAsia="en-GB"/>
              <w14:ligatures w14:val="standardContextual"/>
            </w:rPr>
          </w:pPr>
          <w:hyperlink w:anchor="_Toc218947620" w:history="1">
            <w:r w:rsidRPr="00C21CFA">
              <w:rPr>
                <w:rStyle w:val="Hyperlink"/>
                <w:noProof/>
              </w:rPr>
              <w:t>2.1 Overview</w:t>
            </w:r>
            <w:r w:rsidRPr="00C21CFA">
              <w:rPr>
                <w:noProof/>
                <w:webHidden/>
              </w:rPr>
              <w:tab/>
            </w:r>
            <w:r w:rsidRPr="00C21CFA">
              <w:rPr>
                <w:noProof/>
                <w:webHidden/>
              </w:rPr>
              <w:fldChar w:fldCharType="begin"/>
            </w:r>
            <w:r w:rsidRPr="00C21CFA">
              <w:rPr>
                <w:noProof/>
                <w:webHidden/>
              </w:rPr>
              <w:instrText xml:space="preserve"> PAGEREF _Toc218947620 \h </w:instrText>
            </w:r>
            <w:r w:rsidRPr="00C21CFA">
              <w:rPr>
                <w:noProof/>
                <w:webHidden/>
              </w:rPr>
            </w:r>
            <w:r w:rsidRPr="00C21CFA">
              <w:rPr>
                <w:noProof/>
                <w:webHidden/>
              </w:rPr>
              <w:fldChar w:fldCharType="separate"/>
            </w:r>
            <w:r w:rsidRPr="00C21CFA">
              <w:rPr>
                <w:noProof/>
                <w:webHidden/>
              </w:rPr>
              <w:t>5</w:t>
            </w:r>
            <w:r w:rsidRPr="00C21CFA">
              <w:rPr>
                <w:noProof/>
                <w:webHidden/>
              </w:rPr>
              <w:fldChar w:fldCharType="end"/>
            </w:r>
          </w:hyperlink>
        </w:p>
        <w:p w14:paraId="61A22CDA" w14:textId="4A522A29" w:rsidR="00C21CFA" w:rsidRPr="00C21CFA" w:rsidRDefault="00C21CFA">
          <w:pPr>
            <w:pStyle w:val="TOC2"/>
            <w:tabs>
              <w:tab w:val="right" w:leader="dot" w:pos="9016"/>
            </w:tabs>
            <w:rPr>
              <w:rFonts w:cstheme="minorBidi"/>
              <w:noProof/>
              <w:kern w:val="2"/>
              <w:sz w:val="24"/>
              <w:szCs w:val="24"/>
              <w:lang w:val="en-GB" w:eastAsia="en-GB"/>
              <w14:ligatures w14:val="standardContextual"/>
            </w:rPr>
          </w:pPr>
          <w:hyperlink w:anchor="_Toc218947621" w:history="1">
            <w:r w:rsidRPr="00C21CFA">
              <w:rPr>
                <w:rStyle w:val="Hyperlink"/>
                <w:noProof/>
              </w:rPr>
              <w:t>2.2 Evolution of Regulatory Framework</w:t>
            </w:r>
            <w:r w:rsidRPr="00C21CFA">
              <w:rPr>
                <w:noProof/>
                <w:webHidden/>
              </w:rPr>
              <w:tab/>
            </w:r>
            <w:r w:rsidRPr="00C21CFA">
              <w:rPr>
                <w:noProof/>
                <w:webHidden/>
              </w:rPr>
              <w:fldChar w:fldCharType="begin"/>
            </w:r>
            <w:r w:rsidRPr="00C21CFA">
              <w:rPr>
                <w:noProof/>
                <w:webHidden/>
              </w:rPr>
              <w:instrText xml:space="preserve"> PAGEREF _Toc218947621 \h </w:instrText>
            </w:r>
            <w:r w:rsidRPr="00C21CFA">
              <w:rPr>
                <w:noProof/>
                <w:webHidden/>
              </w:rPr>
            </w:r>
            <w:r w:rsidRPr="00C21CFA">
              <w:rPr>
                <w:noProof/>
                <w:webHidden/>
              </w:rPr>
              <w:fldChar w:fldCharType="separate"/>
            </w:r>
            <w:r w:rsidRPr="00C21CFA">
              <w:rPr>
                <w:noProof/>
                <w:webHidden/>
              </w:rPr>
              <w:t>5</w:t>
            </w:r>
            <w:r w:rsidRPr="00C21CFA">
              <w:rPr>
                <w:noProof/>
                <w:webHidden/>
              </w:rPr>
              <w:fldChar w:fldCharType="end"/>
            </w:r>
          </w:hyperlink>
        </w:p>
        <w:p w14:paraId="259F9006" w14:textId="1CE656DC" w:rsidR="00C21CFA" w:rsidRPr="00C21CFA" w:rsidRDefault="00C21CFA">
          <w:pPr>
            <w:pStyle w:val="TOC3"/>
            <w:tabs>
              <w:tab w:val="right" w:leader="dot" w:pos="9016"/>
            </w:tabs>
            <w:rPr>
              <w:rFonts w:cstheme="minorBidi"/>
              <w:noProof/>
              <w:kern w:val="2"/>
              <w:sz w:val="24"/>
              <w:szCs w:val="24"/>
              <w:lang w:val="en-GB" w:eastAsia="en-GB"/>
              <w14:ligatures w14:val="standardContextual"/>
            </w:rPr>
          </w:pPr>
          <w:hyperlink w:anchor="_Toc218947622" w:history="1">
            <w:r w:rsidRPr="00C21CFA">
              <w:rPr>
                <w:rStyle w:val="Hyperlink"/>
                <w:noProof/>
              </w:rPr>
              <w:t>2.2.1 Regulatory Reform &amp; Building Standards</w:t>
            </w:r>
            <w:r w:rsidRPr="00C21CFA">
              <w:rPr>
                <w:noProof/>
                <w:webHidden/>
              </w:rPr>
              <w:tab/>
            </w:r>
            <w:r w:rsidRPr="00C21CFA">
              <w:rPr>
                <w:noProof/>
                <w:webHidden/>
              </w:rPr>
              <w:fldChar w:fldCharType="begin"/>
            </w:r>
            <w:r w:rsidRPr="00C21CFA">
              <w:rPr>
                <w:noProof/>
                <w:webHidden/>
              </w:rPr>
              <w:instrText xml:space="preserve"> PAGEREF _Toc218947622 \h </w:instrText>
            </w:r>
            <w:r w:rsidRPr="00C21CFA">
              <w:rPr>
                <w:noProof/>
                <w:webHidden/>
              </w:rPr>
            </w:r>
            <w:r w:rsidRPr="00C21CFA">
              <w:rPr>
                <w:noProof/>
                <w:webHidden/>
              </w:rPr>
              <w:fldChar w:fldCharType="separate"/>
            </w:r>
            <w:r w:rsidRPr="00C21CFA">
              <w:rPr>
                <w:noProof/>
                <w:webHidden/>
              </w:rPr>
              <w:t>5</w:t>
            </w:r>
            <w:r w:rsidRPr="00C21CFA">
              <w:rPr>
                <w:noProof/>
                <w:webHidden/>
              </w:rPr>
              <w:fldChar w:fldCharType="end"/>
            </w:r>
          </w:hyperlink>
        </w:p>
        <w:p w14:paraId="7564EE13" w14:textId="2AE29A6D" w:rsidR="00C21CFA" w:rsidRPr="00C21CFA" w:rsidRDefault="00C21CFA">
          <w:pPr>
            <w:pStyle w:val="TOC3"/>
            <w:tabs>
              <w:tab w:val="right" w:leader="dot" w:pos="9016"/>
            </w:tabs>
            <w:rPr>
              <w:rFonts w:cstheme="minorBidi"/>
              <w:noProof/>
              <w:kern w:val="2"/>
              <w:sz w:val="24"/>
              <w:szCs w:val="24"/>
              <w:lang w:val="en-GB" w:eastAsia="en-GB"/>
              <w14:ligatures w14:val="standardContextual"/>
            </w:rPr>
          </w:pPr>
          <w:hyperlink w:anchor="_Toc218947623" w:history="1">
            <w:r w:rsidRPr="00C21CFA">
              <w:rPr>
                <w:rStyle w:val="Hyperlink"/>
                <w:noProof/>
              </w:rPr>
              <w:t>2.2.2 Advancement through Tragedy</w:t>
            </w:r>
            <w:r w:rsidRPr="00C21CFA">
              <w:rPr>
                <w:noProof/>
                <w:webHidden/>
              </w:rPr>
              <w:tab/>
            </w:r>
            <w:r w:rsidRPr="00C21CFA">
              <w:rPr>
                <w:noProof/>
                <w:webHidden/>
              </w:rPr>
              <w:fldChar w:fldCharType="begin"/>
            </w:r>
            <w:r w:rsidRPr="00C21CFA">
              <w:rPr>
                <w:noProof/>
                <w:webHidden/>
              </w:rPr>
              <w:instrText xml:space="preserve"> PAGEREF _Toc218947623 \h </w:instrText>
            </w:r>
            <w:r w:rsidRPr="00C21CFA">
              <w:rPr>
                <w:noProof/>
                <w:webHidden/>
              </w:rPr>
            </w:r>
            <w:r w:rsidRPr="00C21CFA">
              <w:rPr>
                <w:noProof/>
                <w:webHidden/>
              </w:rPr>
              <w:fldChar w:fldCharType="separate"/>
            </w:r>
            <w:r w:rsidRPr="00C21CFA">
              <w:rPr>
                <w:noProof/>
                <w:webHidden/>
              </w:rPr>
              <w:t>7</w:t>
            </w:r>
            <w:r w:rsidRPr="00C21CFA">
              <w:rPr>
                <w:noProof/>
                <w:webHidden/>
              </w:rPr>
              <w:fldChar w:fldCharType="end"/>
            </w:r>
          </w:hyperlink>
        </w:p>
        <w:p w14:paraId="3C0E3C13" w14:textId="24EA52E8" w:rsidR="00C21CFA" w:rsidRPr="00C21CFA" w:rsidRDefault="00C21CFA">
          <w:pPr>
            <w:pStyle w:val="TOC2"/>
            <w:tabs>
              <w:tab w:val="right" w:leader="dot" w:pos="9016"/>
            </w:tabs>
            <w:rPr>
              <w:rFonts w:cstheme="minorBidi"/>
              <w:noProof/>
              <w:kern w:val="2"/>
              <w:sz w:val="24"/>
              <w:szCs w:val="24"/>
              <w:lang w:val="en-GB" w:eastAsia="en-GB"/>
              <w14:ligatures w14:val="standardContextual"/>
            </w:rPr>
          </w:pPr>
          <w:hyperlink w:anchor="_Toc218947624" w:history="1">
            <w:r w:rsidRPr="00C21CFA">
              <w:rPr>
                <w:rStyle w:val="Hyperlink"/>
                <w:noProof/>
              </w:rPr>
              <w:t>2.3 Key Dutyholder Competency</w:t>
            </w:r>
            <w:r w:rsidRPr="00C21CFA">
              <w:rPr>
                <w:noProof/>
                <w:webHidden/>
              </w:rPr>
              <w:tab/>
            </w:r>
            <w:r w:rsidRPr="00C21CFA">
              <w:rPr>
                <w:noProof/>
                <w:webHidden/>
              </w:rPr>
              <w:fldChar w:fldCharType="begin"/>
            </w:r>
            <w:r w:rsidRPr="00C21CFA">
              <w:rPr>
                <w:noProof/>
                <w:webHidden/>
              </w:rPr>
              <w:instrText xml:space="preserve"> PAGEREF _Toc218947624 \h </w:instrText>
            </w:r>
            <w:r w:rsidRPr="00C21CFA">
              <w:rPr>
                <w:noProof/>
                <w:webHidden/>
              </w:rPr>
            </w:r>
            <w:r w:rsidRPr="00C21CFA">
              <w:rPr>
                <w:noProof/>
                <w:webHidden/>
              </w:rPr>
              <w:fldChar w:fldCharType="separate"/>
            </w:r>
            <w:r w:rsidRPr="00C21CFA">
              <w:rPr>
                <w:noProof/>
                <w:webHidden/>
              </w:rPr>
              <w:t>8</w:t>
            </w:r>
            <w:r w:rsidRPr="00C21CFA">
              <w:rPr>
                <w:noProof/>
                <w:webHidden/>
              </w:rPr>
              <w:fldChar w:fldCharType="end"/>
            </w:r>
          </w:hyperlink>
        </w:p>
        <w:p w14:paraId="09237168" w14:textId="3495A799" w:rsidR="00C21CFA" w:rsidRPr="00C21CFA" w:rsidRDefault="00C21CFA">
          <w:pPr>
            <w:pStyle w:val="TOC3"/>
            <w:tabs>
              <w:tab w:val="right" w:leader="dot" w:pos="9016"/>
            </w:tabs>
            <w:rPr>
              <w:rFonts w:cstheme="minorBidi"/>
              <w:noProof/>
              <w:kern w:val="2"/>
              <w:sz w:val="24"/>
              <w:szCs w:val="24"/>
              <w:lang w:val="en-GB" w:eastAsia="en-GB"/>
              <w14:ligatures w14:val="standardContextual"/>
            </w:rPr>
          </w:pPr>
          <w:hyperlink w:anchor="_Toc218947625" w:history="1">
            <w:r w:rsidRPr="00C21CFA">
              <w:rPr>
                <w:rStyle w:val="Hyperlink"/>
                <w:noProof/>
              </w:rPr>
              <w:t>2.3.1 Designer Competency Framework</w:t>
            </w:r>
            <w:r w:rsidRPr="00C21CFA">
              <w:rPr>
                <w:noProof/>
                <w:webHidden/>
              </w:rPr>
              <w:tab/>
            </w:r>
            <w:r w:rsidRPr="00C21CFA">
              <w:rPr>
                <w:noProof/>
                <w:webHidden/>
              </w:rPr>
              <w:fldChar w:fldCharType="begin"/>
            </w:r>
            <w:r w:rsidRPr="00C21CFA">
              <w:rPr>
                <w:noProof/>
                <w:webHidden/>
              </w:rPr>
              <w:instrText xml:space="preserve"> PAGEREF _Toc218947625 \h </w:instrText>
            </w:r>
            <w:r w:rsidRPr="00C21CFA">
              <w:rPr>
                <w:noProof/>
                <w:webHidden/>
              </w:rPr>
            </w:r>
            <w:r w:rsidRPr="00C21CFA">
              <w:rPr>
                <w:noProof/>
                <w:webHidden/>
              </w:rPr>
              <w:fldChar w:fldCharType="separate"/>
            </w:r>
            <w:r w:rsidRPr="00C21CFA">
              <w:rPr>
                <w:noProof/>
                <w:webHidden/>
              </w:rPr>
              <w:t>8</w:t>
            </w:r>
            <w:r w:rsidRPr="00C21CFA">
              <w:rPr>
                <w:noProof/>
                <w:webHidden/>
              </w:rPr>
              <w:fldChar w:fldCharType="end"/>
            </w:r>
          </w:hyperlink>
        </w:p>
        <w:p w14:paraId="2FC267B7" w14:textId="26827E9F" w:rsidR="00C21CFA" w:rsidRPr="00C21CFA" w:rsidRDefault="00C21CFA">
          <w:pPr>
            <w:pStyle w:val="TOC3"/>
            <w:tabs>
              <w:tab w:val="right" w:leader="dot" w:pos="9016"/>
            </w:tabs>
            <w:rPr>
              <w:rFonts w:cstheme="minorBidi"/>
              <w:noProof/>
              <w:kern w:val="2"/>
              <w:sz w:val="24"/>
              <w:szCs w:val="24"/>
              <w:lang w:val="en-GB" w:eastAsia="en-GB"/>
              <w14:ligatures w14:val="standardContextual"/>
            </w:rPr>
          </w:pPr>
          <w:hyperlink w:anchor="_Toc218947626" w:history="1">
            <w:r w:rsidRPr="00C21CFA">
              <w:rPr>
                <w:rStyle w:val="Hyperlink"/>
                <w:noProof/>
              </w:rPr>
              <w:t>2.3.2 Contractor Competency Framework</w:t>
            </w:r>
            <w:r w:rsidRPr="00C21CFA">
              <w:rPr>
                <w:noProof/>
                <w:webHidden/>
              </w:rPr>
              <w:tab/>
            </w:r>
            <w:r w:rsidRPr="00C21CFA">
              <w:rPr>
                <w:noProof/>
                <w:webHidden/>
              </w:rPr>
              <w:fldChar w:fldCharType="begin"/>
            </w:r>
            <w:r w:rsidRPr="00C21CFA">
              <w:rPr>
                <w:noProof/>
                <w:webHidden/>
              </w:rPr>
              <w:instrText xml:space="preserve"> PAGEREF _Toc218947626 \h </w:instrText>
            </w:r>
            <w:r w:rsidRPr="00C21CFA">
              <w:rPr>
                <w:noProof/>
                <w:webHidden/>
              </w:rPr>
            </w:r>
            <w:r w:rsidRPr="00C21CFA">
              <w:rPr>
                <w:noProof/>
                <w:webHidden/>
              </w:rPr>
              <w:fldChar w:fldCharType="separate"/>
            </w:r>
            <w:r w:rsidRPr="00C21CFA">
              <w:rPr>
                <w:noProof/>
                <w:webHidden/>
              </w:rPr>
              <w:t>11</w:t>
            </w:r>
            <w:r w:rsidRPr="00C21CFA">
              <w:rPr>
                <w:noProof/>
                <w:webHidden/>
              </w:rPr>
              <w:fldChar w:fldCharType="end"/>
            </w:r>
          </w:hyperlink>
        </w:p>
        <w:p w14:paraId="5011B584" w14:textId="7D637AD7" w:rsidR="00C21CFA" w:rsidRPr="00C21CFA" w:rsidRDefault="00C21CFA">
          <w:pPr>
            <w:pStyle w:val="TOC3"/>
            <w:tabs>
              <w:tab w:val="right" w:leader="dot" w:pos="9016"/>
            </w:tabs>
            <w:rPr>
              <w:rFonts w:cstheme="minorBidi"/>
              <w:noProof/>
              <w:kern w:val="2"/>
              <w:sz w:val="24"/>
              <w:szCs w:val="24"/>
              <w:lang w:val="en-GB" w:eastAsia="en-GB"/>
              <w14:ligatures w14:val="standardContextual"/>
            </w:rPr>
          </w:pPr>
          <w:hyperlink w:anchor="_Toc218947627" w:history="1">
            <w:r w:rsidRPr="00C21CFA">
              <w:rPr>
                <w:rStyle w:val="Hyperlink"/>
                <w:noProof/>
              </w:rPr>
              <w:t>2.3.3 Client Competency Framework</w:t>
            </w:r>
            <w:r w:rsidRPr="00C21CFA">
              <w:rPr>
                <w:noProof/>
                <w:webHidden/>
              </w:rPr>
              <w:tab/>
            </w:r>
            <w:r w:rsidRPr="00C21CFA">
              <w:rPr>
                <w:noProof/>
                <w:webHidden/>
              </w:rPr>
              <w:fldChar w:fldCharType="begin"/>
            </w:r>
            <w:r w:rsidRPr="00C21CFA">
              <w:rPr>
                <w:noProof/>
                <w:webHidden/>
              </w:rPr>
              <w:instrText xml:space="preserve"> PAGEREF _Toc218947627 \h </w:instrText>
            </w:r>
            <w:r w:rsidRPr="00C21CFA">
              <w:rPr>
                <w:noProof/>
                <w:webHidden/>
              </w:rPr>
            </w:r>
            <w:r w:rsidRPr="00C21CFA">
              <w:rPr>
                <w:noProof/>
                <w:webHidden/>
              </w:rPr>
              <w:fldChar w:fldCharType="separate"/>
            </w:r>
            <w:r w:rsidRPr="00C21CFA">
              <w:rPr>
                <w:noProof/>
                <w:webHidden/>
              </w:rPr>
              <w:t>12</w:t>
            </w:r>
            <w:r w:rsidRPr="00C21CFA">
              <w:rPr>
                <w:noProof/>
                <w:webHidden/>
              </w:rPr>
              <w:fldChar w:fldCharType="end"/>
            </w:r>
          </w:hyperlink>
        </w:p>
        <w:p w14:paraId="526D6138" w14:textId="19E35762" w:rsidR="00C21CFA" w:rsidRPr="00C21CFA" w:rsidRDefault="00C21CFA">
          <w:pPr>
            <w:pStyle w:val="TOC3"/>
            <w:tabs>
              <w:tab w:val="right" w:leader="dot" w:pos="9016"/>
            </w:tabs>
            <w:rPr>
              <w:rFonts w:cstheme="minorBidi"/>
              <w:noProof/>
              <w:kern w:val="2"/>
              <w:sz w:val="24"/>
              <w:szCs w:val="24"/>
              <w:lang w:val="en-GB" w:eastAsia="en-GB"/>
              <w14:ligatures w14:val="standardContextual"/>
            </w:rPr>
          </w:pPr>
          <w:hyperlink w:anchor="_Toc218947628" w:history="1">
            <w:r w:rsidRPr="00C21CFA">
              <w:rPr>
                <w:rStyle w:val="Hyperlink"/>
                <w:noProof/>
              </w:rPr>
              <w:t>2.3.4 Organisation Competence</w:t>
            </w:r>
            <w:r w:rsidRPr="00C21CFA">
              <w:rPr>
                <w:noProof/>
                <w:webHidden/>
              </w:rPr>
              <w:tab/>
            </w:r>
            <w:r w:rsidRPr="00C21CFA">
              <w:rPr>
                <w:noProof/>
                <w:webHidden/>
              </w:rPr>
              <w:fldChar w:fldCharType="begin"/>
            </w:r>
            <w:r w:rsidRPr="00C21CFA">
              <w:rPr>
                <w:noProof/>
                <w:webHidden/>
              </w:rPr>
              <w:instrText xml:space="preserve"> PAGEREF _Toc218947628 \h </w:instrText>
            </w:r>
            <w:r w:rsidRPr="00C21CFA">
              <w:rPr>
                <w:noProof/>
                <w:webHidden/>
              </w:rPr>
            </w:r>
            <w:r w:rsidRPr="00C21CFA">
              <w:rPr>
                <w:noProof/>
                <w:webHidden/>
              </w:rPr>
              <w:fldChar w:fldCharType="separate"/>
            </w:r>
            <w:r w:rsidRPr="00C21CFA">
              <w:rPr>
                <w:noProof/>
                <w:webHidden/>
              </w:rPr>
              <w:t>13</w:t>
            </w:r>
            <w:r w:rsidRPr="00C21CFA">
              <w:rPr>
                <w:noProof/>
                <w:webHidden/>
              </w:rPr>
              <w:fldChar w:fldCharType="end"/>
            </w:r>
          </w:hyperlink>
        </w:p>
        <w:p w14:paraId="49377A22" w14:textId="17F09CA1" w:rsidR="00C21CFA" w:rsidRPr="00C21CFA" w:rsidRDefault="00C21CFA">
          <w:pPr>
            <w:pStyle w:val="TOC2"/>
            <w:tabs>
              <w:tab w:val="right" w:leader="dot" w:pos="9016"/>
            </w:tabs>
            <w:rPr>
              <w:rFonts w:cstheme="minorBidi"/>
              <w:noProof/>
              <w:kern w:val="2"/>
              <w:sz w:val="24"/>
              <w:szCs w:val="24"/>
              <w:lang w:val="en-GB" w:eastAsia="en-GB"/>
              <w14:ligatures w14:val="standardContextual"/>
            </w:rPr>
          </w:pPr>
          <w:hyperlink w:anchor="_Toc218947629" w:history="1">
            <w:r w:rsidRPr="00C21CFA">
              <w:rPr>
                <w:rStyle w:val="Hyperlink"/>
                <w:noProof/>
              </w:rPr>
              <w:t>2.4 Continuous Professional Development (CPD)</w:t>
            </w:r>
            <w:r w:rsidRPr="00C21CFA">
              <w:rPr>
                <w:noProof/>
                <w:webHidden/>
              </w:rPr>
              <w:tab/>
            </w:r>
            <w:r w:rsidRPr="00C21CFA">
              <w:rPr>
                <w:noProof/>
                <w:webHidden/>
              </w:rPr>
              <w:fldChar w:fldCharType="begin"/>
            </w:r>
            <w:r w:rsidRPr="00C21CFA">
              <w:rPr>
                <w:noProof/>
                <w:webHidden/>
              </w:rPr>
              <w:instrText xml:space="preserve"> PAGEREF _Toc218947629 \h </w:instrText>
            </w:r>
            <w:r w:rsidRPr="00C21CFA">
              <w:rPr>
                <w:noProof/>
                <w:webHidden/>
              </w:rPr>
            </w:r>
            <w:r w:rsidRPr="00C21CFA">
              <w:rPr>
                <w:noProof/>
                <w:webHidden/>
              </w:rPr>
              <w:fldChar w:fldCharType="separate"/>
            </w:r>
            <w:r w:rsidRPr="00C21CFA">
              <w:rPr>
                <w:noProof/>
                <w:webHidden/>
              </w:rPr>
              <w:t>15</w:t>
            </w:r>
            <w:r w:rsidRPr="00C21CFA">
              <w:rPr>
                <w:noProof/>
                <w:webHidden/>
              </w:rPr>
              <w:fldChar w:fldCharType="end"/>
            </w:r>
          </w:hyperlink>
        </w:p>
        <w:p w14:paraId="70554D8E" w14:textId="46170912" w:rsidR="00C21CFA" w:rsidRPr="00C21CFA" w:rsidRDefault="00C21CFA">
          <w:pPr>
            <w:pStyle w:val="TOC3"/>
            <w:tabs>
              <w:tab w:val="right" w:leader="dot" w:pos="9016"/>
            </w:tabs>
            <w:rPr>
              <w:rFonts w:cstheme="minorBidi"/>
              <w:noProof/>
              <w:kern w:val="2"/>
              <w:sz w:val="24"/>
              <w:szCs w:val="24"/>
              <w:lang w:val="en-GB" w:eastAsia="en-GB"/>
              <w14:ligatures w14:val="standardContextual"/>
            </w:rPr>
          </w:pPr>
          <w:hyperlink w:anchor="_Toc218947630" w:history="1">
            <w:r w:rsidRPr="00C21CFA">
              <w:rPr>
                <w:rStyle w:val="Hyperlink"/>
                <w:noProof/>
              </w:rPr>
              <w:t>2.4.1 Political Directive</w:t>
            </w:r>
            <w:r w:rsidRPr="00C21CFA">
              <w:rPr>
                <w:noProof/>
                <w:webHidden/>
              </w:rPr>
              <w:tab/>
            </w:r>
            <w:r w:rsidRPr="00C21CFA">
              <w:rPr>
                <w:noProof/>
                <w:webHidden/>
              </w:rPr>
              <w:fldChar w:fldCharType="begin"/>
            </w:r>
            <w:r w:rsidRPr="00C21CFA">
              <w:rPr>
                <w:noProof/>
                <w:webHidden/>
              </w:rPr>
              <w:instrText xml:space="preserve"> PAGEREF _Toc218947630 \h </w:instrText>
            </w:r>
            <w:r w:rsidRPr="00C21CFA">
              <w:rPr>
                <w:noProof/>
                <w:webHidden/>
              </w:rPr>
            </w:r>
            <w:r w:rsidRPr="00C21CFA">
              <w:rPr>
                <w:noProof/>
                <w:webHidden/>
              </w:rPr>
              <w:fldChar w:fldCharType="separate"/>
            </w:r>
            <w:r w:rsidRPr="00C21CFA">
              <w:rPr>
                <w:noProof/>
                <w:webHidden/>
              </w:rPr>
              <w:t>15</w:t>
            </w:r>
            <w:r w:rsidRPr="00C21CFA">
              <w:rPr>
                <w:noProof/>
                <w:webHidden/>
              </w:rPr>
              <w:fldChar w:fldCharType="end"/>
            </w:r>
          </w:hyperlink>
        </w:p>
        <w:p w14:paraId="138D2D4F" w14:textId="7D615DA2" w:rsidR="00C21CFA" w:rsidRPr="00C21CFA" w:rsidRDefault="00C21CFA">
          <w:pPr>
            <w:pStyle w:val="TOC3"/>
            <w:tabs>
              <w:tab w:val="right" w:leader="dot" w:pos="9016"/>
            </w:tabs>
            <w:rPr>
              <w:rFonts w:cstheme="minorBidi"/>
              <w:noProof/>
              <w:kern w:val="2"/>
              <w:sz w:val="24"/>
              <w:szCs w:val="24"/>
              <w:lang w:val="en-GB" w:eastAsia="en-GB"/>
              <w14:ligatures w14:val="standardContextual"/>
            </w:rPr>
          </w:pPr>
          <w:hyperlink w:anchor="_Toc218947631" w:history="1">
            <w:r w:rsidRPr="00C21CFA">
              <w:rPr>
                <w:rStyle w:val="Hyperlink"/>
                <w:noProof/>
              </w:rPr>
              <w:t>2.4.2 Practicality</w:t>
            </w:r>
            <w:r w:rsidRPr="00C21CFA">
              <w:rPr>
                <w:noProof/>
                <w:webHidden/>
              </w:rPr>
              <w:tab/>
            </w:r>
            <w:r w:rsidRPr="00C21CFA">
              <w:rPr>
                <w:noProof/>
                <w:webHidden/>
              </w:rPr>
              <w:fldChar w:fldCharType="begin"/>
            </w:r>
            <w:r w:rsidRPr="00C21CFA">
              <w:rPr>
                <w:noProof/>
                <w:webHidden/>
              </w:rPr>
              <w:instrText xml:space="preserve"> PAGEREF _Toc218947631 \h </w:instrText>
            </w:r>
            <w:r w:rsidRPr="00C21CFA">
              <w:rPr>
                <w:noProof/>
                <w:webHidden/>
              </w:rPr>
            </w:r>
            <w:r w:rsidRPr="00C21CFA">
              <w:rPr>
                <w:noProof/>
                <w:webHidden/>
              </w:rPr>
              <w:fldChar w:fldCharType="separate"/>
            </w:r>
            <w:r w:rsidRPr="00C21CFA">
              <w:rPr>
                <w:noProof/>
                <w:webHidden/>
              </w:rPr>
              <w:t>15</w:t>
            </w:r>
            <w:r w:rsidRPr="00C21CFA">
              <w:rPr>
                <w:noProof/>
                <w:webHidden/>
              </w:rPr>
              <w:fldChar w:fldCharType="end"/>
            </w:r>
          </w:hyperlink>
        </w:p>
        <w:p w14:paraId="2A0FF8C2" w14:textId="3678383F" w:rsidR="00C21CFA" w:rsidRPr="00C21CFA" w:rsidRDefault="00C21CFA">
          <w:pPr>
            <w:pStyle w:val="TOC3"/>
            <w:tabs>
              <w:tab w:val="right" w:leader="dot" w:pos="9016"/>
            </w:tabs>
            <w:rPr>
              <w:rFonts w:cstheme="minorBidi"/>
              <w:noProof/>
              <w:kern w:val="2"/>
              <w:sz w:val="24"/>
              <w:szCs w:val="24"/>
              <w:lang w:val="en-GB" w:eastAsia="en-GB"/>
              <w14:ligatures w14:val="standardContextual"/>
            </w:rPr>
          </w:pPr>
          <w:hyperlink w:anchor="_Toc218947632" w:history="1">
            <w:r w:rsidRPr="00C21CFA">
              <w:rPr>
                <w:rStyle w:val="Hyperlink"/>
                <w:noProof/>
              </w:rPr>
              <w:t>2.4.3 Professional Practice</w:t>
            </w:r>
            <w:r w:rsidRPr="00C21CFA">
              <w:rPr>
                <w:noProof/>
                <w:webHidden/>
              </w:rPr>
              <w:tab/>
            </w:r>
            <w:r w:rsidRPr="00C21CFA">
              <w:rPr>
                <w:noProof/>
                <w:webHidden/>
              </w:rPr>
              <w:fldChar w:fldCharType="begin"/>
            </w:r>
            <w:r w:rsidRPr="00C21CFA">
              <w:rPr>
                <w:noProof/>
                <w:webHidden/>
              </w:rPr>
              <w:instrText xml:space="preserve"> PAGEREF _Toc218947632 \h </w:instrText>
            </w:r>
            <w:r w:rsidRPr="00C21CFA">
              <w:rPr>
                <w:noProof/>
                <w:webHidden/>
              </w:rPr>
            </w:r>
            <w:r w:rsidRPr="00C21CFA">
              <w:rPr>
                <w:noProof/>
                <w:webHidden/>
              </w:rPr>
              <w:fldChar w:fldCharType="separate"/>
            </w:r>
            <w:r w:rsidRPr="00C21CFA">
              <w:rPr>
                <w:noProof/>
                <w:webHidden/>
              </w:rPr>
              <w:t>16</w:t>
            </w:r>
            <w:r w:rsidRPr="00C21CFA">
              <w:rPr>
                <w:noProof/>
                <w:webHidden/>
              </w:rPr>
              <w:fldChar w:fldCharType="end"/>
            </w:r>
          </w:hyperlink>
        </w:p>
        <w:p w14:paraId="41C6E1C6" w14:textId="0F1929D3" w:rsidR="00C21CFA" w:rsidRPr="00C21CFA" w:rsidRDefault="00C21CFA">
          <w:pPr>
            <w:pStyle w:val="TOC2"/>
            <w:tabs>
              <w:tab w:val="left" w:pos="960"/>
              <w:tab w:val="right" w:leader="dot" w:pos="9016"/>
            </w:tabs>
            <w:rPr>
              <w:rFonts w:cstheme="minorBidi"/>
              <w:noProof/>
              <w:kern w:val="2"/>
              <w:sz w:val="24"/>
              <w:szCs w:val="24"/>
              <w:lang w:val="en-GB" w:eastAsia="en-GB"/>
              <w14:ligatures w14:val="standardContextual"/>
            </w:rPr>
          </w:pPr>
          <w:hyperlink w:anchor="_Toc218947633" w:history="1">
            <w:r w:rsidRPr="00C21CFA">
              <w:rPr>
                <w:rStyle w:val="Hyperlink"/>
                <w:noProof/>
              </w:rPr>
              <w:t>2.5</w:t>
            </w:r>
            <w:r w:rsidRPr="00C21CFA">
              <w:rPr>
                <w:rFonts w:cstheme="minorBidi"/>
                <w:noProof/>
                <w:kern w:val="2"/>
                <w:sz w:val="24"/>
                <w:szCs w:val="24"/>
                <w:lang w:val="en-GB" w:eastAsia="en-GB"/>
                <w14:ligatures w14:val="standardContextual"/>
              </w:rPr>
              <w:tab/>
            </w:r>
            <w:r w:rsidRPr="00C21CFA">
              <w:rPr>
                <w:rStyle w:val="Hyperlink"/>
                <w:noProof/>
              </w:rPr>
              <w:t>Summary of Research Gaps Identified</w:t>
            </w:r>
            <w:r w:rsidRPr="00C21CFA">
              <w:rPr>
                <w:noProof/>
                <w:webHidden/>
              </w:rPr>
              <w:tab/>
            </w:r>
            <w:r w:rsidRPr="00C21CFA">
              <w:rPr>
                <w:noProof/>
                <w:webHidden/>
              </w:rPr>
              <w:fldChar w:fldCharType="begin"/>
            </w:r>
            <w:r w:rsidRPr="00C21CFA">
              <w:rPr>
                <w:noProof/>
                <w:webHidden/>
              </w:rPr>
              <w:instrText xml:space="preserve"> PAGEREF _Toc218947633 \h </w:instrText>
            </w:r>
            <w:r w:rsidRPr="00C21CFA">
              <w:rPr>
                <w:noProof/>
                <w:webHidden/>
              </w:rPr>
            </w:r>
            <w:r w:rsidRPr="00C21CFA">
              <w:rPr>
                <w:noProof/>
                <w:webHidden/>
              </w:rPr>
              <w:fldChar w:fldCharType="separate"/>
            </w:r>
            <w:r w:rsidRPr="00C21CFA">
              <w:rPr>
                <w:noProof/>
                <w:webHidden/>
              </w:rPr>
              <w:t>17</w:t>
            </w:r>
            <w:r w:rsidRPr="00C21CFA">
              <w:rPr>
                <w:noProof/>
                <w:webHidden/>
              </w:rPr>
              <w:fldChar w:fldCharType="end"/>
            </w:r>
          </w:hyperlink>
        </w:p>
        <w:p w14:paraId="05D044B9" w14:textId="12412B77" w:rsidR="00C21CFA" w:rsidRPr="00C21CFA" w:rsidRDefault="00C21CFA">
          <w:pPr>
            <w:pStyle w:val="TOC3"/>
            <w:tabs>
              <w:tab w:val="left" w:pos="1200"/>
              <w:tab w:val="right" w:leader="dot" w:pos="9016"/>
            </w:tabs>
            <w:rPr>
              <w:rFonts w:cstheme="minorBidi"/>
              <w:noProof/>
              <w:kern w:val="2"/>
              <w:sz w:val="24"/>
              <w:szCs w:val="24"/>
              <w:lang w:val="en-GB" w:eastAsia="en-GB"/>
              <w14:ligatures w14:val="standardContextual"/>
            </w:rPr>
          </w:pPr>
          <w:hyperlink w:anchor="_Toc218947634" w:history="1">
            <w:r w:rsidRPr="00C21CFA">
              <w:rPr>
                <w:rStyle w:val="Hyperlink"/>
                <w:noProof/>
              </w:rPr>
              <w:t>2.5.1</w:t>
            </w:r>
            <w:r w:rsidRPr="00C21CFA">
              <w:rPr>
                <w:rFonts w:cstheme="minorBidi"/>
                <w:noProof/>
                <w:kern w:val="2"/>
                <w:sz w:val="24"/>
                <w:szCs w:val="24"/>
                <w:lang w:val="en-GB" w:eastAsia="en-GB"/>
                <w14:ligatures w14:val="standardContextual"/>
              </w:rPr>
              <w:tab/>
            </w:r>
            <w:r w:rsidRPr="00C21CFA">
              <w:rPr>
                <w:rStyle w:val="Hyperlink"/>
                <w:noProof/>
              </w:rPr>
              <w:t>Analysis of Research Gaps Identified</w:t>
            </w:r>
            <w:r w:rsidRPr="00C21CFA">
              <w:rPr>
                <w:noProof/>
                <w:webHidden/>
              </w:rPr>
              <w:tab/>
            </w:r>
            <w:r w:rsidRPr="00C21CFA">
              <w:rPr>
                <w:noProof/>
                <w:webHidden/>
              </w:rPr>
              <w:fldChar w:fldCharType="begin"/>
            </w:r>
            <w:r w:rsidRPr="00C21CFA">
              <w:rPr>
                <w:noProof/>
                <w:webHidden/>
              </w:rPr>
              <w:instrText xml:space="preserve"> PAGEREF _Toc218947634 \h </w:instrText>
            </w:r>
            <w:r w:rsidRPr="00C21CFA">
              <w:rPr>
                <w:noProof/>
                <w:webHidden/>
              </w:rPr>
            </w:r>
            <w:r w:rsidRPr="00C21CFA">
              <w:rPr>
                <w:noProof/>
                <w:webHidden/>
              </w:rPr>
              <w:fldChar w:fldCharType="separate"/>
            </w:r>
            <w:r w:rsidRPr="00C21CFA">
              <w:rPr>
                <w:noProof/>
                <w:webHidden/>
              </w:rPr>
              <w:t>18</w:t>
            </w:r>
            <w:r w:rsidRPr="00C21CFA">
              <w:rPr>
                <w:noProof/>
                <w:webHidden/>
              </w:rPr>
              <w:fldChar w:fldCharType="end"/>
            </w:r>
          </w:hyperlink>
        </w:p>
        <w:p w14:paraId="21E90DE1" w14:textId="07EE132D" w:rsidR="00C21CFA" w:rsidRPr="00C21CFA" w:rsidRDefault="00C21CFA">
          <w:pPr>
            <w:pStyle w:val="TOC1"/>
            <w:tabs>
              <w:tab w:val="right" w:leader="dot" w:pos="9016"/>
            </w:tabs>
            <w:rPr>
              <w:rFonts w:eastAsiaTheme="minorEastAsia"/>
              <w:noProof/>
              <w:sz w:val="24"/>
              <w:szCs w:val="24"/>
              <w:lang w:eastAsia="en-GB"/>
            </w:rPr>
          </w:pPr>
          <w:hyperlink w:anchor="_Toc218947635" w:history="1">
            <w:r w:rsidRPr="00C21CFA">
              <w:rPr>
                <w:rStyle w:val="Hyperlink"/>
                <w:rFonts w:cs="Times New Roman"/>
                <w:noProof/>
              </w:rPr>
              <w:t>3.0 Conclusion</w:t>
            </w:r>
            <w:r w:rsidRPr="00C21CFA">
              <w:rPr>
                <w:noProof/>
                <w:webHidden/>
              </w:rPr>
              <w:tab/>
            </w:r>
            <w:r w:rsidRPr="00C21CFA">
              <w:rPr>
                <w:noProof/>
                <w:webHidden/>
              </w:rPr>
              <w:fldChar w:fldCharType="begin"/>
            </w:r>
            <w:r w:rsidRPr="00C21CFA">
              <w:rPr>
                <w:noProof/>
                <w:webHidden/>
              </w:rPr>
              <w:instrText xml:space="preserve"> PAGEREF _Toc218947635 \h </w:instrText>
            </w:r>
            <w:r w:rsidRPr="00C21CFA">
              <w:rPr>
                <w:noProof/>
                <w:webHidden/>
              </w:rPr>
            </w:r>
            <w:r w:rsidRPr="00C21CFA">
              <w:rPr>
                <w:noProof/>
                <w:webHidden/>
              </w:rPr>
              <w:fldChar w:fldCharType="separate"/>
            </w:r>
            <w:r w:rsidRPr="00C21CFA">
              <w:rPr>
                <w:noProof/>
                <w:webHidden/>
              </w:rPr>
              <w:t>20</w:t>
            </w:r>
            <w:r w:rsidRPr="00C21CFA">
              <w:rPr>
                <w:noProof/>
                <w:webHidden/>
              </w:rPr>
              <w:fldChar w:fldCharType="end"/>
            </w:r>
          </w:hyperlink>
        </w:p>
        <w:p w14:paraId="04C62BB6" w14:textId="7D5B5AD0" w:rsidR="00C21CFA" w:rsidRPr="00C21CFA" w:rsidRDefault="00C21CFA">
          <w:pPr>
            <w:pStyle w:val="TOC1"/>
            <w:tabs>
              <w:tab w:val="right" w:leader="dot" w:pos="9016"/>
            </w:tabs>
            <w:rPr>
              <w:rFonts w:eastAsiaTheme="minorEastAsia"/>
              <w:noProof/>
              <w:sz w:val="24"/>
              <w:szCs w:val="24"/>
              <w:lang w:eastAsia="en-GB"/>
            </w:rPr>
          </w:pPr>
          <w:hyperlink w:anchor="_Toc218947636" w:history="1">
            <w:r w:rsidRPr="00C21CFA">
              <w:rPr>
                <w:rStyle w:val="Hyperlink"/>
                <w:rFonts w:cs="Times New Roman"/>
                <w:noProof/>
              </w:rPr>
              <w:t>References</w:t>
            </w:r>
            <w:r w:rsidRPr="00C21CFA">
              <w:rPr>
                <w:noProof/>
                <w:webHidden/>
              </w:rPr>
              <w:tab/>
            </w:r>
            <w:r w:rsidRPr="00C21CFA">
              <w:rPr>
                <w:noProof/>
                <w:webHidden/>
              </w:rPr>
              <w:fldChar w:fldCharType="begin"/>
            </w:r>
            <w:r w:rsidRPr="00C21CFA">
              <w:rPr>
                <w:noProof/>
                <w:webHidden/>
              </w:rPr>
              <w:instrText xml:space="preserve"> PAGEREF _Toc218947636 \h </w:instrText>
            </w:r>
            <w:r w:rsidRPr="00C21CFA">
              <w:rPr>
                <w:noProof/>
                <w:webHidden/>
              </w:rPr>
            </w:r>
            <w:r w:rsidRPr="00C21CFA">
              <w:rPr>
                <w:noProof/>
                <w:webHidden/>
              </w:rPr>
              <w:fldChar w:fldCharType="separate"/>
            </w:r>
            <w:r w:rsidRPr="00C21CFA">
              <w:rPr>
                <w:noProof/>
                <w:webHidden/>
              </w:rPr>
              <w:t>21</w:t>
            </w:r>
            <w:r w:rsidRPr="00C21CFA">
              <w:rPr>
                <w:noProof/>
                <w:webHidden/>
              </w:rPr>
              <w:fldChar w:fldCharType="end"/>
            </w:r>
          </w:hyperlink>
        </w:p>
        <w:p w14:paraId="45428AA9" w14:textId="418796B8" w:rsidR="000066EF" w:rsidRDefault="007A5C51" w:rsidP="00380C64">
          <w:pPr>
            <w:spacing w:line="360" w:lineRule="auto"/>
            <w:jc w:val="both"/>
            <w:rPr>
              <w:rFonts w:cs="Times New Roman"/>
              <w:color w:val="FFFFFF" w:themeColor="background1"/>
              <w:sz w:val="2"/>
              <w:szCs w:val="2"/>
            </w:rPr>
          </w:pPr>
          <w:r w:rsidRPr="000066EF">
            <w:rPr>
              <w:noProof/>
            </w:rPr>
            <w:fldChar w:fldCharType="end"/>
          </w:r>
          <w:r w:rsidR="00BC4B0E" w:rsidRPr="007C1024">
            <w:rPr>
              <w:rFonts w:cs="Times New Roman"/>
              <w:color w:val="FFFFFF" w:themeColor="background1"/>
            </w:rPr>
            <w:t xml:space="preserve"> </w:t>
          </w:r>
          <w:r w:rsidR="000B6F07" w:rsidRPr="007C1024">
            <w:rPr>
              <w:rFonts w:cs="Times New Roman"/>
              <w:color w:val="FFFFFF" w:themeColor="background1"/>
              <w:sz w:val="2"/>
              <w:szCs w:val="2"/>
            </w:rPr>
            <w:t>.</w:t>
          </w:r>
        </w:p>
        <w:p w14:paraId="620B1F73" w14:textId="77777777" w:rsidR="003E53D4" w:rsidRDefault="003E53D4" w:rsidP="00380C64">
          <w:pPr>
            <w:spacing w:line="360" w:lineRule="auto"/>
            <w:jc w:val="both"/>
            <w:rPr>
              <w:rFonts w:cs="Calibri"/>
            </w:rPr>
          </w:pPr>
        </w:p>
        <w:p w14:paraId="054D09B8" w14:textId="77777777" w:rsidR="0064790F" w:rsidRDefault="0093643B" w:rsidP="0064790F">
          <w:pPr>
            <w:spacing w:line="360" w:lineRule="auto"/>
            <w:jc w:val="both"/>
            <w:rPr>
              <w:noProof/>
            </w:rPr>
          </w:pPr>
        </w:p>
      </w:sdtContent>
    </w:sdt>
    <w:p w14:paraId="20106CF4" w14:textId="77777777" w:rsidR="0064790F" w:rsidRDefault="0064790F" w:rsidP="00380C64">
      <w:pPr>
        <w:spacing w:line="360" w:lineRule="auto"/>
        <w:jc w:val="both"/>
        <w:rPr>
          <w:rFonts w:cs="Times New Roman"/>
          <w:b/>
          <w:bCs/>
          <w:sz w:val="32"/>
          <w:szCs w:val="32"/>
        </w:rPr>
      </w:pPr>
    </w:p>
    <w:p w14:paraId="2FFCEA8D" w14:textId="77777777" w:rsidR="0064790F" w:rsidRDefault="0064790F" w:rsidP="00380C64">
      <w:pPr>
        <w:spacing w:line="360" w:lineRule="auto"/>
        <w:jc w:val="both"/>
        <w:rPr>
          <w:rFonts w:cs="Times New Roman"/>
          <w:b/>
          <w:bCs/>
          <w:sz w:val="32"/>
          <w:szCs w:val="32"/>
        </w:rPr>
      </w:pPr>
    </w:p>
    <w:p w14:paraId="47E52924" w14:textId="5FC27BD5" w:rsidR="003E53D4" w:rsidRPr="003E53D4" w:rsidRDefault="00796188" w:rsidP="003E53D4">
      <w:pPr>
        <w:pStyle w:val="Heading1"/>
        <w:jc w:val="both"/>
        <w:rPr>
          <w:rFonts w:cs="Times New Roman"/>
          <w:b/>
          <w:bCs/>
          <w:color w:val="auto"/>
          <w:sz w:val="28"/>
          <w:szCs w:val="28"/>
        </w:rPr>
      </w:pPr>
      <w:bookmarkStart w:id="4" w:name="_Toc218947614"/>
      <w:r w:rsidRPr="008863C6">
        <w:rPr>
          <w:rFonts w:cs="Times New Roman"/>
          <w:b/>
          <w:bCs/>
          <w:color w:val="auto"/>
          <w:sz w:val="28"/>
          <w:szCs w:val="28"/>
        </w:rPr>
        <w:lastRenderedPageBreak/>
        <w:t>Abstract</w:t>
      </w:r>
      <w:bookmarkEnd w:id="4"/>
    </w:p>
    <w:p w14:paraId="1F2D0C67" w14:textId="03157B6D" w:rsidR="003E53D4" w:rsidRPr="003E53D4" w:rsidRDefault="003E53D4" w:rsidP="00EF2089">
      <w:pPr>
        <w:spacing w:line="360" w:lineRule="auto"/>
        <w:jc w:val="both"/>
        <w:rPr>
          <w:rFonts w:cs="Times New Roman"/>
        </w:rPr>
      </w:pPr>
      <w:r w:rsidRPr="003E53D4">
        <w:rPr>
          <w:rFonts w:cs="Times New Roman"/>
        </w:rPr>
        <w:t xml:space="preserve">The Construction Industry within the UK has experienced significant change over the past 10 years </w:t>
      </w:r>
      <w:r w:rsidR="00D60E38">
        <w:rPr>
          <w:rFonts w:cs="Times New Roman"/>
        </w:rPr>
        <w:t>through</w:t>
      </w:r>
      <w:r w:rsidRPr="003E53D4">
        <w:rPr>
          <w:rFonts w:cs="Times New Roman"/>
        </w:rPr>
        <w:t xml:space="preserve"> tragedy, peer reflection, and independent reviews by experts. Construction, design and management principles have been exposed to be fundamentally flawed in </w:t>
      </w:r>
      <w:r w:rsidR="00D60E38">
        <w:rPr>
          <w:rFonts w:cs="Times New Roman"/>
        </w:rPr>
        <w:t>ensuring</w:t>
      </w:r>
      <w:r w:rsidRPr="003E53D4">
        <w:rPr>
          <w:rFonts w:cs="Times New Roman"/>
        </w:rPr>
        <w:t xml:space="preserve"> that the people delivering projects have the necessary skills, knowledge, experience, and behavioural competencies. </w:t>
      </w:r>
      <w:r w:rsidR="00D60E38">
        <w:rPr>
          <w:rFonts w:cs="Times New Roman"/>
        </w:rPr>
        <w:t>Moreover</w:t>
      </w:r>
      <w:r w:rsidRPr="003E53D4">
        <w:rPr>
          <w:rFonts w:cs="Times New Roman"/>
        </w:rPr>
        <w:t xml:space="preserve">, the entire legislative framework has been scrutinised and challenged for its inadequacies due to a belief that it has festered a </w:t>
      </w:r>
      <w:r w:rsidR="00D60E38">
        <w:rPr>
          <w:rFonts w:cs="Times New Roman"/>
        </w:rPr>
        <w:t>culture of</w:t>
      </w:r>
      <w:r w:rsidRPr="003E53D4">
        <w:rPr>
          <w:rFonts w:cs="Times New Roman"/>
        </w:rPr>
        <w:t xml:space="preserve"> indifference</w:t>
      </w:r>
      <w:r w:rsidR="00D60E38">
        <w:rPr>
          <w:rFonts w:cs="Times New Roman"/>
        </w:rPr>
        <w:t xml:space="preserve"> and dishonesty</w:t>
      </w:r>
      <w:r w:rsidRPr="003E53D4">
        <w:rPr>
          <w:rFonts w:cs="Times New Roman"/>
        </w:rPr>
        <w:t xml:space="preserve"> amongst professionals.</w:t>
      </w:r>
    </w:p>
    <w:p w14:paraId="51F0674E" w14:textId="749373E9" w:rsidR="003E53D4" w:rsidRPr="003E53D4" w:rsidRDefault="00D60E38" w:rsidP="00EF2089">
      <w:pPr>
        <w:spacing w:line="360" w:lineRule="auto"/>
        <w:jc w:val="both"/>
        <w:rPr>
          <w:rFonts w:cs="Times New Roman"/>
        </w:rPr>
      </w:pPr>
      <w:r>
        <w:rPr>
          <w:rFonts w:cs="Times New Roman"/>
        </w:rPr>
        <w:t>This</w:t>
      </w:r>
      <w:r w:rsidR="003E53D4" w:rsidRPr="003E53D4">
        <w:rPr>
          <w:rFonts w:cs="Times New Roman"/>
        </w:rPr>
        <w:t xml:space="preserve"> has resulted in the formation of the Building Safety Act (BSA) which aims to challenge the current culture </w:t>
      </w:r>
      <w:r w:rsidR="004A2F08">
        <w:rPr>
          <w:rFonts w:cs="Times New Roman"/>
        </w:rPr>
        <w:t>by ensuring</w:t>
      </w:r>
      <w:r w:rsidR="003E53D4" w:rsidRPr="003E53D4">
        <w:rPr>
          <w:rFonts w:cs="Times New Roman"/>
        </w:rPr>
        <w:t xml:space="preserve"> key dutyholders </w:t>
      </w:r>
      <w:r w:rsidR="003B0723">
        <w:rPr>
          <w:rFonts w:cs="Times New Roman"/>
        </w:rPr>
        <w:t>declare and evidence formal competence in performing key dutyholder responsibilities</w:t>
      </w:r>
      <w:r w:rsidR="003E53D4" w:rsidRPr="003E53D4">
        <w:rPr>
          <w:rFonts w:cs="Times New Roman"/>
        </w:rPr>
        <w:t xml:space="preserve"> to successfully deliver safer buildings. This has been supported by supplementary guidance such as BS 8670 and PAS 8671</w:t>
      </w:r>
      <w:r w:rsidR="003E53D4">
        <w:rPr>
          <w:rFonts w:cs="Times New Roman"/>
        </w:rPr>
        <w:t>, 8672</w:t>
      </w:r>
      <w:r w:rsidR="003E53D4" w:rsidRPr="003E53D4">
        <w:rPr>
          <w:rFonts w:cs="Times New Roman"/>
        </w:rPr>
        <w:t xml:space="preserve"> </w:t>
      </w:r>
      <w:r w:rsidR="003E53D4">
        <w:rPr>
          <w:rFonts w:cs="Times New Roman"/>
        </w:rPr>
        <w:t>and</w:t>
      </w:r>
      <w:r w:rsidR="003E53D4" w:rsidRPr="003E53D4">
        <w:rPr>
          <w:rFonts w:cs="Times New Roman"/>
        </w:rPr>
        <w:t xml:space="preserve"> 867</w:t>
      </w:r>
      <w:r w:rsidR="003E53D4">
        <w:rPr>
          <w:rFonts w:cs="Times New Roman"/>
        </w:rPr>
        <w:t>3 which corroborate the expectation of competency frameworks that professional bodies and organisations should adhere to</w:t>
      </w:r>
      <w:r w:rsidR="003E53D4" w:rsidRPr="003E53D4">
        <w:rPr>
          <w:rFonts w:cs="Times New Roman"/>
        </w:rPr>
        <w:t>.</w:t>
      </w:r>
      <w:r w:rsidR="005142B8">
        <w:rPr>
          <w:rFonts w:cs="Times New Roman"/>
        </w:rPr>
        <w:t xml:space="preserve"> </w:t>
      </w:r>
      <w:r w:rsidR="004A2F08">
        <w:rPr>
          <w:rFonts w:cs="Times New Roman"/>
        </w:rPr>
        <w:t>However, this guidance remains voluntary</w:t>
      </w:r>
      <w:r w:rsidR="003B0723">
        <w:rPr>
          <w:rFonts w:cs="Times New Roman"/>
        </w:rPr>
        <w:t xml:space="preserve">, </w:t>
      </w:r>
      <w:r w:rsidR="004A2F08">
        <w:rPr>
          <w:rFonts w:cs="Times New Roman"/>
        </w:rPr>
        <w:t>unenforceable</w:t>
      </w:r>
      <w:r w:rsidR="003B0723">
        <w:rPr>
          <w:rFonts w:cs="Times New Roman"/>
        </w:rPr>
        <w:t xml:space="preserve">, and open to interpretation which has impacted the ability to achieve greater technical competence in the industry. This aspect represented a key highlight of the findings within Grenfell Tower’s Phase 2 inquiry which urged </w:t>
      </w:r>
      <w:r w:rsidR="003B0723" w:rsidRPr="003B0723">
        <w:rPr>
          <w:rFonts w:cs="Times New Roman"/>
        </w:rPr>
        <w:t xml:space="preserve">mandatory, regulated, and licensed </w:t>
      </w:r>
      <w:r w:rsidR="003B0723">
        <w:rPr>
          <w:rFonts w:cs="Times New Roman"/>
        </w:rPr>
        <w:t>frameworks of professionals: particularly in relation to fire safety.</w:t>
      </w:r>
    </w:p>
    <w:p w14:paraId="7D8AB95E" w14:textId="79DB6FED" w:rsidR="00EF2089" w:rsidRPr="005142B8" w:rsidRDefault="00EF2089" w:rsidP="00EF2089">
      <w:pPr>
        <w:spacing w:line="360" w:lineRule="auto"/>
        <w:jc w:val="both"/>
        <w:rPr>
          <w:rFonts w:cs="Times New Roman"/>
        </w:rPr>
      </w:pPr>
      <w:r w:rsidRPr="005142B8">
        <w:rPr>
          <w:rFonts w:cs="Times New Roman"/>
        </w:rPr>
        <w:t xml:space="preserve">This </w:t>
      </w:r>
      <w:r w:rsidR="005142B8" w:rsidRPr="005142B8">
        <w:rPr>
          <w:rFonts w:cs="Times New Roman"/>
        </w:rPr>
        <w:t>literature review</w:t>
      </w:r>
      <w:r w:rsidRPr="005142B8">
        <w:rPr>
          <w:rFonts w:cs="Times New Roman"/>
        </w:rPr>
        <w:t xml:space="preserve"> critically analyses </w:t>
      </w:r>
      <w:r w:rsidR="005142B8" w:rsidRPr="005142B8">
        <w:rPr>
          <w:rFonts w:cs="Times New Roman"/>
        </w:rPr>
        <w:t>how regulatory reform has impacted key dutyholder competence</w:t>
      </w:r>
      <w:r w:rsidRPr="005142B8">
        <w:rPr>
          <w:rFonts w:cs="Times New Roman"/>
        </w:rPr>
        <w:t xml:space="preserve">. This is </w:t>
      </w:r>
      <w:r w:rsidR="005142B8" w:rsidRPr="005142B8">
        <w:rPr>
          <w:rFonts w:cs="Times New Roman"/>
        </w:rPr>
        <w:t>augmented by objectives that interpret the reform of regulations through expert review of the tragedy of Grenfell Tower, the competency frameworks instilled by professional bodies, and the continuous professional development support mechanisms to deliver a stronger and more competent workforce.</w:t>
      </w:r>
    </w:p>
    <w:p w14:paraId="412A1773" w14:textId="555D20B9" w:rsidR="005142B8" w:rsidRPr="005142B8" w:rsidRDefault="00EF2089" w:rsidP="00EF2089">
      <w:pPr>
        <w:spacing w:line="360" w:lineRule="auto"/>
        <w:jc w:val="both"/>
        <w:rPr>
          <w:rFonts w:cs="Times New Roman"/>
        </w:rPr>
      </w:pPr>
      <w:r w:rsidRPr="005142B8">
        <w:rPr>
          <w:rFonts w:cs="Times New Roman"/>
        </w:rPr>
        <w:t xml:space="preserve">It is </w:t>
      </w:r>
      <w:r w:rsidR="006829C0">
        <w:rPr>
          <w:rFonts w:cs="Times New Roman"/>
        </w:rPr>
        <w:t>evident</w:t>
      </w:r>
      <w:r w:rsidRPr="005142B8">
        <w:rPr>
          <w:rFonts w:cs="Times New Roman"/>
        </w:rPr>
        <w:t xml:space="preserve"> from this study that the UK Construction Industry </w:t>
      </w:r>
      <w:r w:rsidR="005142B8" w:rsidRPr="005142B8">
        <w:rPr>
          <w:rFonts w:cs="Times New Roman"/>
        </w:rPr>
        <w:t xml:space="preserve">still has much growth left in attaining its goal of changing the current culture and holding all </w:t>
      </w:r>
      <w:r w:rsidR="00D60E38">
        <w:rPr>
          <w:rFonts w:cs="Times New Roman"/>
        </w:rPr>
        <w:t>stakeholders</w:t>
      </w:r>
      <w:r w:rsidR="005142B8" w:rsidRPr="005142B8">
        <w:rPr>
          <w:rFonts w:cs="Times New Roman"/>
        </w:rPr>
        <w:t xml:space="preserve"> to a higher standard</w:t>
      </w:r>
      <w:r w:rsidRPr="005142B8">
        <w:rPr>
          <w:rFonts w:cs="Times New Roman"/>
        </w:rPr>
        <w:t xml:space="preserve">. </w:t>
      </w:r>
      <w:r w:rsidR="005142B8" w:rsidRPr="005142B8">
        <w:rPr>
          <w:rFonts w:cs="Times New Roman"/>
        </w:rPr>
        <w:t xml:space="preserve">Whilst the ethos of the BSA captures broadly the fundamental areas that were lacking previously, it alone cannot change the future of the industry without the support, willingness and collaboration between professional bodies, government, and leading organisations. The findings of this review paper have </w:t>
      </w:r>
      <w:r w:rsidR="006829C0">
        <w:rPr>
          <w:rFonts w:cs="Times New Roman"/>
        </w:rPr>
        <w:t>revealed</w:t>
      </w:r>
      <w:r w:rsidR="005142B8" w:rsidRPr="005142B8">
        <w:rPr>
          <w:rFonts w:cs="Times New Roman"/>
        </w:rPr>
        <w:t xml:space="preserve"> further avenues of study based on research gaps identified.</w:t>
      </w:r>
    </w:p>
    <w:p w14:paraId="0769DB23" w14:textId="070E5516" w:rsidR="00DC6C0E" w:rsidRPr="00796188" w:rsidRDefault="00DC6C0E" w:rsidP="00380C64">
      <w:pPr>
        <w:spacing w:line="360" w:lineRule="auto"/>
        <w:jc w:val="both"/>
        <w:rPr>
          <w:rFonts w:cs="Times New Roman"/>
        </w:rPr>
      </w:pPr>
      <w:r>
        <w:rPr>
          <w:rFonts w:cs="Times New Roman"/>
        </w:rPr>
        <w:t xml:space="preserve">Keywords: </w:t>
      </w:r>
      <w:r>
        <w:t>technical competence, competency framework, construction design &amp; management, principal designer, principal contractor,</w:t>
      </w:r>
      <w:r w:rsidR="00EF2089">
        <w:t xml:space="preserve"> client, key</w:t>
      </w:r>
      <w:r>
        <w:t xml:space="preserve"> dutyholder, building safety</w:t>
      </w:r>
      <w:r w:rsidR="00EF2089">
        <w:t xml:space="preserve"> act</w:t>
      </w:r>
      <w:r>
        <w:t>.</w:t>
      </w:r>
    </w:p>
    <w:p w14:paraId="00019D22" w14:textId="77777777" w:rsidR="008C062F" w:rsidRPr="00BC4B0E" w:rsidRDefault="008C062F" w:rsidP="00380C64">
      <w:pPr>
        <w:spacing w:line="360" w:lineRule="auto"/>
        <w:jc w:val="both"/>
        <w:rPr>
          <w:rFonts w:cs="Times New Roman"/>
        </w:rPr>
      </w:pPr>
    </w:p>
    <w:p w14:paraId="6A24320C" w14:textId="35FC2F59" w:rsidR="00F526A7" w:rsidRPr="00BC4B0E" w:rsidRDefault="0064790F" w:rsidP="00380C64">
      <w:pPr>
        <w:pStyle w:val="Heading1"/>
        <w:jc w:val="both"/>
        <w:rPr>
          <w:rFonts w:cs="Times New Roman"/>
          <w:b/>
          <w:bCs/>
          <w:color w:val="auto"/>
          <w:sz w:val="28"/>
          <w:szCs w:val="28"/>
        </w:rPr>
      </w:pPr>
      <w:bookmarkStart w:id="5" w:name="_Toc218947615"/>
      <w:r>
        <w:rPr>
          <w:rFonts w:cs="Times New Roman"/>
          <w:b/>
          <w:bCs/>
          <w:color w:val="auto"/>
          <w:sz w:val="28"/>
          <w:szCs w:val="28"/>
        </w:rPr>
        <w:lastRenderedPageBreak/>
        <w:t>1</w:t>
      </w:r>
      <w:r w:rsidR="00F526A7" w:rsidRPr="00BC4B0E">
        <w:rPr>
          <w:rFonts w:cs="Times New Roman"/>
          <w:b/>
          <w:bCs/>
          <w:color w:val="auto"/>
          <w:sz w:val="28"/>
          <w:szCs w:val="28"/>
        </w:rPr>
        <w:t>.0 Aim</w:t>
      </w:r>
      <w:r w:rsidR="0046554B">
        <w:rPr>
          <w:rFonts w:cs="Times New Roman"/>
          <w:b/>
          <w:bCs/>
          <w:color w:val="auto"/>
          <w:sz w:val="28"/>
          <w:szCs w:val="28"/>
        </w:rPr>
        <w:t xml:space="preserve">, </w:t>
      </w:r>
      <w:r w:rsidR="00F526A7" w:rsidRPr="00BC4B0E">
        <w:rPr>
          <w:rFonts w:cs="Times New Roman"/>
          <w:b/>
          <w:bCs/>
          <w:color w:val="auto"/>
          <w:sz w:val="28"/>
          <w:szCs w:val="28"/>
        </w:rPr>
        <w:t>Objectives</w:t>
      </w:r>
      <w:r w:rsidR="0046554B">
        <w:rPr>
          <w:rFonts w:cs="Times New Roman"/>
          <w:b/>
          <w:bCs/>
          <w:color w:val="auto"/>
          <w:sz w:val="28"/>
          <w:szCs w:val="28"/>
        </w:rPr>
        <w:t xml:space="preserve"> &amp; Scope</w:t>
      </w:r>
      <w:bookmarkEnd w:id="5"/>
    </w:p>
    <w:p w14:paraId="493171E7" w14:textId="756B6EB1" w:rsidR="00D62469" w:rsidRPr="0076717F" w:rsidRDefault="0064790F" w:rsidP="00380C64">
      <w:pPr>
        <w:pStyle w:val="Heading2"/>
        <w:jc w:val="both"/>
        <w:rPr>
          <w:rFonts w:cs="Times New Roman"/>
          <w:b/>
          <w:bCs/>
          <w:color w:val="auto"/>
          <w:sz w:val="24"/>
          <w:szCs w:val="24"/>
        </w:rPr>
      </w:pPr>
      <w:bookmarkStart w:id="6" w:name="_Toc218947616"/>
      <w:r>
        <w:rPr>
          <w:rFonts w:cs="Times New Roman"/>
          <w:b/>
          <w:bCs/>
          <w:color w:val="auto"/>
          <w:sz w:val="24"/>
          <w:szCs w:val="24"/>
        </w:rPr>
        <w:t>1</w:t>
      </w:r>
      <w:r w:rsidR="00632578" w:rsidRPr="0076717F">
        <w:rPr>
          <w:rFonts w:cs="Times New Roman"/>
          <w:b/>
          <w:bCs/>
          <w:color w:val="auto"/>
          <w:sz w:val="24"/>
          <w:szCs w:val="24"/>
        </w:rPr>
        <w:t xml:space="preserve">.1 </w:t>
      </w:r>
      <w:r w:rsidR="00D62469" w:rsidRPr="0076717F">
        <w:rPr>
          <w:rFonts w:cs="Times New Roman"/>
          <w:b/>
          <w:bCs/>
          <w:color w:val="auto"/>
          <w:sz w:val="24"/>
          <w:szCs w:val="24"/>
        </w:rPr>
        <w:t>Aim</w:t>
      </w:r>
      <w:bookmarkEnd w:id="6"/>
    </w:p>
    <w:p w14:paraId="248F89BF" w14:textId="6C39C021" w:rsidR="00E56B73" w:rsidRPr="00BC4B0E" w:rsidRDefault="00E56B73" w:rsidP="00380C64">
      <w:pPr>
        <w:spacing w:line="360" w:lineRule="auto"/>
        <w:jc w:val="both"/>
        <w:rPr>
          <w:rFonts w:cs="Times New Roman"/>
        </w:rPr>
      </w:pPr>
      <w:r w:rsidRPr="00BC4B0E">
        <w:rPr>
          <w:rFonts w:cs="Times New Roman"/>
        </w:rPr>
        <w:t xml:space="preserve">To </w:t>
      </w:r>
      <w:r w:rsidR="00380C64">
        <w:rPr>
          <w:rFonts w:cs="Times New Roman"/>
        </w:rPr>
        <w:t>study</w:t>
      </w:r>
      <w:r w:rsidRPr="00BC4B0E">
        <w:rPr>
          <w:rFonts w:cs="Times New Roman"/>
        </w:rPr>
        <w:t xml:space="preserve"> the </w:t>
      </w:r>
      <w:r>
        <w:rPr>
          <w:rFonts w:cs="Times New Roman"/>
        </w:rPr>
        <w:t xml:space="preserve">evolution of </w:t>
      </w:r>
      <w:r w:rsidR="00380C64">
        <w:rPr>
          <w:rFonts w:cs="Times New Roman"/>
        </w:rPr>
        <w:t>regulatory guidance in shaping</w:t>
      </w:r>
      <w:r w:rsidR="00A372E8">
        <w:rPr>
          <w:rFonts w:cs="Times New Roman"/>
        </w:rPr>
        <w:t xml:space="preserve"> key</w:t>
      </w:r>
      <w:r w:rsidR="00380C64">
        <w:rPr>
          <w:rFonts w:cs="Times New Roman"/>
        </w:rPr>
        <w:t xml:space="preserve"> </w:t>
      </w:r>
      <w:r>
        <w:rPr>
          <w:rFonts w:cs="Times New Roman"/>
        </w:rPr>
        <w:t>dutyholder competency frameworks</w:t>
      </w:r>
      <w:r w:rsidRPr="00BC4B0E">
        <w:rPr>
          <w:rFonts w:cs="Times New Roman"/>
        </w:rPr>
        <w:t xml:space="preserve"> in the UK </w:t>
      </w:r>
      <w:r>
        <w:rPr>
          <w:rFonts w:cs="Times New Roman"/>
        </w:rPr>
        <w:t>c</w:t>
      </w:r>
      <w:r w:rsidRPr="00BC4B0E">
        <w:rPr>
          <w:rFonts w:cs="Times New Roman"/>
        </w:rPr>
        <w:t xml:space="preserve">onstruction </w:t>
      </w:r>
      <w:r>
        <w:rPr>
          <w:rFonts w:cs="Times New Roman"/>
        </w:rPr>
        <w:t>i</w:t>
      </w:r>
      <w:r w:rsidRPr="00BC4B0E">
        <w:rPr>
          <w:rFonts w:cs="Times New Roman"/>
        </w:rPr>
        <w:t xml:space="preserve">ndustry whilst providing recommendations for </w:t>
      </w:r>
      <w:r>
        <w:rPr>
          <w:rFonts w:cs="Times New Roman"/>
        </w:rPr>
        <w:t xml:space="preserve">long-term </w:t>
      </w:r>
      <w:r w:rsidR="00C019AE">
        <w:rPr>
          <w:rFonts w:cs="Times New Roman"/>
        </w:rPr>
        <w:t>success</w:t>
      </w:r>
      <w:r w:rsidRPr="00BC4B0E">
        <w:rPr>
          <w:rFonts w:cs="Times New Roman"/>
        </w:rPr>
        <w:t>.</w:t>
      </w:r>
    </w:p>
    <w:p w14:paraId="56C8FCD3" w14:textId="6B426359" w:rsidR="0062723F" w:rsidRPr="0076717F" w:rsidRDefault="0064790F" w:rsidP="00380C64">
      <w:pPr>
        <w:pStyle w:val="Heading2"/>
        <w:jc w:val="both"/>
        <w:rPr>
          <w:rFonts w:cs="Times New Roman"/>
          <w:b/>
          <w:bCs/>
          <w:color w:val="auto"/>
          <w:sz w:val="24"/>
          <w:szCs w:val="24"/>
        </w:rPr>
      </w:pPr>
      <w:bookmarkStart w:id="7" w:name="_Toc218947617"/>
      <w:r>
        <w:rPr>
          <w:rFonts w:cs="Times New Roman"/>
          <w:b/>
          <w:bCs/>
          <w:color w:val="auto"/>
          <w:sz w:val="24"/>
          <w:szCs w:val="24"/>
        </w:rPr>
        <w:t>1</w:t>
      </w:r>
      <w:r w:rsidR="00632578" w:rsidRPr="0076717F">
        <w:rPr>
          <w:rFonts w:cs="Times New Roman"/>
          <w:b/>
          <w:bCs/>
          <w:color w:val="auto"/>
          <w:sz w:val="24"/>
          <w:szCs w:val="24"/>
        </w:rPr>
        <w:t xml:space="preserve">.2 </w:t>
      </w:r>
      <w:r w:rsidR="00D62469" w:rsidRPr="0076717F">
        <w:rPr>
          <w:rFonts w:cs="Times New Roman"/>
          <w:b/>
          <w:bCs/>
          <w:color w:val="auto"/>
          <w:sz w:val="24"/>
          <w:szCs w:val="24"/>
        </w:rPr>
        <w:t>Objectives</w:t>
      </w:r>
      <w:bookmarkEnd w:id="7"/>
    </w:p>
    <w:p w14:paraId="2960A7EB" w14:textId="73F9224E" w:rsidR="003138C6" w:rsidRDefault="00D21CCB" w:rsidP="00380C64">
      <w:pPr>
        <w:pStyle w:val="ListParagraph"/>
        <w:numPr>
          <w:ilvl w:val="0"/>
          <w:numId w:val="23"/>
        </w:numPr>
        <w:spacing w:line="278" w:lineRule="auto"/>
        <w:jc w:val="both"/>
      </w:pPr>
      <w:r>
        <w:t xml:space="preserve">To </w:t>
      </w:r>
      <w:r w:rsidR="008C062F">
        <w:t>evaluate the effectiveness of the current regulatory framework in challenging the culture of indifference within the industry.</w:t>
      </w:r>
    </w:p>
    <w:p w14:paraId="5E01F4B2" w14:textId="2C899D91" w:rsidR="00DC6C0E" w:rsidRDefault="00D21CCB" w:rsidP="00380C64">
      <w:pPr>
        <w:pStyle w:val="ListParagraph"/>
        <w:numPr>
          <w:ilvl w:val="0"/>
          <w:numId w:val="23"/>
        </w:numPr>
        <w:spacing w:line="278" w:lineRule="auto"/>
        <w:jc w:val="both"/>
      </w:pPr>
      <w:r>
        <w:t xml:space="preserve">To </w:t>
      </w:r>
      <w:r w:rsidR="00DC6C0E">
        <w:t xml:space="preserve">evaluate the current regulatory framework for demonstrating competence of </w:t>
      </w:r>
      <w:r w:rsidR="00E56B73">
        <w:t xml:space="preserve">Principal </w:t>
      </w:r>
      <w:r w:rsidR="00DC6C0E">
        <w:t>Designers</w:t>
      </w:r>
      <w:r w:rsidR="00A372E8">
        <w:t>,</w:t>
      </w:r>
      <w:r w:rsidR="00DC6C0E">
        <w:t xml:space="preserve"> </w:t>
      </w:r>
      <w:r w:rsidR="00E56B73">
        <w:t xml:space="preserve">Principal </w:t>
      </w:r>
      <w:r w:rsidR="00DC6C0E">
        <w:t>Contractors</w:t>
      </w:r>
      <w:r w:rsidR="00A372E8">
        <w:t xml:space="preserve"> and Clients</w:t>
      </w:r>
      <w:r w:rsidR="00DC6C0E">
        <w:t>.</w:t>
      </w:r>
    </w:p>
    <w:p w14:paraId="31E0F14A" w14:textId="10F62352" w:rsidR="00DC6C0E" w:rsidRPr="00A36486" w:rsidRDefault="00D21CCB" w:rsidP="00380C64">
      <w:pPr>
        <w:pStyle w:val="ListParagraph"/>
        <w:numPr>
          <w:ilvl w:val="0"/>
          <w:numId w:val="23"/>
        </w:numPr>
        <w:spacing w:line="278" w:lineRule="auto"/>
        <w:jc w:val="both"/>
      </w:pPr>
      <w:r>
        <w:t>To examine</w:t>
      </w:r>
      <w:r w:rsidR="00DC6C0E">
        <w:t xml:space="preserve"> the methods of Continuous Professional Development</w:t>
      </w:r>
      <w:r w:rsidR="008C062F">
        <w:t xml:space="preserve"> (CPD)</w:t>
      </w:r>
      <w:r w:rsidR="00DC6C0E">
        <w:t xml:space="preserve"> to achieve an adaptive and competent industry for long-term growth.</w:t>
      </w:r>
    </w:p>
    <w:p w14:paraId="1D3763C9" w14:textId="5E4B30D9" w:rsidR="00E6727E" w:rsidRPr="00BC4B0E" w:rsidRDefault="00F526A7" w:rsidP="00380C64">
      <w:pPr>
        <w:spacing w:line="360" w:lineRule="auto"/>
        <w:jc w:val="both"/>
        <w:rPr>
          <w:rFonts w:cs="Times New Roman"/>
        </w:rPr>
      </w:pPr>
      <w:r w:rsidRPr="00D21CCB">
        <w:rPr>
          <w:rFonts w:cs="Times New Roman"/>
        </w:rPr>
        <w:t xml:space="preserve">The objectives above are chronologically ordered and will be </w:t>
      </w:r>
      <w:r w:rsidR="00380C64">
        <w:rPr>
          <w:rFonts w:cs="Times New Roman"/>
        </w:rPr>
        <w:t>investigated</w:t>
      </w:r>
      <w:r w:rsidRPr="00D21CCB">
        <w:rPr>
          <w:rFonts w:cs="Times New Roman"/>
        </w:rPr>
        <w:t xml:space="preserve"> accordingly. This will </w:t>
      </w:r>
      <w:r w:rsidR="00C0528C" w:rsidRPr="00D21CCB">
        <w:rPr>
          <w:rFonts w:cs="Times New Roman"/>
        </w:rPr>
        <w:t>allow</w:t>
      </w:r>
      <w:r w:rsidRPr="00D21CCB">
        <w:rPr>
          <w:rFonts w:cs="Times New Roman"/>
        </w:rPr>
        <w:t xml:space="preserve"> analysis of the</w:t>
      </w:r>
      <w:r w:rsidR="00E6727E" w:rsidRPr="00D21CCB">
        <w:rPr>
          <w:rFonts w:cs="Times New Roman"/>
        </w:rPr>
        <w:t xml:space="preserve"> </w:t>
      </w:r>
      <w:r w:rsidR="00380C64">
        <w:rPr>
          <w:rFonts w:cs="Times New Roman"/>
        </w:rPr>
        <w:t>below</w:t>
      </w:r>
      <w:r w:rsidR="00E6727E" w:rsidRPr="00D21CCB">
        <w:rPr>
          <w:rFonts w:cs="Times New Roman"/>
        </w:rPr>
        <w:t xml:space="preserve"> aspects </w:t>
      </w:r>
      <w:r w:rsidR="00C82DDE" w:rsidRPr="00D21CCB">
        <w:rPr>
          <w:rFonts w:cs="Times New Roman"/>
        </w:rPr>
        <w:t>to</w:t>
      </w:r>
      <w:r w:rsidR="00E6727E" w:rsidRPr="00D21CCB">
        <w:rPr>
          <w:rFonts w:cs="Times New Roman"/>
        </w:rPr>
        <w:t xml:space="preserve"> develop recommendations</w:t>
      </w:r>
      <w:r w:rsidR="00D21CCB" w:rsidRPr="00D21CCB">
        <w:rPr>
          <w:rFonts w:cs="Times New Roman"/>
        </w:rPr>
        <w:t xml:space="preserve"> </w:t>
      </w:r>
      <w:r w:rsidR="0046554B">
        <w:rPr>
          <w:rFonts w:cs="Times New Roman"/>
        </w:rPr>
        <w:t>for</w:t>
      </w:r>
      <w:r w:rsidR="00D21CCB" w:rsidRPr="00D21CCB">
        <w:rPr>
          <w:rFonts w:cs="Times New Roman"/>
        </w:rPr>
        <w:t xml:space="preserve"> further avenues of study</w:t>
      </w:r>
      <w:r w:rsidR="00E6727E" w:rsidRPr="00D21CCB">
        <w:rPr>
          <w:rFonts w:cs="Times New Roman"/>
        </w:rPr>
        <w:t>:</w:t>
      </w:r>
    </w:p>
    <w:p w14:paraId="13685D0B" w14:textId="2FB36B4F" w:rsidR="00E6727E" w:rsidRPr="00BC4B0E" w:rsidRDefault="003138C6" w:rsidP="00380C64">
      <w:pPr>
        <w:pStyle w:val="ListParagraph"/>
        <w:numPr>
          <w:ilvl w:val="0"/>
          <w:numId w:val="4"/>
        </w:numPr>
        <w:spacing w:line="360" w:lineRule="auto"/>
        <w:jc w:val="both"/>
        <w:rPr>
          <w:rFonts w:cs="Times New Roman"/>
        </w:rPr>
      </w:pPr>
      <w:r>
        <w:rPr>
          <w:rFonts w:cs="Times New Roman"/>
        </w:rPr>
        <w:t>The root cause</w:t>
      </w:r>
      <w:r w:rsidR="00E56B73">
        <w:rPr>
          <w:rFonts w:cs="Times New Roman"/>
        </w:rPr>
        <w:t xml:space="preserve"> of a culture of indifference</w:t>
      </w:r>
      <w:r w:rsidR="00D21CCB">
        <w:rPr>
          <w:rFonts w:cs="Times New Roman"/>
        </w:rPr>
        <w:t>.</w:t>
      </w:r>
    </w:p>
    <w:p w14:paraId="78E9EA9A" w14:textId="112891A4" w:rsidR="00E6727E" w:rsidRPr="00BC4B0E" w:rsidRDefault="00D21CCB" w:rsidP="00380C64">
      <w:pPr>
        <w:pStyle w:val="ListParagraph"/>
        <w:numPr>
          <w:ilvl w:val="0"/>
          <w:numId w:val="4"/>
        </w:numPr>
        <w:spacing w:line="360" w:lineRule="auto"/>
        <w:jc w:val="both"/>
        <w:rPr>
          <w:rFonts w:cs="Times New Roman"/>
        </w:rPr>
      </w:pPr>
      <w:r>
        <w:rPr>
          <w:rFonts w:cs="Times New Roman"/>
        </w:rPr>
        <w:t>The impact of the new competency measurement tools on higher risk buildings.</w:t>
      </w:r>
    </w:p>
    <w:p w14:paraId="5D1AAB6D" w14:textId="7F83727C" w:rsidR="006F0CA1" w:rsidRDefault="00D21CCB" w:rsidP="00380C64">
      <w:pPr>
        <w:pStyle w:val="ListParagraph"/>
        <w:numPr>
          <w:ilvl w:val="0"/>
          <w:numId w:val="4"/>
        </w:numPr>
        <w:spacing w:line="360" w:lineRule="auto"/>
        <w:jc w:val="both"/>
        <w:rPr>
          <w:rFonts w:cs="Times New Roman"/>
        </w:rPr>
      </w:pPr>
      <w:r>
        <w:rPr>
          <w:rFonts w:cs="Times New Roman"/>
        </w:rPr>
        <w:t xml:space="preserve">The </w:t>
      </w:r>
      <w:r w:rsidR="0046554B">
        <w:rPr>
          <w:rFonts w:cs="Times New Roman"/>
        </w:rPr>
        <w:t>exploitation</w:t>
      </w:r>
      <w:r>
        <w:rPr>
          <w:rFonts w:cs="Times New Roman"/>
        </w:rPr>
        <w:t xml:space="preserve"> of research gaps identified in </w:t>
      </w:r>
      <w:r w:rsidR="0046554B">
        <w:rPr>
          <w:rFonts w:cs="Times New Roman"/>
        </w:rPr>
        <w:t>existing</w:t>
      </w:r>
      <w:r>
        <w:rPr>
          <w:rFonts w:cs="Times New Roman"/>
        </w:rPr>
        <w:t xml:space="preserve"> </w:t>
      </w:r>
      <w:r w:rsidR="0046554B">
        <w:rPr>
          <w:rFonts w:cs="Times New Roman"/>
        </w:rPr>
        <w:t>literature interrogated.</w:t>
      </w:r>
    </w:p>
    <w:p w14:paraId="4C5EFFCC" w14:textId="70C4D3EF" w:rsidR="0046554B" w:rsidRPr="0076717F" w:rsidRDefault="0064790F" w:rsidP="0046554B">
      <w:pPr>
        <w:pStyle w:val="Heading2"/>
        <w:jc w:val="both"/>
        <w:rPr>
          <w:rFonts w:cs="Times New Roman"/>
          <w:b/>
          <w:bCs/>
          <w:color w:val="auto"/>
          <w:sz w:val="24"/>
          <w:szCs w:val="24"/>
        </w:rPr>
      </w:pPr>
      <w:bookmarkStart w:id="8" w:name="_Toc218947618"/>
      <w:r>
        <w:rPr>
          <w:rFonts w:cs="Times New Roman"/>
          <w:b/>
          <w:bCs/>
          <w:color w:val="auto"/>
          <w:sz w:val="24"/>
          <w:szCs w:val="24"/>
        </w:rPr>
        <w:t>1</w:t>
      </w:r>
      <w:r w:rsidR="0046554B" w:rsidRPr="0076717F">
        <w:rPr>
          <w:rFonts w:cs="Times New Roman"/>
          <w:b/>
          <w:bCs/>
          <w:color w:val="auto"/>
          <w:sz w:val="24"/>
          <w:szCs w:val="24"/>
        </w:rPr>
        <w:t>.</w:t>
      </w:r>
      <w:r w:rsidR="0046554B">
        <w:rPr>
          <w:rFonts w:cs="Times New Roman"/>
          <w:b/>
          <w:bCs/>
          <w:color w:val="auto"/>
          <w:sz w:val="24"/>
          <w:szCs w:val="24"/>
        </w:rPr>
        <w:t>3</w:t>
      </w:r>
      <w:r w:rsidR="0046554B" w:rsidRPr="0076717F">
        <w:rPr>
          <w:rFonts w:cs="Times New Roman"/>
          <w:b/>
          <w:bCs/>
          <w:color w:val="auto"/>
          <w:sz w:val="24"/>
          <w:szCs w:val="24"/>
        </w:rPr>
        <w:t xml:space="preserve"> </w:t>
      </w:r>
      <w:r w:rsidR="0046554B">
        <w:rPr>
          <w:rFonts w:cs="Times New Roman"/>
          <w:b/>
          <w:bCs/>
          <w:color w:val="auto"/>
          <w:sz w:val="24"/>
          <w:szCs w:val="24"/>
        </w:rPr>
        <w:t>Scope</w:t>
      </w:r>
      <w:bookmarkEnd w:id="8"/>
    </w:p>
    <w:p w14:paraId="2388F4F1" w14:textId="64D35C78" w:rsidR="008C062F" w:rsidRDefault="008C062F" w:rsidP="008C062F">
      <w:pPr>
        <w:spacing w:line="278" w:lineRule="auto"/>
        <w:jc w:val="both"/>
      </w:pPr>
      <w:r>
        <w:t xml:space="preserve">In order to satisfy the objectives of this study and to </w:t>
      </w:r>
      <w:r w:rsidR="000066EF">
        <w:t>uncover</w:t>
      </w:r>
      <w:r>
        <w:t xml:space="preserve"> meaningful research gaps, the scope of this literature review will be limited to the below:</w:t>
      </w:r>
    </w:p>
    <w:p w14:paraId="76DE52E0" w14:textId="77777777" w:rsidR="008C062F" w:rsidRDefault="008C062F" w:rsidP="008C062F">
      <w:pPr>
        <w:pStyle w:val="ListParagraph"/>
        <w:numPr>
          <w:ilvl w:val="0"/>
          <w:numId w:val="41"/>
        </w:numPr>
        <w:spacing w:line="278" w:lineRule="auto"/>
        <w:jc w:val="both"/>
      </w:pPr>
      <w:r>
        <w:t>To understand the evolution of regulations and supplementary guidance and their role in shaping current practices, attitudes and beliefs.</w:t>
      </w:r>
    </w:p>
    <w:p w14:paraId="75026085" w14:textId="737DD8C9" w:rsidR="008C062F" w:rsidRDefault="008C062F" w:rsidP="008C062F">
      <w:pPr>
        <w:pStyle w:val="ListParagraph"/>
        <w:numPr>
          <w:ilvl w:val="0"/>
          <w:numId w:val="41"/>
        </w:numPr>
        <w:spacing w:line="278" w:lineRule="auto"/>
        <w:jc w:val="both"/>
      </w:pPr>
      <w:r>
        <w:t xml:space="preserve">To investigate the tragedy of Grenfell Tower and associated literature exploiting key failures in the construction, design and management process that necessitated regulatory reform. </w:t>
      </w:r>
    </w:p>
    <w:p w14:paraId="3F075195" w14:textId="5B3AACC1" w:rsidR="0046554B" w:rsidRDefault="0046554B" w:rsidP="0046554B">
      <w:pPr>
        <w:pStyle w:val="ListParagraph"/>
        <w:numPr>
          <w:ilvl w:val="0"/>
          <w:numId w:val="41"/>
        </w:numPr>
        <w:spacing w:line="278" w:lineRule="auto"/>
        <w:jc w:val="both"/>
      </w:pPr>
      <w:r>
        <w:t>To cross-examine competency frameworks instilled by professional bodies for key dutyholders and perform comparative analysis against the core criterion within BS 8670.</w:t>
      </w:r>
    </w:p>
    <w:p w14:paraId="39269038" w14:textId="7D233461" w:rsidR="008C062F" w:rsidRDefault="008C062F" w:rsidP="0046554B">
      <w:pPr>
        <w:pStyle w:val="ListParagraph"/>
        <w:numPr>
          <w:ilvl w:val="0"/>
          <w:numId w:val="41"/>
        </w:numPr>
        <w:spacing w:line="278" w:lineRule="auto"/>
        <w:jc w:val="both"/>
      </w:pPr>
      <w:r>
        <w:t xml:space="preserve">To analyse the effectiveness of CPD programmes </w:t>
      </w:r>
      <w:r w:rsidR="000066EF">
        <w:t>in developing competency of individuals.</w:t>
      </w:r>
    </w:p>
    <w:p w14:paraId="1206D60C" w14:textId="4CD52C19" w:rsidR="000066EF" w:rsidRDefault="000066EF" w:rsidP="0046554B">
      <w:pPr>
        <w:pStyle w:val="ListParagraph"/>
        <w:numPr>
          <w:ilvl w:val="0"/>
          <w:numId w:val="41"/>
        </w:numPr>
        <w:spacing w:line="278" w:lineRule="auto"/>
        <w:jc w:val="both"/>
      </w:pPr>
      <w:r>
        <w:t xml:space="preserve">To limit the study of literature to government publications and consultations, </w:t>
      </w:r>
      <w:r w:rsidR="00580222">
        <w:t xml:space="preserve">legal publications, </w:t>
      </w:r>
      <w:r>
        <w:t>professional body publications and competency frameworks, statutory and supplementary guidance, and academic peer reviewed journals and articles.</w:t>
      </w:r>
    </w:p>
    <w:p w14:paraId="70E42BCD" w14:textId="39AAECB6" w:rsidR="000066EF" w:rsidRDefault="000066EF" w:rsidP="000066EF">
      <w:pPr>
        <w:pStyle w:val="ListParagraph"/>
        <w:numPr>
          <w:ilvl w:val="0"/>
          <w:numId w:val="41"/>
        </w:numPr>
        <w:spacing w:line="278" w:lineRule="auto"/>
        <w:jc w:val="both"/>
      </w:pPr>
      <w:r>
        <w:t>To consult literature no greater than 10 years in age to ensure relevance to current application.</w:t>
      </w:r>
    </w:p>
    <w:p w14:paraId="3177FE61" w14:textId="77777777" w:rsidR="0046554B" w:rsidRDefault="0046554B" w:rsidP="0046554B">
      <w:pPr>
        <w:spacing w:line="360" w:lineRule="auto"/>
        <w:jc w:val="both"/>
        <w:rPr>
          <w:rFonts w:cs="Times New Roman"/>
        </w:rPr>
      </w:pPr>
    </w:p>
    <w:p w14:paraId="7E1E745E" w14:textId="77777777" w:rsidR="008C062F" w:rsidRPr="0046554B" w:rsidRDefault="008C062F" w:rsidP="0046554B">
      <w:pPr>
        <w:spacing w:line="360" w:lineRule="auto"/>
        <w:jc w:val="both"/>
        <w:rPr>
          <w:rFonts w:cs="Times New Roman"/>
        </w:rPr>
      </w:pPr>
    </w:p>
    <w:p w14:paraId="1A7DE2E6" w14:textId="010C82B6" w:rsidR="00D62731" w:rsidRPr="00BC4B0E" w:rsidRDefault="0064790F" w:rsidP="00380C64">
      <w:pPr>
        <w:pStyle w:val="Heading1"/>
        <w:jc w:val="both"/>
        <w:rPr>
          <w:rFonts w:cs="Times New Roman"/>
          <w:b/>
          <w:bCs/>
          <w:color w:val="auto"/>
          <w:sz w:val="28"/>
          <w:szCs w:val="28"/>
        </w:rPr>
      </w:pPr>
      <w:bookmarkStart w:id="9" w:name="_Toc218947619"/>
      <w:r>
        <w:rPr>
          <w:rFonts w:cs="Times New Roman"/>
          <w:b/>
          <w:bCs/>
          <w:color w:val="auto"/>
          <w:sz w:val="28"/>
          <w:szCs w:val="28"/>
        </w:rPr>
        <w:lastRenderedPageBreak/>
        <w:t>2</w:t>
      </w:r>
      <w:r w:rsidR="00D62731" w:rsidRPr="00BC4B0E">
        <w:rPr>
          <w:rFonts w:cs="Times New Roman"/>
          <w:b/>
          <w:bCs/>
          <w:color w:val="auto"/>
          <w:sz w:val="28"/>
          <w:szCs w:val="28"/>
        </w:rPr>
        <w:t>.0 Literature Review</w:t>
      </w:r>
      <w:bookmarkEnd w:id="9"/>
    </w:p>
    <w:p w14:paraId="1FD70993" w14:textId="71716229" w:rsidR="00D62731" w:rsidRPr="00DB2118" w:rsidRDefault="0064790F" w:rsidP="00380C64">
      <w:pPr>
        <w:pStyle w:val="Heading2"/>
        <w:jc w:val="both"/>
        <w:rPr>
          <w:rFonts w:cs="Times New Roman"/>
          <w:b/>
          <w:bCs/>
          <w:color w:val="auto"/>
          <w:sz w:val="24"/>
          <w:szCs w:val="24"/>
        </w:rPr>
      </w:pPr>
      <w:bookmarkStart w:id="10" w:name="_Toc218947620"/>
      <w:r>
        <w:rPr>
          <w:rFonts w:cs="Times New Roman"/>
          <w:b/>
          <w:bCs/>
          <w:color w:val="auto"/>
          <w:sz w:val="24"/>
          <w:szCs w:val="24"/>
        </w:rPr>
        <w:t>2</w:t>
      </w:r>
      <w:r w:rsidR="00D62731" w:rsidRPr="00DB2118">
        <w:rPr>
          <w:rFonts w:cs="Times New Roman"/>
          <w:b/>
          <w:bCs/>
          <w:color w:val="auto"/>
          <w:sz w:val="24"/>
          <w:szCs w:val="24"/>
        </w:rPr>
        <w:t xml:space="preserve">.1 </w:t>
      </w:r>
      <w:r w:rsidR="00D9412D" w:rsidRPr="00DB2118">
        <w:rPr>
          <w:rFonts w:cs="Times New Roman"/>
          <w:b/>
          <w:bCs/>
          <w:color w:val="auto"/>
          <w:sz w:val="24"/>
          <w:szCs w:val="24"/>
        </w:rPr>
        <w:t>Overview</w:t>
      </w:r>
      <w:bookmarkEnd w:id="10"/>
    </w:p>
    <w:p w14:paraId="362EC594" w14:textId="03D41221" w:rsidR="00D9412D" w:rsidRPr="00BC4B0E" w:rsidRDefault="004849B5" w:rsidP="00380C64">
      <w:pPr>
        <w:spacing w:line="360" w:lineRule="auto"/>
        <w:jc w:val="both"/>
        <w:rPr>
          <w:rFonts w:cs="Times New Roman"/>
        </w:rPr>
      </w:pPr>
      <w:r w:rsidRPr="00BC4B0E">
        <w:rPr>
          <w:rFonts w:cs="Times New Roman"/>
        </w:rPr>
        <w:t xml:space="preserve">There </w:t>
      </w:r>
      <w:r>
        <w:rPr>
          <w:rFonts w:cs="Times New Roman"/>
        </w:rPr>
        <w:t>is a detailed account of historical tragedies, policy enactments, and</w:t>
      </w:r>
      <w:r w:rsidRPr="00BC4B0E">
        <w:rPr>
          <w:rFonts w:cs="Times New Roman"/>
        </w:rPr>
        <w:t xml:space="preserve"> consultations that have led to </w:t>
      </w:r>
      <w:r>
        <w:rPr>
          <w:rFonts w:cs="Times New Roman"/>
        </w:rPr>
        <w:t xml:space="preserve">the changes </w:t>
      </w:r>
      <w:r w:rsidR="00BA32F2">
        <w:rPr>
          <w:rFonts w:cs="Times New Roman"/>
        </w:rPr>
        <w:t>of</w:t>
      </w:r>
      <w:r>
        <w:rPr>
          <w:rFonts w:cs="Times New Roman"/>
        </w:rPr>
        <w:t xml:space="preserve"> competency frameworks in the UK construction industry</w:t>
      </w:r>
      <w:r w:rsidRPr="00BC4B0E">
        <w:rPr>
          <w:rFonts w:cs="Times New Roman"/>
        </w:rPr>
        <w:t xml:space="preserve">. </w:t>
      </w:r>
      <w:r>
        <w:rPr>
          <w:rFonts w:cs="Times New Roman"/>
        </w:rPr>
        <w:t>Nonetheless</w:t>
      </w:r>
      <w:r w:rsidRPr="00BC4B0E">
        <w:rPr>
          <w:rFonts w:cs="Times New Roman"/>
        </w:rPr>
        <w:t xml:space="preserve">, </w:t>
      </w:r>
      <w:r>
        <w:rPr>
          <w:rFonts w:cs="Times New Roman"/>
        </w:rPr>
        <w:t xml:space="preserve">the appropriateness of the current framework directly influences the trajectory of the industry’s </w:t>
      </w:r>
      <w:r w:rsidR="00BA32F2">
        <w:rPr>
          <w:rFonts w:cs="Times New Roman"/>
        </w:rPr>
        <w:t>ability</w:t>
      </w:r>
      <w:r>
        <w:rPr>
          <w:rFonts w:cs="Times New Roman"/>
        </w:rPr>
        <w:t xml:space="preserve"> </w:t>
      </w:r>
      <w:r w:rsidR="00BA32F2">
        <w:rPr>
          <w:rFonts w:cs="Times New Roman"/>
        </w:rPr>
        <w:t xml:space="preserve">to </w:t>
      </w:r>
      <w:r w:rsidR="00526DDB">
        <w:rPr>
          <w:rFonts w:cs="Times New Roman"/>
        </w:rPr>
        <w:t>adapt and grow</w:t>
      </w:r>
      <w:r>
        <w:rPr>
          <w:rFonts w:cs="Times New Roman"/>
        </w:rPr>
        <w:t>.</w:t>
      </w:r>
      <w:r w:rsidRPr="00BC4B0E">
        <w:rPr>
          <w:rFonts w:cs="Times New Roman"/>
        </w:rPr>
        <w:t xml:space="preserve"> Hence, the aim of this review is to </w:t>
      </w:r>
      <w:r>
        <w:rPr>
          <w:rFonts w:cs="Times New Roman"/>
        </w:rPr>
        <w:t xml:space="preserve">scrutinise </w:t>
      </w:r>
      <w:r w:rsidRPr="00BC4B0E">
        <w:rPr>
          <w:rFonts w:cs="Times New Roman"/>
        </w:rPr>
        <w:t xml:space="preserve">and disseminate existing literature </w:t>
      </w:r>
      <w:r w:rsidR="00526DDB">
        <w:rPr>
          <w:rFonts w:cs="Times New Roman"/>
        </w:rPr>
        <w:t>and</w:t>
      </w:r>
      <w:r w:rsidRPr="00BC4B0E">
        <w:rPr>
          <w:rFonts w:cs="Times New Roman"/>
        </w:rPr>
        <w:t xml:space="preserve"> shed light on these </w:t>
      </w:r>
      <w:r w:rsidR="00526DDB">
        <w:rPr>
          <w:rFonts w:cs="Times New Roman"/>
        </w:rPr>
        <w:t xml:space="preserve">existing </w:t>
      </w:r>
      <w:r w:rsidRPr="00BC4B0E">
        <w:rPr>
          <w:rFonts w:cs="Times New Roman"/>
        </w:rPr>
        <w:t>research gaps.</w:t>
      </w:r>
      <w:r>
        <w:rPr>
          <w:rFonts w:cs="Times New Roman"/>
        </w:rPr>
        <w:t xml:space="preserve"> This </w:t>
      </w:r>
      <w:r w:rsidR="00526DDB">
        <w:rPr>
          <w:rFonts w:cs="Times New Roman"/>
        </w:rPr>
        <w:t>permits</w:t>
      </w:r>
      <w:r>
        <w:rPr>
          <w:rFonts w:cs="Times New Roman"/>
        </w:rPr>
        <w:t xml:space="preserve"> </w:t>
      </w:r>
      <w:r w:rsidR="00E35311" w:rsidRPr="00E35311">
        <w:rPr>
          <w:rFonts w:cs="Times New Roman"/>
        </w:rPr>
        <w:t>further avenues of study and recommendations</w:t>
      </w:r>
      <w:r w:rsidR="00526DDB">
        <w:rPr>
          <w:rFonts w:cs="Times New Roman"/>
        </w:rPr>
        <w:t xml:space="preserve"> to be presented</w:t>
      </w:r>
      <w:r w:rsidR="00E35311" w:rsidRPr="00E35311">
        <w:rPr>
          <w:rFonts w:cs="Times New Roman"/>
        </w:rPr>
        <w:t xml:space="preserve"> for the industry to consider</w:t>
      </w:r>
      <w:r w:rsidR="00E35311">
        <w:rPr>
          <w:rFonts w:cs="Times New Roman"/>
        </w:rPr>
        <w:t>.</w:t>
      </w:r>
    </w:p>
    <w:p w14:paraId="0D14273C" w14:textId="2C78C420" w:rsidR="00D26DAA" w:rsidRPr="00DB2118" w:rsidRDefault="0064790F" w:rsidP="00380C64">
      <w:pPr>
        <w:pStyle w:val="Heading2"/>
        <w:jc w:val="both"/>
        <w:rPr>
          <w:rFonts w:cs="Times New Roman"/>
          <w:b/>
          <w:bCs/>
          <w:color w:val="auto"/>
          <w:sz w:val="24"/>
          <w:szCs w:val="24"/>
        </w:rPr>
      </w:pPr>
      <w:bookmarkStart w:id="11" w:name="_Toc218947621"/>
      <w:r>
        <w:rPr>
          <w:rFonts w:cs="Times New Roman"/>
          <w:b/>
          <w:bCs/>
          <w:color w:val="auto"/>
          <w:sz w:val="24"/>
          <w:szCs w:val="24"/>
        </w:rPr>
        <w:t>2</w:t>
      </w:r>
      <w:r w:rsidR="00332B7A" w:rsidRPr="00DB2118">
        <w:rPr>
          <w:rFonts w:cs="Times New Roman"/>
          <w:b/>
          <w:bCs/>
          <w:color w:val="auto"/>
          <w:sz w:val="24"/>
          <w:szCs w:val="24"/>
        </w:rPr>
        <w:t xml:space="preserve">.2 </w:t>
      </w:r>
      <w:r w:rsidR="00C019AE">
        <w:rPr>
          <w:rFonts w:cs="Times New Roman"/>
          <w:b/>
          <w:bCs/>
          <w:color w:val="auto"/>
          <w:sz w:val="24"/>
          <w:szCs w:val="24"/>
        </w:rPr>
        <w:t xml:space="preserve">Evolution of </w:t>
      </w:r>
      <w:r w:rsidR="00BB4992">
        <w:rPr>
          <w:rFonts w:cs="Times New Roman"/>
          <w:b/>
          <w:bCs/>
          <w:color w:val="auto"/>
          <w:sz w:val="24"/>
          <w:szCs w:val="24"/>
        </w:rPr>
        <w:t>Regulatory</w:t>
      </w:r>
      <w:r w:rsidR="00C019AE">
        <w:rPr>
          <w:rFonts w:cs="Times New Roman"/>
          <w:b/>
          <w:bCs/>
          <w:color w:val="auto"/>
          <w:sz w:val="24"/>
          <w:szCs w:val="24"/>
        </w:rPr>
        <w:t xml:space="preserve"> Framework</w:t>
      </w:r>
      <w:bookmarkEnd w:id="11"/>
    </w:p>
    <w:p w14:paraId="54F8E914" w14:textId="5CD96F6E" w:rsidR="00147B90" w:rsidRPr="00DB2118" w:rsidRDefault="0064790F" w:rsidP="00380C64">
      <w:pPr>
        <w:pStyle w:val="Heading3"/>
        <w:jc w:val="both"/>
        <w:rPr>
          <w:rFonts w:cs="Times New Roman"/>
          <w:b/>
          <w:bCs/>
          <w:color w:val="auto"/>
          <w:sz w:val="22"/>
          <w:szCs w:val="22"/>
        </w:rPr>
      </w:pPr>
      <w:bookmarkStart w:id="12" w:name="_Toc218947622"/>
      <w:r>
        <w:rPr>
          <w:rFonts w:cs="Times New Roman"/>
          <w:b/>
          <w:bCs/>
          <w:color w:val="auto"/>
          <w:sz w:val="22"/>
          <w:szCs w:val="22"/>
        </w:rPr>
        <w:t>2</w:t>
      </w:r>
      <w:r w:rsidR="008331E7" w:rsidRPr="00DB2118">
        <w:rPr>
          <w:rFonts w:cs="Times New Roman"/>
          <w:b/>
          <w:bCs/>
          <w:color w:val="auto"/>
          <w:sz w:val="22"/>
          <w:szCs w:val="22"/>
        </w:rPr>
        <w:t xml:space="preserve">.2.1 </w:t>
      </w:r>
      <w:r w:rsidR="00C019AE">
        <w:rPr>
          <w:rFonts w:cs="Times New Roman"/>
          <w:b/>
          <w:bCs/>
          <w:color w:val="auto"/>
          <w:sz w:val="22"/>
          <w:szCs w:val="22"/>
        </w:rPr>
        <w:t>Regulatory Reform</w:t>
      </w:r>
      <w:r w:rsidR="00D9093B">
        <w:rPr>
          <w:rFonts w:cs="Times New Roman"/>
          <w:b/>
          <w:bCs/>
          <w:color w:val="auto"/>
          <w:sz w:val="22"/>
          <w:szCs w:val="22"/>
        </w:rPr>
        <w:t xml:space="preserve"> &amp; Building Standards</w:t>
      </w:r>
      <w:bookmarkEnd w:id="12"/>
    </w:p>
    <w:p w14:paraId="3F253F18" w14:textId="5ADFEF00" w:rsidR="002221E1" w:rsidRDefault="002221E1" w:rsidP="00380C64">
      <w:pPr>
        <w:spacing w:line="360" w:lineRule="auto"/>
        <w:jc w:val="both"/>
        <w:rPr>
          <w:rFonts w:cs="Times New Roman"/>
        </w:rPr>
      </w:pPr>
      <w:r>
        <w:rPr>
          <w:rFonts w:cs="Times New Roman"/>
        </w:rPr>
        <w:t>The Building Act was established in 1984 to provide a comprehensive framework for satisfying building design and construction parameters. This informed the development of prescriptive guidance in the form of Approved Documents</w:t>
      </w:r>
      <w:r w:rsidR="00D7301B">
        <w:rPr>
          <w:rFonts w:cs="Times New Roman"/>
        </w:rPr>
        <w:t xml:space="preserve"> supported by supplementary</w:t>
      </w:r>
      <w:r>
        <w:rPr>
          <w:rFonts w:cs="Times New Roman"/>
        </w:rPr>
        <w:t xml:space="preserve"> British and European Standards</w:t>
      </w:r>
      <w:r w:rsidR="00D7301B">
        <w:rPr>
          <w:rFonts w:cs="Times New Roman"/>
        </w:rPr>
        <w:t xml:space="preserve"> </w:t>
      </w:r>
      <w:r>
        <w:rPr>
          <w:rFonts w:cs="Times New Roman"/>
        </w:rPr>
        <w:t>to help inform designers</w:t>
      </w:r>
      <w:r w:rsidR="00D9093B">
        <w:rPr>
          <w:rFonts w:cs="Times New Roman"/>
        </w:rPr>
        <w:t xml:space="preserve"> and contractors on safe and established methods of construction.</w:t>
      </w:r>
    </w:p>
    <w:p w14:paraId="765F3720" w14:textId="68E68BA0" w:rsidR="00A12B90" w:rsidRDefault="002221E1" w:rsidP="00380C64">
      <w:pPr>
        <w:spacing w:line="360" w:lineRule="auto"/>
        <w:jc w:val="both"/>
        <w:rPr>
          <w:rFonts w:cs="Times New Roman"/>
        </w:rPr>
      </w:pPr>
      <w:r>
        <w:rPr>
          <w:rFonts w:cs="Times New Roman"/>
        </w:rPr>
        <w:t>The Construction Design &amp; Management</w:t>
      </w:r>
      <w:r w:rsidR="007A5DCF">
        <w:rPr>
          <w:rFonts w:cs="Times New Roman"/>
        </w:rPr>
        <w:t xml:space="preserve"> (CDM)</w:t>
      </w:r>
      <w:r>
        <w:rPr>
          <w:rFonts w:cs="Times New Roman"/>
        </w:rPr>
        <w:t xml:space="preserve"> Regulations were established in 1994 to identify key dutyholders responsible in satisfying health and safety standards and management tools to mitigate risks during construction</w:t>
      </w:r>
      <w:r w:rsidR="00D9093B">
        <w:rPr>
          <w:rFonts w:cs="Times New Roman"/>
        </w:rPr>
        <w:t xml:space="preserve"> (HM Government, 2015)</w:t>
      </w:r>
      <w:r>
        <w:rPr>
          <w:rFonts w:cs="Times New Roman"/>
        </w:rPr>
        <w:t xml:space="preserve">. </w:t>
      </w:r>
      <w:r w:rsidR="00A12B90">
        <w:rPr>
          <w:rFonts w:cs="Times New Roman"/>
        </w:rPr>
        <w:t>This was supported by means of key literature to mitigate construction design-related risks e.g., in lifting operations, working in confined spaces, and working at height. The split of dutyholders is summarised as below:</w:t>
      </w:r>
    </w:p>
    <w:p w14:paraId="6FAC826D" w14:textId="43E5FB76" w:rsidR="00A12B90" w:rsidRPr="00A12B90" w:rsidRDefault="00A12B90" w:rsidP="00380C64">
      <w:pPr>
        <w:spacing w:line="360" w:lineRule="auto"/>
        <w:jc w:val="both"/>
        <w:rPr>
          <w:rFonts w:cs="Times New Roman"/>
          <w:b/>
          <w:bCs/>
        </w:rPr>
      </w:pPr>
      <w:r w:rsidRPr="00A12B90">
        <w:rPr>
          <w:rFonts w:cs="Times New Roman"/>
          <w:b/>
          <w:bCs/>
        </w:rPr>
        <w:t>Key Dutyholders</w:t>
      </w:r>
    </w:p>
    <w:p w14:paraId="2A8EDEF6" w14:textId="3177DF63" w:rsidR="00A12B90" w:rsidRPr="00A12B90" w:rsidRDefault="00A12B90" w:rsidP="00A12B90">
      <w:pPr>
        <w:pStyle w:val="NoSpacing"/>
        <w:numPr>
          <w:ilvl w:val="0"/>
          <w:numId w:val="31"/>
        </w:numPr>
      </w:pPr>
      <w:r w:rsidRPr="00A12B90">
        <w:t>Client</w:t>
      </w:r>
    </w:p>
    <w:p w14:paraId="4851565F" w14:textId="159B9428" w:rsidR="00A12B90" w:rsidRPr="00A12B90" w:rsidRDefault="00A12B90" w:rsidP="00A12B90">
      <w:pPr>
        <w:pStyle w:val="NoSpacing"/>
        <w:numPr>
          <w:ilvl w:val="0"/>
          <w:numId w:val="31"/>
        </w:numPr>
      </w:pPr>
      <w:r w:rsidRPr="00A12B90">
        <w:t>Principal Contractor</w:t>
      </w:r>
    </w:p>
    <w:p w14:paraId="2A7F8913" w14:textId="4435D1C3" w:rsidR="00A12B90" w:rsidRPr="00A12B90" w:rsidRDefault="00A12B90" w:rsidP="006829C0">
      <w:pPr>
        <w:pStyle w:val="NoSpacing"/>
        <w:numPr>
          <w:ilvl w:val="0"/>
          <w:numId w:val="31"/>
        </w:numPr>
      </w:pPr>
      <w:r w:rsidRPr="00A12B90">
        <w:t>Principal Designer</w:t>
      </w:r>
    </w:p>
    <w:p w14:paraId="62378251" w14:textId="3A393EA7" w:rsidR="00A12B90" w:rsidRPr="00A12B90" w:rsidRDefault="00A12B90" w:rsidP="00A12B90">
      <w:pPr>
        <w:pStyle w:val="NoSpacing"/>
        <w:numPr>
          <w:ilvl w:val="0"/>
          <w:numId w:val="30"/>
        </w:numPr>
      </w:pPr>
      <w:r w:rsidRPr="00A12B90">
        <w:t>Designer</w:t>
      </w:r>
      <w:r>
        <w:t>s</w:t>
      </w:r>
    </w:p>
    <w:p w14:paraId="79AB8037" w14:textId="7AF9E5CA" w:rsidR="00A12B90" w:rsidRPr="00A12B90" w:rsidRDefault="00A12B90" w:rsidP="00A12B90">
      <w:pPr>
        <w:pStyle w:val="NoSpacing"/>
        <w:numPr>
          <w:ilvl w:val="0"/>
          <w:numId w:val="30"/>
        </w:numPr>
      </w:pPr>
      <w:r w:rsidRPr="00A12B90">
        <w:t>Contractor</w:t>
      </w:r>
      <w:r>
        <w:t>s</w:t>
      </w:r>
    </w:p>
    <w:p w14:paraId="1F6BE976" w14:textId="77777777" w:rsidR="00A12B90" w:rsidRPr="00A12B90" w:rsidRDefault="00A12B90" w:rsidP="00380C64">
      <w:pPr>
        <w:spacing w:line="360" w:lineRule="auto"/>
        <w:jc w:val="both"/>
        <w:rPr>
          <w:rFonts w:cs="Times New Roman"/>
          <w:sz w:val="8"/>
          <w:szCs w:val="8"/>
        </w:rPr>
      </w:pPr>
    </w:p>
    <w:p w14:paraId="184C3808" w14:textId="3704D5E6" w:rsidR="00D7301B" w:rsidRDefault="00493C3A" w:rsidP="00380C64">
      <w:pPr>
        <w:spacing w:line="360" w:lineRule="auto"/>
        <w:jc w:val="both"/>
        <w:rPr>
          <w:rFonts w:cs="Times New Roman"/>
        </w:rPr>
      </w:pPr>
      <w:r>
        <w:rPr>
          <w:rFonts w:cs="Times New Roman"/>
        </w:rPr>
        <w:t xml:space="preserve">However, </w:t>
      </w:r>
      <w:r w:rsidR="00A17F21">
        <w:rPr>
          <w:rFonts w:cs="Times New Roman"/>
        </w:rPr>
        <w:t>Izam et. al (2020) delineates that frameworks to support</w:t>
      </w:r>
      <w:r w:rsidR="00A12B90">
        <w:rPr>
          <w:rFonts w:cs="Times New Roman"/>
        </w:rPr>
        <w:t xml:space="preserve"> collaboration between dutyholders, </w:t>
      </w:r>
      <w:r w:rsidR="00526DDB">
        <w:rPr>
          <w:rFonts w:cs="Times New Roman"/>
        </w:rPr>
        <w:t xml:space="preserve">a </w:t>
      </w:r>
      <w:r w:rsidR="00A12B90">
        <w:rPr>
          <w:rFonts w:cs="Times New Roman"/>
        </w:rPr>
        <w:t>shared responsibility</w:t>
      </w:r>
      <w:r w:rsidR="00526DDB">
        <w:rPr>
          <w:rFonts w:cs="Times New Roman"/>
        </w:rPr>
        <w:t xml:space="preserve"> ethos</w:t>
      </w:r>
      <w:r w:rsidR="00A12B90">
        <w:rPr>
          <w:rFonts w:cs="Times New Roman"/>
        </w:rPr>
        <w:t>,</w:t>
      </w:r>
      <w:r w:rsidR="00A17F21">
        <w:rPr>
          <w:rFonts w:cs="Times New Roman"/>
        </w:rPr>
        <w:t xml:space="preserve"> </w:t>
      </w:r>
      <w:r w:rsidR="007A5DCF">
        <w:rPr>
          <w:rFonts w:cs="Times New Roman"/>
        </w:rPr>
        <w:t>occupational health and safety</w:t>
      </w:r>
      <w:r w:rsidR="00A12B90">
        <w:rPr>
          <w:rFonts w:cs="Times New Roman"/>
        </w:rPr>
        <w:t>,</w:t>
      </w:r>
      <w:r w:rsidR="007A5DCF">
        <w:rPr>
          <w:rFonts w:cs="Times New Roman"/>
        </w:rPr>
        <w:t xml:space="preserve"> and </w:t>
      </w:r>
      <w:r w:rsidR="00A17F21">
        <w:rPr>
          <w:rFonts w:cs="Times New Roman"/>
        </w:rPr>
        <w:t>prevention through design have not been considered</w:t>
      </w:r>
      <w:r w:rsidR="007A5DCF">
        <w:rPr>
          <w:rFonts w:cs="Times New Roman"/>
        </w:rPr>
        <w:t xml:space="preserve"> in regulation</w:t>
      </w:r>
      <w:r w:rsidR="00A17F21">
        <w:rPr>
          <w:rFonts w:cs="Times New Roman"/>
        </w:rPr>
        <w:t xml:space="preserve">. The paper presented identifies significant gaps in </w:t>
      </w:r>
      <w:r w:rsidR="007A5DCF">
        <w:rPr>
          <w:rFonts w:cs="Times New Roman"/>
        </w:rPr>
        <w:t xml:space="preserve">the Building Act and CDM </w:t>
      </w:r>
      <w:r w:rsidR="00A17F21">
        <w:rPr>
          <w:rFonts w:cs="Times New Roman"/>
        </w:rPr>
        <w:t xml:space="preserve">legislation </w:t>
      </w:r>
      <w:r w:rsidR="00A12B90">
        <w:rPr>
          <w:rFonts w:cs="Times New Roman"/>
        </w:rPr>
        <w:t>in this regard</w:t>
      </w:r>
      <w:r w:rsidR="007A5DCF">
        <w:rPr>
          <w:rFonts w:cs="Times New Roman"/>
        </w:rPr>
        <w:t xml:space="preserve">. This </w:t>
      </w:r>
      <w:r w:rsidR="00380C64">
        <w:rPr>
          <w:rFonts w:cs="Times New Roman"/>
        </w:rPr>
        <w:t>paper argues that there is</w:t>
      </w:r>
      <w:r w:rsidR="00A17F21">
        <w:rPr>
          <w:rFonts w:cs="Times New Roman"/>
        </w:rPr>
        <w:t xml:space="preserve"> a lack of </w:t>
      </w:r>
      <w:r w:rsidR="007A5DCF">
        <w:rPr>
          <w:rFonts w:cs="Times New Roman"/>
        </w:rPr>
        <w:t>acknowledgement</w:t>
      </w:r>
      <w:r w:rsidR="00A17F21">
        <w:rPr>
          <w:rFonts w:cs="Times New Roman"/>
        </w:rPr>
        <w:t xml:space="preserve"> of the end-user, </w:t>
      </w:r>
      <w:r w:rsidR="007A5DCF">
        <w:rPr>
          <w:rFonts w:cs="Times New Roman"/>
        </w:rPr>
        <w:t xml:space="preserve">a </w:t>
      </w:r>
      <w:r w:rsidR="00A17F21">
        <w:rPr>
          <w:rFonts w:cs="Times New Roman"/>
        </w:rPr>
        <w:t xml:space="preserve">lack of </w:t>
      </w:r>
      <w:r w:rsidR="007A5DCF">
        <w:rPr>
          <w:rFonts w:cs="Times New Roman"/>
        </w:rPr>
        <w:t>designer</w:t>
      </w:r>
      <w:r w:rsidR="00A12B90">
        <w:rPr>
          <w:rFonts w:cs="Times New Roman"/>
        </w:rPr>
        <w:t xml:space="preserve"> and contractor</w:t>
      </w:r>
      <w:r w:rsidR="007A5DCF">
        <w:rPr>
          <w:rFonts w:cs="Times New Roman"/>
        </w:rPr>
        <w:t xml:space="preserve"> </w:t>
      </w:r>
      <w:r w:rsidR="00A17F21">
        <w:rPr>
          <w:rFonts w:cs="Times New Roman"/>
        </w:rPr>
        <w:t xml:space="preserve">exposure </w:t>
      </w:r>
      <w:r w:rsidR="00380C64">
        <w:rPr>
          <w:rFonts w:cs="Times New Roman"/>
        </w:rPr>
        <w:t>to</w:t>
      </w:r>
      <w:r w:rsidR="007A5DCF">
        <w:rPr>
          <w:rFonts w:cs="Times New Roman"/>
        </w:rPr>
        <w:t xml:space="preserve"> proactive risk management</w:t>
      </w:r>
      <w:r w:rsidR="00A17F21">
        <w:rPr>
          <w:rFonts w:cs="Times New Roman"/>
        </w:rPr>
        <w:t>, and an overreliance on regulation</w:t>
      </w:r>
      <w:r w:rsidR="007A5DCF">
        <w:rPr>
          <w:rFonts w:cs="Times New Roman"/>
        </w:rPr>
        <w:t xml:space="preserve"> prescription</w:t>
      </w:r>
      <w:r w:rsidR="00A17F21">
        <w:rPr>
          <w:rFonts w:cs="Times New Roman"/>
        </w:rPr>
        <w:t xml:space="preserve"> over</w:t>
      </w:r>
      <w:r w:rsidR="007A5DCF">
        <w:rPr>
          <w:rFonts w:cs="Times New Roman"/>
        </w:rPr>
        <w:t xml:space="preserve"> interrogation of</w:t>
      </w:r>
      <w:r w:rsidR="00A17F21">
        <w:rPr>
          <w:rFonts w:cs="Times New Roman"/>
        </w:rPr>
        <w:t xml:space="preserve"> supplementary codes of practice.</w:t>
      </w:r>
    </w:p>
    <w:p w14:paraId="08B6B6C9" w14:textId="7CD96F00" w:rsidR="00D7301B" w:rsidRDefault="00D7301B" w:rsidP="00380C64">
      <w:pPr>
        <w:spacing w:line="360" w:lineRule="auto"/>
        <w:jc w:val="both"/>
        <w:rPr>
          <w:rFonts w:cs="Times New Roman"/>
        </w:rPr>
      </w:pPr>
      <w:r>
        <w:rPr>
          <w:rFonts w:cs="Times New Roman"/>
        </w:rPr>
        <w:lastRenderedPageBreak/>
        <w:t>Yet</w:t>
      </w:r>
      <w:r w:rsidR="00D9093B">
        <w:rPr>
          <w:rFonts w:cs="Times New Roman"/>
        </w:rPr>
        <w:t xml:space="preserve">, this paper does not consider </w:t>
      </w:r>
      <w:r>
        <w:rPr>
          <w:rFonts w:cs="Times New Roman"/>
        </w:rPr>
        <w:t xml:space="preserve">the purpose of specific Approved Documents such as </w:t>
      </w:r>
      <w:r w:rsidR="009C0BBC">
        <w:rPr>
          <w:rFonts w:cs="Times New Roman"/>
        </w:rPr>
        <w:t>Approved Document B</w:t>
      </w:r>
      <w:r>
        <w:rPr>
          <w:rFonts w:cs="Times New Roman"/>
        </w:rPr>
        <w:t>, which aim</w:t>
      </w:r>
      <w:r w:rsidR="009C0BBC">
        <w:rPr>
          <w:rFonts w:cs="Times New Roman"/>
        </w:rPr>
        <w:t>s</w:t>
      </w:r>
      <w:r>
        <w:rPr>
          <w:rFonts w:cs="Times New Roman"/>
        </w:rPr>
        <w:t xml:space="preserve"> to safeguard the safety of occupants and the attending fire safety authority in the event of a fire. Where Approved </w:t>
      </w:r>
      <w:r w:rsidR="00CE48B3">
        <w:rPr>
          <w:rFonts w:cs="Times New Roman"/>
        </w:rPr>
        <w:t xml:space="preserve">Documents do not cover specific building needs, i.e., </w:t>
      </w:r>
      <w:r w:rsidR="00526DDB">
        <w:rPr>
          <w:rFonts w:cs="Times New Roman"/>
        </w:rPr>
        <w:t xml:space="preserve">residential </w:t>
      </w:r>
      <w:r w:rsidR="00CE48B3">
        <w:rPr>
          <w:rFonts w:cs="Times New Roman"/>
        </w:rPr>
        <w:t xml:space="preserve">buildings over 50 metres, supplementary guidance is </w:t>
      </w:r>
      <w:r w:rsidR="00790C0E">
        <w:rPr>
          <w:rFonts w:cs="Times New Roman"/>
        </w:rPr>
        <w:t xml:space="preserve">appropriately </w:t>
      </w:r>
      <w:r w:rsidR="00CE48B3">
        <w:rPr>
          <w:rFonts w:cs="Times New Roman"/>
        </w:rPr>
        <w:t xml:space="preserve">referenced e.g., BS 9991 for fire safety requirements within residential buildings, to highlight to designers and contractors further detailed measures to consider in the design and construction of more complex buildings. Bisby and Spinardi (2017) endorse this approach and argue that regulation hinges on judgement and engineered solutions to demonstrate practicality and appropriateness of design: both of which are key to demonstrate competent decision making. </w:t>
      </w:r>
      <w:r w:rsidR="00790C0E">
        <w:rPr>
          <w:rFonts w:cs="Times New Roman"/>
        </w:rPr>
        <w:t>Izam et. al (2020)</w:t>
      </w:r>
      <w:r w:rsidR="00CE48B3">
        <w:rPr>
          <w:rFonts w:cs="Times New Roman"/>
        </w:rPr>
        <w:t xml:space="preserve"> also do not consider</w:t>
      </w:r>
      <w:r>
        <w:rPr>
          <w:rFonts w:cs="Times New Roman"/>
        </w:rPr>
        <w:t xml:space="preserve"> </w:t>
      </w:r>
      <w:r w:rsidRPr="00D7301B">
        <w:rPr>
          <w:rFonts w:cs="Times New Roman"/>
        </w:rPr>
        <w:t>the Regulatory Reform</w:t>
      </w:r>
      <w:r w:rsidR="003B0723">
        <w:rPr>
          <w:rFonts w:cs="Times New Roman"/>
        </w:rPr>
        <w:t xml:space="preserve"> (Fire Safety)</w:t>
      </w:r>
      <w:r w:rsidRPr="00D7301B">
        <w:rPr>
          <w:rFonts w:cs="Times New Roman"/>
        </w:rPr>
        <w:t xml:space="preserve"> Order established in 2005 which details the </w:t>
      </w:r>
      <w:r w:rsidR="003B0723">
        <w:rPr>
          <w:rFonts w:cs="Times New Roman"/>
        </w:rPr>
        <w:t>key duties</w:t>
      </w:r>
      <w:r w:rsidRPr="00D7301B">
        <w:rPr>
          <w:rFonts w:cs="Times New Roman"/>
        </w:rPr>
        <w:t xml:space="preserve"> of fire safety management </w:t>
      </w:r>
      <w:r w:rsidR="007439B0">
        <w:rPr>
          <w:rFonts w:cs="Times New Roman"/>
        </w:rPr>
        <w:t xml:space="preserve">and maintenance </w:t>
      </w:r>
      <w:r w:rsidRPr="00D7301B">
        <w:rPr>
          <w:rFonts w:cs="Times New Roman"/>
        </w:rPr>
        <w:t>by a Responsible Person of a building in occupation.</w:t>
      </w:r>
      <w:r>
        <w:rPr>
          <w:rFonts w:cs="Times New Roman"/>
        </w:rPr>
        <w:t xml:space="preserve"> </w:t>
      </w:r>
    </w:p>
    <w:p w14:paraId="7936CC27" w14:textId="39B59156" w:rsidR="00D9093B" w:rsidRDefault="00D7301B" w:rsidP="00380C64">
      <w:pPr>
        <w:spacing w:line="360" w:lineRule="auto"/>
        <w:jc w:val="both"/>
        <w:rPr>
          <w:rFonts w:cs="Times New Roman"/>
        </w:rPr>
      </w:pPr>
      <w:r>
        <w:rPr>
          <w:rFonts w:cs="Times New Roman"/>
        </w:rPr>
        <w:t xml:space="preserve">However, </w:t>
      </w:r>
      <w:r w:rsidR="00CE48B3">
        <w:rPr>
          <w:rFonts w:cs="Times New Roman"/>
        </w:rPr>
        <w:t>Hackitt’s (2018) findings reinforce the paper by Izam et. al (2020) by</w:t>
      </w:r>
      <w:r>
        <w:rPr>
          <w:rFonts w:cs="Times New Roman"/>
        </w:rPr>
        <w:t xml:space="preserve"> </w:t>
      </w:r>
      <w:r w:rsidR="00CE48B3">
        <w:rPr>
          <w:rFonts w:cs="Times New Roman"/>
        </w:rPr>
        <w:t>highlighting</w:t>
      </w:r>
      <w:r>
        <w:rPr>
          <w:rFonts w:cs="Times New Roman"/>
        </w:rPr>
        <w:t xml:space="preserve"> </w:t>
      </w:r>
      <w:r w:rsidR="00CE48B3">
        <w:rPr>
          <w:rFonts w:cs="Times New Roman"/>
        </w:rPr>
        <w:t>the abundance of</w:t>
      </w:r>
      <w:r>
        <w:rPr>
          <w:rFonts w:cs="Times New Roman"/>
        </w:rPr>
        <w:t xml:space="preserve"> inconsistencies</w:t>
      </w:r>
      <w:r w:rsidR="00CE48B3">
        <w:rPr>
          <w:rFonts w:cs="Times New Roman"/>
        </w:rPr>
        <w:t xml:space="preserve"> and ambiguity</w:t>
      </w:r>
      <w:r>
        <w:rPr>
          <w:rFonts w:cs="Times New Roman"/>
        </w:rPr>
        <w:t xml:space="preserve"> </w:t>
      </w:r>
      <w:r w:rsidR="00790C0E">
        <w:rPr>
          <w:rFonts w:cs="Times New Roman"/>
        </w:rPr>
        <w:t>with</w:t>
      </w:r>
      <w:r>
        <w:rPr>
          <w:rFonts w:cs="Times New Roman"/>
        </w:rPr>
        <w:t xml:space="preserve">in </w:t>
      </w:r>
      <w:r w:rsidR="00CE48B3">
        <w:rPr>
          <w:rFonts w:cs="Times New Roman"/>
        </w:rPr>
        <w:t>the Approved Documents and regulatory guidance.</w:t>
      </w:r>
      <w:r w:rsidR="007439B0">
        <w:rPr>
          <w:rFonts w:cs="Times New Roman"/>
        </w:rPr>
        <w:t xml:space="preserve"> Hackitt (2018) argues that this does not put the onus on the dutyholders to </w:t>
      </w:r>
      <w:r w:rsidR="00EA6B66">
        <w:rPr>
          <w:rFonts w:cs="Times New Roman"/>
        </w:rPr>
        <w:t>justify</w:t>
      </w:r>
      <w:r w:rsidR="007439B0">
        <w:rPr>
          <w:rFonts w:cs="Times New Roman"/>
        </w:rPr>
        <w:t xml:space="preserve"> their approaches through competence</w:t>
      </w:r>
      <w:r w:rsidR="00EA6B66">
        <w:rPr>
          <w:rFonts w:cs="Times New Roman"/>
        </w:rPr>
        <w:t xml:space="preserve">, </w:t>
      </w:r>
      <w:r w:rsidR="007439B0">
        <w:rPr>
          <w:rFonts w:cs="Times New Roman"/>
        </w:rPr>
        <w:t>rather</w:t>
      </w:r>
      <w:r w:rsidR="00EA6B66">
        <w:rPr>
          <w:rFonts w:cs="Times New Roman"/>
        </w:rPr>
        <w:t xml:space="preserve"> it</w:t>
      </w:r>
      <w:r w:rsidR="007439B0">
        <w:rPr>
          <w:rFonts w:cs="Times New Roman"/>
        </w:rPr>
        <w:t xml:space="preserve"> permits the ‘cherry picking’ of guidance to demonstrate compliance</w:t>
      </w:r>
      <w:r w:rsidR="00EA6B66">
        <w:rPr>
          <w:rFonts w:cs="Times New Roman"/>
        </w:rPr>
        <w:t xml:space="preserve"> with limited consideration of site conditions and context. </w:t>
      </w:r>
      <w:r w:rsidR="00790C0E">
        <w:rPr>
          <w:rFonts w:cs="Times New Roman"/>
        </w:rPr>
        <w:t xml:space="preserve">This inhibits the ability to attain meaningful prevention through design. </w:t>
      </w:r>
      <w:r w:rsidR="00D028A0">
        <w:rPr>
          <w:rFonts w:cs="Times New Roman"/>
        </w:rPr>
        <w:t xml:space="preserve">O’Regan (2025) echoes Hackitt (2018) and Makant’s (2021) view that a performance-based system for analysing the appropriateness of regulation in contextual form is pivotal to achieving a more competent industry. O’Regan (2025) and the RIBA (2018) advise that the industry should seek to learn from wider countries where prescription is simply a building block to attaining prevention through design and needs to be justified in context irrespective of its size and shape. </w:t>
      </w:r>
      <w:r w:rsidR="00790C0E">
        <w:rPr>
          <w:rFonts w:cs="Times New Roman"/>
        </w:rPr>
        <w:t>It</w:t>
      </w:r>
      <w:r w:rsidR="00EA6B66">
        <w:rPr>
          <w:rFonts w:cs="Times New Roman"/>
        </w:rPr>
        <w:t xml:space="preserve"> can be </w:t>
      </w:r>
      <w:r w:rsidR="00790C0E">
        <w:rPr>
          <w:rFonts w:cs="Times New Roman"/>
        </w:rPr>
        <w:t>inferred</w:t>
      </w:r>
      <w:r w:rsidR="00EA6B66">
        <w:rPr>
          <w:rFonts w:cs="Times New Roman"/>
        </w:rPr>
        <w:t xml:space="preserve"> that the </w:t>
      </w:r>
      <w:r w:rsidR="00790C0E">
        <w:rPr>
          <w:rFonts w:cs="Times New Roman"/>
        </w:rPr>
        <w:t xml:space="preserve">culture within the industry has misused the </w:t>
      </w:r>
      <w:r w:rsidR="00EA6B66">
        <w:rPr>
          <w:rFonts w:cs="Times New Roman"/>
        </w:rPr>
        <w:t xml:space="preserve">detailed prescription of regulations </w:t>
      </w:r>
      <w:r w:rsidR="00790C0E">
        <w:rPr>
          <w:rFonts w:cs="Times New Roman"/>
        </w:rPr>
        <w:t xml:space="preserve">in </w:t>
      </w:r>
      <w:r w:rsidR="00EA6B66">
        <w:rPr>
          <w:rFonts w:cs="Times New Roman"/>
        </w:rPr>
        <w:t>a realist ontological application with limited consideration of its appropriateness and practicality based on context: a relativist ontological application.</w:t>
      </w:r>
    </w:p>
    <w:p w14:paraId="3B205BEA" w14:textId="6CD4F38F" w:rsidR="00A12B90" w:rsidRDefault="00EA6B66" w:rsidP="00380C64">
      <w:pPr>
        <w:spacing w:line="360" w:lineRule="auto"/>
        <w:jc w:val="both"/>
        <w:rPr>
          <w:rFonts w:cs="Times New Roman"/>
        </w:rPr>
      </w:pPr>
      <w:r>
        <w:rPr>
          <w:rFonts w:cs="Times New Roman"/>
        </w:rPr>
        <w:t>Consequently</w:t>
      </w:r>
      <w:r w:rsidR="007439B0">
        <w:rPr>
          <w:rFonts w:cs="Times New Roman"/>
        </w:rPr>
        <w:t xml:space="preserve">, this has led to the enactment of the Building Safety Act in 2022 </w:t>
      </w:r>
      <w:r w:rsidR="00380C64">
        <w:rPr>
          <w:rFonts w:cs="Times New Roman"/>
        </w:rPr>
        <w:t>to challenge the current practice of designing during construction</w:t>
      </w:r>
      <w:r w:rsidR="002769B1">
        <w:rPr>
          <w:rFonts w:cs="Times New Roman"/>
        </w:rPr>
        <w:t xml:space="preserve"> on higher-risk buildings (HRBs)</w:t>
      </w:r>
      <w:r w:rsidR="007439B0">
        <w:rPr>
          <w:rFonts w:cs="Times New Roman"/>
        </w:rPr>
        <w:t xml:space="preserve">. The Act </w:t>
      </w:r>
      <w:r>
        <w:rPr>
          <w:rFonts w:cs="Times New Roman"/>
        </w:rPr>
        <w:t>enforces</w:t>
      </w:r>
      <w:r w:rsidR="007439B0">
        <w:rPr>
          <w:rFonts w:cs="Times New Roman"/>
        </w:rPr>
        <w:t xml:space="preserve"> </w:t>
      </w:r>
      <w:r>
        <w:rPr>
          <w:rFonts w:cs="Times New Roman"/>
        </w:rPr>
        <w:t>full</w:t>
      </w:r>
      <w:r w:rsidR="007439B0">
        <w:rPr>
          <w:rFonts w:cs="Times New Roman"/>
        </w:rPr>
        <w:t xml:space="preserve"> design approval</w:t>
      </w:r>
      <w:r>
        <w:rPr>
          <w:rFonts w:cs="Times New Roman"/>
        </w:rPr>
        <w:t xml:space="preserve"> before </w:t>
      </w:r>
      <w:r w:rsidR="007439B0">
        <w:rPr>
          <w:rFonts w:cs="Times New Roman"/>
        </w:rPr>
        <w:t>building</w:t>
      </w:r>
      <w:r w:rsidR="00380C64">
        <w:rPr>
          <w:rFonts w:cs="Times New Roman"/>
        </w:rPr>
        <w:t xml:space="preserve"> with </w:t>
      </w:r>
      <w:r w:rsidR="000E184A">
        <w:rPr>
          <w:rFonts w:cs="Times New Roman"/>
        </w:rPr>
        <w:t xml:space="preserve">key </w:t>
      </w:r>
      <w:r w:rsidR="007439B0">
        <w:rPr>
          <w:rFonts w:cs="Times New Roman"/>
        </w:rPr>
        <w:t xml:space="preserve">dutyholders </w:t>
      </w:r>
      <w:r w:rsidR="00380C64">
        <w:rPr>
          <w:rFonts w:cs="Times New Roman"/>
        </w:rPr>
        <w:t>pertaining an</w:t>
      </w:r>
      <w:r w:rsidR="007439B0">
        <w:rPr>
          <w:rFonts w:cs="Times New Roman"/>
        </w:rPr>
        <w:t xml:space="preserve"> overarching</w:t>
      </w:r>
      <w:r w:rsidR="00380C64">
        <w:rPr>
          <w:rFonts w:cs="Times New Roman"/>
        </w:rPr>
        <w:t xml:space="preserve"> responsibility </w:t>
      </w:r>
      <w:r>
        <w:rPr>
          <w:rFonts w:cs="Times New Roman"/>
        </w:rPr>
        <w:t>in demonstrating overall</w:t>
      </w:r>
      <w:r w:rsidR="007439B0">
        <w:rPr>
          <w:rFonts w:cs="Times New Roman"/>
        </w:rPr>
        <w:t xml:space="preserve"> building safety</w:t>
      </w:r>
      <w:r>
        <w:rPr>
          <w:rFonts w:cs="Times New Roman"/>
        </w:rPr>
        <w:t xml:space="preserve"> </w:t>
      </w:r>
      <w:r w:rsidR="007439B0">
        <w:rPr>
          <w:rFonts w:cs="Times New Roman"/>
        </w:rPr>
        <w:t xml:space="preserve">(HM Government, 2022). </w:t>
      </w:r>
      <w:r w:rsidR="002769B1">
        <w:rPr>
          <w:rFonts w:cs="Times New Roman"/>
        </w:rPr>
        <w:t>This is attained through competency declarations from each key dutyholder with suitable evidence in the form of experience, certification and accreditations</w:t>
      </w:r>
      <w:r w:rsidR="002552A2">
        <w:rPr>
          <w:rFonts w:cs="Times New Roman"/>
        </w:rPr>
        <w:t xml:space="preserve">. </w:t>
      </w:r>
      <w:r w:rsidR="002769B1">
        <w:rPr>
          <w:rFonts w:cs="Times New Roman"/>
        </w:rPr>
        <w:t xml:space="preserve">This is alongside </w:t>
      </w:r>
      <w:r w:rsidR="002552A2">
        <w:rPr>
          <w:rFonts w:cs="Times New Roman"/>
        </w:rPr>
        <w:t>a</w:t>
      </w:r>
      <w:r w:rsidR="002769B1">
        <w:rPr>
          <w:rFonts w:cs="Times New Roman"/>
        </w:rPr>
        <w:t xml:space="preserve"> revised approval framework for HRBs in the form of</w:t>
      </w:r>
      <w:r w:rsidR="002552A2">
        <w:rPr>
          <w:rFonts w:cs="Times New Roman"/>
        </w:rPr>
        <w:t xml:space="preserve"> 3</w:t>
      </w:r>
      <w:r w:rsidR="002769B1">
        <w:rPr>
          <w:rFonts w:cs="Times New Roman"/>
        </w:rPr>
        <w:t xml:space="preserve"> gateways that emphasise and require the need for holistic </w:t>
      </w:r>
      <w:r w:rsidR="002552A2">
        <w:rPr>
          <w:rFonts w:cs="Times New Roman"/>
        </w:rPr>
        <w:t xml:space="preserve">construction, </w:t>
      </w:r>
      <w:r w:rsidR="002769B1">
        <w:rPr>
          <w:rFonts w:cs="Times New Roman"/>
        </w:rPr>
        <w:lastRenderedPageBreak/>
        <w:t>design</w:t>
      </w:r>
      <w:r w:rsidR="002552A2">
        <w:rPr>
          <w:rFonts w:cs="Times New Roman"/>
        </w:rPr>
        <w:t>, and management</w:t>
      </w:r>
      <w:r w:rsidR="002769B1">
        <w:rPr>
          <w:rFonts w:cs="Times New Roman"/>
        </w:rPr>
        <w:t xml:space="preserve"> consideration</w:t>
      </w:r>
      <w:r w:rsidR="002552A2">
        <w:rPr>
          <w:rFonts w:cs="Times New Roman"/>
        </w:rPr>
        <w:t>s with detailed</w:t>
      </w:r>
      <w:r w:rsidR="002769B1">
        <w:rPr>
          <w:rFonts w:cs="Times New Roman"/>
        </w:rPr>
        <w:t xml:space="preserve"> justification and evidence </w:t>
      </w:r>
      <w:r w:rsidR="002552A2">
        <w:rPr>
          <w:rFonts w:cs="Times New Roman"/>
        </w:rPr>
        <w:t xml:space="preserve">to demonstrate competent decision making </w:t>
      </w:r>
      <w:r w:rsidR="002769B1">
        <w:rPr>
          <w:rFonts w:cs="Times New Roman"/>
        </w:rPr>
        <w:t>(HM Government, 2022).</w:t>
      </w:r>
    </w:p>
    <w:p w14:paraId="77540BDB" w14:textId="0F50244F" w:rsidR="00254A7C" w:rsidRPr="00DB2118" w:rsidRDefault="0064790F" w:rsidP="00380C64">
      <w:pPr>
        <w:pStyle w:val="Heading3"/>
        <w:jc w:val="both"/>
        <w:rPr>
          <w:rFonts w:cs="Times New Roman"/>
          <w:b/>
          <w:bCs/>
          <w:color w:val="auto"/>
          <w:sz w:val="22"/>
          <w:szCs w:val="22"/>
        </w:rPr>
      </w:pPr>
      <w:bookmarkStart w:id="13" w:name="_Toc218947623"/>
      <w:r>
        <w:rPr>
          <w:rFonts w:cs="Times New Roman"/>
          <w:b/>
          <w:bCs/>
          <w:color w:val="auto"/>
          <w:sz w:val="22"/>
          <w:szCs w:val="22"/>
        </w:rPr>
        <w:t>2</w:t>
      </w:r>
      <w:r w:rsidR="008331E7" w:rsidRPr="00DB2118">
        <w:rPr>
          <w:rFonts w:cs="Times New Roman"/>
          <w:b/>
          <w:bCs/>
          <w:color w:val="auto"/>
          <w:sz w:val="22"/>
          <w:szCs w:val="22"/>
        </w:rPr>
        <w:t xml:space="preserve">.2.2 </w:t>
      </w:r>
      <w:r w:rsidR="00C019AE">
        <w:rPr>
          <w:rFonts w:cs="Times New Roman"/>
          <w:b/>
          <w:bCs/>
          <w:color w:val="auto"/>
          <w:sz w:val="22"/>
          <w:szCs w:val="22"/>
        </w:rPr>
        <w:t>Advancement through Tragedy</w:t>
      </w:r>
      <w:bookmarkEnd w:id="13"/>
    </w:p>
    <w:p w14:paraId="2EDCE584" w14:textId="5DE2A607" w:rsidR="00B4631E" w:rsidRDefault="00EA6B66" w:rsidP="00380C64">
      <w:pPr>
        <w:spacing w:line="360" w:lineRule="auto"/>
        <w:jc w:val="both"/>
        <w:rPr>
          <w:rFonts w:cs="Times New Roman"/>
        </w:rPr>
      </w:pPr>
      <w:r>
        <w:rPr>
          <w:rFonts w:cs="Times New Roman"/>
        </w:rPr>
        <w:t xml:space="preserve">A key turning point for the UK construction industry has been the tragedy of Grenfell Tower in 2017. </w:t>
      </w:r>
      <w:r w:rsidR="00BB4992">
        <w:rPr>
          <w:rFonts w:cs="Times New Roman"/>
        </w:rPr>
        <w:t>Makant (2021) outlines that this event</w:t>
      </w:r>
      <w:r>
        <w:rPr>
          <w:rFonts w:cs="Times New Roman"/>
        </w:rPr>
        <w:t xml:space="preserve"> h</w:t>
      </w:r>
      <w:r w:rsidR="00BB4992">
        <w:rPr>
          <w:rFonts w:cs="Times New Roman"/>
        </w:rPr>
        <w:t>ighlighted the systemic culture of reacting and burying problems to safeguard profitability as opposed to proactive problem solving for long-term safety. Hackitt (2018) exposes this culture of indifference</w:t>
      </w:r>
      <w:r w:rsidR="00FC6CBE">
        <w:rPr>
          <w:rFonts w:cs="Times New Roman"/>
        </w:rPr>
        <w:t xml:space="preserve"> and dishonesty</w:t>
      </w:r>
      <w:r w:rsidR="00BB4992">
        <w:rPr>
          <w:rFonts w:cs="Times New Roman"/>
        </w:rPr>
        <w:t xml:space="preserve"> and </w:t>
      </w:r>
      <w:r w:rsidR="00C235BA">
        <w:rPr>
          <w:rFonts w:cs="Times New Roman"/>
        </w:rPr>
        <w:t>states</w:t>
      </w:r>
      <w:r w:rsidR="00BB4992">
        <w:rPr>
          <w:rFonts w:cs="Times New Roman"/>
        </w:rPr>
        <w:t xml:space="preserve"> the </w:t>
      </w:r>
      <w:r w:rsidR="00C235BA">
        <w:rPr>
          <w:rFonts w:cs="Times New Roman"/>
        </w:rPr>
        <w:t xml:space="preserve">need for </w:t>
      </w:r>
      <w:r w:rsidR="00BA32F2">
        <w:rPr>
          <w:rFonts w:cs="Times New Roman"/>
        </w:rPr>
        <w:t>greater accountability, ethics, and competence</w:t>
      </w:r>
      <w:r w:rsidR="00C235BA">
        <w:rPr>
          <w:rFonts w:cs="Times New Roman"/>
        </w:rPr>
        <w:t xml:space="preserve"> to safeguard long-term building safety</w:t>
      </w:r>
      <w:r w:rsidR="00FC6CBE">
        <w:rPr>
          <w:rFonts w:cs="Times New Roman"/>
        </w:rPr>
        <w:t xml:space="preserve"> is pivotal.</w:t>
      </w:r>
      <w:r w:rsidR="00C235BA">
        <w:rPr>
          <w:rFonts w:cs="Times New Roman"/>
        </w:rPr>
        <w:t xml:space="preserve"> </w:t>
      </w:r>
      <w:r w:rsidR="002552A2">
        <w:rPr>
          <w:rFonts w:cs="Times New Roman"/>
        </w:rPr>
        <w:t>A key example of the established culture as exposed in the Grenfell Phase 2 inquiry report is the manipulation of primary fire test data by leading product manufacturers</w:t>
      </w:r>
      <w:r w:rsidR="004E2739">
        <w:rPr>
          <w:rFonts w:cs="Times New Roman"/>
        </w:rPr>
        <w:t>, Kingspan and Celotex,</w:t>
      </w:r>
      <w:r w:rsidR="002552A2">
        <w:rPr>
          <w:rFonts w:cs="Times New Roman"/>
        </w:rPr>
        <w:t xml:space="preserve"> which </w:t>
      </w:r>
      <w:r w:rsidR="004E2739">
        <w:rPr>
          <w:rFonts w:cs="Times New Roman"/>
        </w:rPr>
        <w:t>highlighted the</w:t>
      </w:r>
      <w:r w:rsidR="002552A2">
        <w:rPr>
          <w:rFonts w:cs="Times New Roman"/>
        </w:rPr>
        <w:t xml:space="preserve"> </w:t>
      </w:r>
      <w:r w:rsidR="004E2739">
        <w:rPr>
          <w:rFonts w:cs="Times New Roman"/>
        </w:rPr>
        <w:t>incompetence of</w:t>
      </w:r>
      <w:r w:rsidR="002552A2">
        <w:rPr>
          <w:rFonts w:cs="Times New Roman"/>
        </w:rPr>
        <w:t xml:space="preserve"> the </w:t>
      </w:r>
      <w:r w:rsidR="004E2739" w:rsidRPr="004E2739">
        <w:rPr>
          <w:rFonts w:cs="Times New Roman"/>
        </w:rPr>
        <w:t>British Board of Agrément</w:t>
      </w:r>
      <w:r w:rsidR="004E2739" w:rsidRPr="004E2739">
        <w:rPr>
          <w:rFonts w:cs="Times New Roman"/>
        </w:rPr>
        <w:t xml:space="preserve"> </w:t>
      </w:r>
      <w:r w:rsidR="002552A2">
        <w:rPr>
          <w:rFonts w:cs="Times New Roman"/>
        </w:rPr>
        <w:t xml:space="preserve">(BBA): </w:t>
      </w:r>
      <w:r w:rsidR="004E2739">
        <w:rPr>
          <w:rFonts w:cs="Times New Roman"/>
        </w:rPr>
        <w:t>a leading and renowned independent testing body; and professional misconduct by product manufacturers (Moore-Bick et. al, 2024).</w:t>
      </w:r>
    </w:p>
    <w:p w14:paraId="68BDEA49" w14:textId="46F1BF09" w:rsidR="00BB4992" w:rsidRDefault="003E262A" w:rsidP="00380C64">
      <w:pPr>
        <w:spacing w:line="360" w:lineRule="auto"/>
        <w:jc w:val="both"/>
        <w:rPr>
          <w:rFonts w:cs="Times New Roman"/>
        </w:rPr>
      </w:pPr>
      <w:r>
        <w:rPr>
          <w:rFonts w:cs="Times New Roman"/>
        </w:rPr>
        <w:t xml:space="preserve">Hence, </w:t>
      </w:r>
      <w:r w:rsidR="002769B1">
        <w:rPr>
          <w:rFonts w:cs="Times New Roman"/>
        </w:rPr>
        <w:t xml:space="preserve">to </w:t>
      </w:r>
      <w:r w:rsidR="002552A2">
        <w:rPr>
          <w:rFonts w:cs="Times New Roman"/>
        </w:rPr>
        <w:t>assess the</w:t>
      </w:r>
      <w:r w:rsidR="002769B1">
        <w:rPr>
          <w:rFonts w:cs="Times New Roman"/>
        </w:rPr>
        <w:t xml:space="preserve"> </w:t>
      </w:r>
      <w:r w:rsidR="00FC6CBE">
        <w:rPr>
          <w:rFonts w:cs="Times New Roman"/>
        </w:rPr>
        <w:t xml:space="preserve">competence of dutyholders under the </w:t>
      </w:r>
      <w:r w:rsidR="002769B1">
        <w:rPr>
          <w:rFonts w:cs="Times New Roman"/>
        </w:rPr>
        <w:t>new BSA, there has been the</w:t>
      </w:r>
      <w:r>
        <w:rPr>
          <w:rFonts w:cs="Times New Roman"/>
        </w:rPr>
        <w:t xml:space="preserve"> development of BS 8670 and the SKEB (Skills, Knowledge, Experience and Behaviours) model</w:t>
      </w:r>
      <w:r w:rsidR="002769B1">
        <w:rPr>
          <w:rFonts w:cs="Times New Roman"/>
        </w:rPr>
        <w:t xml:space="preserve">. </w:t>
      </w:r>
      <w:r w:rsidR="000066EF">
        <w:rPr>
          <w:rFonts w:cs="Times New Roman"/>
        </w:rPr>
        <w:t>This supplementary guidance</w:t>
      </w:r>
      <w:r w:rsidR="003B04FD">
        <w:rPr>
          <w:rFonts w:cs="Times New Roman"/>
        </w:rPr>
        <w:t xml:space="preserve"> emphasis</w:t>
      </w:r>
      <w:r w:rsidR="002769B1">
        <w:rPr>
          <w:rFonts w:cs="Times New Roman"/>
        </w:rPr>
        <w:t>e</w:t>
      </w:r>
      <w:r w:rsidR="000066EF">
        <w:rPr>
          <w:rFonts w:cs="Times New Roman"/>
        </w:rPr>
        <w:t>s</w:t>
      </w:r>
      <w:r>
        <w:rPr>
          <w:rFonts w:cs="Times New Roman"/>
        </w:rPr>
        <w:t xml:space="preserve"> the need for specific individual competencies relevant to a building’s complexity </w:t>
      </w:r>
      <w:r w:rsidR="002552A2">
        <w:rPr>
          <w:rFonts w:cs="Times New Roman"/>
        </w:rPr>
        <w:t>and suggests</w:t>
      </w:r>
      <w:r>
        <w:rPr>
          <w:rFonts w:cs="Times New Roman"/>
        </w:rPr>
        <w:t xml:space="preserve"> </w:t>
      </w:r>
      <w:r w:rsidR="00790C0E">
        <w:rPr>
          <w:rFonts w:cs="Times New Roman"/>
        </w:rPr>
        <w:t>re</w:t>
      </w:r>
      <w:r>
        <w:rPr>
          <w:rFonts w:cs="Times New Roman"/>
        </w:rPr>
        <w:t xml:space="preserve">validation of their competencies </w:t>
      </w:r>
      <w:r w:rsidR="00790C0E">
        <w:rPr>
          <w:rFonts w:cs="Times New Roman"/>
        </w:rPr>
        <w:t>every 5 years</w:t>
      </w:r>
      <w:r>
        <w:rPr>
          <w:rFonts w:cs="Times New Roman"/>
        </w:rPr>
        <w:t xml:space="preserve"> (BSI Group, 2024). This is supported through the prescription of PAS Standards 8671, 8672 and 8673 which reinforces the expectations of key dutyholders in carrying out their statutory duties in line with the B</w:t>
      </w:r>
      <w:r w:rsidR="003B04FD">
        <w:rPr>
          <w:rFonts w:cs="Times New Roman"/>
        </w:rPr>
        <w:t>uilding Safety Act</w:t>
      </w:r>
      <w:r>
        <w:rPr>
          <w:rFonts w:cs="Times New Roman"/>
        </w:rPr>
        <w:t>.</w:t>
      </w:r>
    </w:p>
    <w:p w14:paraId="1E00AE03" w14:textId="069E0CC4" w:rsidR="00C46911" w:rsidRDefault="00C46911" w:rsidP="00380C64">
      <w:pPr>
        <w:spacing w:line="360" w:lineRule="auto"/>
        <w:jc w:val="both"/>
        <w:rPr>
          <w:rFonts w:cs="Times New Roman"/>
        </w:rPr>
      </w:pPr>
      <w:r>
        <w:rPr>
          <w:rFonts w:cs="Times New Roman"/>
        </w:rPr>
        <w:t>BS 8670 focuses on the following key competence areas which are further corroborated by PAS 8671 and 8672:</w:t>
      </w:r>
    </w:p>
    <w:p w14:paraId="1DC5A56E" w14:textId="35475021" w:rsidR="00C46911" w:rsidRPr="00C46911" w:rsidRDefault="00C46911" w:rsidP="00C46911">
      <w:pPr>
        <w:pStyle w:val="NoSpacing"/>
        <w:numPr>
          <w:ilvl w:val="0"/>
          <w:numId w:val="33"/>
        </w:numPr>
      </w:pPr>
      <w:r w:rsidRPr="00C46911">
        <w:t>Risk Management</w:t>
      </w:r>
    </w:p>
    <w:p w14:paraId="42683318" w14:textId="0BD9C248" w:rsidR="00C46911" w:rsidRPr="00C46911" w:rsidRDefault="00C46911" w:rsidP="00C46911">
      <w:pPr>
        <w:pStyle w:val="NoSpacing"/>
        <w:numPr>
          <w:ilvl w:val="0"/>
          <w:numId w:val="33"/>
        </w:numPr>
      </w:pPr>
      <w:r w:rsidRPr="00C46911">
        <w:t>Building Systems &amp; Structures</w:t>
      </w:r>
    </w:p>
    <w:p w14:paraId="327CFA29" w14:textId="3BFEF1CA" w:rsidR="00C46911" w:rsidRPr="00C46911" w:rsidRDefault="00C46911" w:rsidP="00C46911">
      <w:pPr>
        <w:pStyle w:val="NoSpacing"/>
        <w:numPr>
          <w:ilvl w:val="0"/>
          <w:numId w:val="33"/>
        </w:numPr>
      </w:pPr>
      <w:r w:rsidRPr="00C46911">
        <w:t>Leadership &amp; Communication</w:t>
      </w:r>
    </w:p>
    <w:p w14:paraId="7F95B395" w14:textId="3E8E9D9C" w:rsidR="00C46911" w:rsidRPr="00C46911" w:rsidRDefault="00C46911" w:rsidP="00C46911">
      <w:pPr>
        <w:pStyle w:val="NoSpacing"/>
        <w:numPr>
          <w:ilvl w:val="0"/>
          <w:numId w:val="33"/>
        </w:numPr>
      </w:pPr>
      <w:r w:rsidRPr="00C46911">
        <w:t>Ethics &amp; Conduct</w:t>
      </w:r>
    </w:p>
    <w:p w14:paraId="2D176047" w14:textId="0041519A" w:rsidR="00C46911" w:rsidRPr="00C46911" w:rsidRDefault="00C46911" w:rsidP="00C46911">
      <w:pPr>
        <w:pStyle w:val="NoSpacing"/>
        <w:numPr>
          <w:ilvl w:val="0"/>
          <w:numId w:val="33"/>
        </w:numPr>
      </w:pPr>
      <w:r w:rsidRPr="00C46911">
        <w:t>Regulations &amp; Processes</w:t>
      </w:r>
    </w:p>
    <w:p w14:paraId="1F9019A8" w14:textId="64E431F2" w:rsidR="00C46911" w:rsidRDefault="00C46911" w:rsidP="00C46911">
      <w:pPr>
        <w:pStyle w:val="NoSpacing"/>
        <w:numPr>
          <w:ilvl w:val="0"/>
          <w:numId w:val="33"/>
        </w:numPr>
      </w:pPr>
      <w:r w:rsidRPr="00C46911">
        <w:t>Personal Responsibility</w:t>
      </w:r>
    </w:p>
    <w:p w14:paraId="32CB7020" w14:textId="77777777" w:rsidR="00C46911" w:rsidRDefault="00C46911" w:rsidP="00C46911">
      <w:pPr>
        <w:pStyle w:val="NoSpacing"/>
        <w:ind w:left="720"/>
      </w:pPr>
    </w:p>
    <w:p w14:paraId="13F2E620" w14:textId="5E2A0AF4" w:rsidR="000066EF" w:rsidRDefault="007F1886" w:rsidP="009000B4">
      <w:pPr>
        <w:spacing w:line="360" w:lineRule="auto"/>
        <w:jc w:val="both"/>
        <w:rPr>
          <w:rFonts w:cs="Times New Roman"/>
        </w:rPr>
      </w:pPr>
      <w:r>
        <w:rPr>
          <w:rFonts w:cs="Times New Roman"/>
        </w:rPr>
        <w:t xml:space="preserve">The </w:t>
      </w:r>
      <w:r w:rsidR="00D028A0">
        <w:rPr>
          <w:rFonts w:cs="Times New Roman"/>
        </w:rPr>
        <w:t xml:space="preserve">key challenge in the delivery of BS 8670 </w:t>
      </w:r>
      <w:r w:rsidR="00FC6CBE">
        <w:rPr>
          <w:rFonts w:cs="Times New Roman"/>
        </w:rPr>
        <w:t>lies in</w:t>
      </w:r>
      <w:r w:rsidR="00D028A0">
        <w:rPr>
          <w:rFonts w:cs="Times New Roman"/>
        </w:rPr>
        <w:t xml:space="preserve"> the ability to </w:t>
      </w:r>
      <w:r w:rsidR="00FC6CBE">
        <w:rPr>
          <w:rFonts w:cs="Times New Roman"/>
        </w:rPr>
        <w:t>deliver and measure</w:t>
      </w:r>
      <w:r w:rsidR="00D028A0">
        <w:rPr>
          <w:rFonts w:cs="Times New Roman"/>
        </w:rPr>
        <w:t xml:space="preserve"> section F which challenges the behaviour and conduct of industry professionals to act with integrity, openness and accountability. Hancock (2025) criticises whether the standards can objectively</w:t>
      </w:r>
      <w:r w:rsidR="00FC6CBE">
        <w:rPr>
          <w:rFonts w:cs="Times New Roman"/>
        </w:rPr>
        <w:t>, meaningfully</w:t>
      </w:r>
      <w:r w:rsidR="00D028A0">
        <w:rPr>
          <w:rFonts w:cs="Times New Roman"/>
        </w:rPr>
        <w:t xml:space="preserve"> and </w:t>
      </w:r>
      <w:r w:rsidR="00FC6CBE">
        <w:rPr>
          <w:rFonts w:cs="Times New Roman"/>
        </w:rPr>
        <w:t>consistently</w:t>
      </w:r>
      <w:r w:rsidR="00D028A0">
        <w:rPr>
          <w:rFonts w:cs="Times New Roman"/>
        </w:rPr>
        <w:t xml:space="preserve"> measure growth and competence of </w:t>
      </w:r>
      <w:r w:rsidR="00FC6CBE">
        <w:rPr>
          <w:rFonts w:cs="Times New Roman"/>
        </w:rPr>
        <w:t xml:space="preserve">individuals through their conduct by drawing comparisons of the same role on two different sized developments. The behavioural aspect of an individual and an organisation embodies the key concern identified </w:t>
      </w:r>
      <w:r w:rsidR="00FC6CBE">
        <w:rPr>
          <w:rFonts w:cs="Times New Roman"/>
        </w:rPr>
        <w:lastRenderedPageBreak/>
        <w:t>within the Hackitt report as often organisational targets such as project delivery on-time and within cost overshadow technical decision making (Hackitt, 2018).</w:t>
      </w:r>
    </w:p>
    <w:p w14:paraId="1633DB97" w14:textId="2BB340CD" w:rsidR="008C062F" w:rsidRDefault="00FC6CBE" w:rsidP="009000B4">
      <w:pPr>
        <w:spacing w:line="360" w:lineRule="auto"/>
        <w:jc w:val="both"/>
        <w:rPr>
          <w:rFonts w:cs="Times New Roman"/>
        </w:rPr>
      </w:pPr>
      <w:r>
        <w:rPr>
          <w:rFonts w:cs="Times New Roman"/>
        </w:rPr>
        <w:t>Alongside the new BSA, the industry has enacted</w:t>
      </w:r>
      <w:r w:rsidR="00825957">
        <w:rPr>
          <w:rFonts w:cs="Times New Roman"/>
        </w:rPr>
        <w:t xml:space="preserve"> </w:t>
      </w:r>
      <w:r>
        <w:rPr>
          <w:rFonts w:cs="Times New Roman"/>
        </w:rPr>
        <w:t>further</w:t>
      </w:r>
      <w:r w:rsidR="00825957">
        <w:rPr>
          <w:rFonts w:cs="Times New Roman"/>
        </w:rPr>
        <w:t xml:space="preserve"> prescription of fire safety and sustainability </w:t>
      </w:r>
      <w:r>
        <w:rPr>
          <w:rFonts w:cs="Times New Roman"/>
        </w:rPr>
        <w:t>guidance,</w:t>
      </w:r>
      <w:r w:rsidR="00825957">
        <w:rPr>
          <w:rFonts w:cs="Times New Roman"/>
        </w:rPr>
        <w:t xml:space="preserve"> and standards have been enacted </w:t>
      </w:r>
      <w:r w:rsidR="00D028A0">
        <w:rPr>
          <w:rFonts w:cs="Times New Roman"/>
        </w:rPr>
        <w:t xml:space="preserve">alongside the Building Safety Act </w:t>
      </w:r>
      <w:r w:rsidR="00825957">
        <w:rPr>
          <w:rFonts w:cs="Times New Roman"/>
        </w:rPr>
        <w:t>with iterative issues planned for every 2-5 years</w:t>
      </w:r>
      <w:r w:rsidR="00D028A0">
        <w:rPr>
          <w:rFonts w:cs="Times New Roman"/>
        </w:rPr>
        <w:t>. The aim of this is to encourage greater regulatory reviews</w:t>
      </w:r>
      <w:r w:rsidR="00526DDB">
        <w:rPr>
          <w:rFonts w:cs="Times New Roman"/>
        </w:rPr>
        <w:t xml:space="preserve"> that</w:t>
      </w:r>
      <w:r w:rsidR="00D028A0">
        <w:rPr>
          <w:rFonts w:cs="Times New Roman"/>
        </w:rPr>
        <w:t xml:space="preserve"> </w:t>
      </w:r>
      <w:r>
        <w:rPr>
          <w:rFonts w:cs="Times New Roman"/>
        </w:rPr>
        <w:t>recognise buildings are now more complex and demanding</w:t>
      </w:r>
      <w:r w:rsidR="00D028A0">
        <w:rPr>
          <w:rFonts w:cs="Times New Roman"/>
        </w:rPr>
        <w:t xml:space="preserve">, and to reduce the fragmentation between dutyholders. The industry has set out to achieve this through the formation of steering groups and consultations with industry professionals to reinforce the </w:t>
      </w:r>
      <w:r w:rsidR="00825957">
        <w:rPr>
          <w:rFonts w:cs="Times New Roman"/>
        </w:rPr>
        <w:t xml:space="preserve">UK’s commitment </w:t>
      </w:r>
      <w:r w:rsidR="00D028A0">
        <w:rPr>
          <w:rFonts w:cs="Times New Roman"/>
        </w:rPr>
        <w:t>in</w:t>
      </w:r>
      <w:r w:rsidR="00825957">
        <w:rPr>
          <w:rFonts w:cs="Times New Roman"/>
        </w:rPr>
        <w:t xml:space="preserve"> achieving its political and governance goals on a global platform. Yet, this does not clarify whether the prior ambiguities in regulation, or potentially new ambiguities, have been addressed in full to allow for well-informed decision making on more complex developments (Hackitt, 2018).</w:t>
      </w:r>
      <w:r w:rsidR="007F1886">
        <w:rPr>
          <w:rFonts w:cs="Times New Roman"/>
        </w:rPr>
        <w:t xml:space="preserve"> </w:t>
      </w:r>
      <w:r w:rsidR="00D028A0">
        <w:rPr>
          <w:rFonts w:cs="Times New Roman"/>
        </w:rPr>
        <w:t>Hence, there is an argument that whilst greater emphasis is now in place to improve and measure the competency of professionals, the existing regulatory framework i.e., regulations and guidance, to support in demonstrating competency practically remains unresolved</w:t>
      </w:r>
      <w:r w:rsidR="00361CF0">
        <w:rPr>
          <w:rFonts w:cs="Times New Roman"/>
        </w:rPr>
        <w:t xml:space="preserve"> (Law, Spinardi, 201</w:t>
      </w:r>
      <w:r w:rsidR="000E60A8">
        <w:rPr>
          <w:rFonts w:cs="Times New Roman"/>
        </w:rPr>
        <w:t>9</w:t>
      </w:r>
      <w:r w:rsidR="00361CF0">
        <w:rPr>
          <w:rFonts w:cs="Times New Roman"/>
        </w:rPr>
        <w:t>)</w:t>
      </w:r>
      <w:r w:rsidR="00D028A0">
        <w:rPr>
          <w:rFonts w:cs="Times New Roman"/>
        </w:rPr>
        <w:t>.</w:t>
      </w:r>
    </w:p>
    <w:p w14:paraId="02C6F8F0" w14:textId="26D1354D" w:rsidR="00CF788F" w:rsidRDefault="0064790F" w:rsidP="009000B4">
      <w:pPr>
        <w:pStyle w:val="Heading2"/>
        <w:jc w:val="both"/>
        <w:rPr>
          <w:rFonts w:cs="Times New Roman"/>
          <w:b/>
          <w:bCs/>
          <w:color w:val="auto"/>
          <w:sz w:val="24"/>
          <w:szCs w:val="24"/>
        </w:rPr>
      </w:pPr>
      <w:bookmarkStart w:id="14" w:name="_Toc218947624"/>
      <w:r>
        <w:rPr>
          <w:rFonts w:cs="Times New Roman"/>
          <w:b/>
          <w:bCs/>
          <w:color w:val="auto"/>
          <w:sz w:val="24"/>
          <w:szCs w:val="24"/>
        </w:rPr>
        <w:t>2</w:t>
      </w:r>
      <w:r w:rsidR="00825957">
        <w:rPr>
          <w:rFonts w:cs="Times New Roman"/>
          <w:b/>
          <w:bCs/>
          <w:color w:val="auto"/>
          <w:sz w:val="24"/>
          <w:szCs w:val="24"/>
        </w:rPr>
        <w:t>.3</w:t>
      </w:r>
      <w:r w:rsidR="00FF1C10" w:rsidRPr="00DB2118">
        <w:rPr>
          <w:rFonts w:cs="Times New Roman"/>
          <w:b/>
          <w:bCs/>
          <w:color w:val="auto"/>
          <w:sz w:val="24"/>
          <w:szCs w:val="24"/>
        </w:rPr>
        <w:t xml:space="preserve"> </w:t>
      </w:r>
      <w:r w:rsidR="009000B4">
        <w:rPr>
          <w:rFonts w:cs="Times New Roman"/>
          <w:b/>
          <w:bCs/>
          <w:color w:val="auto"/>
          <w:sz w:val="24"/>
          <w:szCs w:val="24"/>
        </w:rPr>
        <w:t xml:space="preserve">Key </w:t>
      </w:r>
      <w:r w:rsidR="00C019AE">
        <w:rPr>
          <w:rFonts w:cs="Times New Roman"/>
          <w:b/>
          <w:bCs/>
          <w:color w:val="auto"/>
          <w:sz w:val="24"/>
          <w:szCs w:val="24"/>
        </w:rPr>
        <w:t>Dutyholder Competency</w:t>
      </w:r>
      <w:bookmarkEnd w:id="14"/>
    </w:p>
    <w:p w14:paraId="7D76B02B" w14:textId="0A06BDC8" w:rsidR="00825957" w:rsidRPr="00825957" w:rsidRDefault="0064790F" w:rsidP="009000B4">
      <w:pPr>
        <w:pStyle w:val="Heading3"/>
        <w:jc w:val="both"/>
        <w:rPr>
          <w:rFonts w:cs="Times New Roman"/>
          <w:b/>
          <w:bCs/>
          <w:color w:val="auto"/>
          <w:sz w:val="22"/>
          <w:szCs w:val="22"/>
        </w:rPr>
      </w:pPr>
      <w:bookmarkStart w:id="15" w:name="_Toc218947625"/>
      <w:r>
        <w:rPr>
          <w:rFonts w:cs="Times New Roman"/>
          <w:b/>
          <w:bCs/>
          <w:color w:val="auto"/>
          <w:sz w:val="22"/>
          <w:szCs w:val="22"/>
        </w:rPr>
        <w:t>2</w:t>
      </w:r>
      <w:r w:rsidR="00825957" w:rsidRPr="00DB2118">
        <w:rPr>
          <w:rFonts w:cs="Times New Roman"/>
          <w:b/>
          <w:bCs/>
          <w:color w:val="auto"/>
          <w:sz w:val="22"/>
          <w:szCs w:val="22"/>
        </w:rPr>
        <w:t>.</w:t>
      </w:r>
      <w:r w:rsidR="00825957">
        <w:rPr>
          <w:rFonts w:cs="Times New Roman"/>
          <w:b/>
          <w:bCs/>
          <w:color w:val="auto"/>
          <w:sz w:val="22"/>
          <w:szCs w:val="22"/>
        </w:rPr>
        <w:t>3</w:t>
      </w:r>
      <w:r w:rsidR="00825957" w:rsidRPr="00DB2118">
        <w:rPr>
          <w:rFonts w:cs="Times New Roman"/>
          <w:b/>
          <w:bCs/>
          <w:color w:val="auto"/>
          <w:sz w:val="22"/>
          <w:szCs w:val="22"/>
        </w:rPr>
        <w:t xml:space="preserve">.1 </w:t>
      </w:r>
      <w:r w:rsidR="008904BD">
        <w:rPr>
          <w:rFonts w:cs="Times New Roman"/>
          <w:b/>
          <w:bCs/>
          <w:color w:val="auto"/>
          <w:sz w:val="22"/>
          <w:szCs w:val="22"/>
        </w:rPr>
        <w:t xml:space="preserve">Designer </w:t>
      </w:r>
      <w:r w:rsidR="00825957">
        <w:rPr>
          <w:rFonts w:cs="Times New Roman"/>
          <w:b/>
          <w:bCs/>
          <w:color w:val="auto"/>
          <w:sz w:val="22"/>
          <w:szCs w:val="22"/>
        </w:rPr>
        <w:t>Competency Framework</w:t>
      </w:r>
      <w:bookmarkEnd w:id="15"/>
      <w:r w:rsidR="00825957">
        <w:rPr>
          <w:rFonts w:cs="Times New Roman"/>
          <w:b/>
          <w:bCs/>
          <w:color w:val="auto"/>
          <w:sz w:val="22"/>
          <w:szCs w:val="22"/>
        </w:rPr>
        <w:t xml:space="preserve"> </w:t>
      </w:r>
    </w:p>
    <w:p w14:paraId="3E9B1ADE" w14:textId="4AE4323E" w:rsidR="00825957" w:rsidRDefault="00825957" w:rsidP="009000B4">
      <w:pPr>
        <w:spacing w:line="360" w:lineRule="auto"/>
        <w:jc w:val="both"/>
        <w:rPr>
          <w:rFonts w:cs="Times New Roman"/>
        </w:rPr>
      </w:pPr>
      <w:r>
        <w:rPr>
          <w:rFonts w:cs="Times New Roman"/>
        </w:rPr>
        <w:t>The guidance prescribed within BS 8670</w:t>
      </w:r>
      <w:r w:rsidR="00617F4C">
        <w:rPr>
          <w:rFonts w:cs="Times New Roman"/>
        </w:rPr>
        <w:t xml:space="preserve"> and PAS 8671</w:t>
      </w:r>
      <w:r>
        <w:rPr>
          <w:rFonts w:cs="Times New Roman"/>
        </w:rPr>
        <w:t xml:space="preserve"> has been formulated by industry </w:t>
      </w:r>
      <w:r w:rsidR="004E2739">
        <w:rPr>
          <w:rFonts w:cs="Times New Roman"/>
        </w:rPr>
        <w:t>institutions and regulators</w:t>
      </w:r>
      <w:r>
        <w:rPr>
          <w:rFonts w:cs="Times New Roman"/>
        </w:rPr>
        <w:t xml:space="preserve"> such as the RIBA, Engineering Council, CIOB &amp; CITB. However, </w:t>
      </w:r>
      <w:r w:rsidR="00617F4C">
        <w:rPr>
          <w:rFonts w:cs="Times New Roman"/>
        </w:rPr>
        <w:t xml:space="preserve">these standards </w:t>
      </w:r>
      <w:r>
        <w:rPr>
          <w:rFonts w:cs="Times New Roman"/>
        </w:rPr>
        <w:t>solely outline the fundamental aspects that professional bodies and organisations should adopt to establish their own governing competency frameworks to satisfy the expectations of the Building Safety Act.</w:t>
      </w:r>
      <w:r w:rsidR="009E3AC0">
        <w:rPr>
          <w:rFonts w:cs="Times New Roman"/>
        </w:rPr>
        <w:t xml:space="preserve"> </w:t>
      </w:r>
      <w:r>
        <w:rPr>
          <w:rFonts w:cs="Times New Roman"/>
        </w:rPr>
        <w:t xml:space="preserve">The only </w:t>
      </w:r>
      <w:r w:rsidR="004E2739">
        <w:rPr>
          <w:rFonts w:cs="Times New Roman"/>
        </w:rPr>
        <w:t>regulator</w:t>
      </w:r>
      <w:r>
        <w:rPr>
          <w:rFonts w:cs="Times New Roman"/>
        </w:rPr>
        <w:t xml:space="preserve"> thus far to construct a competency framework that has been reviewed and </w:t>
      </w:r>
      <w:r w:rsidR="004E2739">
        <w:rPr>
          <w:rFonts w:cs="Times New Roman"/>
        </w:rPr>
        <w:t>acknowledged</w:t>
      </w:r>
      <w:r>
        <w:rPr>
          <w:rFonts w:cs="Times New Roman"/>
        </w:rPr>
        <w:t xml:space="preserve"> by the governing body is the Engineering Council</w:t>
      </w:r>
      <w:r w:rsidR="009E3AC0">
        <w:rPr>
          <w:rFonts w:cs="Times New Roman"/>
        </w:rPr>
        <w:t xml:space="preserve"> </w:t>
      </w:r>
      <w:r w:rsidR="00526DDB">
        <w:rPr>
          <w:rFonts w:cs="Times New Roman"/>
        </w:rPr>
        <w:t xml:space="preserve">which </w:t>
      </w:r>
      <w:r w:rsidR="004E2739">
        <w:rPr>
          <w:rFonts w:cs="Times New Roman"/>
        </w:rPr>
        <w:t>targets the expectations</w:t>
      </w:r>
      <w:r w:rsidR="00526DDB">
        <w:rPr>
          <w:rFonts w:cs="Times New Roman"/>
        </w:rPr>
        <w:t xml:space="preserve"> </w:t>
      </w:r>
      <w:r w:rsidR="009E3AC0">
        <w:rPr>
          <w:rFonts w:cs="Times New Roman"/>
        </w:rPr>
        <w:t>of Principal Designers &amp; Designers</w:t>
      </w:r>
      <w:r>
        <w:rPr>
          <w:rFonts w:cs="Times New Roman"/>
        </w:rPr>
        <w:t xml:space="preserve"> (Kellie, 2025).</w:t>
      </w:r>
    </w:p>
    <w:p w14:paraId="58FC0960" w14:textId="735F5720" w:rsidR="00617F4C" w:rsidRDefault="00825957" w:rsidP="009000B4">
      <w:pPr>
        <w:spacing w:line="360" w:lineRule="auto"/>
        <w:jc w:val="both"/>
        <w:rPr>
          <w:rFonts w:cs="Times New Roman"/>
        </w:rPr>
      </w:pPr>
      <w:r>
        <w:rPr>
          <w:rFonts w:cs="Times New Roman"/>
        </w:rPr>
        <w:t>The Engineering Council (2025) have detailed a competency framework aligned with the expectations of BS 8670</w:t>
      </w:r>
      <w:r w:rsidR="00617F4C">
        <w:rPr>
          <w:rFonts w:cs="Times New Roman"/>
        </w:rPr>
        <w:t xml:space="preserve"> and PAS 8671</w:t>
      </w:r>
      <w:r>
        <w:rPr>
          <w:rFonts w:cs="Times New Roman"/>
        </w:rPr>
        <w:t xml:space="preserve"> which analyses prior qualifications, provides a UK-SPEC competency measurement for both HRB (higher-risk building) developments and non-HRB developments, conducts 1-to-1 professional interviews of candidates, and requires mandatory revalidation of competency every 5 years.</w:t>
      </w:r>
      <w:r w:rsidR="00751ABF">
        <w:rPr>
          <w:rFonts w:cs="Times New Roman"/>
        </w:rPr>
        <w:t xml:space="preserve"> </w:t>
      </w:r>
      <w:r>
        <w:rPr>
          <w:rFonts w:cs="Times New Roman"/>
        </w:rPr>
        <w:t>The UK-SPEC assessment framework has been summarised into 5 core principles below which are disseminated by the Engineering Council for all 4 professional registrations of engineering:</w:t>
      </w:r>
    </w:p>
    <w:p w14:paraId="5FE40465" w14:textId="09BA4DEF" w:rsidR="00825957" w:rsidRPr="00BA32F2" w:rsidRDefault="00825957" w:rsidP="009000B4">
      <w:pPr>
        <w:pStyle w:val="NoSpacing"/>
        <w:numPr>
          <w:ilvl w:val="0"/>
          <w:numId w:val="25"/>
        </w:numPr>
        <w:jc w:val="both"/>
      </w:pPr>
      <w:r w:rsidRPr="00BA32F2">
        <w:t>Knowledge and understanding</w:t>
      </w:r>
      <w:r w:rsidR="00C46911">
        <w:t xml:space="preserve"> (Satisfies B. &amp; E. of BS 8670)</w:t>
      </w:r>
    </w:p>
    <w:p w14:paraId="49898942" w14:textId="53A5F365" w:rsidR="00825957" w:rsidRPr="00BA32F2" w:rsidRDefault="00825957" w:rsidP="009000B4">
      <w:pPr>
        <w:pStyle w:val="NoSpacing"/>
        <w:numPr>
          <w:ilvl w:val="0"/>
          <w:numId w:val="25"/>
        </w:numPr>
        <w:jc w:val="both"/>
      </w:pPr>
      <w:r w:rsidRPr="00BA32F2">
        <w:t>Design, development and solving engineering problems</w:t>
      </w:r>
      <w:r w:rsidR="00C46911">
        <w:t xml:space="preserve"> (Satisfies A. of BS 8670)</w:t>
      </w:r>
    </w:p>
    <w:p w14:paraId="3C637867" w14:textId="025FAF0A" w:rsidR="00825957" w:rsidRPr="00BA32F2" w:rsidRDefault="00825957" w:rsidP="009000B4">
      <w:pPr>
        <w:pStyle w:val="NoSpacing"/>
        <w:numPr>
          <w:ilvl w:val="0"/>
          <w:numId w:val="25"/>
        </w:numPr>
        <w:jc w:val="both"/>
      </w:pPr>
      <w:r w:rsidRPr="00BA32F2">
        <w:lastRenderedPageBreak/>
        <w:t>Responsibility, management and leadership</w:t>
      </w:r>
      <w:r w:rsidR="00C46911">
        <w:t xml:space="preserve"> (Satisfies C. &amp; F. of BS 8670)</w:t>
      </w:r>
    </w:p>
    <w:p w14:paraId="4F0ECF93" w14:textId="51D4349B" w:rsidR="00825957" w:rsidRPr="00BA32F2" w:rsidRDefault="00825957" w:rsidP="009000B4">
      <w:pPr>
        <w:pStyle w:val="NoSpacing"/>
        <w:numPr>
          <w:ilvl w:val="0"/>
          <w:numId w:val="25"/>
        </w:numPr>
        <w:jc w:val="both"/>
      </w:pPr>
      <w:r w:rsidRPr="00BA32F2">
        <w:t>Communication and interpersonal skills</w:t>
      </w:r>
      <w:r w:rsidR="00C46911">
        <w:t xml:space="preserve"> (Satisfies C. of BS 8670)</w:t>
      </w:r>
    </w:p>
    <w:p w14:paraId="1152BAE2" w14:textId="7F6AB1D6" w:rsidR="00617F4C" w:rsidRDefault="00825957" w:rsidP="009000B4">
      <w:pPr>
        <w:pStyle w:val="NoSpacing"/>
        <w:numPr>
          <w:ilvl w:val="0"/>
          <w:numId w:val="25"/>
        </w:numPr>
        <w:jc w:val="both"/>
      </w:pPr>
      <w:r w:rsidRPr="00BA32F2">
        <w:t>Professional commitment</w:t>
      </w:r>
      <w:r w:rsidR="00C46911">
        <w:t xml:space="preserve"> (Satisfies D. &amp; F. of BS 8670)</w:t>
      </w:r>
    </w:p>
    <w:p w14:paraId="29BE0EC7" w14:textId="77777777" w:rsidR="00FC6CBE" w:rsidRDefault="00FC6CBE" w:rsidP="009000B4">
      <w:pPr>
        <w:spacing w:line="360" w:lineRule="auto"/>
        <w:jc w:val="both"/>
        <w:rPr>
          <w:rFonts w:cs="Times New Roman"/>
        </w:rPr>
      </w:pPr>
      <w:r w:rsidRPr="00EF7AE2">
        <w:rPr>
          <w:rFonts w:cs="Times New Roman"/>
          <w:noProof/>
        </w:rPr>
        <w:drawing>
          <wp:anchor distT="0" distB="0" distL="114300" distR="114300" simplePos="0" relativeHeight="251734016" behindDoc="0" locked="0" layoutInCell="1" allowOverlap="1" wp14:anchorId="6F2A90B8" wp14:editId="79B65E76">
            <wp:simplePos x="0" y="0"/>
            <wp:positionH relativeFrom="margin">
              <wp:align>center</wp:align>
            </wp:positionH>
            <wp:positionV relativeFrom="paragraph">
              <wp:posOffset>2769235</wp:posOffset>
            </wp:positionV>
            <wp:extent cx="4070350" cy="2797810"/>
            <wp:effectExtent l="0" t="0" r="6350" b="2540"/>
            <wp:wrapTopAndBottom/>
            <wp:docPr id="41562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56273" name="Picture 1"/>
                    <pic:cNvPicPr/>
                  </pic:nvPicPr>
                  <pic:blipFill>
                    <a:blip r:embed="rId8" cstate="print">
                      <a:extLst>
                        <a:ext uri="{28A0092B-C50C-407E-A947-70E740481C1C}">
                          <a14:useLocalDpi xmlns:a14="http://schemas.microsoft.com/office/drawing/2010/main" val="0"/>
                        </a:ext>
                      </a:extLst>
                    </a:blip>
                    <a:stretch>
                      <a:fillRect/>
                    </a:stretch>
                  </pic:blipFill>
                  <pic:spPr>
                    <a:xfrm>
                      <a:off x="0" y="0"/>
                      <a:ext cx="4070350" cy="2797810"/>
                    </a:xfrm>
                    <a:prstGeom prst="rect">
                      <a:avLst/>
                    </a:prstGeom>
                  </pic:spPr>
                </pic:pic>
              </a:graphicData>
            </a:graphic>
            <wp14:sizeRelH relativeFrom="margin">
              <wp14:pctWidth>0</wp14:pctWidth>
            </wp14:sizeRelH>
            <wp14:sizeRelV relativeFrom="margin">
              <wp14:pctHeight>0</wp14:pctHeight>
            </wp14:sizeRelV>
          </wp:anchor>
        </w:drawing>
      </w:r>
      <w:r w:rsidRPr="00EF7AE2">
        <w:rPr>
          <w:rFonts w:cs="Times New Roman"/>
          <w:noProof/>
        </w:rPr>
        <w:drawing>
          <wp:anchor distT="0" distB="0" distL="114300" distR="114300" simplePos="0" relativeHeight="251732992" behindDoc="0" locked="0" layoutInCell="1" allowOverlap="1" wp14:anchorId="3A534A7B" wp14:editId="740EE00E">
            <wp:simplePos x="0" y="0"/>
            <wp:positionH relativeFrom="margin">
              <wp:align>center</wp:align>
            </wp:positionH>
            <wp:positionV relativeFrom="paragraph">
              <wp:posOffset>5810250</wp:posOffset>
            </wp:positionV>
            <wp:extent cx="4076700" cy="2807970"/>
            <wp:effectExtent l="0" t="0" r="0" b="0"/>
            <wp:wrapTopAndBottom/>
            <wp:docPr id="2058255921"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8255921" name="Picture 1" descr="A screenshot of a computer screen&#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4076700" cy="2807970"/>
                    </a:xfrm>
                    <a:prstGeom prst="rect">
                      <a:avLst/>
                    </a:prstGeom>
                  </pic:spPr>
                </pic:pic>
              </a:graphicData>
            </a:graphic>
            <wp14:sizeRelH relativeFrom="margin">
              <wp14:pctWidth>0</wp14:pctWidth>
            </wp14:sizeRelH>
            <wp14:sizeRelV relativeFrom="margin">
              <wp14:pctHeight>0</wp14:pctHeight>
            </wp14:sizeRelV>
          </wp:anchor>
        </w:drawing>
      </w:r>
      <w:r w:rsidRPr="00EF7AE2">
        <w:rPr>
          <w:rFonts w:cs="Times New Roman"/>
          <w:noProof/>
        </w:rPr>
        <mc:AlternateContent>
          <mc:Choice Requires="wps">
            <w:drawing>
              <wp:anchor distT="45720" distB="45720" distL="114300" distR="114300" simplePos="0" relativeHeight="251730944" behindDoc="0" locked="0" layoutInCell="1" allowOverlap="1" wp14:anchorId="5E8C33B9" wp14:editId="15AB92B4">
                <wp:simplePos x="0" y="0"/>
                <wp:positionH relativeFrom="margin">
                  <wp:align>right</wp:align>
                </wp:positionH>
                <wp:positionV relativeFrom="paragraph">
                  <wp:posOffset>8574405</wp:posOffset>
                </wp:positionV>
                <wp:extent cx="5695950" cy="279400"/>
                <wp:effectExtent l="0" t="0" r="0" b="6350"/>
                <wp:wrapSquare wrapText="bothSides"/>
                <wp:docPr id="60730310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95950" cy="279400"/>
                        </a:xfrm>
                        <a:prstGeom prst="rect">
                          <a:avLst/>
                        </a:prstGeom>
                        <a:noFill/>
                        <a:ln w="9525">
                          <a:noFill/>
                          <a:miter lim="800000"/>
                          <a:headEnd/>
                          <a:tailEnd/>
                        </a:ln>
                      </wps:spPr>
                      <wps:txbx>
                        <w:txbxContent>
                          <w:p w14:paraId="001AFD0C" w14:textId="75CC936C" w:rsidR="00EF7AE2" w:rsidRPr="00EF7AE2" w:rsidRDefault="00EF7AE2" w:rsidP="00EF7AE2">
                            <w:pPr>
                              <w:jc w:val="center"/>
                              <w:rPr>
                                <w:sz w:val="16"/>
                                <w:szCs w:val="16"/>
                              </w:rPr>
                            </w:pPr>
                            <w:r w:rsidRPr="00EF7AE2">
                              <w:rPr>
                                <w:b/>
                                <w:bCs/>
                                <w:sz w:val="16"/>
                                <w:szCs w:val="16"/>
                              </w:rPr>
                              <w:t xml:space="preserve">Figure </w:t>
                            </w:r>
                            <w:r>
                              <w:rPr>
                                <w:b/>
                                <w:bCs/>
                                <w:sz w:val="16"/>
                                <w:szCs w:val="16"/>
                              </w:rPr>
                              <w:t>3</w:t>
                            </w:r>
                            <w:r w:rsidRPr="00EF7AE2">
                              <w:rPr>
                                <w:b/>
                                <w:bCs/>
                                <w:sz w:val="16"/>
                                <w:szCs w:val="16"/>
                              </w:rPr>
                              <w:t>.</w:t>
                            </w:r>
                            <w:r w:rsidRPr="00EF7AE2">
                              <w:rPr>
                                <w:sz w:val="16"/>
                                <w:szCs w:val="16"/>
                              </w:rPr>
                              <w:t xml:space="preserve"> UKSPEC HRB Standard</w:t>
                            </w:r>
                            <w:r>
                              <w:rPr>
                                <w:sz w:val="16"/>
                                <w:szCs w:val="16"/>
                              </w:rPr>
                              <w:t xml:space="preserve"> Cont.</w:t>
                            </w:r>
                            <w:r w:rsidRPr="00EF7AE2">
                              <w:rPr>
                                <w:sz w:val="16"/>
                                <w:szCs w:val="16"/>
                              </w:rPr>
                              <w:t xml:space="preserve"> (Engineering Council, 2025)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E8C33B9" id="_x0000_t202" coordsize="21600,21600" o:spt="202" path="m,l,21600r21600,l21600,xe">
                <v:stroke joinstyle="miter"/>
                <v:path gradientshapeok="t" o:connecttype="rect"/>
              </v:shapetype>
              <v:shape id="Text Box 2" o:spid="_x0000_s1026" type="#_x0000_t202" style="position:absolute;left:0;text-align:left;margin-left:397.3pt;margin-top:675.15pt;width:448.5pt;height:22pt;z-index:25173094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" filled="f" stroked="f">
                <v:textbox>
                  <w:txbxContent>
                    <w:p w14:paraId="001AFD0C" w14:textId="75CC936C" w:rsidR="00EF7AE2" w:rsidRPr="00EF7AE2" w:rsidRDefault="00EF7AE2" w:rsidP="00EF7AE2">
                      <w:pPr>
                        <w:jc w:val="center"/>
                        <w:rPr>
                          <w:sz w:val="16"/>
                          <w:szCs w:val="16"/>
                        </w:rPr>
                      </w:pPr>
                      <w:r w:rsidRPr="00EF7AE2">
                        <w:rPr>
                          <w:b/>
                          <w:bCs/>
                          <w:sz w:val="16"/>
                          <w:szCs w:val="16"/>
                        </w:rPr>
                        <w:t xml:space="preserve">Figure </w:t>
                      </w:r>
                      <w:r>
                        <w:rPr>
                          <w:b/>
                          <w:bCs/>
                          <w:sz w:val="16"/>
                          <w:szCs w:val="16"/>
                        </w:rPr>
                        <w:t>3</w:t>
                      </w:r>
                      <w:r w:rsidRPr="00EF7AE2">
                        <w:rPr>
                          <w:b/>
                          <w:bCs/>
                          <w:sz w:val="16"/>
                          <w:szCs w:val="16"/>
                        </w:rPr>
                        <w:t>.</w:t>
                      </w:r>
                      <w:r w:rsidRPr="00EF7AE2">
                        <w:rPr>
                          <w:sz w:val="16"/>
                          <w:szCs w:val="16"/>
                        </w:rPr>
                        <w:t xml:space="preserve"> UKSPEC HRB Standard</w:t>
                      </w:r>
                      <w:r>
                        <w:rPr>
                          <w:sz w:val="16"/>
                          <w:szCs w:val="16"/>
                        </w:rPr>
                        <w:t xml:space="preserve"> Cont.</w:t>
                      </w:r>
                      <w:r w:rsidRPr="00EF7AE2">
                        <w:rPr>
                          <w:sz w:val="16"/>
                          <w:szCs w:val="16"/>
                        </w:rPr>
                        <w:t xml:space="preserve"> (Engineering Council, 2025)</w:t>
                      </w:r>
                    </w:p>
                  </w:txbxContent>
                </v:textbox>
                <w10:wrap type="square" anchorx="margin"/>
              </v:shape>
            </w:pict>
          </mc:Fallback>
        </mc:AlternateContent>
      </w:r>
      <w:r w:rsidRPr="00EF7AE2">
        <w:rPr>
          <w:rFonts w:cs="Times New Roman"/>
          <w:noProof/>
        </w:rPr>
        <mc:AlternateContent>
          <mc:Choice Requires="wps">
            <w:drawing>
              <wp:anchor distT="45720" distB="45720" distL="114300" distR="114300" simplePos="0" relativeHeight="251728896" behindDoc="0" locked="0" layoutInCell="1" allowOverlap="1" wp14:anchorId="291475BD" wp14:editId="3F03B896">
                <wp:simplePos x="0" y="0"/>
                <wp:positionH relativeFrom="margin">
                  <wp:align>left</wp:align>
                </wp:positionH>
                <wp:positionV relativeFrom="paragraph">
                  <wp:posOffset>5574665</wp:posOffset>
                </wp:positionV>
                <wp:extent cx="5695950" cy="279400"/>
                <wp:effectExtent l="0" t="0" r="0" b="6350"/>
                <wp:wrapSquare wrapText="bothSides"/>
                <wp:docPr id="213350307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95950" cy="279400"/>
                        </a:xfrm>
                        <a:prstGeom prst="rect">
                          <a:avLst/>
                        </a:prstGeom>
                        <a:noFill/>
                        <a:ln w="9525">
                          <a:noFill/>
                          <a:miter lim="800000"/>
                          <a:headEnd/>
                          <a:tailEnd/>
                        </a:ln>
                      </wps:spPr>
                      <wps:txbx>
                        <w:txbxContent>
                          <w:p w14:paraId="14987C37" w14:textId="77777777" w:rsidR="00EF7AE2" w:rsidRPr="00EF7AE2" w:rsidRDefault="00EF7AE2" w:rsidP="00EF7AE2">
                            <w:pPr>
                              <w:jc w:val="center"/>
                              <w:rPr>
                                <w:sz w:val="16"/>
                                <w:szCs w:val="16"/>
                              </w:rPr>
                            </w:pPr>
                            <w:r w:rsidRPr="00EF7AE2">
                              <w:rPr>
                                <w:b/>
                                <w:bCs/>
                                <w:sz w:val="16"/>
                                <w:szCs w:val="16"/>
                              </w:rPr>
                              <w:t xml:space="preserve">Figure </w:t>
                            </w:r>
                            <w:r>
                              <w:rPr>
                                <w:b/>
                                <w:bCs/>
                                <w:sz w:val="16"/>
                                <w:szCs w:val="16"/>
                              </w:rPr>
                              <w:t>2</w:t>
                            </w:r>
                            <w:r w:rsidRPr="00EF7AE2">
                              <w:rPr>
                                <w:b/>
                                <w:bCs/>
                                <w:sz w:val="16"/>
                                <w:szCs w:val="16"/>
                              </w:rPr>
                              <w:t>.</w:t>
                            </w:r>
                            <w:r w:rsidRPr="00EF7AE2">
                              <w:rPr>
                                <w:sz w:val="16"/>
                                <w:szCs w:val="16"/>
                              </w:rPr>
                              <w:t xml:space="preserve"> UKSPEC HRB Standard (Engineering Council, 2025)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1475BD" id="_x0000_s1027" type="#_x0000_t202" style="position:absolute;left:0;text-align:left;margin-left:0;margin-top:438.95pt;width:448.5pt;height:22pt;z-index:251728896;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" filled="f" stroked="f">
                <v:textbox>
                  <w:txbxContent>
                    <w:p w14:paraId="14987C37" w14:textId="77777777" w:rsidR="00EF7AE2" w:rsidRPr="00EF7AE2" w:rsidRDefault="00EF7AE2" w:rsidP="00EF7AE2">
                      <w:pPr>
                        <w:jc w:val="center"/>
                        <w:rPr>
                          <w:sz w:val="16"/>
                          <w:szCs w:val="16"/>
                        </w:rPr>
                      </w:pPr>
                      <w:r w:rsidRPr="00EF7AE2">
                        <w:rPr>
                          <w:b/>
                          <w:bCs/>
                          <w:sz w:val="16"/>
                          <w:szCs w:val="16"/>
                        </w:rPr>
                        <w:t xml:space="preserve">Figure </w:t>
                      </w:r>
                      <w:r>
                        <w:rPr>
                          <w:b/>
                          <w:bCs/>
                          <w:sz w:val="16"/>
                          <w:szCs w:val="16"/>
                        </w:rPr>
                        <w:t>2</w:t>
                      </w:r>
                      <w:r w:rsidRPr="00EF7AE2">
                        <w:rPr>
                          <w:b/>
                          <w:bCs/>
                          <w:sz w:val="16"/>
                          <w:szCs w:val="16"/>
                        </w:rPr>
                        <w:t>.</w:t>
                      </w:r>
                      <w:r w:rsidRPr="00EF7AE2">
                        <w:rPr>
                          <w:sz w:val="16"/>
                          <w:szCs w:val="16"/>
                        </w:rPr>
                        <w:t xml:space="preserve"> UKSPEC HRB Standard (Engineering Council, 2025)</w:t>
                      </w:r>
                    </w:p>
                  </w:txbxContent>
                </v:textbox>
                <w10:wrap type="square" anchorx="margin"/>
              </v:shape>
            </w:pict>
          </mc:Fallback>
        </mc:AlternateContent>
      </w:r>
      <w:r w:rsidRPr="00EF7AE2">
        <w:rPr>
          <w:rFonts w:cs="Times New Roman"/>
          <w:noProof/>
        </w:rPr>
        <mc:AlternateContent>
          <mc:Choice Requires="wps">
            <w:drawing>
              <wp:anchor distT="45720" distB="45720" distL="114300" distR="114300" simplePos="0" relativeHeight="251722752" behindDoc="0" locked="0" layoutInCell="1" allowOverlap="1" wp14:anchorId="23886516" wp14:editId="5AE469B5">
                <wp:simplePos x="0" y="0"/>
                <wp:positionH relativeFrom="margin">
                  <wp:align>left</wp:align>
                </wp:positionH>
                <wp:positionV relativeFrom="paragraph">
                  <wp:posOffset>2546350</wp:posOffset>
                </wp:positionV>
                <wp:extent cx="5695950" cy="279400"/>
                <wp:effectExtent l="0" t="0" r="0" b="63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95950" cy="279400"/>
                        </a:xfrm>
                        <a:prstGeom prst="rect">
                          <a:avLst/>
                        </a:prstGeom>
                        <a:noFill/>
                        <a:ln w="9525">
                          <a:noFill/>
                          <a:miter lim="800000"/>
                          <a:headEnd/>
                          <a:tailEnd/>
                        </a:ln>
                      </wps:spPr>
                      <wps:txbx>
                        <w:txbxContent>
                          <w:p w14:paraId="764D3691" w14:textId="5C4A587D" w:rsidR="00EF7AE2" w:rsidRPr="00EF7AE2" w:rsidRDefault="00EF7AE2" w:rsidP="00EF7AE2">
                            <w:pPr>
                              <w:jc w:val="center"/>
                              <w:rPr>
                                <w:sz w:val="16"/>
                                <w:szCs w:val="16"/>
                              </w:rPr>
                            </w:pPr>
                            <w:r w:rsidRPr="00EF7AE2">
                              <w:rPr>
                                <w:b/>
                                <w:bCs/>
                                <w:sz w:val="16"/>
                                <w:szCs w:val="16"/>
                              </w:rPr>
                              <w:t>Figure 1.</w:t>
                            </w:r>
                            <w:r w:rsidRPr="00EF7AE2">
                              <w:rPr>
                                <w:sz w:val="16"/>
                                <w:szCs w:val="16"/>
                              </w:rPr>
                              <w:t xml:space="preserve"> UKSPEC Non-HRB Standard (Engineering Council, 2025)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3886516" id="_x0000_s1028" type="#_x0000_t202" style="position:absolute;left:0;text-align:left;margin-left:0;margin-top:200.5pt;width:448.5pt;height:22pt;z-index:25172275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" filled="f" stroked="f">
                <v:textbox>
                  <w:txbxContent>
                    <w:p w14:paraId="764D3691" w14:textId="5C4A587D" w:rsidR="00EF7AE2" w:rsidRPr="00EF7AE2" w:rsidRDefault="00EF7AE2" w:rsidP="00EF7AE2">
                      <w:pPr>
                        <w:jc w:val="center"/>
                        <w:rPr>
                          <w:sz w:val="16"/>
                          <w:szCs w:val="16"/>
                        </w:rPr>
                      </w:pPr>
                      <w:r w:rsidRPr="00EF7AE2">
                        <w:rPr>
                          <w:b/>
                          <w:bCs/>
                          <w:sz w:val="16"/>
                          <w:szCs w:val="16"/>
                        </w:rPr>
                        <w:t>Figure 1.</w:t>
                      </w:r>
                      <w:r w:rsidRPr="00EF7AE2">
                        <w:rPr>
                          <w:sz w:val="16"/>
                          <w:szCs w:val="16"/>
                        </w:rPr>
                        <w:t xml:space="preserve"> UKSPEC Non-HRB Standard (Engineering Council, 2025)</w:t>
                      </w:r>
                    </w:p>
                  </w:txbxContent>
                </v:textbox>
                <w10:wrap type="square" anchorx="margin"/>
              </v:shape>
            </w:pict>
          </mc:Fallback>
        </mc:AlternateContent>
      </w:r>
      <w:r w:rsidR="00C46911" w:rsidRPr="00751ABF">
        <w:rPr>
          <w:rFonts w:cs="Times New Roman"/>
          <w:noProof/>
        </w:rPr>
        <w:drawing>
          <wp:anchor distT="0" distB="0" distL="114300" distR="114300" simplePos="0" relativeHeight="251735040" behindDoc="0" locked="0" layoutInCell="1" allowOverlap="1" wp14:anchorId="0DA414F1" wp14:editId="59BAF326">
            <wp:simplePos x="0" y="0"/>
            <wp:positionH relativeFrom="margin">
              <wp:align>center</wp:align>
            </wp:positionH>
            <wp:positionV relativeFrom="paragraph">
              <wp:posOffset>1099580</wp:posOffset>
            </wp:positionV>
            <wp:extent cx="4055110" cy="1416050"/>
            <wp:effectExtent l="0" t="0" r="2540" b="0"/>
            <wp:wrapTopAndBottom/>
            <wp:docPr id="880783723"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0783723" name="Picture 1" descr="A screenshot of a computer screen&#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055110" cy="1416050"/>
                    </a:xfrm>
                    <a:prstGeom prst="rect">
                      <a:avLst/>
                    </a:prstGeom>
                  </pic:spPr>
                </pic:pic>
              </a:graphicData>
            </a:graphic>
          </wp:anchor>
        </w:drawing>
      </w:r>
      <w:r w:rsidR="00751ABF">
        <w:rPr>
          <w:rFonts w:cs="Times New Roman"/>
        </w:rPr>
        <w:t>The UKSPEC framework highlights the expectations and relevant experience per registration i.e., the expectations of an engineering technician working on a HRB development vastly differs from a engineering technician working on a Non-HRB development. A comparison of section A</w:t>
      </w:r>
      <w:r w:rsidR="00486567">
        <w:rPr>
          <w:rFonts w:cs="Times New Roman"/>
        </w:rPr>
        <w:t xml:space="preserve"> is depicted between figure 1 and figures 2 to 5 </w:t>
      </w:r>
      <w:r w:rsidR="009E3AC0">
        <w:rPr>
          <w:rFonts w:cs="Times New Roman"/>
        </w:rPr>
        <w:t>below</w:t>
      </w:r>
      <w:r w:rsidR="00751ABF">
        <w:rPr>
          <w:rFonts w:cs="Times New Roman"/>
        </w:rPr>
        <w:t>:</w:t>
      </w:r>
    </w:p>
    <w:p w14:paraId="071D90DD" w14:textId="4AAB43B2" w:rsidR="00EF7AE2" w:rsidRDefault="00FC6CBE" w:rsidP="009000B4">
      <w:pPr>
        <w:spacing w:line="360" w:lineRule="auto"/>
        <w:jc w:val="both"/>
        <w:rPr>
          <w:rFonts w:cs="Times New Roman"/>
        </w:rPr>
      </w:pPr>
      <w:r w:rsidRPr="00EF7AE2">
        <w:rPr>
          <w:rFonts w:cs="Times New Roman"/>
          <w:noProof/>
        </w:rPr>
        <w:lastRenderedPageBreak/>
        <mc:AlternateContent>
          <mc:Choice Requires="wps">
            <w:drawing>
              <wp:anchor distT="45720" distB="45720" distL="114300" distR="114300" simplePos="0" relativeHeight="251724800" behindDoc="0" locked="0" layoutInCell="1" allowOverlap="1" wp14:anchorId="7C22DE87" wp14:editId="28089954">
                <wp:simplePos x="0" y="0"/>
                <wp:positionH relativeFrom="margin">
                  <wp:posOffset>3810</wp:posOffset>
                </wp:positionH>
                <wp:positionV relativeFrom="paragraph">
                  <wp:posOffset>5777230</wp:posOffset>
                </wp:positionV>
                <wp:extent cx="5695950" cy="279400"/>
                <wp:effectExtent l="0" t="0" r="0" b="6350"/>
                <wp:wrapSquare wrapText="bothSides"/>
                <wp:docPr id="123954256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95950" cy="279400"/>
                        </a:xfrm>
                        <a:prstGeom prst="rect">
                          <a:avLst/>
                        </a:prstGeom>
                        <a:noFill/>
                        <a:ln w="9525">
                          <a:noFill/>
                          <a:miter lim="800000"/>
                          <a:headEnd/>
                          <a:tailEnd/>
                        </a:ln>
                      </wps:spPr>
                      <wps:txbx>
                        <w:txbxContent>
                          <w:p w14:paraId="152FE9FB" w14:textId="25413D6C" w:rsidR="00EF7AE2" w:rsidRPr="00EF7AE2" w:rsidRDefault="00EF7AE2" w:rsidP="00EF7AE2">
                            <w:pPr>
                              <w:jc w:val="center"/>
                              <w:rPr>
                                <w:sz w:val="16"/>
                                <w:szCs w:val="16"/>
                              </w:rPr>
                            </w:pPr>
                            <w:r w:rsidRPr="00EF7AE2">
                              <w:rPr>
                                <w:b/>
                                <w:bCs/>
                                <w:sz w:val="16"/>
                                <w:szCs w:val="16"/>
                              </w:rPr>
                              <w:t xml:space="preserve">Figure </w:t>
                            </w:r>
                            <w:r>
                              <w:rPr>
                                <w:b/>
                                <w:bCs/>
                                <w:sz w:val="16"/>
                                <w:szCs w:val="16"/>
                              </w:rPr>
                              <w:t>5</w:t>
                            </w:r>
                            <w:r w:rsidRPr="00EF7AE2">
                              <w:rPr>
                                <w:b/>
                                <w:bCs/>
                                <w:sz w:val="16"/>
                                <w:szCs w:val="16"/>
                              </w:rPr>
                              <w:t>.</w:t>
                            </w:r>
                            <w:r w:rsidRPr="00EF7AE2">
                              <w:rPr>
                                <w:sz w:val="16"/>
                                <w:szCs w:val="16"/>
                              </w:rPr>
                              <w:t xml:space="preserve"> UKSPEC HRB Standard </w:t>
                            </w:r>
                            <w:r>
                              <w:rPr>
                                <w:sz w:val="16"/>
                                <w:szCs w:val="16"/>
                              </w:rPr>
                              <w:t xml:space="preserve">Cont. </w:t>
                            </w:r>
                            <w:r w:rsidRPr="00EF7AE2">
                              <w:rPr>
                                <w:sz w:val="16"/>
                                <w:szCs w:val="16"/>
                              </w:rPr>
                              <w:t>(Engineering Council, 2025)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C22DE87" id="_x0000_s1029" type="#_x0000_t202" style="position:absolute;left:0;text-align:left;margin-left:.3pt;margin-top:454.9pt;width:448.5pt;height:22pt;z-index:25172480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" filled="f" stroked="f">
                <v:textbox>
                  <w:txbxContent>
                    <w:p w14:paraId="152FE9FB" w14:textId="25413D6C" w:rsidR="00EF7AE2" w:rsidRPr="00EF7AE2" w:rsidRDefault="00EF7AE2" w:rsidP="00EF7AE2">
                      <w:pPr>
                        <w:jc w:val="center"/>
                        <w:rPr>
                          <w:sz w:val="16"/>
                          <w:szCs w:val="16"/>
                        </w:rPr>
                      </w:pPr>
                      <w:r w:rsidRPr="00EF7AE2">
                        <w:rPr>
                          <w:b/>
                          <w:bCs/>
                          <w:sz w:val="16"/>
                          <w:szCs w:val="16"/>
                        </w:rPr>
                        <w:t xml:space="preserve">Figure </w:t>
                      </w:r>
                      <w:r>
                        <w:rPr>
                          <w:b/>
                          <w:bCs/>
                          <w:sz w:val="16"/>
                          <w:szCs w:val="16"/>
                        </w:rPr>
                        <w:t>5</w:t>
                      </w:r>
                      <w:r w:rsidRPr="00EF7AE2">
                        <w:rPr>
                          <w:b/>
                          <w:bCs/>
                          <w:sz w:val="16"/>
                          <w:szCs w:val="16"/>
                        </w:rPr>
                        <w:t>.</w:t>
                      </w:r>
                      <w:r w:rsidRPr="00EF7AE2">
                        <w:rPr>
                          <w:sz w:val="16"/>
                          <w:szCs w:val="16"/>
                        </w:rPr>
                        <w:t xml:space="preserve"> UKSPEC HRB Standard </w:t>
                      </w:r>
                      <w:r>
                        <w:rPr>
                          <w:sz w:val="16"/>
                          <w:szCs w:val="16"/>
                        </w:rPr>
                        <w:t xml:space="preserve">Cont. </w:t>
                      </w:r>
                      <w:r w:rsidRPr="00EF7AE2">
                        <w:rPr>
                          <w:sz w:val="16"/>
                          <w:szCs w:val="16"/>
                        </w:rPr>
                        <w:t>(Engineering Council, 2025)</w:t>
                      </w:r>
                    </w:p>
                  </w:txbxContent>
                </v:textbox>
                <w10:wrap type="square" anchorx="margin"/>
              </v:shape>
            </w:pict>
          </mc:Fallback>
        </mc:AlternateContent>
      </w:r>
      <w:r w:rsidRPr="00EF7AE2">
        <w:rPr>
          <w:rFonts w:cs="Times New Roman"/>
          <w:noProof/>
        </w:rPr>
        <w:drawing>
          <wp:anchor distT="0" distB="0" distL="114300" distR="114300" simplePos="0" relativeHeight="251736064" behindDoc="0" locked="0" layoutInCell="1" allowOverlap="1" wp14:anchorId="54ACBD7A" wp14:editId="33157875">
            <wp:simplePos x="0" y="0"/>
            <wp:positionH relativeFrom="margin">
              <wp:posOffset>862965</wp:posOffset>
            </wp:positionH>
            <wp:positionV relativeFrom="paragraph">
              <wp:posOffset>3058795</wp:posOffset>
            </wp:positionV>
            <wp:extent cx="4004945" cy="2743835"/>
            <wp:effectExtent l="0" t="0" r="0" b="0"/>
            <wp:wrapTopAndBottom/>
            <wp:docPr id="128188713" name="Picture 1"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188713" name="Picture 1" descr="A close-up of a document&#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004945" cy="2743835"/>
                    </a:xfrm>
                    <a:prstGeom prst="rect">
                      <a:avLst/>
                    </a:prstGeom>
                  </pic:spPr>
                </pic:pic>
              </a:graphicData>
            </a:graphic>
            <wp14:sizeRelH relativeFrom="margin">
              <wp14:pctWidth>0</wp14:pctWidth>
            </wp14:sizeRelH>
            <wp14:sizeRelV relativeFrom="margin">
              <wp14:pctHeight>0</wp14:pctHeight>
            </wp14:sizeRelV>
          </wp:anchor>
        </w:drawing>
      </w:r>
      <w:r w:rsidRPr="00EF7AE2">
        <w:rPr>
          <w:rFonts w:cs="Times New Roman"/>
          <w:noProof/>
        </w:rPr>
        <mc:AlternateContent>
          <mc:Choice Requires="wps">
            <w:drawing>
              <wp:anchor distT="45720" distB="45720" distL="114300" distR="114300" simplePos="0" relativeHeight="251726848" behindDoc="0" locked="0" layoutInCell="1" allowOverlap="1" wp14:anchorId="47039BB5" wp14:editId="7050C340">
                <wp:simplePos x="0" y="0"/>
                <wp:positionH relativeFrom="margin">
                  <wp:align>left</wp:align>
                </wp:positionH>
                <wp:positionV relativeFrom="paragraph">
                  <wp:posOffset>2784475</wp:posOffset>
                </wp:positionV>
                <wp:extent cx="5695950" cy="279400"/>
                <wp:effectExtent l="0" t="0" r="0" b="6350"/>
                <wp:wrapSquare wrapText="bothSides"/>
                <wp:docPr id="149174945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95950" cy="279400"/>
                        </a:xfrm>
                        <a:prstGeom prst="rect">
                          <a:avLst/>
                        </a:prstGeom>
                        <a:noFill/>
                        <a:ln w="9525">
                          <a:noFill/>
                          <a:miter lim="800000"/>
                          <a:headEnd/>
                          <a:tailEnd/>
                        </a:ln>
                      </wps:spPr>
                      <wps:txbx>
                        <w:txbxContent>
                          <w:p w14:paraId="749CA784" w14:textId="2E625509" w:rsidR="00EF7AE2" w:rsidRPr="00EF7AE2" w:rsidRDefault="00EF7AE2" w:rsidP="00EF7AE2">
                            <w:pPr>
                              <w:jc w:val="center"/>
                              <w:rPr>
                                <w:sz w:val="16"/>
                                <w:szCs w:val="16"/>
                              </w:rPr>
                            </w:pPr>
                            <w:r w:rsidRPr="00EF7AE2">
                              <w:rPr>
                                <w:b/>
                                <w:bCs/>
                                <w:sz w:val="16"/>
                                <w:szCs w:val="16"/>
                              </w:rPr>
                              <w:t xml:space="preserve">Figure </w:t>
                            </w:r>
                            <w:r>
                              <w:rPr>
                                <w:b/>
                                <w:bCs/>
                                <w:sz w:val="16"/>
                                <w:szCs w:val="16"/>
                              </w:rPr>
                              <w:t>4</w:t>
                            </w:r>
                            <w:r w:rsidRPr="00EF7AE2">
                              <w:rPr>
                                <w:b/>
                                <w:bCs/>
                                <w:sz w:val="16"/>
                                <w:szCs w:val="16"/>
                              </w:rPr>
                              <w:t>.</w:t>
                            </w:r>
                            <w:r w:rsidRPr="00EF7AE2">
                              <w:rPr>
                                <w:sz w:val="16"/>
                                <w:szCs w:val="16"/>
                              </w:rPr>
                              <w:t xml:space="preserve"> UKSPEC HRB Standard</w:t>
                            </w:r>
                            <w:r>
                              <w:rPr>
                                <w:sz w:val="16"/>
                                <w:szCs w:val="16"/>
                              </w:rPr>
                              <w:t xml:space="preserve"> Cont.</w:t>
                            </w:r>
                            <w:r w:rsidRPr="00EF7AE2">
                              <w:rPr>
                                <w:sz w:val="16"/>
                                <w:szCs w:val="16"/>
                              </w:rPr>
                              <w:t xml:space="preserve"> (Engineering Council, 2025)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7039BB5" id="_x0000_s1030" type="#_x0000_t202" style="position:absolute;left:0;text-align:left;margin-left:0;margin-top:219.25pt;width:448.5pt;height:22pt;z-index:251726848;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" filled="f" stroked="f">
                <v:textbox>
                  <w:txbxContent>
                    <w:p w14:paraId="749CA784" w14:textId="2E625509" w:rsidR="00EF7AE2" w:rsidRPr="00EF7AE2" w:rsidRDefault="00EF7AE2" w:rsidP="00EF7AE2">
                      <w:pPr>
                        <w:jc w:val="center"/>
                        <w:rPr>
                          <w:sz w:val="16"/>
                          <w:szCs w:val="16"/>
                        </w:rPr>
                      </w:pPr>
                      <w:r w:rsidRPr="00EF7AE2">
                        <w:rPr>
                          <w:b/>
                          <w:bCs/>
                          <w:sz w:val="16"/>
                          <w:szCs w:val="16"/>
                        </w:rPr>
                        <w:t xml:space="preserve">Figure </w:t>
                      </w:r>
                      <w:r>
                        <w:rPr>
                          <w:b/>
                          <w:bCs/>
                          <w:sz w:val="16"/>
                          <w:szCs w:val="16"/>
                        </w:rPr>
                        <w:t>4</w:t>
                      </w:r>
                      <w:r w:rsidRPr="00EF7AE2">
                        <w:rPr>
                          <w:b/>
                          <w:bCs/>
                          <w:sz w:val="16"/>
                          <w:szCs w:val="16"/>
                        </w:rPr>
                        <w:t>.</w:t>
                      </w:r>
                      <w:r w:rsidRPr="00EF7AE2">
                        <w:rPr>
                          <w:sz w:val="16"/>
                          <w:szCs w:val="16"/>
                        </w:rPr>
                        <w:t xml:space="preserve"> UKSPEC HRB Standard</w:t>
                      </w:r>
                      <w:r>
                        <w:rPr>
                          <w:sz w:val="16"/>
                          <w:szCs w:val="16"/>
                        </w:rPr>
                        <w:t xml:space="preserve"> Cont.</w:t>
                      </w:r>
                      <w:r w:rsidRPr="00EF7AE2">
                        <w:rPr>
                          <w:sz w:val="16"/>
                          <w:szCs w:val="16"/>
                        </w:rPr>
                        <w:t xml:space="preserve"> (Engineering Council, 2025)</w:t>
                      </w:r>
                    </w:p>
                  </w:txbxContent>
                </v:textbox>
                <w10:wrap type="square" anchorx="margin"/>
              </v:shape>
            </w:pict>
          </mc:Fallback>
        </mc:AlternateContent>
      </w:r>
      <w:r w:rsidRPr="00EF7AE2">
        <w:rPr>
          <w:rFonts w:cs="Times New Roman"/>
          <w:noProof/>
        </w:rPr>
        <w:drawing>
          <wp:anchor distT="0" distB="0" distL="114300" distR="114300" simplePos="0" relativeHeight="251738112" behindDoc="0" locked="0" layoutInCell="1" allowOverlap="1" wp14:anchorId="369BD62B" wp14:editId="5CA11955">
            <wp:simplePos x="0" y="0"/>
            <wp:positionH relativeFrom="margin">
              <wp:align>center</wp:align>
            </wp:positionH>
            <wp:positionV relativeFrom="paragraph">
              <wp:posOffset>0</wp:posOffset>
            </wp:positionV>
            <wp:extent cx="4006850" cy="2750820"/>
            <wp:effectExtent l="0" t="0" r="0" b="0"/>
            <wp:wrapTopAndBottom/>
            <wp:docPr id="94825162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8251622" name="Picture 1" descr="A screenshot of a computer&#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006850" cy="2750820"/>
                    </a:xfrm>
                    <a:prstGeom prst="rect">
                      <a:avLst/>
                    </a:prstGeom>
                  </pic:spPr>
                </pic:pic>
              </a:graphicData>
            </a:graphic>
            <wp14:sizeRelH relativeFrom="margin">
              <wp14:pctWidth>0</wp14:pctWidth>
            </wp14:sizeRelH>
            <wp14:sizeRelV relativeFrom="margin">
              <wp14:pctHeight>0</wp14:pctHeight>
            </wp14:sizeRelV>
          </wp:anchor>
        </w:drawing>
      </w:r>
    </w:p>
    <w:p w14:paraId="3C6E0397" w14:textId="3AA14937" w:rsidR="00EF7AE2" w:rsidRDefault="00751ABF" w:rsidP="009000B4">
      <w:pPr>
        <w:spacing w:line="360" w:lineRule="auto"/>
        <w:jc w:val="both"/>
        <w:rPr>
          <w:rFonts w:cs="Times New Roman"/>
        </w:rPr>
      </w:pPr>
      <w:r>
        <w:rPr>
          <w:rFonts w:cs="Times New Roman"/>
        </w:rPr>
        <w:t>As evident in figure</w:t>
      </w:r>
      <w:r w:rsidR="00EF7AE2">
        <w:rPr>
          <w:rFonts w:cs="Times New Roman"/>
        </w:rPr>
        <w:t>s 2, 3, 4 &amp; 5</w:t>
      </w:r>
      <w:r>
        <w:rPr>
          <w:rFonts w:cs="Times New Roman"/>
        </w:rPr>
        <w:t xml:space="preserve">, the level of depth and detail expected of engineers registering to work on HRBs is significantly more detailed and demanding in comparison to </w:t>
      </w:r>
      <w:r w:rsidR="00EF7AE2">
        <w:rPr>
          <w:rFonts w:cs="Times New Roman"/>
        </w:rPr>
        <w:t xml:space="preserve">those on </w:t>
      </w:r>
      <w:r w:rsidR="00742D09">
        <w:rPr>
          <w:rFonts w:cs="Times New Roman"/>
        </w:rPr>
        <w:t>non-HRB</w:t>
      </w:r>
      <w:r w:rsidR="00EF7AE2">
        <w:rPr>
          <w:rFonts w:cs="Times New Roman"/>
        </w:rPr>
        <w:t xml:space="preserve"> developments</w:t>
      </w:r>
      <w:r>
        <w:rPr>
          <w:rFonts w:cs="Times New Roman"/>
        </w:rPr>
        <w:t>.</w:t>
      </w:r>
      <w:r w:rsidR="00EF7AE2">
        <w:rPr>
          <w:rFonts w:cs="Times New Roman"/>
        </w:rPr>
        <w:t xml:space="preserve"> This is because the purpose of the </w:t>
      </w:r>
      <w:r w:rsidR="00486567">
        <w:rPr>
          <w:rFonts w:cs="Times New Roman"/>
        </w:rPr>
        <w:t>competency framework</w:t>
      </w:r>
      <w:r w:rsidR="00526DDB">
        <w:rPr>
          <w:rFonts w:cs="Times New Roman"/>
        </w:rPr>
        <w:t xml:space="preserve"> is</w:t>
      </w:r>
      <w:r w:rsidR="00486567">
        <w:rPr>
          <w:rFonts w:cs="Times New Roman"/>
        </w:rPr>
        <w:t xml:space="preserve"> to allow engineers to take on the responsibilities of Principal Designers </w:t>
      </w:r>
      <w:r w:rsidR="009E3AC0">
        <w:rPr>
          <w:rFonts w:cs="Times New Roman"/>
        </w:rPr>
        <w:t>or in supporting Principal Designers of a different profession. This</w:t>
      </w:r>
      <w:r w:rsidR="00486567">
        <w:rPr>
          <w:rFonts w:cs="Times New Roman"/>
        </w:rPr>
        <w:t xml:space="preserve"> demands greater holistic knowledge and competence in understanding legislation, their own role, and client and design team management.</w:t>
      </w:r>
    </w:p>
    <w:p w14:paraId="1416F3B0" w14:textId="5CBD9914" w:rsidR="00052404" w:rsidRDefault="003B58A8" w:rsidP="009000B4">
      <w:pPr>
        <w:spacing w:line="360" w:lineRule="auto"/>
        <w:jc w:val="both"/>
        <w:rPr>
          <w:rFonts w:cs="Times New Roman"/>
        </w:rPr>
      </w:pPr>
      <w:r>
        <w:rPr>
          <w:rFonts w:cs="Times New Roman"/>
        </w:rPr>
        <w:t>It can also be</w:t>
      </w:r>
      <w:r w:rsidR="00751ABF">
        <w:rPr>
          <w:rFonts w:cs="Times New Roman"/>
        </w:rPr>
        <w:t xml:space="preserve"> argued that this is a missed opportunity given similar professional bodies, such as the Architectural Registration Board (ARB)</w:t>
      </w:r>
      <w:r w:rsidR="00EF7AE2">
        <w:rPr>
          <w:rFonts w:cs="Times New Roman"/>
        </w:rPr>
        <w:t>,</w:t>
      </w:r>
      <w:r w:rsidR="00751ABF">
        <w:rPr>
          <w:rFonts w:cs="Times New Roman"/>
        </w:rPr>
        <w:t xml:space="preserve"> employ a single framework </w:t>
      </w:r>
      <w:r w:rsidR="00EF7AE2">
        <w:rPr>
          <w:rFonts w:cs="Times New Roman"/>
        </w:rPr>
        <w:t xml:space="preserve">to cater for both Non-HRB and HRB developments (RIBA, 2018). </w:t>
      </w:r>
      <w:r w:rsidR="00486567">
        <w:rPr>
          <w:rFonts w:cs="Times New Roman"/>
        </w:rPr>
        <w:t xml:space="preserve">This </w:t>
      </w:r>
      <w:r w:rsidR="00EF7AE2">
        <w:rPr>
          <w:rFonts w:cs="Times New Roman"/>
        </w:rPr>
        <w:t>permit</w:t>
      </w:r>
      <w:r w:rsidR="00486567">
        <w:rPr>
          <w:rFonts w:cs="Times New Roman"/>
        </w:rPr>
        <w:t>s</w:t>
      </w:r>
      <w:r w:rsidR="00EF7AE2">
        <w:rPr>
          <w:rFonts w:cs="Times New Roman"/>
        </w:rPr>
        <w:t xml:space="preserve"> Architects to take on the responsibilities of a </w:t>
      </w:r>
      <w:r w:rsidR="00EF7AE2">
        <w:rPr>
          <w:rFonts w:cs="Times New Roman"/>
        </w:rPr>
        <w:lastRenderedPageBreak/>
        <w:t xml:space="preserve">Lead and Principal Designer </w:t>
      </w:r>
      <w:r w:rsidR="00486567">
        <w:rPr>
          <w:rFonts w:cs="Times New Roman"/>
        </w:rPr>
        <w:t xml:space="preserve">(ARB, n.d.). </w:t>
      </w:r>
      <w:r w:rsidR="00052404">
        <w:rPr>
          <w:rFonts w:cs="Times New Roman"/>
        </w:rPr>
        <w:t>Nonetheless, the ARB is yet to unveil a revised competence framework that embodies specialism, prevention through design, and meets the demands of the governing body (Yongwoo, 2025).</w:t>
      </w:r>
      <w:r w:rsidRPr="003B58A8">
        <w:rPr>
          <w:rFonts w:cs="Times New Roman"/>
        </w:rPr>
        <w:t xml:space="preserve"> </w:t>
      </w:r>
      <w:r w:rsidRPr="00751ABF">
        <w:rPr>
          <w:rFonts w:cs="Times New Roman"/>
        </w:rPr>
        <w:t>Kellie (2025) outlines that since enactment</w:t>
      </w:r>
      <w:r>
        <w:rPr>
          <w:rFonts w:cs="Times New Roman"/>
        </w:rPr>
        <w:t xml:space="preserve"> in 2022</w:t>
      </w:r>
      <w:r w:rsidRPr="00751ABF">
        <w:rPr>
          <w:rFonts w:cs="Times New Roman"/>
        </w:rPr>
        <w:t>, only 5 out of hundreds of accredited professional bodies have adopted the Engineering Council’s framework which closely aligns with BS 8670’s expectations.</w:t>
      </w:r>
      <w:r w:rsidR="00742D09">
        <w:rPr>
          <w:rFonts w:cs="Times New Roman"/>
        </w:rPr>
        <w:t xml:space="preserve"> </w:t>
      </w:r>
      <w:r w:rsidR="001431BC">
        <w:rPr>
          <w:rFonts w:cs="Times New Roman"/>
        </w:rPr>
        <w:t xml:space="preserve">It can be deduced that this is due to most professional bodies aiming to retain </w:t>
      </w:r>
      <w:r w:rsidR="00742D09">
        <w:rPr>
          <w:rFonts w:cs="Times New Roman"/>
        </w:rPr>
        <w:t>their members</w:t>
      </w:r>
      <w:r w:rsidR="001431BC">
        <w:rPr>
          <w:rFonts w:cs="Times New Roman"/>
        </w:rPr>
        <w:t xml:space="preserve"> and sustain their profitability which is permissible</w:t>
      </w:r>
      <w:r w:rsidR="00742D09">
        <w:rPr>
          <w:rFonts w:cs="Times New Roman"/>
        </w:rPr>
        <w:t xml:space="preserve"> due to limited jurisdiction and intervention by the governing body.  </w:t>
      </w:r>
    </w:p>
    <w:p w14:paraId="682C93F7" w14:textId="2D468FFF" w:rsidR="009428D8" w:rsidRPr="00DB2118" w:rsidRDefault="0064790F" w:rsidP="009000B4">
      <w:pPr>
        <w:pStyle w:val="Heading3"/>
        <w:jc w:val="both"/>
        <w:rPr>
          <w:rFonts w:cs="Times New Roman"/>
          <w:b/>
          <w:bCs/>
          <w:color w:val="auto"/>
          <w:sz w:val="22"/>
          <w:szCs w:val="22"/>
        </w:rPr>
      </w:pPr>
      <w:bookmarkStart w:id="16" w:name="_Toc218947626"/>
      <w:r>
        <w:rPr>
          <w:rFonts w:cs="Times New Roman"/>
          <w:b/>
          <w:bCs/>
          <w:color w:val="auto"/>
          <w:sz w:val="22"/>
          <w:szCs w:val="22"/>
        </w:rPr>
        <w:t>2</w:t>
      </w:r>
      <w:r w:rsidR="008331E7" w:rsidRPr="00DB2118">
        <w:rPr>
          <w:rFonts w:cs="Times New Roman"/>
          <w:b/>
          <w:bCs/>
          <w:color w:val="auto"/>
          <w:sz w:val="22"/>
          <w:szCs w:val="22"/>
        </w:rPr>
        <w:t>.</w:t>
      </w:r>
      <w:r w:rsidR="00C019AE">
        <w:rPr>
          <w:rFonts w:cs="Times New Roman"/>
          <w:b/>
          <w:bCs/>
          <w:color w:val="auto"/>
          <w:sz w:val="22"/>
          <w:szCs w:val="22"/>
        </w:rPr>
        <w:t>3</w:t>
      </w:r>
      <w:r w:rsidR="008331E7" w:rsidRPr="00DB2118">
        <w:rPr>
          <w:rFonts w:cs="Times New Roman"/>
          <w:b/>
          <w:bCs/>
          <w:color w:val="auto"/>
          <w:sz w:val="22"/>
          <w:szCs w:val="22"/>
        </w:rPr>
        <w:t>.</w:t>
      </w:r>
      <w:r w:rsidR="00825957">
        <w:rPr>
          <w:rFonts w:cs="Times New Roman"/>
          <w:b/>
          <w:bCs/>
          <w:color w:val="auto"/>
          <w:sz w:val="22"/>
          <w:szCs w:val="22"/>
        </w:rPr>
        <w:t>2</w:t>
      </w:r>
      <w:r w:rsidR="008331E7" w:rsidRPr="00DB2118">
        <w:rPr>
          <w:rFonts w:cs="Times New Roman"/>
          <w:b/>
          <w:bCs/>
          <w:color w:val="auto"/>
          <w:sz w:val="22"/>
          <w:szCs w:val="22"/>
        </w:rPr>
        <w:t xml:space="preserve"> </w:t>
      </w:r>
      <w:r w:rsidR="008904BD">
        <w:rPr>
          <w:rFonts w:cs="Times New Roman"/>
          <w:b/>
          <w:bCs/>
          <w:color w:val="auto"/>
          <w:sz w:val="22"/>
          <w:szCs w:val="22"/>
        </w:rPr>
        <w:t>Contractor Competency Framework</w:t>
      </w:r>
      <w:bookmarkEnd w:id="16"/>
      <w:r w:rsidR="004849B5">
        <w:rPr>
          <w:rFonts w:cs="Times New Roman"/>
          <w:b/>
          <w:bCs/>
          <w:color w:val="auto"/>
          <w:sz w:val="22"/>
          <w:szCs w:val="22"/>
        </w:rPr>
        <w:t xml:space="preserve"> </w:t>
      </w:r>
    </w:p>
    <w:p w14:paraId="29F68B5E" w14:textId="3690B8FC" w:rsidR="00E67AE1" w:rsidRDefault="00203756" w:rsidP="009000B4">
      <w:pPr>
        <w:spacing w:line="360" w:lineRule="auto"/>
        <w:jc w:val="both"/>
        <w:rPr>
          <w:rFonts w:cs="Times New Roman"/>
        </w:rPr>
      </w:pPr>
      <w:r>
        <w:rPr>
          <w:rFonts w:cs="Times New Roman"/>
        </w:rPr>
        <w:t>In contrast to the push to achieve greater design competence</w:t>
      </w:r>
      <w:r w:rsidR="00617F4C">
        <w:rPr>
          <w:rFonts w:cs="Times New Roman"/>
        </w:rPr>
        <w:t xml:space="preserve">, there has been little progress </w:t>
      </w:r>
      <w:r w:rsidR="009000B4">
        <w:rPr>
          <w:rFonts w:cs="Times New Roman"/>
        </w:rPr>
        <w:t xml:space="preserve">and discourse </w:t>
      </w:r>
      <w:r w:rsidR="00617F4C">
        <w:rPr>
          <w:rFonts w:cs="Times New Roman"/>
        </w:rPr>
        <w:t xml:space="preserve">to standardise </w:t>
      </w:r>
      <w:r w:rsidR="009000B4">
        <w:rPr>
          <w:rFonts w:cs="Times New Roman"/>
        </w:rPr>
        <w:t>the framework for</w:t>
      </w:r>
      <w:r w:rsidR="00617F4C">
        <w:rPr>
          <w:rFonts w:cs="Times New Roman"/>
        </w:rPr>
        <w:t xml:space="preserve"> professional competence of Contractors and Principal Contractors other than the administration of </w:t>
      </w:r>
      <w:r w:rsidR="009000B4">
        <w:rPr>
          <w:rFonts w:cs="Times New Roman"/>
        </w:rPr>
        <w:t xml:space="preserve">BS 8670 and </w:t>
      </w:r>
      <w:r w:rsidR="00617F4C">
        <w:rPr>
          <w:rFonts w:cs="Times New Roman"/>
        </w:rPr>
        <w:t xml:space="preserve">PAS 8672 (BSI Group, 2022). </w:t>
      </w:r>
      <w:r w:rsidR="00526DDB">
        <w:rPr>
          <w:rFonts w:cs="Times New Roman"/>
        </w:rPr>
        <w:t>Principal Contractors have key duties</w:t>
      </w:r>
      <w:r w:rsidR="00617F4C">
        <w:rPr>
          <w:rFonts w:cs="Times New Roman"/>
        </w:rPr>
        <w:t xml:space="preserve"> </w:t>
      </w:r>
      <w:r w:rsidR="00526DDB">
        <w:rPr>
          <w:rFonts w:cs="Times New Roman"/>
        </w:rPr>
        <w:t>throughout</w:t>
      </w:r>
      <w:r w:rsidR="00617F4C">
        <w:rPr>
          <w:rFonts w:cs="Times New Roman"/>
        </w:rPr>
        <w:t xml:space="preserve"> pre-construction, during construction, and post construction and </w:t>
      </w:r>
      <w:r w:rsidR="004E4D26">
        <w:rPr>
          <w:rFonts w:cs="Times New Roman"/>
        </w:rPr>
        <w:t>support the Principal Designer in executing their</w:t>
      </w:r>
      <w:r w:rsidR="00526DDB">
        <w:rPr>
          <w:rFonts w:cs="Times New Roman"/>
        </w:rPr>
        <w:t xml:space="preserve"> own</w:t>
      </w:r>
      <w:r w:rsidR="004E4D26">
        <w:rPr>
          <w:rFonts w:cs="Times New Roman"/>
        </w:rPr>
        <w:t xml:space="preserve"> duties (HM Government, 2022). </w:t>
      </w:r>
    </w:p>
    <w:p w14:paraId="34C1C61A" w14:textId="012F235F" w:rsidR="00203756" w:rsidRDefault="0048271B" w:rsidP="009000B4">
      <w:pPr>
        <w:spacing w:line="360" w:lineRule="auto"/>
        <w:jc w:val="both"/>
        <w:rPr>
          <w:rFonts w:cs="Times New Roman"/>
        </w:rPr>
      </w:pPr>
      <w:r>
        <w:rPr>
          <w:rFonts w:cs="Times New Roman"/>
        </w:rPr>
        <w:t>The</w:t>
      </w:r>
      <w:r w:rsidR="004E4D26">
        <w:rPr>
          <w:rFonts w:cs="Times New Roman"/>
        </w:rPr>
        <w:t xml:space="preserve"> Building Engineering Services Association (BESA) has recently developed a 6 key area competency criterion aligned with SKEB requirements detailed under BS 8670 as summarised below (BESA, 2025):</w:t>
      </w:r>
    </w:p>
    <w:p w14:paraId="68569F6C" w14:textId="4F965FCF" w:rsidR="004E4D26" w:rsidRPr="004E4D26" w:rsidRDefault="004E4D26" w:rsidP="009000B4">
      <w:pPr>
        <w:pStyle w:val="NoSpacing"/>
        <w:numPr>
          <w:ilvl w:val="0"/>
          <w:numId w:val="34"/>
        </w:numPr>
        <w:jc w:val="both"/>
      </w:pPr>
      <w:r w:rsidRPr="004E4D26">
        <w:t xml:space="preserve">Legal and Contractual Requirements </w:t>
      </w:r>
      <w:r w:rsidR="00C46911">
        <w:t xml:space="preserve">(Satisfies </w:t>
      </w:r>
      <w:r w:rsidR="00B338F4">
        <w:t>E</w:t>
      </w:r>
      <w:r w:rsidR="00C46911">
        <w:t xml:space="preserve">. &amp; </w:t>
      </w:r>
      <w:r w:rsidR="00B338F4">
        <w:t>D</w:t>
      </w:r>
      <w:r w:rsidR="00C46911">
        <w:t>. of BS 8670)</w:t>
      </w:r>
    </w:p>
    <w:p w14:paraId="5E2ED510" w14:textId="57FC3E2D" w:rsidR="004E4D26" w:rsidRPr="004E4D26" w:rsidRDefault="004E4D26" w:rsidP="009000B4">
      <w:pPr>
        <w:pStyle w:val="NoSpacing"/>
        <w:numPr>
          <w:ilvl w:val="0"/>
          <w:numId w:val="34"/>
        </w:numPr>
        <w:jc w:val="both"/>
      </w:pPr>
      <w:r w:rsidRPr="004E4D26">
        <w:t xml:space="preserve">Managing Building Work </w:t>
      </w:r>
      <w:r w:rsidR="00C46911">
        <w:t>(Satisfies B. &amp; C.</w:t>
      </w:r>
      <w:r w:rsidR="00B338F4">
        <w:t xml:space="preserve"> &amp; E.</w:t>
      </w:r>
      <w:r w:rsidR="00C46911">
        <w:t xml:space="preserve"> of BS 8670)</w:t>
      </w:r>
    </w:p>
    <w:p w14:paraId="45B0B70E" w14:textId="19825410" w:rsidR="004E4D26" w:rsidRPr="004E4D26" w:rsidRDefault="004E4D26" w:rsidP="009000B4">
      <w:pPr>
        <w:pStyle w:val="NoSpacing"/>
        <w:numPr>
          <w:ilvl w:val="0"/>
          <w:numId w:val="34"/>
        </w:numPr>
        <w:jc w:val="both"/>
      </w:pPr>
      <w:r w:rsidRPr="004E4D26">
        <w:t xml:space="preserve">Planning and Organising Work </w:t>
      </w:r>
      <w:r w:rsidR="00C46911">
        <w:t xml:space="preserve">(Satisfies </w:t>
      </w:r>
      <w:r w:rsidR="00B338F4">
        <w:t xml:space="preserve">A, </w:t>
      </w:r>
      <w:r w:rsidR="00C46911">
        <w:t xml:space="preserve">B. &amp; </w:t>
      </w:r>
      <w:r w:rsidR="00B338F4">
        <w:t>C</w:t>
      </w:r>
      <w:r w:rsidR="00C46911">
        <w:t>. of BS 8670)</w:t>
      </w:r>
    </w:p>
    <w:p w14:paraId="276B71AC" w14:textId="53B0600E" w:rsidR="004E4D26" w:rsidRPr="004E4D26" w:rsidRDefault="004E4D26" w:rsidP="009000B4">
      <w:pPr>
        <w:pStyle w:val="NoSpacing"/>
        <w:numPr>
          <w:ilvl w:val="0"/>
          <w:numId w:val="34"/>
        </w:numPr>
        <w:jc w:val="both"/>
      </w:pPr>
      <w:r w:rsidRPr="004E4D26">
        <w:t xml:space="preserve">Construction Supervision and Quality </w:t>
      </w:r>
      <w:r w:rsidR="00B338F4">
        <w:t>(Satisfies A, B., E. &amp; F. of BS 8670)</w:t>
      </w:r>
    </w:p>
    <w:p w14:paraId="5FF4A84D" w14:textId="0326CA09" w:rsidR="004E4D26" w:rsidRPr="004E4D26" w:rsidRDefault="004E4D26" w:rsidP="009000B4">
      <w:pPr>
        <w:pStyle w:val="NoSpacing"/>
        <w:numPr>
          <w:ilvl w:val="0"/>
          <w:numId w:val="34"/>
        </w:numPr>
        <w:jc w:val="both"/>
      </w:pPr>
      <w:r w:rsidRPr="004E4D26">
        <w:t xml:space="preserve">Leadership and Competence Culture </w:t>
      </w:r>
      <w:r w:rsidR="00C46911">
        <w:t>(Satisfies C., D. &amp; F. of BS 8670)</w:t>
      </w:r>
    </w:p>
    <w:p w14:paraId="0596F6B2" w14:textId="1E463563" w:rsidR="004E4D26" w:rsidRDefault="004E4D26" w:rsidP="009000B4">
      <w:pPr>
        <w:pStyle w:val="NoSpacing"/>
        <w:numPr>
          <w:ilvl w:val="0"/>
          <w:numId w:val="34"/>
        </w:numPr>
        <w:jc w:val="both"/>
      </w:pPr>
      <w:r w:rsidRPr="004E4D26">
        <w:t>Stakeholder and Information Management</w:t>
      </w:r>
      <w:r w:rsidR="00C46911">
        <w:t xml:space="preserve"> (Satisfies </w:t>
      </w:r>
      <w:r w:rsidR="00B338F4">
        <w:t>D</w:t>
      </w:r>
      <w:r w:rsidR="00C46911">
        <w:t>.</w:t>
      </w:r>
      <w:r w:rsidR="00B338F4">
        <w:t xml:space="preserve"> &amp; F.</w:t>
      </w:r>
      <w:r w:rsidR="00C46911">
        <w:t xml:space="preserve"> of BS 8670)</w:t>
      </w:r>
    </w:p>
    <w:p w14:paraId="40C38A70" w14:textId="77777777" w:rsidR="00C46911" w:rsidRDefault="00C46911" w:rsidP="009000B4">
      <w:pPr>
        <w:pStyle w:val="NoSpacing"/>
        <w:jc w:val="both"/>
      </w:pPr>
    </w:p>
    <w:p w14:paraId="0A64602A" w14:textId="3CC0A216" w:rsidR="0048271B" w:rsidRDefault="004E4D26" w:rsidP="009000B4">
      <w:pPr>
        <w:spacing w:line="360" w:lineRule="auto"/>
        <w:jc w:val="both"/>
      </w:pPr>
      <w:r w:rsidRPr="004E4D26">
        <w:t xml:space="preserve">The aim of this is to standardise the expectations of competency of Principal Contractors, akin to the UKSPEC framework developed by the Engineering Council, for clients and governing bodies to rely upon. </w:t>
      </w:r>
      <w:r w:rsidR="00742D09">
        <w:t>Moreover, this framework has been developed to support the key objective of BS 8670 that is to challenge and bridge fragmentation of disciplines in the construction industry</w:t>
      </w:r>
      <w:r w:rsidR="00A12B90">
        <w:t xml:space="preserve"> (</w:t>
      </w:r>
      <w:r w:rsidR="00A12B90" w:rsidRPr="00A12B90">
        <w:t>Construction Leadership Council</w:t>
      </w:r>
      <w:r w:rsidR="00A12B90">
        <w:t>, n. d.)</w:t>
      </w:r>
      <w:r w:rsidR="00742D09">
        <w:t>.</w:t>
      </w:r>
      <w:r w:rsidR="0048271B">
        <w:t xml:space="preserve"> </w:t>
      </w:r>
    </w:p>
    <w:p w14:paraId="24A3D8CB" w14:textId="289C8782" w:rsidR="0048271B" w:rsidRDefault="009000B4" w:rsidP="009000B4">
      <w:pPr>
        <w:spacing w:line="360" w:lineRule="auto"/>
        <w:jc w:val="both"/>
      </w:pPr>
      <w:r>
        <w:t>The</w:t>
      </w:r>
      <w:r w:rsidR="0048271B">
        <w:t xml:space="preserve"> BESA framework does not mimic the same demands and requirements as the </w:t>
      </w:r>
      <w:r>
        <w:t xml:space="preserve">Engineering Council’s </w:t>
      </w:r>
      <w:r w:rsidR="0048271B">
        <w:t xml:space="preserve">UKSPEC HRB framework </w:t>
      </w:r>
      <w:r>
        <w:t>due to the vast difference the role and responsibility of a Principal Designer and a Principal Contractor</w:t>
      </w:r>
      <w:r w:rsidR="0048271B">
        <w:t xml:space="preserve">. It can be argued that this is due to </w:t>
      </w:r>
      <w:r>
        <w:t>a</w:t>
      </w:r>
      <w:r w:rsidR="0048271B">
        <w:t xml:space="preserve"> greater importance of</w:t>
      </w:r>
      <w:r>
        <w:t xml:space="preserve"> prevention through</w:t>
      </w:r>
      <w:r w:rsidR="0048271B">
        <w:t xml:space="preserve"> design</w:t>
      </w:r>
      <w:r>
        <w:t xml:space="preserve"> and technical</w:t>
      </w:r>
      <w:r w:rsidR="0048271B">
        <w:t xml:space="preserve"> due diligence</w:t>
      </w:r>
      <w:r>
        <w:t xml:space="preserve"> following the tragedy of Grenfell Tower.</w:t>
      </w:r>
      <w:r w:rsidR="0048271B">
        <w:t xml:space="preserve"> </w:t>
      </w:r>
      <w:r>
        <w:t>However</w:t>
      </w:r>
      <w:r w:rsidR="0048271B">
        <w:t xml:space="preserve">, the fundamental knowledge and understanding of a Principal </w:t>
      </w:r>
      <w:r w:rsidR="0048271B">
        <w:lastRenderedPageBreak/>
        <w:t xml:space="preserve">Contractor </w:t>
      </w:r>
      <w:r>
        <w:t>of Building Regulations and their role in supporting the Principal Designer in line with the new Act remains widely unaddressed in the BESA framework and PAS 8672 (Hackitt, 2018).</w:t>
      </w:r>
    </w:p>
    <w:p w14:paraId="2A364035" w14:textId="68CAD75C" w:rsidR="00E2445A" w:rsidRPr="009000B4" w:rsidRDefault="0048271B" w:rsidP="009000B4">
      <w:pPr>
        <w:spacing w:line="360" w:lineRule="auto"/>
        <w:jc w:val="both"/>
        <w:rPr>
          <w:rFonts w:cs="Times New Roman"/>
        </w:rPr>
      </w:pPr>
      <w:r>
        <w:t>Furthermore,</w:t>
      </w:r>
      <w:r w:rsidR="00742D09">
        <w:t xml:space="preserve"> </w:t>
      </w:r>
      <w:r w:rsidR="00E67AE1">
        <w:t xml:space="preserve">BESA forms a professional body that focuses on the engineering aspects of construction which </w:t>
      </w:r>
      <w:r>
        <w:t>may limit its purview in actively supporting organisations who often carry out the Principal Contractor role i.e., Main Contractors and Developers</w:t>
      </w:r>
      <w:r w:rsidR="009C0BBC">
        <w:t>. These types of organisations</w:t>
      </w:r>
      <w:r>
        <w:t xml:space="preserve"> are often better represented and supported by bodies such as the </w:t>
      </w:r>
      <w:r w:rsidR="009C0BBC">
        <w:t>Chartered Institute of Building (</w:t>
      </w:r>
      <w:r>
        <w:t>CIOB</w:t>
      </w:r>
      <w:r w:rsidR="009C0BBC">
        <w:t>)</w:t>
      </w:r>
      <w:r>
        <w:t>.</w:t>
      </w:r>
      <w:r w:rsidR="009000B4">
        <w:t xml:space="preserve"> </w:t>
      </w:r>
      <w:r>
        <w:rPr>
          <w:rFonts w:cs="Times New Roman"/>
        </w:rPr>
        <w:t>The CIOB has piloted a scheme known as the PCCCS (Principal Contractor Competency Scheme), however, these have not yet been instilled as mandatory requirements to inform suitability to work on HRB developments (Thorpe, 2024).</w:t>
      </w:r>
    </w:p>
    <w:p w14:paraId="2CE71267" w14:textId="635BEFA4" w:rsidR="00617F4C" w:rsidRPr="00DB2118" w:rsidRDefault="0064790F" w:rsidP="009000B4">
      <w:pPr>
        <w:pStyle w:val="Heading3"/>
        <w:jc w:val="both"/>
        <w:rPr>
          <w:rFonts w:cs="Times New Roman"/>
          <w:b/>
          <w:bCs/>
          <w:color w:val="auto"/>
          <w:sz w:val="22"/>
          <w:szCs w:val="22"/>
        </w:rPr>
      </w:pPr>
      <w:bookmarkStart w:id="17" w:name="_Toc218947627"/>
      <w:r>
        <w:rPr>
          <w:rFonts w:cs="Times New Roman"/>
          <w:b/>
          <w:bCs/>
          <w:color w:val="auto"/>
          <w:sz w:val="22"/>
          <w:szCs w:val="22"/>
        </w:rPr>
        <w:t>2</w:t>
      </w:r>
      <w:r w:rsidR="00617F4C" w:rsidRPr="00DB2118">
        <w:rPr>
          <w:rFonts w:cs="Times New Roman"/>
          <w:b/>
          <w:bCs/>
          <w:color w:val="auto"/>
          <w:sz w:val="22"/>
          <w:szCs w:val="22"/>
        </w:rPr>
        <w:t>.</w:t>
      </w:r>
      <w:r w:rsidR="00617F4C">
        <w:rPr>
          <w:rFonts w:cs="Times New Roman"/>
          <w:b/>
          <w:bCs/>
          <w:color w:val="auto"/>
          <w:sz w:val="22"/>
          <w:szCs w:val="22"/>
        </w:rPr>
        <w:t>3</w:t>
      </w:r>
      <w:r w:rsidR="00617F4C" w:rsidRPr="00DB2118">
        <w:rPr>
          <w:rFonts w:cs="Times New Roman"/>
          <w:b/>
          <w:bCs/>
          <w:color w:val="auto"/>
          <w:sz w:val="22"/>
          <w:szCs w:val="22"/>
        </w:rPr>
        <w:t>.</w:t>
      </w:r>
      <w:r w:rsidR="00617F4C">
        <w:rPr>
          <w:rFonts w:cs="Times New Roman"/>
          <w:b/>
          <w:bCs/>
          <w:color w:val="auto"/>
          <w:sz w:val="22"/>
          <w:szCs w:val="22"/>
        </w:rPr>
        <w:t>3</w:t>
      </w:r>
      <w:r w:rsidR="00617F4C" w:rsidRPr="00DB2118">
        <w:rPr>
          <w:rFonts w:cs="Times New Roman"/>
          <w:b/>
          <w:bCs/>
          <w:color w:val="auto"/>
          <w:sz w:val="22"/>
          <w:szCs w:val="22"/>
        </w:rPr>
        <w:t xml:space="preserve"> </w:t>
      </w:r>
      <w:r w:rsidR="00617F4C">
        <w:rPr>
          <w:rFonts w:cs="Times New Roman"/>
          <w:b/>
          <w:bCs/>
          <w:color w:val="auto"/>
          <w:sz w:val="22"/>
          <w:szCs w:val="22"/>
        </w:rPr>
        <w:t>Client Competency Framework</w:t>
      </w:r>
      <w:bookmarkEnd w:id="17"/>
      <w:r w:rsidR="00617F4C">
        <w:rPr>
          <w:rFonts w:cs="Times New Roman"/>
          <w:b/>
          <w:bCs/>
          <w:color w:val="auto"/>
          <w:sz w:val="22"/>
          <w:szCs w:val="22"/>
        </w:rPr>
        <w:t xml:space="preserve"> </w:t>
      </w:r>
    </w:p>
    <w:p w14:paraId="5B5F5189" w14:textId="234B9349" w:rsidR="00617F4C" w:rsidRDefault="004E4D26" w:rsidP="009000B4">
      <w:pPr>
        <w:spacing w:line="360" w:lineRule="auto"/>
        <w:jc w:val="both"/>
        <w:rPr>
          <w:rFonts w:cs="Times New Roman"/>
        </w:rPr>
      </w:pPr>
      <w:r>
        <w:rPr>
          <w:rFonts w:cs="Times New Roman"/>
        </w:rPr>
        <w:t>To work on a HRB development, the duty of ensuring competence and compliance with regulatory requirements by key dutyholders lies with the appointing client (HM Government, 2022).</w:t>
      </w:r>
      <w:r w:rsidR="00C30E61">
        <w:rPr>
          <w:rFonts w:cs="Times New Roman"/>
        </w:rPr>
        <w:t xml:space="preserve"> However, there is no explicit competency framework for determining the role and responsibilities of a client to ensure that the Principal Designer &amp; Principal Contractor appointed are competent to carry out their duties on HRBs and non-HRBs (Rose, 2025). Instead, the expectation is for the client to consult BS 8670 and PAS 8671 and 8672 to determine the appropriateness of candidates and organisations in fulfilling </w:t>
      </w:r>
      <w:r w:rsidR="00251DCC">
        <w:rPr>
          <w:rFonts w:cs="Times New Roman"/>
        </w:rPr>
        <w:t>their</w:t>
      </w:r>
      <w:r w:rsidR="00C30E61">
        <w:rPr>
          <w:rFonts w:cs="Times New Roman"/>
        </w:rPr>
        <w:t xml:space="preserve"> statutory obligations (Rose, 2025).</w:t>
      </w:r>
    </w:p>
    <w:p w14:paraId="731A294C" w14:textId="12861FD7" w:rsidR="00DA4708" w:rsidRDefault="00DA4708" w:rsidP="009000B4">
      <w:pPr>
        <w:spacing w:line="360" w:lineRule="auto"/>
        <w:jc w:val="both"/>
        <w:rPr>
          <w:rFonts w:cs="Times New Roman"/>
        </w:rPr>
      </w:pPr>
      <w:r>
        <w:rPr>
          <w:rFonts w:cs="Times New Roman"/>
        </w:rPr>
        <w:t xml:space="preserve">To support clients in the procurement of competent </w:t>
      </w:r>
      <w:r w:rsidR="006E676D">
        <w:rPr>
          <w:rFonts w:cs="Times New Roman"/>
        </w:rPr>
        <w:t xml:space="preserve">key </w:t>
      </w:r>
      <w:r w:rsidR="005C48CF">
        <w:rPr>
          <w:rFonts w:cs="Times New Roman"/>
        </w:rPr>
        <w:t>d</w:t>
      </w:r>
      <w:r>
        <w:rPr>
          <w:rFonts w:cs="Times New Roman"/>
        </w:rPr>
        <w:t>utyholders, the</w:t>
      </w:r>
      <w:r>
        <w:rPr>
          <w:rFonts w:cs="Times New Roman"/>
        </w:rPr>
        <w:t xml:space="preserve"> UK Construction Industry employs a Common Assessment Standard (CAS) developed by Build-UK</w:t>
      </w:r>
      <w:r>
        <w:rPr>
          <w:rFonts w:cs="Times New Roman"/>
        </w:rPr>
        <w:t>. Build-UK is</w:t>
      </w:r>
      <w:r>
        <w:rPr>
          <w:rFonts w:cs="Times New Roman"/>
        </w:rPr>
        <w:t xml:space="preserve"> a professional body known for its oversight of other established professional bodies and building warranty and regulatory organisations. The CAS framework</w:t>
      </w:r>
      <w:r>
        <w:rPr>
          <w:rFonts w:cs="Times New Roman"/>
        </w:rPr>
        <w:t xml:space="preserve"> sets out a procurement assessment aligning with the principles of the BSA and</w:t>
      </w:r>
      <w:r>
        <w:rPr>
          <w:rFonts w:cs="Times New Roman"/>
        </w:rPr>
        <w:t xml:space="preserve"> BS 8670</w:t>
      </w:r>
      <w:r>
        <w:rPr>
          <w:rFonts w:cs="Times New Roman"/>
        </w:rPr>
        <w:t>. This</w:t>
      </w:r>
      <w:r>
        <w:rPr>
          <w:rFonts w:cs="Times New Roman"/>
        </w:rPr>
        <w:t xml:space="preserve"> assessment </w:t>
      </w:r>
      <w:r w:rsidR="003460D7">
        <w:rPr>
          <w:rFonts w:cs="Times New Roman"/>
        </w:rPr>
        <w:t>conducts a</w:t>
      </w:r>
      <w:r>
        <w:rPr>
          <w:rFonts w:cs="Times New Roman"/>
        </w:rPr>
        <w:t xml:space="preserve"> review of</w:t>
      </w:r>
      <w:r>
        <w:rPr>
          <w:rFonts w:cs="Times New Roman"/>
        </w:rPr>
        <w:t xml:space="preserve"> organisational competence </w:t>
      </w:r>
      <w:r>
        <w:rPr>
          <w:rFonts w:cs="Times New Roman"/>
        </w:rPr>
        <w:t>through validation of</w:t>
      </w:r>
      <w:r>
        <w:rPr>
          <w:rFonts w:cs="Times New Roman"/>
        </w:rPr>
        <w:t xml:space="preserve"> qualifications, project portfolio, and templated documentation to satisfactorily conduct work on a HRB development (Build-UK, 2025). The CAS framework is audited either via desktop or site-based review through recognised assessment bodies such as Achilles and Constructionline to ensure the expectations of CAS are satisfied by the organisation</w:t>
      </w:r>
      <w:r w:rsidR="003460D7">
        <w:rPr>
          <w:rFonts w:cs="Times New Roman"/>
        </w:rPr>
        <w:t>.</w:t>
      </w:r>
    </w:p>
    <w:p w14:paraId="6EF70D01" w14:textId="2EECD32A" w:rsidR="00A372E8" w:rsidRDefault="00251DCC" w:rsidP="009000B4">
      <w:pPr>
        <w:spacing w:line="360" w:lineRule="auto"/>
        <w:jc w:val="both"/>
        <w:rPr>
          <w:rFonts w:cs="Times New Roman"/>
        </w:rPr>
      </w:pPr>
      <w:r>
        <w:rPr>
          <w:rFonts w:cs="Times New Roman"/>
        </w:rPr>
        <w:t xml:space="preserve">Constructing Excellence (n. d.) have </w:t>
      </w:r>
      <w:r w:rsidR="003460D7">
        <w:rPr>
          <w:rFonts w:cs="Times New Roman"/>
        </w:rPr>
        <w:t xml:space="preserve">also </w:t>
      </w:r>
      <w:r>
        <w:rPr>
          <w:rFonts w:cs="Times New Roman"/>
        </w:rPr>
        <w:t>been exploring a procurement competency framework that suggests a collaborative approach which teaches clients about their roles and responsibilities in effective procurement of key dutyholders. This allows clients to set up their own matrixes for assessment of competency of key dutyholders based on key procurement parameters that are:</w:t>
      </w:r>
    </w:p>
    <w:p w14:paraId="77278169" w14:textId="1B8DCE15" w:rsidR="00251DCC" w:rsidRDefault="00251DCC" w:rsidP="00251DCC">
      <w:pPr>
        <w:pStyle w:val="ListParagraph"/>
        <w:numPr>
          <w:ilvl w:val="0"/>
          <w:numId w:val="36"/>
        </w:numPr>
        <w:spacing w:line="360" w:lineRule="auto"/>
        <w:jc w:val="both"/>
        <w:rPr>
          <w:rFonts w:cs="Times New Roman"/>
        </w:rPr>
      </w:pPr>
      <w:r>
        <w:rPr>
          <w:rFonts w:cs="Times New Roman"/>
        </w:rPr>
        <w:t>Evidence of Dutyholder Competency</w:t>
      </w:r>
    </w:p>
    <w:p w14:paraId="4FB4ADA2" w14:textId="1CE40CB3" w:rsidR="00251DCC" w:rsidRDefault="00251DCC" w:rsidP="00251DCC">
      <w:pPr>
        <w:pStyle w:val="ListParagraph"/>
        <w:numPr>
          <w:ilvl w:val="0"/>
          <w:numId w:val="36"/>
        </w:numPr>
        <w:spacing w:line="360" w:lineRule="auto"/>
        <w:jc w:val="both"/>
        <w:rPr>
          <w:rFonts w:cs="Times New Roman"/>
        </w:rPr>
      </w:pPr>
      <w:r>
        <w:rPr>
          <w:rFonts w:cs="Times New Roman"/>
        </w:rPr>
        <w:lastRenderedPageBreak/>
        <w:t>Intended Procurement Route</w:t>
      </w:r>
    </w:p>
    <w:p w14:paraId="1E1BECC8" w14:textId="314FE052" w:rsidR="00251DCC" w:rsidRDefault="00251DCC" w:rsidP="00251DCC">
      <w:pPr>
        <w:pStyle w:val="ListParagraph"/>
        <w:numPr>
          <w:ilvl w:val="0"/>
          <w:numId w:val="36"/>
        </w:numPr>
        <w:spacing w:line="360" w:lineRule="auto"/>
        <w:jc w:val="both"/>
        <w:rPr>
          <w:rFonts w:cs="Times New Roman"/>
        </w:rPr>
      </w:pPr>
      <w:r>
        <w:rPr>
          <w:rFonts w:cs="Times New Roman"/>
        </w:rPr>
        <w:t>Timetable of Activities</w:t>
      </w:r>
    </w:p>
    <w:p w14:paraId="6D7E8BAE" w14:textId="414C74B2" w:rsidR="00251DCC" w:rsidRDefault="00251DCC" w:rsidP="00251DCC">
      <w:pPr>
        <w:pStyle w:val="ListParagraph"/>
        <w:numPr>
          <w:ilvl w:val="0"/>
          <w:numId w:val="36"/>
        </w:numPr>
        <w:spacing w:line="360" w:lineRule="auto"/>
        <w:jc w:val="both"/>
        <w:rPr>
          <w:rFonts w:cs="Times New Roman"/>
        </w:rPr>
      </w:pPr>
      <w:r>
        <w:rPr>
          <w:rFonts w:cs="Times New Roman"/>
        </w:rPr>
        <w:t>Design and Construction Techniques</w:t>
      </w:r>
    </w:p>
    <w:p w14:paraId="39949AD9" w14:textId="6959EBF5" w:rsidR="00251DCC" w:rsidRDefault="00251DCC" w:rsidP="00251DCC">
      <w:pPr>
        <w:pStyle w:val="ListParagraph"/>
        <w:numPr>
          <w:ilvl w:val="0"/>
          <w:numId w:val="36"/>
        </w:numPr>
        <w:spacing w:line="360" w:lineRule="auto"/>
        <w:jc w:val="both"/>
        <w:rPr>
          <w:rFonts w:cs="Times New Roman"/>
        </w:rPr>
      </w:pPr>
      <w:r>
        <w:rPr>
          <w:rFonts w:cs="Times New Roman"/>
        </w:rPr>
        <w:t>Health and Safety Accreditations</w:t>
      </w:r>
    </w:p>
    <w:p w14:paraId="6E962078" w14:textId="15891CBA" w:rsidR="00251DCC" w:rsidRDefault="00251DCC" w:rsidP="00251DCC">
      <w:pPr>
        <w:pStyle w:val="ListParagraph"/>
        <w:numPr>
          <w:ilvl w:val="0"/>
          <w:numId w:val="36"/>
        </w:numPr>
        <w:spacing w:line="360" w:lineRule="auto"/>
        <w:jc w:val="both"/>
        <w:rPr>
          <w:rFonts w:cs="Times New Roman"/>
        </w:rPr>
      </w:pPr>
      <w:r>
        <w:rPr>
          <w:rFonts w:cs="Times New Roman"/>
        </w:rPr>
        <w:t>Supply Chain Evidence</w:t>
      </w:r>
    </w:p>
    <w:p w14:paraId="50F50D71" w14:textId="0D1F991F" w:rsidR="00251DCC" w:rsidRDefault="00251DCC" w:rsidP="00251DCC">
      <w:pPr>
        <w:spacing w:line="360" w:lineRule="auto"/>
        <w:jc w:val="both"/>
        <w:rPr>
          <w:rFonts w:cs="Times New Roman"/>
        </w:rPr>
      </w:pPr>
      <w:r>
        <w:rPr>
          <w:rFonts w:cs="Times New Roman"/>
        </w:rPr>
        <w:t xml:space="preserve">However, </w:t>
      </w:r>
      <w:r w:rsidR="00DA4708">
        <w:rPr>
          <w:rFonts w:cs="Times New Roman"/>
        </w:rPr>
        <w:t>both the CAS framework and Constructing Excellence’s proposed framework</w:t>
      </w:r>
      <w:r w:rsidR="006F70C0">
        <w:rPr>
          <w:rFonts w:cs="Times New Roman"/>
        </w:rPr>
        <w:t xml:space="preserve"> lack in clarification on how </w:t>
      </w:r>
      <w:r w:rsidR="00DA4708">
        <w:rPr>
          <w:rFonts w:cs="Times New Roman"/>
        </w:rPr>
        <w:t>these systems</w:t>
      </w:r>
      <w:r w:rsidR="006F70C0">
        <w:rPr>
          <w:rFonts w:cs="Times New Roman"/>
        </w:rPr>
        <w:t xml:space="preserve"> </w:t>
      </w:r>
      <w:r w:rsidR="00DA4708">
        <w:rPr>
          <w:rFonts w:cs="Times New Roman"/>
        </w:rPr>
        <w:t xml:space="preserve">measure the SKEB requirements of a client </w:t>
      </w:r>
      <w:r w:rsidR="003460D7">
        <w:rPr>
          <w:rFonts w:cs="Times New Roman"/>
        </w:rPr>
        <w:t xml:space="preserve">themselves </w:t>
      </w:r>
      <w:r w:rsidR="00DA4708">
        <w:rPr>
          <w:rFonts w:cs="Times New Roman"/>
        </w:rPr>
        <w:t xml:space="preserve">as defined </w:t>
      </w:r>
      <w:r w:rsidR="006F70C0">
        <w:rPr>
          <w:rFonts w:cs="Times New Roman"/>
        </w:rPr>
        <w:t>within BS 8670. Furthermore, the above framework suggests training and support mechanisms for Contractor procurement but does not address and identify the client’s responsibilities from the outset and throughout the lifecycle of a project (Hackitt, 2018). This highlights a considerable concern in that a</w:t>
      </w:r>
      <w:r w:rsidR="00526DDB">
        <w:rPr>
          <w:rFonts w:cs="Times New Roman"/>
        </w:rPr>
        <w:t xml:space="preserve"> client</w:t>
      </w:r>
      <w:r w:rsidR="006F70C0">
        <w:rPr>
          <w:rFonts w:cs="Times New Roman"/>
        </w:rPr>
        <w:t xml:space="preserve"> competency framework is lacking within the industry to confirm the competence and capacity </w:t>
      </w:r>
      <w:r w:rsidR="00526DDB">
        <w:rPr>
          <w:rFonts w:cs="Times New Roman"/>
        </w:rPr>
        <w:t>of individuals in</w:t>
      </w:r>
      <w:r w:rsidR="006F70C0">
        <w:rPr>
          <w:rFonts w:cs="Times New Roman"/>
        </w:rPr>
        <w:t xml:space="preserve"> fulfil</w:t>
      </w:r>
      <w:r w:rsidR="00526DDB">
        <w:rPr>
          <w:rFonts w:cs="Times New Roman"/>
        </w:rPr>
        <w:t>ling</w:t>
      </w:r>
      <w:r w:rsidR="006F70C0">
        <w:rPr>
          <w:rFonts w:cs="Times New Roman"/>
        </w:rPr>
        <w:t xml:space="preserve"> </w:t>
      </w:r>
      <w:r w:rsidR="002A0997">
        <w:rPr>
          <w:rFonts w:cs="Times New Roman"/>
        </w:rPr>
        <w:t xml:space="preserve">a </w:t>
      </w:r>
      <w:r w:rsidR="006F70C0">
        <w:rPr>
          <w:rFonts w:cs="Times New Roman"/>
        </w:rPr>
        <w:t>key dutyholder responsibilit</w:t>
      </w:r>
      <w:r w:rsidR="002A0997">
        <w:rPr>
          <w:rFonts w:cs="Times New Roman"/>
        </w:rPr>
        <w:t xml:space="preserve">y </w:t>
      </w:r>
      <w:r w:rsidR="006F70C0">
        <w:rPr>
          <w:rFonts w:cs="Times New Roman"/>
        </w:rPr>
        <w:t xml:space="preserve">required by statute </w:t>
      </w:r>
      <w:r w:rsidR="00526DDB">
        <w:rPr>
          <w:rFonts w:cs="Times New Roman"/>
        </w:rPr>
        <w:t>on</w:t>
      </w:r>
      <w:r w:rsidR="006F70C0">
        <w:rPr>
          <w:rFonts w:cs="Times New Roman"/>
        </w:rPr>
        <w:t xml:space="preserve"> HRBs developments.</w:t>
      </w:r>
      <w:r w:rsidR="00653516">
        <w:rPr>
          <w:rFonts w:cs="Times New Roman"/>
        </w:rPr>
        <w:t xml:space="preserve"> The competency of a client is key to ensure that its </w:t>
      </w:r>
      <w:r w:rsidR="00C21CFA">
        <w:rPr>
          <w:rFonts w:cs="Times New Roman"/>
        </w:rPr>
        <w:t xml:space="preserve">central </w:t>
      </w:r>
      <w:r w:rsidR="00653516">
        <w:rPr>
          <w:rFonts w:cs="Times New Roman"/>
        </w:rPr>
        <w:t>governance upholds the expectations of its statutory duties</w:t>
      </w:r>
      <w:r w:rsidR="00C21CFA">
        <w:rPr>
          <w:rFonts w:cs="Times New Roman"/>
        </w:rPr>
        <w:t xml:space="preserve"> i.e., the value and appropriateness when electing dutyholders above political and economic factors.</w:t>
      </w:r>
    </w:p>
    <w:p w14:paraId="08357F56" w14:textId="3C175CEE" w:rsidR="002221E1" w:rsidRPr="00DB2118" w:rsidRDefault="0064790F" w:rsidP="009000B4">
      <w:pPr>
        <w:pStyle w:val="Heading3"/>
        <w:jc w:val="both"/>
        <w:rPr>
          <w:rFonts w:cs="Times New Roman"/>
          <w:b/>
          <w:bCs/>
          <w:color w:val="auto"/>
          <w:sz w:val="22"/>
          <w:szCs w:val="22"/>
        </w:rPr>
      </w:pPr>
      <w:bookmarkStart w:id="18" w:name="_Toc218947628"/>
      <w:r>
        <w:rPr>
          <w:rFonts w:cs="Times New Roman"/>
          <w:b/>
          <w:bCs/>
          <w:color w:val="auto"/>
          <w:sz w:val="22"/>
          <w:szCs w:val="22"/>
        </w:rPr>
        <w:t>2</w:t>
      </w:r>
      <w:r w:rsidR="002221E1" w:rsidRPr="00DB2118">
        <w:rPr>
          <w:rFonts w:cs="Times New Roman"/>
          <w:b/>
          <w:bCs/>
          <w:color w:val="auto"/>
          <w:sz w:val="22"/>
          <w:szCs w:val="22"/>
        </w:rPr>
        <w:t>.</w:t>
      </w:r>
      <w:r w:rsidR="002221E1">
        <w:rPr>
          <w:rFonts w:cs="Times New Roman"/>
          <w:b/>
          <w:bCs/>
          <w:color w:val="auto"/>
          <w:sz w:val="22"/>
          <w:szCs w:val="22"/>
        </w:rPr>
        <w:t>3</w:t>
      </w:r>
      <w:r w:rsidR="002221E1" w:rsidRPr="00DB2118">
        <w:rPr>
          <w:rFonts w:cs="Times New Roman"/>
          <w:b/>
          <w:bCs/>
          <w:color w:val="auto"/>
          <w:sz w:val="22"/>
          <w:szCs w:val="22"/>
        </w:rPr>
        <w:t>.</w:t>
      </w:r>
      <w:r w:rsidR="00617F4C">
        <w:rPr>
          <w:rFonts w:cs="Times New Roman"/>
          <w:b/>
          <w:bCs/>
          <w:color w:val="auto"/>
          <w:sz w:val="22"/>
          <w:szCs w:val="22"/>
        </w:rPr>
        <w:t>4</w:t>
      </w:r>
      <w:r w:rsidR="002221E1" w:rsidRPr="00DB2118">
        <w:rPr>
          <w:rFonts w:cs="Times New Roman"/>
          <w:b/>
          <w:bCs/>
          <w:color w:val="auto"/>
          <w:sz w:val="22"/>
          <w:szCs w:val="22"/>
        </w:rPr>
        <w:t xml:space="preserve"> </w:t>
      </w:r>
      <w:r w:rsidR="008904BD">
        <w:rPr>
          <w:rFonts w:cs="Times New Roman"/>
          <w:b/>
          <w:bCs/>
          <w:color w:val="auto"/>
          <w:sz w:val="22"/>
          <w:szCs w:val="22"/>
        </w:rPr>
        <w:t>Organisation Competence</w:t>
      </w:r>
      <w:bookmarkEnd w:id="18"/>
    </w:p>
    <w:p w14:paraId="46202524" w14:textId="3D0299C9" w:rsidR="00203756" w:rsidRDefault="002B5A48" w:rsidP="009000B4">
      <w:pPr>
        <w:spacing w:line="360" w:lineRule="auto"/>
        <w:jc w:val="both"/>
        <w:rPr>
          <w:rFonts w:cs="Times New Roman"/>
        </w:rPr>
      </w:pPr>
      <w:r>
        <w:rPr>
          <w:rFonts w:cs="Times New Roman"/>
        </w:rPr>
        <w:t>The BSA outlines that in the event the named individual of the Principal Designer and/or Principal Contractor duties changes, then due n</w:t>
      </w:r>
      <w:r w:rsidR="00203756">
        <w:rPr>
          <w:rFonts w:cs="Times New Roman"/>
        </w:rPr>
        <w:t xml:space="preserve">otification </w:t>
      </w:r>
      <w:r>
        <w:rPr>
          <w:rFonts w:cs="Times New Roman"/>
        </w:rPr>
        <w:t>and appropriate evidence of a suitable replacement individual must be shared to the governing body by the Client (HM Government, 2022). The Building Safety Regulator, who acts impartially and carries out the duties of the governing body; reserves the right to assess and challenge the competency of any replacement personnel prior to ratifying their appointment (HM Government, 2022).</w:t>
      </w:r>
    </w:p>
    <w:p w14:paraId="2E15896B" w14:textId="5191BFAB" w:rsidR="002B5A48" w:rsidRDefault="005B5446" w:rsidP="009000B4">
      <w:pPr>
        <w:spacing w:line="360" w:lineRule="auto"/>
        <w:jc w:val="both"/>
        <w:rPr>
          <w:rFonts w:cs="Times New Roman"/>
        </w:rPr>
      </w:pPr>
      <w:r>
        <w:rPr>
          <w:rFonts w:cs="Times New Roman"/>
        </w:rPr>
        <w:t>The Act clarifies that the named individual should receive suitable support and oversight to carry out their duties. It can be assumed that in some instances, the supervisor can assume the responsibilities of the PC / PD role should the named individual be replaced, provided they have adequate support and resource.</w:t>
      </w:r>
      <w:r w:rsidR="007C1024">
        <w:rPr>
          <w:rFonts w:cs="Times New Roman"/>
        </w:rPr>
        <w:t xml:space="preserve"> </w:t>
      </w:r>
      <w:r>
        <w:rPr>
          <w:rFonts w:cs="Times New Roman"/>
        </w:rPr>
        <w:t>However</w:t>
      </w:r>
      <w:r w:rsidR="002B5A48">
        <w:rPr>
          <w:rFonts w:cs="Times New Roman"/>
        </w:rPr>
        <w:t xml:space="preserve">, this calls into question whether organisational competence has been considered to ensure that project teams </w:t>
      </w:r>
      <w:r>
        <w:rPr>
          <w:rFonts w:cs="Times New Roman"/>
        </w:rPr>
        <w:t xml:space="preserve">that support the named individual </w:t>
      </w:r>
      <w:r w:rsidR="002B5A48">
        <w:rPr>
          <w:rFonts w:cs="Times New Roman"/>
        </w:rPr>
        <w:t>are staffed with suitable replacements in the event of mitigating circumstances</w:t>
      </w:r>
      <w:r>
        <w:rPr>
          <w:rFonts w:cs="Times New Roman"/>
        </w:rPr>
        <w:t xml:space="preserve"> to fulfil these duties.</w:t>
      </w:r>
    </w:p>
    <w:p w14:paraId="7A359478" w14:textId="24AC7A12" w:rsidR="001C7672" w:rsidRDefault="00DA4708" w:rsidP="009000B4">
      <w:pPr>
        <w:spacing w:line="360" w:lineRule="auto"/>
        <w:jc w:val="both"/>
        <w:rPr>
          <w:rFonts w:cs="Times New Roman"/>
        </w:rPr>
      </w:pPr>
      <w:r>
        <w:rPr>
          <w:rFonts w:cs="Times New Roman"/>
        </w:rPr>
        <w:t>Yet</w:t>
      </w:r>
      <w:r w:rsidR="00D36727">
        <w:rPr>
          <w:rFonts w:cs="Times New Roman"/>
        </w:rPr>
        <w:t xml:space="preserve">, the one-size-fits-all approach of the CAS framework does not provide contextual analysis on whether an organisation, and its workforce, are appropriate in relation to specific project needs i.e., a HRB Developer experienced in </w:t>
      </w:r>
      <w:r w:rsidR="006C69C6">
        <w:rPr>
          <w:rFonts w:cs="Times New Roman"/>
        </w:rPr>
        <w:t>c</w:t>
      </w:r>
      <w:r w:rsidR="00D36727">
        <w:rPr>
          <w:rFonts w:cs="Times New Roman"/>
        </w:rPr>
        <w:t xml:space="preserve">ommercial </w:t>
      </w:r>
      <w:r w:rsidR="006C69C6">
        <w:rPr>
          <w:rFonts w:cs="Times New Roman"/>
        </w:rPr>
        <w:t>b</w:t>
      </w:r>
      <w:r w:rsidR="00D36727">
        <w:rPr>
          <w:rFonts w:cs="Times New Roman"/>
        </w:rPr>
        <w:t xml:space="preserve">uildings </w:t>
      </w:r>
      <w:r w:rsidR="006C69C6">
        <w:rPr>
          <w:rFonts w:cs="Times New Roman"/>
        </w:rPr>
        <w:t>may not be appropriate to work on a residential building without suitable experience and support mechanisms (Achilles, n. d.)</w:t>
      </w:r>
      <w:r w:rsidR="00D36727">
        <w:rPr>
          <w:rFonts w:cs="Times New Roman"/>
        </w:rPr>
        <w:t>.</w:t>
      </w:r>
      <w:r>
        <w:rPr>
          <w:rFonts w:cs="Times New Roman"/>
        </w:rPr>
        <w:t xml:space="preserve"> This </w:t>
      </w:r>
      <w:r>
        <w:rPr>
          <w:rFonts w:cs="Times New Roman"/>
        </w:rPr>
        <w:lastRenderedPageBreak/>
        <w:t xml:space="preserve">creates an unknown risk which can impact the decision-making process conducted by clients should they rely solely on the findings of the CAS framework. Thus, this re-emphasises the need to ensure that clients are suitably competent in carrying out their due diligence assessments of key dutyholders and are aware of the gaps in frameworks such as CAS. </w:t>
      </w:r>
    </w:p>
    <w:p w14:paraId="1D586CFB" w14:textId="4D996EB5" w:rsidR="008904BD" w:rsidRDefault="00203756" w:rsidP="009000B4">
      <w:pPr>
        <w:spacing w:line="360" w:lineRule="auto"/>
        <w:jc w:val="both"/>
        <w:rPr>
          <w:rFonts w:cs="Times New Roman"/>
        </w:rPr>
      </w:pPr>
      <w:r>
        <w:rPr>
          <w:rFonts w:cs="Times New Roman"/>
        </w:rPr>
        <w:t>The UKSPEC</w:t>
      </w:r>
      <w:r w:rsidR="008904BD">
        <w:rPr>
          <w:rFonts w:cs="Times New Roman"/>
        </w:rPr>
        <w:t xml:space="preserve"> framework </w:t>
      </w:r>
      <w:r w:rsidR="005B5446">
        <w:rPr>
          <w:rFonts w:cs="Times New Roman"/>
        </w:rPr>
        <w:t>is</w:t>
      </w:r>
      <w:r w:rsidR="006C69C6">
        <w:rPr>
          <w:rFonts w:cs="Times New Roman"/>
        </w:rPr>
        <w:t xml:space="preserve"> also</w:t>
      </w:r>
      <w:r w:rsidR="005B5446">
        <w:rPr>
          <w:rFonts w:cs="Times New Roman"/>
        </w:rPr>
        <w:t xml:space="preserve"> limited in this regard given</w:t>
      </w:r>
      <w:r w:rsidR="008904BD">
        <w:rPr>
          <w:rFonts w:cs="Times New Roman"/>
        </w:rPr>
        <w:t xml:space="preserve"> its </w:t>
      </w:r>
      <w:r w:rsidR="005B5446">
        <w:rPr>
          <w:rFonts w:cs="Times New Roman"/>
        </w:rPr>
        <w:t xml:space="preserve">remit </w:t>
      </w:r>
      <w:r w:rsidR="008904BD">
        <w:rPr>
          <w:rFonts w:cs="Times New Roman"/>
        </w:rPr>
        <w:t>is limited to</w:t>
      </w:r>
      <w:r w:rsidR="006C69C6">
        <w:rPr>
          <w:rFonts w:cs="Times New Roman"/>
        </w:rPr>
        <w:t xml:space="preserve"> the</w:t>
      </w:r>
      <w:r w:rsidR="008904BD">
        <w:rPr>
          <w:rFonts w:cs="Times New Roman"/>
        </w:rPr>
        <w:t xml:space="preserve"> </w:t>
      </w:r>
      <w:r w:rsidR="006C69C6">
        <w:rPr>
          <w:rFonts w:cs="Times New Roman"/>
        </w:rPr>
        <w:t>assessment of</w:t>
      </w:r>
      <w:r w:rsidR="005B5446">
        <w:rPr>
          <w:rFonts w:cs="Times New Roman"/>
        </w:rPr>
        <w:t xml:space="preserve"> </w:t>
      </w:r>
      <w:r w:rsidR="008904BD">
        <w:rPr>
          <w:rFonts w:cs="Times New Roman"/>
        </w:rPr>
        <w:t>individuals</w:t>
      </w:r>
      <w:r w:rsidR="005B5446">
        <w:rPr>
          <w:rFonts w:cs="Times New Roman"/>
        </w:rPr>
        <w:t xml:space="preserve"> and not</w:t>
      </w:r>
      <w:r w:rsidR="006C69C6">
        <w:rPr>
          <w:rFonts w:cs="Times New Roman"/>
        </w:rPr>
        <w:t xml:space="preserve"> a review</w:t>
      </w:r>
      <w:r w:rsidR="005B5446">
        <w:rPr>
          <w:rFonts w:cs="Times New Roman"/>
        </w:rPr>
        <w:t xml:space="preserve"> </w:t>
      </w:r>
      <w:r w:rsidR="006C69C6">
        <w:rPr>
          <w:rFonts w:cs="Times New Roman"/>
        </w:rPr>
        <w:t xml:space="preserve">of </w:t>
      </w:r>
      <w:r w:rsidR="005B5446">
        <w:rPr>
          <w:rFonts w:cs="Times New Roman"/>
        </w:rPr>
        <w:t>the overall governance of the</w:t>
      </w:r>
      <w:r w:rsidR="008904BD">
        <w:rPr>
          <w:rFonts w:cs="Times New Roman"/>
        </w:rPr>
        <w:t xml:space="preserve"> organisation</w:t>
      </w:r>
      <w:r w:rsidR="005B5446">
        <w:rPr>
          <w:rFonts w:cs="Times New Roman"/>
        </w:rPr>
        <w:t xml:space="preserve"> they represent (Engineering Council, 2025)</w:t>
      </w:r>
      <w:r w:rsidR="008904BD">
        <w:rPr>
          <w:rFonts w:cs="Times New Roman"/>
        </w:rPr>
        <w:t>. This differs from professional bodies such as the ARB which regulate both individuals and businesses to ensure that their competency requirements</w:t>
      </w:r>
      <w:r w:rsidR="007C1024">
        <w:rPr>
          <w:rFonts w:cs="Times New Roman"/>
        </w:rPr>
        <w:t xml:space="preserve"> </w:t>
      </w:r>
      <w:r w:rsidR="008904BD">
        <w:rPr>
          <w:rFonts w:cs="Times New Roman"/>
        </w:rPr>
        <w:t>and professional code of conduct is upheld. Failure to adhere to these requirements can incur substantial penalties, sanctions, and license to operate withdrawals (ARB, n. d.).</w:t>
      </w:r>
    </w:p>
    <w:p w14:paraId="32BF2667" w14:textId="0021CD28" w:rsidR="009A7AA3" w:rsidRDefault="009A7AA3" w:rsidP="009000B4">
      <w:pPr>
        <w:spacing w:line="360" w:lineRule="auto"/>
        <w:jc w:val="both"/>
        <w:rPr>
          <w:rFonts w:cs="Times New Roman"/>
        </w:rPr>
      </w:pPr>
      <w:r>
        <w:rPr>
          <w:rFonts w:cs="Times New Roman"/>
        </w:rPr>
        <w:t xml:space="preserve">Hackitt (2018) stresses that organisations should be just as </w:t>
      </w:r>
      <w:r w:rsidR="00832EDE">
        <w:rPr>
          <w:rFonts w:cs="Times New Roman"/>
        </w:rPr>
        <w:t>culpable</w:t>
      </w:r>
      <w:r>
        <w:rPr>
          <w:rFonts w:cs="Times New Roman"/>
        </w:rPr>
        <w:t xml:space="preserve"> and responsible in acting ethically and competently on matters of due diligence and building safety. This is to mitigate the long-standing indifference of building safety through the prioritisation of organisational targets and success which has generated a </w:t>
      </w:r>
      <w:r w:rsidRPr="009A7AA3">
        <w:rPr>
          <w:rFonts w:cs="Times New Roman"/>
          <w:i/>
          <w:iCs/>
        </w:rPr>
        <w:t>“race to the bottom”</w:t>
      </w:r>
      <w:r>
        <w:rPr>
          <w:rFonts w:cs="Times New Roman"/>
        </w:rPr>
        <w:t xml:space="preserve"> (Hackitt, 2018). </w:t>
      </w:r>
      <w:r w:rsidR="00580222">
        <w:rPr>
          <w:rFonts w:cs="Times New Roman"/>
        </w:rPr>
        <w:t xml:space="preserve">The BSA reinforces this expectation through the administration of enforcement actions to stop works, investigate shortcomings, and award sanctions in the form of unlimited fines and criminal offence proceedings (HM Government, 2022). Nonetheless, May (2023) highlights that governing bodies recognises the challenges of holding organisations to the same level of accountability as named individuals due to the complexity of organisational structures construing corporate veils. </w:t>
      </w:r>
    </w:p>
    <w:p w14:paraId="498ACBE9" w14:textId="28D097CF" w:rsidR="006F70C0" w:rsidRDefault="005B5446" w:rsidP="009000B4">
      <w:pPr>
        <w:spacing w:line="360" w:lineRule="auto"/>
        <w:jc w:val="both"/>
        <w:rPr>
          <w:rFonts w:cs="Times New Roman"/>
        </w:rPr>
      </w:pPr>
      <w:r>
        <w:rPr>
          <w:rFonts w:cs="Times New Roman"/>
        </w:rPr>
        <w:t xml:space="preserve">However, O’Regan (2025) </w:t>
      </w:r>
      <w:r w:rsidR="006F70C0">
        <w:rPr>
          <w:rFonts w:cs="Times New Roman"/>
        </w:rPr>
        <w:t>argues against</w:t>
      </w:r>
      <w:r>
        <w:rPr>
          <w:rFonts w:cs="Times New Roman"/>
        </w:rPr>
        <w:t xml:space="preserve"> the assessment of organisational competency</w:t>
      </w:r>
      <w:r w:rsidR="00580222">
        <w:rPr>
          <w:rFonts w:cs="Times New Roman"/>
        </w:rPr>
        <w:t xml:space="preserve"> as opposed to individual competency</w:t>
      </w:r>
      <w:r w:rsidR="006F70C0">
        <w:rPr>
          <w:rFonts w:cs="Times New Roman"/>
        </w:rPr>
        <w:t xml:space="preserve"> as this</w:t>
      </w:r>
      <w:r>
        <w:rPr>
          <w:rFonts w:cs="Times New Roman"/>
        </w:rPr>
        <w:t xml:space="preserve"> runs the risk of </w:t>
      </w:r>
      <w:r w:rsidR="006F70C0">
        <w:rPr>
          <w:rFonts w:cs="Times New Roman"/>
        </w:rPr>
        <w:t>undermin</w:t>
      </w:r>
      <w:r>
        <w:rPr>
          <w:rFonts w:cs="Times New Roman"/>
        </w:rPr>
        <w:t>ing</w:t>
      </w:r>
      <w:r w:rsidR="006F70C0">
        <w:rPr>
          <w:rFonts w:cs="Times New Roman"/>
        </w:rPr>
        <w:t xml:space="preserve"> the</w:t>
      </w:r>
      <w:r w:rsidR="00526DDB">
        <w:rPr>
          <w:rFonts w:cs="Times New Roman"/>
        </w:rPr>
        <w:t xml:space="preserve"> impartiality of the</w:t>
      </w:r>
      <w:r>
        <w:rPr>
          <w:rFonts w:cs="Times New Roman"/>
        </w:rPr>
        <w:t xml:space="preserve"> Act’s gateway</w:t>
      </w:r>
      <w:r w:rsidR="006F70C0">
        <w:rPr>
          <w:rFonts w:cs="Times New Roman"/>
        </w:rPr>
        <w:t xml:space="preserve"> approval process. </w:t>
      </w:r>
      <w:r>
        <w:rPr>
          <w:rFonts w:cs="Times New Roman"/>
        </w:rPr>
        <w:t>Instead, O’Regan (2025) firmly attests that each</w:t>
      </w:r>
      <w:r w:rsidR="006F70C0">
        <w:rPr>
          <w:rFonts w:cs="Times New Roman"/>
        </w:rPr>
        <w:t xml:space="preserve"> submission </w:t>
      </w:r>
      <w:r>
        <w:rPr>
          <w:rFonts w:cs="Times New Roman"/>
        </w:rPr>
        <w:t>must be</w:t>
      </w:r>
      <w:r w:rsidR="006F70C0">
        <w:rPr>
          <w:rFonts w:cs="Times New Roman"/>
        </w:rPr>
        <w:t xml:space="preserve"> scrutinised on its merits and the individual representatives from each organisation.</w:t>
      </w:r>
    </w:p>
    <w:p w14:paraId="245DE531" w14:textId="6ED4BA3D" w:rsidR="005B5446" w:rsidRDefault="005B5446" w:rsidP="009000B4">
      <w:pPr>
        <w:spacing w:line="360" w:lineRule="auto"/>
        <w:jc w:val="both"/>
        <w:rPr>
          <w:rFonts w:cs="Times New Roman"/>
        </w:rPr>
      </w:pPr>
      <w:r>
        <w:rPr>
          <w:rFonts w:cs="Times New Roman"/>
        </w:rPr>
        <w:t xml:space="preserve">Nonetheless, this </w:t>
      </w:r>
      <w:r w:rsidR="00526DDB">
        <w:rPr>
          <w:rFonts w:cs="Times New Roman"/>
        </w:rPr>
        <w:t>presents a concern</w:t>
      </w:r>
      <w:r>
        <w:rPr>
          <w:rFonts w:cs="Times New Roman"/>
        </w:rPr>
        <w:t xml:space="preserve"> that whilst the named individual may be suitably qualified with a support mechanism, there is limited clarity on </w:t>
      </w:r>
      <w:r w:rsidR="007C1024">
        <w:rPr>
          <w:rFonts w:cs="Times New Roman"/>
        </w:rPr>
        <w:t xml:space="preserve">how the dutyholder organisation </w:t>
      </w:r>
      <w:r w:rsidR="00832EDE">
        <w:rPr>
          <w:rFonts w:cs="Times New Roman"/>
        </w:rPr>
        <w:t>remains committed in conducting themselves competently. It also remains unclear on how statute mandates and reinforces the need for</w:t>
      </w:r>
      <w:r w:rsidR="007C1024">
        <w:rPr>
          <w:rFonts w:cs="Times New Roman"/>
        </w:rPr>
        <w:t xml:space="preserve"> any suitable replacements </w:t>
      </w:r>
      <w:r w:rsidR="00832EDE">
        <w:rPr>
          <w:rFonts w:cs="Times New Roman"/>
        </w:rPr>
        <w:t>to be</w:t>
      </w:r>
      <w:r w:rsidR="007C1024">
        <w:rPr>
          <w:rFonts w:cs="Times New Roman"/>
        </w:rPr>
        <w:t xml:space="preserve"> aptly supported in taking over </w:t>
      </w:r>
      <w:r w:rsidR="00832EDE">
        <w:rPr>
          <w:rFonts w:cs="Times New Roman"/>
        </w:rPr>
        <w:t>key</w:t>
      </w:r>
      <w:r w:rsidR="007C1024">
        <w:rPr>
          <w:rFonts w:cs="Times New Roman"/>
        </w:rPr>
        <w:t xml:space="preserve"> dut</w:t>
      </w:r>
      <w:r w:rsidR="00832EDE">
        <w:rPr>
          <w:rFonts w:cs="Times New Roman"/>
        </w:rPr>
        <w:t>yholder responsibilities.</w:t>
      </w:r>
      <w:r w:rsidR="006C69C6">
        <w:rPr>
          <w:rFonts w:cs="Times New Roman"/>
        </w:rPr>
        <w:t xml:space="preserve"> Moreover, the assessment of competency via the CAS framework creates a concern that whilst organisational competence can be measured, it may not be appropriately administered based on relevance and experience.</w:t>
      </w:r>
    </w:p>
    <w:p w14:paraId="50B141CF" w14:textId="3D0FD420" w:rsidR="00CF788F" w:rsidRPr="00DB2118" w:rsidRDefault="0064790F" w:rsidP="00380C64">
      <w:pPr>
        <w:pStyle w:val="Heading2"/>
        <w:jc w:val="both"/>
        <w:rPr>
          <w:rFonts w:cs="Times New Roman"/>
          <w:b/>
          <w:bCs/>
          <w:color w:val="auto"/>
          <w:sz w:val="24"/>
          <w:szCs w:val="24"/>
        </w:rPr>
      </w:pPr>
      <w:bookmarkStart w:id="19" w:name="_Toc218947629"/>
      <w:r>
        <w:rPr>
          <w:rFonts w:cs="Times New Roman"/>
          <w:b/>
          <w:bCs/>
          <w:color w:val="auto"/>
          <w:sz w:val="24"/>
          <w:szCs w:val="24"/>
        </w:rPr>
        <w:lastRenderedPageBreak/>
        <w:t>2</w:t>
      </w:r>
      <w:r w:rsidR="008331E7" w:rsidRPr="00DB2118">
        <w:rPr>
          <w:rFonts w:cs="Times New Roman"/>
          <w:b/>
          <w:bCs/>
          <w:color w:val="auto"/>
          <w:sz w:val="24"/>
          <w:szCs w:val="24"/>
        </w:rPr>
        <w:t>.</w:t>
      </w:r>
      <w:r w:rsidR="00C019AE">
        <w:rPr>
          <w:rFonts w:cs="Times New Roman"/>
          <w:b/>
          <w:bCs/>
          <w:color w:val="auto"/>
          <w:sz w:val="24"/>
          <w:szCs w:val="24"/>
        </w:rPr>
        <w:t>4</w:t>
      </w:r>
      <w:r w:rsidR="008331E7" w:rsidRPr="00DB2118">
        <w:rPr>
          <w:rFonts w:cs="Times New Roman"/>
          <w:b/>
          <w:bCs/>
          <w:color w:val="auto"/>
          <w:sz w:val="24"/>
          <w:szCs w:val="24"/>
        </w:rPr>
        <w:t xml:space="preserve"> </w:t>
      </w:r>
      <w:r w:rsidR="00C019AE">
        <w:rPr>
          <w:rFonts w:cs="Times New Roman"/>
          <w:b/>
          <w:bCs/>
          <w:color w:val="auto"/>
          <w:sz w:val="24"/>
          <w:szCs w:val="24"/>
        </w:rPr>
        <w:t>Continuous Professional Development</w:t>
      </w:r>
      <w:r w:rsidR="00F64A46">
        <w:rPr>
          <w:rFonts w:cs="Times New Roman"/>
          <w:b/>
          <w:bCs/>
          <w:color w:val="auto"/>
          <w:sz w:val="24"/>
          <w:szCs w:val="24"/>
        </w:rPr>
        <w:t xml:space="preserve"> (CPD)</w:t>
      </w:r>
      <w:bookmarkEnd w:id="19"/>
    </w:p>
    <w:p w14:paraId="1A7E0E84" w14:textId="59BB05A3" w:rsidR="00742D09" w:rsidRPr="006F70C0" w:rsidRDefault="0064790F" w:rsidP="006F70C0">
      <w:pPr>
        <w:pStyle w:val="Heading3"/>
        <w:jc w:val="both"/>
        <w:rPr>
          <w:rFonts w:cs="Times New Roman"/>
          <w:b/>
          <w:bCs/>
          <w:color w:val="auto"/>
          <w:sz w:val="22"/>
          <w:szCs w:val="22"/>
        </w:rPr>
      </w:pPr>
      <w:bookmarkStart w:id="20" w:name="_Toc218947630"/>
      <w:r>
        <w:rPr>
          <w:rFonts w:cs="Times New Roman"/>
          <w:b/>
          <w:bCs/>
          <w:color w:val="auto"/>
          <w:sz w:val="22"/>
          <w:szCs w:val="22"/>
        </w:rPr>
        <w:t>2</w:t>
      </w:r>
      <w:r w:rsidR="008331E7" w:rsidRPr="00DB2118">
        <w:rPr>
          <w:rFonts w:cs="Times New Roman"/>
          <w:b/>
          <w:bCs/>
          <w:color w:val="auto"/>
          <w:sz w:val="22"/>
          <w:szCs w:val="22"/>
        </w:rPr>
        <w:t>.</w:t>
      </w:r>
      <w:r w:rsidR="00C019AE">
        <w:rPr>
          <w:rFonts w:cs="Times New Roman"/>
          <w:b/>
          <w:bCs/>
          <w:color w:val="auto"/>
          <w:sz w:val="22"/>
          <w:szCs w:val="22"/>
        </w:rPr>
        <w:t>4</w:t>
      </w:r>
      <w:r w:rsidR="008331E7" w:rsidRPr="00DB2118">
        <w:rPr>
          <w:rFonts w:cs="Times New Roman"/>
          <w:b/>
          <w:bCs/>
          <w:color w:val="auto"/>
          <w:sz w:val="22"/>
          <w:szCs w:val="22"/>
        </w:rPr>
        <w:t xml:space="preserve">.1 </w:t>
      </w:r>
      <w:r w:rsidR="007C1024">
        <w:rPr>
          <w:rFonts w:cs="Times New Roman"/>
          <w:b/>
          <w:bCs/>
          <w:color w:val="auto"/>
          <w:sz w:val="22"/>
          <w:szCs w:val="22"/>
        </w:rPr>
        <w:t>Political Directive</w:t>
      </w:r>
      <w:bookmarkEnd w:id="20"/>
    </w:p>
    <w:p w14:paraId="52BD698A" w14:textId="77777777" w:rsidR="007C1024" w:rsidRDefault="00742D09" w:rsidP="00742D09">
      <w:pPr>
        <w:spacing w:line="360" w:lineRule="auto"/>
        <w:jc w:val="both"/>
        <w:rPr>
          <w:rFonts w:cs="Times New Roman"/>
        </w:rPr>
      </w:pPr>
      <w:r>
        <w:rPr>
          <w:rFonts w:cs="Times New Roman"/>
        </w:rPr>
        <w:t xml:space="preserve">The need for more competent individuals to deliver HRB developments is of paramount importance to secure greater volumes of affordable housing to tackle the ongoing housing crisis within the UK (Jenkin et. al, 2025). </w:t>
      </w:r>
    </w:p>
    <w:p w14:paraId="4659DCDB" w14:textId="77777777" w:rsidR="00976809" w:rsidRDefault="00742D09" w:rsidP="00742D09">
      <w:pPr>
        <w:spacing w:line="360" w:lineRule="auto"/>
        <w:jc w:val="both"/>
        <w:rPr>
          <w:rFonts w:cs="Times New Roman"/>
        </w:rPr>
      </w:pPr>
      <w:r>
        <w:rPr>
          <w:rFonts w:cs="Times New Roman"/>
        </w:rPr>
        <w:t xml:space="preserve">O’Regan (2025) argues that the new BS 8670 and approved frameworks such as the UKSPEC HRB create a significant amount of exposure and emphasis on demonstrating competency by dutyholders. </w:t>
      </w:r>
      <w:r w:rsidR="004805A4">
        <w:rPr>
          <w:rFonts w:cs="Times New Roman"/>
        </w:rPr>
        <w:t>A</w:t>
      </w:r>
      <w:r w:rsidR="004805A4">
        <w:rPr>
          <w:rFonts w:cs="Times New Roman"/>
        </w:rPr>
        <w:t xml:space="preserve"> level of pragmatism is fundamental to strike a balance between political direction and industrial growth</w:t>
      </w:r>
      <w:r w:rsidR="004805A4">
        <w:rPr>
          <w:rFonts w:cs="Times New Roman"/>
        </w:rPr>
        <w:t xml:space="preserve">. </w:t>
      </w:r>
      <w:r>
        <w:rPr>
          <w:rFonts w:cs="Times New Roman"/>
        </w:rPr>
        <w:t>This has led to dutyholders actively seeking ways to avoid the new Act to guarantee investment returns by procuring non-HRB developments: poorly aligning with government vision</w:t>
      </w:r>
      <w:r w:rsidR="007C1024">
        <w:rPr>
          <w:rFonts w:cs="Times New Roman"/>
        </w:rPr>
        <w:t xml:space="preserve"> (O’Regan, 2025)</w:t>
      </w:r>
      <w:r>
        <w:rPr>
          <w:rFonts w:cs="Times New Roman"/>
        </w:rPr>
        <w:t>.</w:t>
      </w:r>
    </w:p>
    <w:p w14:paraId="140B19C3" w14:textId="37FA468A" w:rsidR="00742D09" w:rsidRPr="00203756" w:rsidRDefault="00803BD3" w:rsidP="00742D09">
      <w:pPr>
        <w:spacing w:line="360" w:lineRule="auto"/>
        <w:jc w:val="both"/>
        <w:rPr>
          <w:rFonts w:cs="Times New Roman"/>
        </w:rPr>
      </w:pPr>
      <w:r>
        <w:rPr>
          <w:rFonts w:cs="Times New Roman"/>
        </w:rPr>
        <w:t xml:space="preserve">This </w:t>
      </w:r>
      <w:r w:rsidR="00976809">
        <w:rPr>
          <w:rFonts w:cs="Times New Roman"/>
        </w:rPr>
        <w:t>emphasises</w:t>
      </w:r>
      <w:r w:rsidR="004805A4">
        <w:rPr>
          <w:rFonts w:cs="Times New Roman"/>
        </w:rPr>
        <w:t xml:space="preserve"> the lack of awareness and foresight within the industry of the bigger picture which is to increase the standards of building safety and individual competency. </w:t>
      </w:r>
      <w:r w:rsidR="00742D09">
        <w:rPr>
          <w:rFonts w:cs="Times New Roman"/>
        </w:rPr>
        <w:t>Green (2023) suggests that government intervention is needed to secure industry stability, growth and unity to mitigate the culture of indifference that is ingrained within the industry.</w:t>
      </w:r>
      <w:r w:rsidR="00D97C9E">
        <w:rPr>
          <w:rFonts w:cs="Times New Roman"/>
        </w:rPr>
        <w:t xml:space="preserve"> </w:t>
      </w:r>
      <w:r w:rsidR="0093643B">
        <w:rPr>
          <w:rFonts w:cs="Times New Roman"/>
        </w:rPr>
        <w:t>Without</w:t>
      </w:r>
      <w:r w:rsidR="00D97C9E">
        <w:rPr>
          <w:rFonts w:cs="Times New Roman"/>
        </w:rPr>
        <w:t xml:space="preserve"> training and support mechanisms to </w:t>
      </w:r>
      <w:r w:rsidR="0093643B">
        <w:rPr>
          <w:rFonts w:cs="Times New Roman"/>
        </w:rPr>
        <w:t xml:space="preserve">encourage </w:t>
      </w:r>
      <w:r w:rsidR="00D97C9E">
        <w:rPr>
          <w:rFonts w:cs="Times New Roman"/>
        </w:rPr>
        <w:t xml:space="preserve">organisations </w:t>
      </w:r>
      <w:r w:rsidR="0093643B">
        <w:rPr>
          <w:rFonts w:cs="Times New Roman"/>
        </w:rPr>
        <w:t xml:space="preserve">to focus </w:t>
      </w:r>
      <w:r w:rsidR="00D97C9E">
        <w:rPr>
          <w:rFonts w:cs="Times New Roman"/>
        </w:rPr>
        <w:t>on the bigger picture, t</w:t>
      </w:r>
      <w:r w:rsidR="0093643B">
        <w:rPr>
          <w:rFonts w:cs="Times New Roman"/>
        </w:rPr>
        <w:t>here remains a platform to actively undercut the political directive and rely on existing and flawed practices within the industry.</w:t>
      </w:r>
    </w:p>
    <w:p w14:paraId="107BF1D6" w14:textId="43C52A93" w:rsidR="009E39A4" w:rsidRPr="00DB2118" w:rsidRDefault="0064790F" w:rsidP="00380C64">
      <w:pPr>
        <w:pStyle w:val="Heading3"/>
        <w:jc w:val="both"/>
        <w:rPr>
          <w:rFonts w:cs="Times New Roman"/>
          <w:b/>
          <w:bCs/>
          <w:color w:val="auto"/>
          <w:sz w:val="22"/>
          <w:szCs w:val="22"/>
        </w:rPr>
      </w:pPr>
      <w:bookmarkStart w:id="21" w:name="_Toc218947631"/>
      <w:r>
        <w:rPr>
          <w:rFonts w:cs="Times New Roman"/>
          <w:b/>
          <w:bCs/>
          <w:color w:val="auto"/>
          <w:sz w:val="22"/>
          <w:szCs w:val="22"/>
        </w:rPr>
        <w:t>2</w:t>
      </w:r>
      <w:r w:rsidR="008331E7" w:rsidRPr="00DB2118">
        <w:rPr>
          <w:rFonts w:cs="Times New Roman"/>
          <w:b/>
          <w:bCs/>
          <w:color w:val="auto"/>
          <w:sz w:val="22"/>
          <w:szCs w:val="22"/>
        </w:rPr>
        <w:t>.</w:t>
      </w:r>
      <w:r w:rsidR="00C019AE">
        <w:rPr>
          <w:rFonts w:cs="Times New Roman"/>
          <w:b/>
          <w:bCs/>
          <w:color w:val="auto"/>
          <w:sz w:val="22"/>
          <w:szCs w:val="22"/>
        </w:rPr>
        <w:t>4</w:t>
      </w:r>
      <w:r w:rsidR="008331E7" w:rsidRPr="00DB2118">
        <w:rPr>
          <w:rFonts w:cs="Times New Roman"/>
          <w:b/>
          <w:bCs/>
          <w:color w:val="auto"/>
          <w:sz w:val="22"/>
          <w:szCs w:val="22"/>
        </w:rPr>
        <w:t xml:space="preserve">.2 </w:t>
      </w:r>
      <w:r w:rsidR="00DB7282">
        <w:rPr>
          <w:rFonts w:cs="Times New Roman"/>
          <w:b/>
          <w:bCs/>
          <w:color w:val="auto"/>
          <w:sz w:val="22"/>
          <w:szCs w:val="22"/>
        </w:rPr>
        <w:t>Practicality</w:t>
      </w:r>
      <w:bookmarkEnd w:id="21"/>
    </w:p>
    <w:p w14:paraId="2A77A0D7" w14:textId="6A6A6E86" w:rsidR="00952C85" w:rsidRDefault="00F64A46" w:rsidP="00380C64">
      <w:pPr>
        <w:spacing w:line="360" w:lineRule="auto"/>
        <w:jc w:val="both"/>
        <w:rPr>
          <w:rFonts w:cs="Times New Roman"/>
        </w:rPr>
      </w:pPr>
      <w:r>
        <w:rPr>
          <w:rFonts w:cs="Times New Roman"/>
        </w:rPr>
        <w:t xml:space="preserve">Professional bodies such as the Association for Project Safety (APS) and Chartered Institute of Building (CIOB) provide and enforce a variety of CPD courses to ensure their members maintain the right to hold their professional registration. However, there is an innate perception within the industry that these merely represent a tick-box exercise due to the sheer volume of hours and commitment needed in performing these tasks alongside their wider obligations (Macdougall, Epstein, Highet, 107). </w:t>
      </w:r>
    </w:p>
    <w:p w14:paraId="68EB24D3" w14:textId="060B882E" w:rsidR="00F64A46" w:rsidRDefault="00F64A46" w:rsidP="00380C64">
      <w:pPr>
        <w:spacing w:line="360" w:lineRule="auto"/>
        <w:jc w:val="both"/>
        <w:rPr>
          <w:rFonts w:cs="Times New Roman"/>
        </w:rPr>
      </w:pPr>
      <w:r>
        <w:rPr>
          <w:rFonts w:cs="Times New Roman"/>
        </w:rPr>
        <w:t xml:space="preserve">Macdougall, Epstein and Highet (2017) </w:t>
      </w:r>
      <w:r w:rsidR="00DB7282">
        <w:rPr>
          <w:rFonts w:cs="Times New Roman"/>
        </w:rPr>
        <w:t>suggest that</w:t>
      </w:r>
      <w:r>
        <w:rPr>
          <w:rFonts w:cs="Times New Roman"/>
        </w:rPr>
        <w:t xml:space="preserve"> reflective methods of study </w:t>
      </w:r>
      <w:r w:rsidR="00DB7282">
        <w:rPr>
          <w:rFonts w:cs="Times New Roman"/>
        </w:rPr>
        <w:t>such as</w:t>
      </w:r>
      <w:r>
        <w:rPr>
          <w:rFonts w:cs="Times New Roman"/>
        </w:rPr>
        <w:t xml:space="preserve"> peer debriefing should constitute CPD </w:t>
      </w:r>
      <w:r w:rsidR="00DB7282">
        <w:rPr>
          <w:rFonts w:cs="Times New Roman"/>
        </w:rPr>
        <w:t xml:space="preserve">as these processes </w:t>
      </w:r>
      <w:r>
        <w:rPr>
          <w:rFonts w:cs="Times New Roman"/>
        </w:rPr>
        <w:t>allow practical absorption and reflection of work carried out. Reflection</w:t>
      </w:r>
      <w:r w:rsidR="00DB7282">
        <w:rPr>
          <w:rFonts w:cs="Times New Roman"/>
        </w:rPr>
        <w:t xml:space="preserve">s through collaboration of </w:t>
      </w:r>
      <w:r>
        <w:rPr>
          <w:rFonts w:cs="Times New Roman"/>
        </w:rPr>
        <w:t xml:space="preserve">lessons learnt are key </w:t>
      </w:r>
      <w:r w:rsidR="00DB7282">
        <w:rPr>
          <w:rFonts w:cs="Times New Roman"/>
        </w:rPr>
        <w:t xml:space="preserve">to developing practical action plans and fostering competence across a workforce. These embody continuous learning through the recognition of problems and the importance of carrying out duties in a </w:t>
      </w:r>
      <w:r w:rsidR="00526DDB">
        <w:rPr>
          <w:rFonts w:cs="Times New Roman"/>
        </w:rPr>
        <w:t>procedural</w:t>
      </w:r>
      <w:r w:rsidR="00DB7282">
        <w:rPr>
          <w:rFonts w:cs="Times New Roman"/>
        </w:rPr>
        <w:t xml:space="preserve"> manner to mitigate these issues (Macdougall, Epstein and Highet, 2017).</w:t>
      </w:r>
    </w:p>
    <w:p w14:paraId="051D365A" w14:textId="149A719E" w:rsidR="00DB7282" w:rsidRDefault="00DB7282" w:rsidP="00380C64">
      <w:pPr>
        <w:spacing w:line="360" w:lineRule="auto"/>
        <w:jc w:val="both"/>
        <w:rPr>
          <w:rFonts w:cs="Times New Roman"/>
        </w:rPr>
      </w:pPr>
      <w:r>
        <w:rPr>
          <w:rFonts w:cs="Times New Roman"/>
        </w:rPr>
        <w:lastRenderedPageBreak/>
        <w:t>However, BS 8670 focuses on the assessment of professional competence and ethics of individuals, not on their ability to recognise problems and interpret problems through collaboration and reflection: both of which are key to developing strong key dutyholder representatives.</w:t>
      </w:r>
      <w:r w:rsidR="009A7AA3">
        <w:rPr>
          <w:rFonts w:cs="Times New Roman"/>
        </w:rPr>
        <w:t xml:space="preserve"> This is a consideration that BS 8670 and professional bodies appear to have missed which may be pivotal to achieving a measurable target of behavioural competence of industry professionals.</w:t>
      </w:r>
    </w:p>
    <w:p w14:paraId="0C20CA4D" w14:textId="3F6819A9" w:rsidR="00DB7282" w:rsidRPr="00DB2118" w:rsidRDefault="0064790F" w:rsidP="00DB7282">
      <w:pPr>
        <w:pStyle w:val="Heading3"/>
        <w:jc w:val="both"/>
        <w:rPr>
          <w:rFonts w:cs="Times New Roman"/>
          <w:b/>
          <w:bCs/>
          <w:color w:val="auto"/>
          <w:sz w:val="22"/>
          <w:szCs w:val="22"/>
        </w:rPr>
      </w:pPr>
      <w:bookmarkStart w:id="22" w:name="_Toc218947632"/>
      <w:r>
        <w:rPr>
          <w:rFonts w:cs="Times New Roman"/>
          <w:b/>
          <w:bCs/>
          <w:color w:val="auto"/>
          <w:sz w:val="22"/>
          <w:szCs w:val="22"/>
        </w:rPr>
        <w:t>2</w:t>
      </w:r>
      <w:r w:rsidR="00DB7282" w:rsidRPr="00DB2118">
        <w:rPr>
          <w:rFonts w:cs="Times New Roman"/>
          <w:b/>
          <w:bCs/>
          <w:color w:val="auto"/>
          <w:sz w:val="22"/>
          <w:szCs w:val="22"/>
        </w:rPr>
        <w:t>.</w:t>
      </w:r>
      <w:r w:rsidR="00DB7282">
        <w:rPr>
          <w:rFonts w:cs="Times New Roman"/>
          <w:b/>
          <w:bCs/>
          <w:color w:val="auto"/>
          <w:sz w:val="22"/>
          <w:szCs w:val="22"/>
        </w:rPr>
        <w:t>4</w:t>
      </w:r>
      <w:r w:rsidR="00DB7282" w:rsidRPr="00DB2118">
        <w:rPr>
          <w:rFonts w:cs="Times New Roman"/>
          <w:b/>
          <w:bCs/>
          <w:color w:val="auto"/>
          <w:sz w:val="22"/>
          <w:szCs w:val="22"/>
        </w:rPr>
        <w:t>.</w:t>
      </w:r>
      <w:r w:rsidR="00DB7282">
        <w:rPr>
          <w:rFonts w:cs="Times New Roman"/>
          <w:b/>
          <w:bCs/>
          <w:color w:val="auto"/>
          <w:sz w:val="22"/>
          <w:szCs w:val="22"/>
        </w:rPr>
        <w:t>3</w:t>
      </w:r>
      <w:r w:rsidR="00DB7282" w:rsidRPr="00DB2118">
        <w:rPr>
          <w:rFonts w:cs="Times New Roman"/>
          <w:b/>
          <w:bCs/>
          <w:color w:val="auto"/>
          <w:sz w:val="22"/>
          <w:szCs w:val="22"/>
        </w:rPr>
        <w:t xml:space="preserve"> </w:t>
      </w:r>
      <w:r w:rsidR="008C0A34">
        <w:rPr>
          <w:rFonts w:cs="Times New Roman"/>
          <w:b/>
          <w:bCs/>
          <w:color w:val="auto"/>
          <w:sz w:val="22"/>
          <w:szCs w:val="22"/>
        </w:rPr>
        <w:t>Professional Practice</w:t>
      </w:r>
      <w:bookmarkEnd w:id="22"/>
    </w:p>
    <w:p w14:paraId="12C78AB4" w14:textId="7F1A99E9" w:rsidR="00DB7282" w:rsidRDefault="008C0A34" w:rsidP="00380C64">
      <w:pPr>
        <w:spacing w:line="360" w:lineRule="auto"/>
        <w:jc w:val="both"/>
        <w:rPr>
          <w:rFonts w:cs="Times New Roman"/>
        </w:rPr>
      </w:pPr>
      <w:r>
        <w:rPr>
          <w:rFonts w:cs="Times New Roman"/>
        </w:rPr>
        <w:t xml:space="preserve">The purpose of CPD programmes mandated by professional bodies and educational institutes is to ensure individuals are up to date and well-educated on their professional practice. Development plans are provided by most professional bodies to help support individuals in achieving professional registration. </w:t>
      </w:r>
      <w:r w:rsidR="006B4F94">
        <w:rPr>
          <w:rFonts w:cs="Times New Roman"/>
        </w:rPr>
        <w:t>However, t</w:t>
      </w:r>
      <w:r>
        <w:rPr>
          <w:rFonts w:cs="Times New Roman"/>
        </w:rPr>
        <w:t xml:space="preserve">he appropriateness and relevance of training is determined by the individual and not the professional body. This creates a concern whereby an individual can conduct the mandatory training obligations to uphold their professional registration but can fall short in satisfying key parameters of training appropriate to their professional practice. </w:t>
      </w:r>
    </w:p>
    <w:p w14:paraId="3AEA4B94" w14:textId="4F67BAA0" w:rsidR="006B4F94" w:rsidRDefault="006B4F94" w:rsidP="00380C64">
      <w:pPr>
        <w:spacing w:line="360" w:lineRule="auto"/>
        <w:jc w:val="both"/>
        <w:rPr>
          <w:rFonts w:cs="Times New Roman"/>
        </w:rPr>
      </w:pPr>
      <w:r>
        <w:rPr>
          <w:rFonts w:cs="Times New Roman"/>
        </w:rPr>
        <w:t>The CIOB (n. d.) offer a training partnership programme which allows detailed support in maintaining and achieving a competent and chartered workforce with organisations through contractual set up as a joint venture. However, the training support is limited to organisational goal setting and advice which leaves the onus on organisations to establish their own support mechanisms in maintaining an appropriately competent workforce.</w:t>
      </w:r>
    </w:p>
    <w:p w14:paraId="611943DB" w14:textId="4B0FD740" w:rsidR="006B4F94" w:rsidRDefault="008C0A34" w:rsidP="00380C64">
      <w:pPr>
        <w:spacing w:line="360" w:lineRule="auto"/>
        <w:jc w:val="both"/>
        <w:rPr>
          <w:rFonts w:cs="Times New Roman"/>
        </w:rPr>
      </w:pPr>
      <w:r>
        <w:rPr>
          <w:rFonts w:cs="Times New Roman"/>
        </w:rPr>
        <w:t xml:space="preserve">Hence, </w:t>
      </w:r>
      <w:r w:rsidR="006B4F94">
        <w:rPr>
          <w:rFonts w:cs="Times New Roman"/>
        </w:rPr>
        <w:t xml:space="preserve">this highlights a need for </w:t>
      </w:r>
      <w:r w:rsidR="002E1A5E">
        <w:rPr>
          <w:rFonts w:cs="Times New Roman"/>
        </w:rPr>
        <w:t>organisations</w:t>
      </w:r>
      <w:r w:rsidR="006B4F94">
        <w:rPr>
          <w:rFonts w:cs="Times New Roman"/>
        </w:rPr>
        <w:t xml:space="preserve"> to consider the need for administering support mechanisms such as tutoring, buddy systems, and personalised development plans of professionally registered members</w:t>
      </w:r>
      <w:r w:rsidR="002E1A5E">
        <w:rPr>
          <w:rFonts w:cs="Times New Roman"/>
        </w:rPr>
        <w:t>. This ensures that the workforce employed are appropriately trained to carry out their dutyholder obligations demanded by statute</w:t>
      </w:r>
      <w:r w:rsidR="00DF1D27">
        <w:rPr>
          <w:rFonts w:cs="Times New Roman"/>
        </w:rPr>
        <w:t xml:space="preserve"> and supplemented through BS 8670</w:t>
      </w:r>
      <w:r w:rsidR="002E1A5E">
        <w:rPr>
          <w:rFonts w:cs="Times New Roman"/>
        </w:rPr>
        <w:t>.</w:t>
      </w:r>
    </w:p>
    <w:p w14:paraId="57837038" w14:textId="77777777" w:rsidR="006B4F94" w:rsidRDefault="006B4F94" w:rsidP="00380C64">
      <w:pPr>
        <w:spacing w:line="360" w:lineRule="auto"/>
        <w:jc w:val="both"/>
        <w:rPr>
          <w:rFonts w:cs="Times New Roman"/>
        </w:rPr>
      </w:pPr>
    </w:p>
    <w:p w14:paraId="685E2FB2" w14:textId="77777777" w:rsidR="006B4F94" w:rsidRDefault="006B4F94" w:rsidP="00380C64">
      <w:pPr>
        <w:spacing w:line="360" w:lineRule="auto"/>
        <w:jc w:val="both"/>
        <w:rPr>
          <w:rFonts w:cs="Times New Roman"/>
        </w:rPr>
      </w:pPr>
    </w:p>
    <w:p w14:paraId="4597CD2F" w14:textId="77777777" w:rsidR="006B4F94" w:rsidRDefault="006B4F94" w:rsidP="00380C64">
      <w:pPr>
        <w:spacing w:line="360" w:lineRule="auto"/>
        <w:jc w:val="both"/>
        <w:rPr>
          <w:rFonts w:cs="Times New Roman"/>
        </w:rPr>
      </w:pPr>
    </w:p>
    <w:p w14:paraId="4DE82AB5" w14:textId="77777777" w:rsidR="00C21CFA" w:rsidRDefault="00C21CFA" w:rsidP="00380C64">
      <w:pPr>
        <w:spacing w:line="360" w:lineRule="auto"/>
        <w:jc w:val="both"/>
        <w:rPr>
          <w:rFonts w:cs="Times New Roman"/>
        </w:rPr>
      </w:pPr>
    </w:p>
    <w:p w14:paraId="6792407B" w14:textId="6EE3B1AC" w:rsidR="008B5206" w:rsidRPr="00DB2118" w:rsidRDefault="0064790F" w:rsidP="00380C64">
      <w:pPr>
        <w:pStyle w:val="Heading2"/>
        <w:jc w:val="both"/>
        <w:rPr>
          <w:rFonts w:cs="Times New Roman"/>
          <w:b/>
          <w:bCs/>
          <w:color w:val="auto"/>
          <w:sz w:val="24"/>
          <w:szCs w:val="24"/>
        </w:rPr>
      </w:pPr>
      <w:bookmarkStart w:id="23" w:name="_Toc218947633"/>
      <w:r>
        <w:rPr>
          <w:rFonts w:cs="Times New Roman"/>
          <w:b/>
          <w:bCs/>
          <w:color w:val="auto"/>
          <w:sz w:val="24"/>
          <w:szCs w:val="24"/>
        </w:rPr>
        <w:lastRenderedPageBreak/>
        <w:t>2</w:t>
      </w:r>
      <w:r w:rsidR="00313E02" w:rsidRPr="00DB2118">
        <w:rPr>
          <w:rFonts w:cs="Times New Roman"/>
          <w:b/>
          <w:bCs/>
          <w:color w:val="auto"/>
          <w:sz w:val="24"/>
          <w:szCs w:val="24"/>
        </w:rPr>
        <w:t>.</w:t>
      </w:r>
      <w:r w:rsidR="00C019AE">
        <w:rPr>
          <w:rFonts w:cs="Times New Roman"/>
          <w:b/>
          <w:bCs/>
          <w:color w:val="auto"/>
          <w:sz w:val="24"/>
          <w:szCs w:val="24"/>
        </w:rPr>
        <w:t>5</w:t>
      </w:r>
      <w:r w:rsidR="00313E02" w:rsidRPr="00DB2118">
        <w:rPr>
          <w:rFonts w:cs="Times New Roman"/>
          <w:b/>
          <w:bCs/>
          <w:color w:val="auto"/>
          <w:sz w:val="24"/>
          <w:szCs w:val="24"/>
        </w:rPr>
        <w:tab/>
      </w:r>
      <w:r w:rsidR="00B627FC" w:rsidRPr="00DB2118">
        <w:rPr>
          <w:rFonts w:cs="Times New Roman"/>
          <w:b/>
          <w:bCs/>
          <w:color w:val="auto"/>
          <w:sz w:val="24"/>
          <w:szCs w:val="24"/>
        </w:rPr>
        <w:t xml:space="preserve">Summary of Research </w:t>
      </w:r>
      <w:r w:rsidR="008B5206" w:rsidRPr="00DB2118">
        <w:rPr>
          <w:rFonts w:cs="Times New Roman"/>
          <w:b/>
          <w:bCs/>
          <w:color w:val="auto"/>
          <w:sz w:val="24"/>
          <w:szCs w:val="24"/>
        </w:rPr>
        <w:t>Gaps Identified</w:t>
      </w:r>
      <w:bookmarkEnd w:id="23"/>
    </w:p>
    <w:tbl>
      <w:tblPr>
        <w:tblStyle w:val="TableGrid"/>
        <w:tblpPr w:leftFromText="180" w:rightFromText="180" w:vertAnchor="text" w:horzAnchor="margin" w:tblpY="1875"/>
        <w:tblW w:w="0" w:type="auto"/>
        <w:tblLook w:val="04A0" w:firstRow="1" w:lastRow="0" w:firstColumn="1" w:lastColumn="0" w:noHBand="0" w:noVBand="1"/>
      </w:tblPr>
      <w:tblGrid>
        <w:gridCol w:w="3114"/>
        <w:gridCol w:w="5902"/>
      </w:tblGrid>
      <w:tr w:rsidR="00107F5F" w:rsidRPr="00BC4B0E" w14:paraId="2678B86B" w14:textId="77777777" w:rsidTr="00107F5F">
        <w:tc>
          <w:tcPr>
            <w:tcW w:w="3114" w:type="dxa"/>
            <w:shd w:val="clear" w:color="auto" w:fill="E8E8E8" w:themeFill="background2"/>
          </w:tcPr>
          <w:p w14:paraId="55F75B23" w14:textId="77777777" w:rsidR="00107F5F" w:rsidRPr="00BC4B0E" w:rsidRDefault="00107F5F" w:rsidP="00107F5F">
            <w:pPr>
              <w:spacing w:line="360" w:lineRule="auto"/>
              <w:jc w:val="both"/>
              <w:rPr>
                <w:rFonts w:cs="Times New Roman"/>
                <w:b/>
                <w:bCs/>
              </w:rPr>
            </w:pPr>
            <w:r w:rsidRPr="00BC4B0E">
              <w:rPr>
                <w:rFonts w:cs="Times New Roman"/>
                <w:b/>
                <w:bCs/>
              </w:rPr>
              <w:t>Objectives</w:t>
            </w:r>
          </w:p>
        </w:tc>
        <w:tc>
          <w:tcPr>
            <w:tcW w:w="5902" w:type="dxa"/>
            <w:shd w:val="clear" w:color="auto" w:fill="E8E8E8" w:themeFill="background2"/>
          </w:tcPr>
          <w:p w14:paraId="0D7040F5" w14:textId="77777777" w:rsidR="00107F5F" w:rsidRPr="00BC4B0E" w:rsidRDefault="00107F5F" w:rsidP="00107F5F">
            <w:pPr>
              <w:spacing w:line="360" w:lineRule="auto"/>
              <w:jc w:val="both"/>
              <w:rPr>
                <w:rFonts w:cs="Times New Roman"/>
                <w:b/>
                <w:bCs/>
              </w:rPr>
            </w:pPr>
            <w:r w:rsidRPr="00BC4B0E">
              <w:rPr>
                <w:rFonts w:cs="Times New Roman"/>
                <w:b/>
                <w:bCs/>
              </w:rPr>
              <w:t>Research Gaps</w:t>
            </w:r>
            <w:r>
              <w:rPr>
                <w:rFonts w:cs="Times New Roman"/>
                <w:b/>
                <w:bCs/>
              </w:rPr>
              <w:t xml:space="preserve"> Identified</w:t>
            </w:r>
          </w:p>
        </w:tc>
      </w:tr>
      <w:tr w:rsidR="00107F5F" w:rsidRPr="00BC4B0E" w14:paraId="45A94106" w14:textId="77777777" w:rsidTr="00107F5F">
        <w:trPr>
          <w:trHeight w:val="2799"/>
        </w:trPr>
        <w:tc>
          <w:tcPr>
            <w:tcW w:w="3114" w:type="dxa"/>
          </w:tcPr>
          <w:p w14:paraId="0047AA4E" w14:textId="77777777" w:rsidR="00107F5F" w:rsidRPr="00E67AE1" w:rsidRDefault="00107F5F" w:rsidP="00107F5F">
            <w:pPr>
              <w:spacing w:line="360" w:lineRule="auto"/>
              <w:jc w:val="both"/>
              <w:rPr>
                <w:rFonts w:cs="Times New Roman"/>
                <w:sz w:val="18"/>
                <w:szCs w:val="18"/>
              </w:rPr>
            </w:pPr>
            <w:r w:rsidRPr="00BC4B0E">
              <w:rPr>
                <w:rFonts w:cs="Times New Roman"/>
                <w:sz w:val="18"/>
                <w:szCs w:val="18"/>
              </w:rPr>
              <w:t xml:space="preserve">Objective 1: </w:t>
            </w:r>
            <w:r w:rsidRPr="008C062F">
              <w:rPr>
                <w:rFonts w:cs="Times New Roman"/>
                <w:sz w:val="18"/>
                <w:szCs w:val="18"/>
              </w:rPr>
              <w:t>To evaluate the effectiveness of the current regulatory framework in challenging the culture of indifference within the industry.</w:t>
            </w:r>
          </w:p>
          <w:p w14:paraId="585D261C" w14:textId="77777777" w:rsidR="00107F5F" w:rsidRPr="00BC4B0E" w:rsidRDefault="00107F5F" w:rsidP="00107F5F">
            <w:pPr>
              <w:spacing w:line="360" w:lineRule="auto"/>
              <w:jc w:val="both"/>
              <w:rPr>
                <w:rFonts w:cs="Times New Roman"/>
                <w:sz w:val="18"/>
                <w:szCs w:val="18"/>
              </w:rPr>
            </w:pPr>
          </w:p>
          <w:p w14:paraId="088BEDB9" w14:textId="77777777" w:rsidR="00107F5F" w:rsidRPr="00BC4B0E" w:rsidRDefault="00107F5F" w:rsidP="00107F5F">
            <w:pPr>
              <w:spacing w:line="360" w:lineRule="auto"/>
              <w:jc w:val="both"/>
              <w:rPr>
                <w:rFonts w:cs="Times New Roman"/>
                <w:sz w:val="18"/>
                <w:szCs w:val="18"/>
              </w:rPr>
            </w:pPr>
          </w:p>
        </w:tc>
        <w:tc>
          <w:tcPr>
            <w:tcW w:w="5902" w:type="dxa"/>
          </w:tcPr>
          <w:p w14:paraId="7B2B8322" w14:textId="77777777" w:rsidR="00107F5F" w:rsidRPr="00DF640C" w:rsidRDefault="00107F5F" w:rsidP="00107F5F">
            <w:pPr>
              <w:pStyle w:val="ListParagraph"/>
              <w:numPr>
                <w:ilvl w:val="0"/>
                <w:numId w:val="38"/>
              </w:numPr>
              <w:spacing w:line="360" w:lineRule="auto"/>
              <w:jc w:val="both"/>
              <w:rPr>
                <w:rFonts w:cs="Times New Roman"/>
                <w:sz w:val="18"/>
                <w:szCs w:val="18"/>
              </w:rPr>
            </w:pPr>
            <w:r>
              <w:rPr>
                <w:rFonts w:cs="Times New Roman"/>
                <w:sz w:val="18"/>
                <w:szCs w:val="18"/>
              </w:rPr>
              <w:t>Tackling a systemic c</w:t>
            </w:r>
            <w:r w:rsidRPr="00DF640C">
              <w:rPr>
                <w:rFonts w:cs="Times New Roman"/>
                <w:sz w:val="18"/>
                <w:szCs w:val="18"/>
              </w:rPr>
              <w:t>ultur</w:t>
            </w:r>
            <w:r>
              <w:rPr>
                <w:rFonts w:cs="Times New Roman"/>
                <w:sz w:val="18"/>
                <w:szCs w:val="18"/>
              </w:rPr>
              <w:t>e of</w:t>
            </w:r>
            <w:r w:rsidRPr="00DF640C">
              <w:rPr>
                <w:rFonts w:cs="Times New Roman"/>
                <w:sz w:val="18"/>
                <w:szCs w:val="18"/>
              </w:rPr>
              <w:t xml:space="preserve"> indifference</w:t>
            </w:r>
            <w:r>
              <w:rPr>
                <w:rFonts w:cs="Times New Roman"/>
                <w:sz w:val="18"/>
                <w:szCs w:val="18"/>
              </w:rPr>
              <w:t xml:space="preserve"> through education.</w:t>
            </w:r>
          </w:p>
          <w:p w14:paraId="4F52A0A4" w14:textId="77777777" w:rsidR="00107F5F" w:rsidRPr="00DF640C" w:rsidRDefault="00107F5F" w:rsidP="00107F5F">
            <w:pPr>
              <w:pStyle w:val="ListParagraph"/>
              <w:numPr>
                <w:ilvl w:val="0"/>
                <w:numId w:val="38"/>
              </w:numPr>
              <w:spacing w:line="360" w:lineRule="auto"/>
              <w:jc w:val="both"/>
              <w:rPr>
                <w:rFonts w:cs="Times New Roman"/>
                <w:sz w:val="18"/>
                <w:szCs w:val="18"/>
              </w:rPr>
            </w:pPr>
            <w:r>
              <w:rPr>
                <w:rFonts w:cs="Times New Roman"/>
                <w:sz w:val="18"/>
                <w:szCs w:val="18"/>
              </w:rPr>
              <w:t>Enforcing performance based, not prescriptive, legislation. Reviewing teachings and method implemented by other countries to shape a better regulatory system.</w:t>
            </w:r>
          </w:p>
          <w:p w14:paraId="2FE9A5FF" w14:textId="77777777" w:rsidR="00107F5F" w:rsidRDefault="00107F5F" w:rsidP="00107F5F">
            <w:pPr>
              <w:pStyle w:val="ListParagraph"/>
              <w:numPr>
                <w:ilvl w:val="0"/>
                <w:numId w:val="38"/>
              </w:numPr>
              <w:spacing w:line="360" w:lineRule="auto"/>
              <w:jc w:val="both"/>
              <w:rPr>
                <w:rFonts w:cs="Times New Roman"/>
                <w:sz w:val="18"/>
                <w:szCs w:val="18"/>
              </w:rPr>
            </w:pPr>
            <w:r w:rsidRPr="00DF640C">
              <w:rPr>
                <w:rFonts w:cs="Times New Roman"/>
                <w:sz w:val="18"/>
                <w:szCs w:val="18"/>
              </w:rPr>
              <w:t>Opportunity for one size fits all approach</w:t>
            </w:r>
            <w:r>
              <w:rPr>
                <w:rFonts w:cs="Times New Roman"/>
                <w:sz w:val="18"/>
                <w:szCs w:val="18"/>
              </w:rPr>
              <w:t xml:space="preserve"> towards competence across both HRB and non-HRB developments.</w:t>
            </w:r>
          </w:p>
          <w:p w14:paraId="3191E920" w14:textId="77777777" w:rsidR="00107F5F" w:rsidRPr="009A7AA3" w:rsidRDefault="00107F5F" w:rsidP="00107F5F">
            <w:pPr>
              <w:pStyle w:val="ListParagraph"/>
              <w:numPr>
                <w:ilvl w:val="0"/>
                <w:numId w:val="38"/>
              </w:numPr>
              <w:spacing w:line="360" w:lineRule="auto"/>
              <w:jc w:val="both"/>
              <w:rPr>
                <w:rFonts w:cs="Times New Roman"/>
                <w:sz w:val="18"/>
                <w:szCs w:val="18"/>
              </w:rPr>
            </w:pPr>
            <w:r>
              <w:rPr>
                <w:rFonts w:cs="Times New Roman"/>
                <w:sz w:val="18"/>
                <w:szCs w:val="18"/>
              </w:rPr>
              <w:t>Government supplementary guidance i.e., BS 8670, remains voluntary and not mandatory for adherence.</w:t>
            </w:r>
          </w:p>
        </w:tc>
      </w:tr>
      <w:tr w:rsidR="00107F5F" w:rsidRPr="00BC4B0E" w14:paraId="75786A67" w14:textId="77777777" w:rsidTr="00107F5F">
        <w:trPr>
          <w:trHeight w:val="1702"/>
        </w:trPr>
        <w:tc>
          <w:tcPr>
            <w:tcW w:w="3114" w:type="dxa"/>
          </w:tcPr>
          <w:p w14:paraId="09305933" w14:textId="77777777" w:rsidR="00107F5F" w:rsidRPr="00BC4B0E" w:rsidRDefault="00107F5F" w:rsidP="00107F5F">
            <w:pPr>
              <w:spacing w:line="360" w:lineRule="auto"/>
              <w:jc w:val="both"/>
              <w:rPr>
                <w:rFonts w:cs="Times New Roman"/>
                <w:sz w:val="18"/>
                <w:szCs w:val="18"/>
              </w:rPr>
            </w:pPr>
            <w:r w:rsidRPr="00BC4B0E">
              <w:rPr>
                <w:rFonts w:cs="Times New Roman"/>
                <w:sz w:val="18"/>
                <w:szCs w:val="18"/>
              </w:rPr>
              <w:t xml:space="preserve">Objective 2: </w:t>
            </w:r>
            <w:r w:rsidRPr="00E67AE1">
              <w:rPr>
                <w:rFonts w:cs="Times New Roman"/>
                <w:sz w:val="18"/>
                <w:szCs w:val="18"/>
              </w:rPr>
              <w:t>To evaluate the current regulatory framework for demonstrating competence of Principal Designers</w:t>
            </w:r>
            <w:r>
              <w:rPr>
                <w:rFonts w:cs="Times New Roman"/>
                <w:sz w:val="18"/>
                <w:szCs w:val="18"/>
              </w:rPr>
              <w:t>,</w:t>
            </w:r>
            <w:r w:rsidRPr="00E67AE1">
              <w:rPr>
                <w:rFonts w:cs="Times New Roman"/>
                <w:sz w:val="18"/>
                <w:szCs w:val="18"/>
              </w:rPr>
              <w:t xml:space="preserve"> Principal Contractors</w:t>
            </w:r>
            <w:r>
              <w:rPr>
                <w:rFonts w:cs="Times New Roman"/>
                <w:sz w:val="18"/>
                <w:szCs w:val="18"/>
              </w:rPr>
              <w:t xml:space="preserve"> and Clients</w:t>
            </w:r>
            <w:r w:rsidRPr="00E67AE1">
              <w:rPr>
                <w:rFonts w:cs="Times New Roman"/>
                <w:sz w:val="18"/>
                <w:szCs w:val="18"/>
              </w:rPr>
              <w:t>.</w:t>
            </w:r>
          </w:p>
        </w:tc>
        <w:tc>
          <w:tcPr>
            <w:tcW w:w="5902" w:type="dxa"/>
          </w:tcPr>
          <w:p w14:paraId="1EDAC116" w14:textId="219E6A39" w:rsidR="00107F5F" w:rsidRPr="00E24A1A" w:rsidRDefault="00107F5F" w:rsidP="00107F5F">
            <w:pPr>
              <w:pStyle w:val="ListParagraph"/>
              <w:numPr>
                <w:ilvl w:val="0"/>
                <w:numId w:val="37"/>
              </w:numPr>
              <w:spacing w:line="360" w:lineRule="auto"/>
              <w:jc w:val="both"/>
              <w:rPr>
                <w:rFonts w:cs="Times New Roman"/>
                <w:sz w:val="18"/>
                <w:szCs w:val="18"/>
              </w:rPr>
            </w:pPr>
            <w:r>
              <w:rPr>
                <w:rFonts w:cs="Times New Roman"/>
                <w:sz w:val="18"/>
                <w:szCs w:val="18"/>
              </w:rPr>
              <w:t>A</w:t>
            </w:r>
            <w:r w:rsidRPr="00E24A1A">
              <w:rPr>
                <w:rFonts w:cs="Times New Roman"/>
                <w:sz w:val="18"/>
                <w:szCs w:val="18"/>
              </w:rPr>
              <w:t xml:space="preserve"> </w:t>
            </w:r>
            <w:r w:rsidR="00DF1D27">
              <w:rPr>
                <w:rFonts w:cs="Times New Roman"/>
                <w:sz w:val="18"/>
                <w:szCs w:val="18"/>
              </w:rPr>
              <w:t>minimum</w:t>
            </w:r>
            <w:r>
              <w:rPr>
                <w:rFonts w:cs="Times New Roman"/>
                <w:sz w:val="18"/>
                <w:szCs w:val="18"/>
              </w:rPr>
              <w:t xml:space="preserve"> governing body approved</w:t>
            </w:r>
            <w:r w:rsidRPr="00E24A1A">
              <w:rPr>
                <w:rFonts w:cs="Times New Roman"/>
                <w:sz w:val="18"/>
                <w:szCs w:val="18"/>
              </w:rPr>
              <w:t xml:space="preserve"> </w:t>
            </w:r>
            <w:r>
              <w:rPr>
                <w:rFonts w:cs="Times New Roman"/>
                <w:sz w:val="18"/>
                <w:szCs w:val="18"/>
              </w:rPr>
              <w:t>c</w:t>
            </w:r>
            <w:r w:rsidRPr="00E24A1A">
              <w:rPr>
                <w:rFonts w:cs="Times New Roman"/>
                <w:sz w:val="18"/>
                <w:szCs w:val="18"/>
              </w:rPr>
              <w:t xml:space="preserve">ompetency </w:t>
            </w:r>
            <w:r>
              <w:rPr>
                <w:rFonts w:cs="Times New Roman"/>
                <w:sz w:val="18"/>
                <w:szCs w:val="18"/>
              </w:rPr>
              <w:t>framework for principal contractors, principal designers and clients.</w:t>
            </w:r>
          </w:p>
          <w:p w14:paraId="492E2E60" w14:textId="77777777" w:rsidR="00107F5F" w:rsidRDefault="00107F5F" w:rsidP="00107F5F">
            <w:pPr>
              <w:pStyle w:val="ListParagraph"/>
              <w:numPr>
                <w:ilvl w:val="0"/>
                <w:numId w:val="37"/>
              </w:numPr>
              <w:spacing w:line="360" w:lineRule="auto"/>
              <w:jc w:val="both"/>
              <w:rPr>
                <w:rFonts w:cs="Times New Roman"/>
                <w:sz w:val="18"/>
                <w:szCs w:val="18"/>
              </w:rPr>
            </w:pPr>
            <w:r>
              <w:rPr>
                <w:rFonts w:cs="Times New Roman"/>
                <w:sz w:val="18"/>
                <w:szCs w:val="18"/>
              </w:rPr>
              <w:t>A</w:t>
            </w:r>
            <w:r w:rsidRPr="00E24A1A">
              <w:rPr>
                <w:rFonts w:cs="Times New Roman"/>
                <w:sz w:val="18"/>
                <w:szCs w:val="18"/>
              </w:rPr>
              <w:t xml:space="preserve"> competency framework</w:t>
            </w:r>
            <w:r>
              <w:rPr>
                <w:rFonts w:cs="Times New Roman"/>
                <w:sz w:val="18"/>
                <w:szCs w:val="18"/>
              </w:rPr>
              <w:t xml:space="preserve"> </w:t>
            </w:r>
            <w:r w:rsidRPr="00E24A1A">
              <w:rPr>
                <w:rFonts w:cs="Times New Roman"/>
                <w:sz w:val="18"/>
                <w:szCs w:val="18"/>
              </w:rPr>
              <w:t>to determine fitness to be a client</w:t>
            </w:r>
            <w:r>
              <w:rPr>
                <w:rFonts w:cs="Times New Roman"/>
                <w:sz w:val="18"/>
                <w:szCs w:val="18"/>
              </w:rPr>
              <w:t xml:space="preserve"> dutyholder</w:t>
            </w:r>
            <w:r w:rsidRPr="00E24A1A">
              <w:rPr>
                <w:rFonts w:cs="Times New Roman"/>
                <w:sz w:val="18"/>
                <w:szCs w:val="18"/>
              </w:rPr>
              <w:t>.</w:t>
            </w:r>
          </w:p>
          <w:p w14:paraId="0BB5FA5C" w14:textId="77777777" w:rsidR="00107F5F" w:rsidRDefault="00107F5F" w:rsidP="00107F5F">
            <w:pPr>
              <w:pStyle w:val="ListParagraph"/>
              <w:numPr>
                <w:ilvl w:val="0"/>
                <w:numId w:val="37"/>
              </w:numPr>
              <w:spacing w:line="360" w:lineRule="auto"/>
              <w:jc w:val="both"/>
              <w:rPr>
                <w:rFonts w:cs="Times New Roman"/>
                <w:sz w:val="18"/>
                <w:szCs w:val="18"/>
              </w:rPr>
            </w:pPr>
            <w:r>
              <w:rPr>
                <w:rFonts w:cs="Times New Roman"/>
                <w:sz w:val="18"/>
                <w:szCs w:val="18"/>
              </w:rPr>
              <w:t>Increasing g</w:t>
            </w:r>
            <w:r w:rsidRPr="00DF640C">
              <w:rPr>
                <w:rFonts w:cs="Times New Roman"/>
                <w:sz w:val="18"/>
                <w:szCs w:val="18"/>
              </w:rPr>
              <w:t xml:space="preserve">overnment </w:t>
            </w:r>
            <w:r>
              <w:rPr>
                <w:rFonts w:cs="Times New Roman"/>
                <w:sz w:val="18"/>
                <w:szCs w:val="18"/>
              </w:rPr>
              <w:t>awareness through accreditations to support competency frameworks.</w:t>
            </w:r>
          </w:p>
          <w:p w14:paraId="5F525AF6" w14:textId="77777777" w:rsidR="00107F5F" w:rsidRPr="008F64B1" w:rsidRDefault="00107F5F" w:rsidP="00107F5F">
            <w:pPr>
              <w:pStyle w:val="ListParagraph"/>
              <w:numPr>
                <w:ilvl w:val="0"/>
                <w:numId w:val="37"/>
              </w:numPr>
              <w:spacing w:line="360" w:lineRule="auto"/>
              <w:jc w:val="both"/>
              <w:rPr>
                <w:rFonts w:cs="Times New Roman"/>
                <w:sz w:val="18"/>
                <w:szCs w:val="18"/>
              </w:rPr>
            </w:pPr>
            <w:r>
              <w:rPr>
                <w:rFonts w:cs="Times New Roman"/>
                <w:sz w:val="18"/>
                <w:szCs w:val="18"/>
              </w:rPr>
              <w:t xml:space="preserve">A mandatory organisational commitment to ensuring a competent dutyholder that is aptly supported is always in place. </w:t>
            </w:r>
          </w:p>
        </w:tc>
      </w:tr>
      <w:tr w:rsidR="00107F5F" w:rsidRPr="00BC4B0E" w14:paraId="79B0CFA6" w14:textId="77777777" w:rsidTr="00107F5F">
        <w:tc>
          <w:tcPr>
            <w:tcW w:w="3114" w:type="dxa"/>
          </w:tcPr>
          <w:p w14:paraId="2796E5DC" w14:textId="77777777" w:rsidR="00107F5F" w:rsidRPr="00BC4B0E" w:rsidRDefault="00107F5F" w:rsidP="00107F5F">
            <w:pPr>
              <w:spacing w:line="360" w:lineRule="auto"/>
              <w:jc w:val="both"/>
              <w:rPr>
                <w:rFonts w:cs="Times New Roman"/>
                <w:sz w:val="18"/>
                <w:szCs w:val="18"/>
              </w:rPr>
            </w:pPr>
            <w:r w:rsidRPr="00BC4B0E">
              <w:rPr>
                <w:rFonts w:cs="Times New Roman"/>
                <w:sz w:val="18"/>
                <w:szCs w:val="18"/>
              </w:rPr>
              <w:t xml:space="preserve">Objective 3: </w:t>
            </w:r>
            <w:r w:rsidRPr="00E67AE1">
              <w:rPr>
                <w:rFonts w:cs="Times New Roman"/>
                <w:sz w:val="18"/>
                <w:szCs w:val="18"/>
              </w:rPr>
              <w:t>To examine the methods of Continuous Professional Development</w:t>
            </w:r>
            <w:r>
              <w:rPr>
                <w:rFonts w:cs="Times New Roman"/>
                <w:sz w:val="18"/>
                <w:szCs w:val="18"/>
              </w:rPr>
              <w:t xml:space="preserve"> (CPD)</w:t>
            </w:r>
            <w:r w:rsidRPr="00E67AE1">
              <w:rPr>
                <w:rFonts w:cs="Times New Roman"/>
                <w:sz w:val="18"/>
                <w:szCs w:val="18"/>
              </w:rPr>
              <w:t xml:space="preserve"> to achieve an adaptive and competent industry for long-term growth.</w:t>
            </w:r>
          </w:p>
        </w:tc>
        <w:tc>
          <w:tcPr>
            <w:tcW w:w="5902" w:type="dxa"/>
          </w:tcPr>
          <w:p w14:paraId="0D2EC85F" w14:textId="283C2B9B" w:rsidR="00DF1D27" w:rsidRDefault="00DF1D27" w:rsidP="00107F5F">
            <w:pPr>
              <w:pStyle w:val="ListParagraph"/>
              <w:numPr>
                <w:ilvl w:val="0"/>
                <w:numId w:val="39"/>
              </w:numPr>
              <w:spacing w:line="360" w:lineRule="auto"/>
              <w:jc w:val="both"/>
              <w:rPr>
                <w:rFonts w:cs="Times New Roman"/>
                <w:sz w:val="18"/>
                <w:szCs w:val="18"/>
              </w:rPr>
            </w:pPr>
            <w:r>
              <w:rPr>
                <w:rFonts w:cs="Times New Roman"/>
                <w:sz w:val="18"/>
                <w:szCs w:val="18"/>
              </w:rPr>
              <w:t>A unified approach to achieving competency through collaboration of government, professional bodies, and organisations.</w:t>
            </w:r>
          </w:p>
          <w:p w14:paraId="62FCE6E3" w14:textId="555DDE87" w:rsidR="00107F5F" w:rsidRPr="00E24A1A" w:rsidRDefault="00107F5F" w:rsidP="00107F5F">
            <w:pPr>
              <w:pStyle w:val="ListParagraph"/>
              <w:numPr>
                <w:ilvl w:val="0"/>
                <w:numId w:val="39"/>
              </w:numPr>
              <w:spacing w:line="360" w:lineRule="auto"/>
              <w:jc w:val="both"/>
              <w:rPr>
                <w:rFonts w:cs="Times New Roman"/>
                <w:sz w:val="18"/>
                <w:szCs w:val="18"/>
              </w:rPr>
            </w:pPr>
            <w:r>
              <w:rPr>
                <w:rFonts w:cs="Times New Roman"/>
                <w:sz w:val="18"/>
                <w:szCs w:val="18"/>
              </w:rPr>
              <w:t>Prospect for organisational partnership with professional bodies to develop workforce growth plans.</w:t>
            </w:r>
          </w:p>
          <w:p w14:paraId="1B3274A0" w14:textId="77777777" w:rsidR="00107F5F" w:rsidRPr="00DF640C" w:rsidRDefault="00107F5F" w:rsidP="00107F5F">
            <w:pPr>
              <w:pStyle w:val="ListParagraph"/>
              <w:numPr>
                <w:ilvl w:val="0"/>
                <w:numId w:val="39"/>
              </w:numPr>
              <w:spacing w:line="360" w:lineRule="auto"/>
              <w:jc w:val="both"/>
              <w:rPr>
                <w:rFonts w:cs="Times New Roman"/>
                <w:sz w:val="18"/>
                <w:szCs w:val="18"/>
              </w:rPr>
            </w:pPr>
            <w:r>
              <w:rPr>
                <w:rFonts w:cs="Times New Roman"/>
                <w:sz w:val="18"/>
                <w:szCs w:val="18"/>
              </w:rPr>
              <w:t xml:space="preserve">Objectively measuring behavioural competence. </w:t>
            </w:r>
            <w:r w:rsidRPr="00DF640C">
              <w:rPr>
                <w:rFonts w:cs="Times New Roman"/>
                <w:sz w:val="18"/>
                <w:szCs w:val="18"/>
              </w:rPr>
              <w:t xml:space="preserve">Peer reviews and peer debriefings </w:t>
            </w:r>
            <w:r>
              <w:rPr>
                <w:rFonts w:cs="Times New Roman"/>
                <w:sz w:val="18"/>
                <w:szCs w:val="18"/>
              </w:rPr>
              <w:t xml:space="preserve">can </w:t>
            </w:r>
            <w:r w:rsidRPr="00DF640C">
              <w:rPr>
                <w:rFonts w:cs="Times New Roman"/>
                <w:sz w:val="18"/>
                <w:szCs w:val="18"/>
              </w:rPr>
              <w:t>emphasise competence through lessons learnt</w:t>
            </w:r>
            <w:r>
              <w:rPr>
                <w:rFonts w:cs="Times New Roman"/>
                <w:sz w:val="18"/>
                <w:szCs w:val="18"/>
              </w:rPr>
              <w:t>.</w:t>
            </w:r>
          </w:p>
        </w:tc>
      </w:tr>
    </w:tbl>
    <w:p w14:paraId="62A4952E" w14:textId="2560E4CE" w:rsidR="00DD24E2" w:rsidRPr="0055298E" w:rsidRDefault="00107F5F" w:rsidP="00380C64">
      <w:pPr>
        <w:spacing w:line="360" w:lineRule="auto"/>
        <w:jc w:val="both"/>
        <w:rPr>
          <w:rFonts w:cs="Times New Roman"/>
        </w:rPr>
      </w:pPr>
      <w:r>
        <w:rPr>
          <w:noProof/>
        </w:rPr>
        <mc:AlternateContent>
          <mc:Choice Requires="wps">
            <w:drawing>
              <wp:anchor distT="0" distB="0" distL="114300" distR="114300" simplePos="0" relativeHeight="251720704" behindDoc="0" locked="0" layoutInCell="1" allowOverlap="1" wp14:anchorId="5CC89AFE" wp14:editId="55610D85">
                <wp:simplePos x="0" y="0"/>
                <wp:positionH relativeFrom="margin">
                  <wp:align>right</wp:align>
                </wp:positionH>
                <wp:positionV relativeFrom="paragraph">
                  <wp:posOffset>6283960</wp:posOffset>
                </wp:positionV>
                <wp:extent cx="5712460" cy="635"/>
                <wp:effectExtent l="0" t="0" r="2540" b="0"/>
                <wp:wrapSquare wrapText="bothSides"/>
                <wp:docPr id="1908948558" name="Text Box 1"/>
                <wp:cNvGraphicFramePr/>
                <a:graphic xmlns:a="http://schemas.openxmlformats.org/drawingml/2006/main">
                  <a:graphicData uri="http://schemas.microsoft.com/office/word/2010/wordprocessingShape">
                    <wps:wsp>
                      <wps:cNvSpPr txBox="1"/>
                      <wps:spPr>
                        <a:xfrm>
                          <a:off x="0" y="0"/>
                          <a:ext cx="5712460" cy="635"/>
                        </a:xfrm>
                        <a:prstGeom prst="rect">
                          <a:avLst/>
                        </a:prstGeom>
                        <a:solidFill>
                          <a:prstClr val="white"/>
                        </a:solidFill>
                        <a:ln>
                          <a:noFill/>
                        </a:ln>
                      </wps:spPr>
                      <wps:txbx>
                        <w:txbxContent>
                          <w:p w14:paraId="7A15A503" w14:textId="7A3DB471" w:rsidR="003C7872" w:rsidRPr="003C7872" w:rsidRDefault="003C7872" w:rsidP="0055298E">
                            <w:pPr>
                              <w:pStyle w:val="Caption"/>
                              <w:jc w:val="center"/>
                              <w:rPr>
                                <w:rFonts w:cs="Times New Roman"/>
                                <w:i w:val="0"/>
                                <w:iCs w:val="0"/>
                                <w:noProof/>
                                <w:color w:val="auto"/>
                                <w:sz w:val="22"/>
                                <w:szCs w:val="22"/>
                              </w:rPr>
                            </w:pPr>
                            <w:bookmarkStart w:id="24" w:name="_Toc174893946"/>
                            <w:r w:rsidRPr="003C7872">
                              <w:rPr>
                                <w:b/>
                                <w:bCs/>
                                <w:i w:val="0"/>
                                <w:iCs w:val="0"/>
                                <w:color w:val="auto"/>
                              </w:rPr>
                              <w:t xml:space="preserve">Table </w:t>
                            </w:r>
                            <w:r w:rsidRPr="003C7872">
                              <w:rPr>
                                <w:b/>
                                <w:bCs/>
                                <w:i w:val="0"/>
                                <w:iCs w:val="0"/>
                                <w:color w:val="auto"/>
                              </w:rPr>
                              <w:fldChar w:fldCharType="begin"/>
                            </w:r>
                            <w:r w:rsidRPr="003C7872">
                              <w:rPr>
                                <w:b/>
                                <w:bCs/>
                                <w:i w:val="0"/>
                                <w:iCs w:val="0"/>
                                <w:color w:val="auto"/>
                              </w:rPr>
                              <w:instrText xml:space="preserve"> SEQ Table \* ARABIC </w:instrText>
                            </w:r>
                            <w:r w:rsidRPr="003C7872">
                              <w:rPr>
                                <w:b/>
                                <w:bCs/>
                                <w:i w:val="0"/>
                                <w:iCs w:val="0"/>
                                <w:color w:val="auto"/>
                              </w:rPr>
                              <w:fldChar w:fldCharType="separate"/>
                            </w:r>
                            <w:r w:rsidR="002C5608">
                              <w:rPr>
                                <w:b/>
                                <w:bCs/>
                                <w:i w:val="0"/>
                                <w:iCs w:val="0"/>
                                <w:noProof/>
                                <w:color w:val="auto"/>
                              </w:rPr>
                              <w:t>1</w:t>
                            </w:r>
                            <w:r w:rsidRPr="003C7872">
                              <w:rPr>
                                <w:b/>
                                <w:bCs/>
                                <w:i w:val="0"/>
                                <w:iCs w:val="0"/>
                                <w:color w:val="auto"/>
                              </w:rPr>
                              <w:fldChar w:fldCharType="end"/>
                            </w:r>
                            <w:r w:rsidRPr="003C7872">
                              <w:rPr>
                                <w:b/>
                                <w:bCs/>
                                <w:i w:val="0"/>
                                <w:iCs w:val="0"/>
                                <w:color w:val="auto"/>
                              </w:rPr>
                              <w:t>.</w:t>
                            </w:r>
                            <w:r w:rsidRPr="003C7872">
                              <w:rPr>
                                <w:i w:val="0"/>
                                <w:iCs w:val="0"/>
                                <w:color w:val="auto"/>
                              </w:rPr>
                              <w:t xml:space="preserve"> Research Gaps Identified through Literature Review</w:t>
                            </w:r>
                            <w:bookmarkEnd w:id="2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CC89AFE" id="Text Box 1" o:spid="_x0000_s1031" type="#_x0000_t202" style="position:absolute;left:0;text-align:left;margin-left:398.6pt;margin-top:494.8pt;width:449.8pt;height:.05pt;z-index:251720704;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" stroked="f">
                <v:textbox style="mso-fit-shape-to-text:t" inset="0,0,0,0">
                  <w:txbxContent>
                    <w:p w14:paraId="7A15A503" w14:textId="7A3DB471" w:rsidR="003C7872" w:rsidRPr="003C7872" w:rsidRDefault="003C7872" w:rsidP="0055298E">
                      <w:pPr>
                        <w:pStyle w:val="Caption"/>
                        <w:jc w:val="center"/>
                        <w:rPr>
                          <w:rFonts w:cs="Times New Roman"/>
                          <w:i w:val="0"/>
                          <w:iCs w:val="0"/>
                          <w:noProof/>
                          <w:color w:val="auto"/>
                          <w:sz w:val="22"/>
                          <w:szCs w:val="22"/>
                        </w:rPr>
                      </w:pPr>
                      <w:bookmarkStart w:id="25" w:name="_Toc174893946"/>
                      <w:r w:rsidRPr="003C7872">
                        <w:rPr>
                          <w:b/>
                          <w:bCs/>
                          <w:i w:val="0"/>
                          <w:iCs w:val="0"/>
                          <w:color w:val="auto"/>
                        </w:rPr>
                        <w:t xml:space="preserve">Table </w:t>
                      </w:r>
                      <w:r w:rsidRPr="003C7872">
                        <w:rPr>
                          <w:b/>
                          <w:bCs/>
                          <w:i w:val="0"/>
                          <w:iCs w:val="0"/>
                          <w:color w:val="auto"/>
                        </w:rPr>
                        <w:fldChar w:fldCharType="begin"/>
                      </w:r>
                      <w:r w:rsidRPr="003C7872">
                        <w:rPr>
                          <w:b/>
                          <w:bCs/>
                          <w:i w:val="0"/>
                          <w:iCs w:val="0"/>
                          <w:color w:val="auto"/>
                        </w:rPr>
                        <w:instrText xml:space="preserve"> SEQ Table \* ARABIC </w:instrText>
                      </w:r>
                      <w:r w:rsidRPr="003C7872">
                        <w:rPr>
                          <w:b/>
                          <w:bCs/>
                          <w:i w:val="0"/>
                          <w:iCs w:val="0"/>
                          <w:color w:val="auto"/>
                        </w:rPr>
                        <w:fldChar w:fldCharType="separate"/>
                      </w:r>
                      <w:r w:rsidR="002C5608">
                        <w:rPr>
                          <w:b/>
                          <w:bCs/>
                          <w:i w:val="0"/>
                          <w:iCs w:val="0"/>
                          <w:noProof/>
                          <w:color w:val="auto"/>
                        </w:rPr>
                        <w:t>1</w:t>
                      </w:r>
                      <w:r w:rsidRPr="003C7872">
                        <w:rPr>
                          <w:b/>
                          <w:bCs/>
                          <w:i w:val="0"/>
                          <w:iCs w:val="0"/>
                          <w:color w:val="auto"/>
                        </w:rPr>
                        <w:fldChar w:fldCharType="end"/>
                      </w:r>
                      <w:r w:rsidRPr="003C7872">
                        <w:rPr>
                          <w:b/>
                          <w:bCs/>
                          <w:i w:val="0"/>
                          <w:iCs w:val="0"/>
                          <w:color w:val="auto"/>
                        </w:rPr>
                        <w:t>.</w:t>
                      </w:r>
                      <w:r w:rsidRPr="003C7872">
                        <w:rPr>
                          <w:i w:val="0"/>
                          <w:iCs w:val="0"/>
                          <w:color w:val="auto"/>
                        </w:rPr>
                        <w:t xml:space="preserve"> Research Gaps Identified through Literature Review</w:t>
                      </w:r>
                      <w:bookmarkEnd w:id="25"/>
                    </w:p>
                  </w:txbxContent>
                </v:textbox>
                <w10:wrap type="square" anchorx="margin"/>
              </v:shape>
            </w:pict>
          </mc:Fallback>
        </mc:AlternateContent>
      </w:r>
      <w:r w:rsidR="00335929" w:rsidRPr="00DF640C">
        <w:rPr>
          <w:rFonts w:cs="Times New Roman"/>
        </w:rPr>
        <w:t>T</w:t>
      </w:r>
      <w:r w:rsidR="0053685E" w:rsidRPr="00DF640C">
        <w:rPr>
          <w:rFonts w:cs="Times New Roman"/>
        </w:rPr>
        <w:t xml:space="preserve">his literature review has outlined </w:t>
      </w:r>
      <w:r w:rsidR="00A5773D" w:rsidRPr="00DF640C">
        <w:rPr>
          <w:rFonts w:cs="Times New Roman"/>
        </w:rPr>
        <w:t>several</w:t>
      </w:r>
      <w:r w:rsidR="0053685E" w:rsidRPr="00DF640C">
        <w:rPr>
          <w:rFonts w:cs="Times New Roman"/>
        </w:rPr>
        <w:t xml:space="preserve"> research </w:t>
      </w:r>
      <w:r w:rsidR="002E1A5E">
        <w:rPr>
          <w:rFonts w:cs="Times New Roman"/>
        </w:rPr>
        <w:t>avenues</w:t>
      </w:r>
      <w:r w:rsidR="0053685E" w:rsidRPr="00DF640C">
        <w:rPr>
          <w:rFonts w:cs="Times New Roman"/>
        </w:rPr>
        <w:t xml:space="preserve"> that </w:t>
      </w:r>
      <w:r w:rsidR="00C3600C">
        <w:rPr>
          <w:rFonts w:cs="Times New Roman"/>
        </w:rPr>
        <w:t xml:space="preserve">that warrant further study and discourse amongst industry professionals. The findings of these gaps against each objective </w:t>
      </w:r>
      <w:r w:rsidR="00DF640C">
        <w:rPr>
          <w:rFonts w:cs="Times New Roman"/>
        </w:rPr>
        <w:t xml:space="preserve">of this review </w:t>
      </w:r>
      <w:r w:rsidR="00C3600C">
        <w:rPr>
          <w:rFonts w:cs="Times New Roman"/>
        </w:rPr>
        <w:t xml:space="preserve">have been captured in table 1. </w:t>
      </w:r>
      <w:r w:rsidR="002E1A5E">
        <w:rPr>
          <w:rFonts w:cs="Times New Roman"/>
        </w:rPr>
        <w:t xml:space="preserve">These research gaps have been further scrutinised within section </w:t>
      </w:r>
      <w:r w:rsidR="008C062F">
        <w:rPr>
          <w:rFonts w:cs="Times New Roman"/>
        </w:rPr>
        <w:t>3</w:t>
      </w:r>
      <w:r w:rsidR="002E1A5E">
        <w:rPr>
          <w:rFonts w:cs="Times New Roman"/>
        </w:rPr>
        <w:t>.</w:t>
      </w:r>
      <w:r w:rsidR="008C062F">
        <w:rPr>
          <w:rFonts w:cs="Times New Roman"/>
        </w:rPr>
        <w:t>5.1</w:t>
      </w:r>
      <w:r w:rsidR="002E1A5E">
        <w:rPr>
          <w:rFonts w:cs="Times New Roman"/>
        </w:rPr>
        <w:t xml:space="preserve"> of this review paper alongside potential exploratory questions.</w:t>
      </w:r>
    </w:p>
    <w:p w14:paraId="64B788D2" w14:textId="49FA60D0" w:rsidR="0055298E" w:rsidRDefault="0055298E" w:rsidP="00380C64">
      <w:pPr>
        <w:spacing w:line="360" w:lineRule="auto"/>
        <w:jc w:val="both"/>
        <w:rPr>
          <w:rFonts w:cs="Times New Roman"/>
        </w:rPr>
      </w:pPr>
    </w:p>
    <w:p w14:paraId="0501778D" w14:textId="77777777" w:rsidR="00107F5F" w:rsidRDefault="00107F5F" w:rsidP="00380C64">
      <w:pPr>
        <w:spacing w:line="360" w:lineRule="auto"/>
        <w:jc w:val="both"/>
        <w:rPr>
          <w:rFonts w:cs="Times New Roman"/>
        </w:rPr>
      </w:pPr>
    </w:p>
    <w:p w14:paraId="4683C7DD" w14:textId="77777777" w:rsidR="00107F5F" w:rsidRDefault="00107F5F" w:rsidP="00380C64">
      <w:pPr>
        <w:spacing w:line="360" w:lineRule="auto"/>
        <w:jc w:val="both"/>
        <w:rPr>
          <w:rFonts w:cs="Times New Roman"/>
        </w:rPr>
      </w:pPr>
    </w:p>
    <w:p w14:paraId="4BF3E982" w14:textId="77777777" w:rsidR="00107F5F" w:rsidRDefault="00107F5F" w:rsidP="00380C64">
      <w:pPr>
        <w:spacing w:line="360" w:lineRule="auto"/>
        <w:jc w:val="both"/>
        <w:rPr>
          <w:rFonts w:cs="Times New Roman"/>
        </w:rPr>
      </w:pPr>
    </w:p>
    <w:p w14:paraId="0007F96B" w14:textId="6E9C0C27" w:rsidR="008C062F" w:rsidRPr="00DB2118" w:rsidRDefault="0064790F" w:rsidP="008C062F">
      <w:pPr>
        <w:pStyle w:val="Heading3"/>
        <w:rPr>
          <w:rFonts w:cs="Times New Roman"/>
          <w:b/>
          <w:bCs/>
          <w:color w:val="auto"/>
          <w:sz w:val="24"/>
          <w:szCs w:val="24"/>
        </w:rPr>
      </w:pPr>
      <w:bookmarkStart w:id="26" w:name="_Toc218947634"/>
      <w:r>
        <w:rPr>
          <w:rFonts w:cs="Times New Roman"/>
          <w:b/>
          <w:bCs/>
          <w:color w:val="auto"/>
          <w:sz w:val="24"/>
          <w:szCs w:val="24"/>
        </w:rPr>
        <w:lastRenderedPageBreak/>
        <w:t>2</w:t>
      </w:r>
      <w:r w:rsidR="008C062F" w:rsidRPr="00DB2118">
        <w:rPr>
          <w:rFonts w:cs="Times New Roman"/>
          <w:b/>
          <w:bCs/>
          <w:color w:val="auto"/>
          <w:sz w:val="24"/>
          <w:szCs w:val="24"/>
        </w:rPr>
        <w:t>.</w:t>
      </w:r>
      <w:r w:rsidR="008C062F">
        <w:rPr>
          <w:rFonts w:cs="Times New Roman"/>
          <w:b/>
          <w:bCs/>
          <w:color w:val="auto"/>
          <w:sz w:val="24"/>
          <w:szCs w:val="24"/>
        </w:rPr>
        <w:t>5.1</w:t>
      </w:r>
      <w:r w:rsidR="008C062F" w:rsidRPr="00DB2118">
        <w:rPr>
          <w:rFonts w:cs="Times New Roman"/>
          <w:b/>
          <w:bCs/>
          <w:color w:val="auto"/>
          <w:sz w:val="24"/>
          <w:szCs w:val="24"/>
        </w:rPr>
        <w:tab/>
      </w:r>
      <w:r w:rsidR="008C062F">
        <w:rPr>
          <w:rFonts w:cs="Times New Roman"/>
          <w:b/>
          <w:bCs/>
          <w:color w:val="auto"/>
          <w:sz w:val="24"/>
          <w:szCs w:val="24"/>
        </w:rPr>
        <w:t>Analysis of</w:t>
      </w:r>
      <w:r w:rsidR="008C062F" w:rsidRPr="00DB2118">
        <w:rPr>
          <w:rFonts w:cs="Times New Roman"/>
          <w:b/>
          <w:bCs/>
          <w:color w:val="auto"/>
          <w:sz w:val="24"/>
          <w:szCs w:val="24"/>
        </w:rPr>
        <w:t xml:space="preserve"> Research Gaps Identified</w:t>
      </w:r>
      <w:bookmarkEnd w:id="26"/>
    </w:p>
    <w:p w14:paraId="7DD8029B" w14:textId="793013B2" w:rsidR="008C062F" w:rsidRPr="001431BC" w:rsidRDefault="008C062F" w:rsidP="008C062F">
      <w:pPr>
        <w:spacing w:line="360" w:lineRule="auto"/>
        <w:jc w:val="both"/>
        <w:rPr>
          <w:rFonts w:cs="Times New Roman"/>
        </w:rPr>
      </w:pPr>
      <w:r w:rsidRPr="001431BC">
        <w:rPr>
          <w:rFonts w:cs="Times New Roman"/>
        </w:rPr>
        <w:t xml:space="preserve">This study has </w:t>
      </w:r>
      <w:r w:rsidR="00832EDE" w:rsidRPr="001431BC">
        <w:rPr>
          <w:rFonts w:cs="Times New Roman"/>
        </w:rPr>
        <w:t>identified</w:t>
      </w:r>
      <w:r w:rsidRPr="001431BC">
        <w:rPr>
          <w:rFonts w:cs="Times New Roman"/>
        </w:rPr>
        <w:t xml:space="preserve"> the </w:t>
      </w:r>
      <w:r w:rsidR="00832EDE" w:rsidRPr="001431BC">
        <w:rPr>
          <w:rFonts w:cs="Times New Roman"/>
        </w:rPr>
        <w:t xml:space="preserve">following </w:t>
      </w:r>
      <w:r w:rsidRPr="001431BC">
        <w:rPr>
          <w:rFonts w:cs="Times New Roman"/>
        </w:rPr>
        <w:t xml:space="preserve">research gaps </w:t>
      </w:r>
      <w:r w:rsidR="00832EDE" w:rsidRPr="001431BC">
        <w:rPr>
          <w:rFonts w:cs="Times New Roman"/>
        </w:rPr>
        <w:t>through it scope and analysis of each</w:t>
      </w:r>
      <w:r w:rsidRPr="001431BC">
        <w:rPr>
          <w:rFonts w:cs="Times New Roman"/>
        </w:rPr>
        <w:t xml:space="preserve"> objective identified in section 2. </w:t>
      </w:r>
      <w:r w:rsidR="00832EDE" w:rsidRPr="001431BC">
        <w:rPr>
          <w:rFonts w:cs="Times New Roman"/>
        </w:rPr>
        <w:t>Accordingly, the</w:t>
      </w:r>
      <w:r w:rsidRPr="001431BC">
        <w:rPr>
          <w:rFonts w:cs="Times New Roman"/>
        </w:rPr>
        <w:t xml:space="preserve"> following has been derived from the findings for each objective:</w:t>
      </w:r>
    </w:p>
    <w:p w14:paraId="62E8E0A7" w14:textId="31ED84C7" w:rsidR="008C062F" w:rsidRPr="001431BC" w:rsidRDefault="008C062F" w:rsidP="008C062F">
      <w:pPr>
        <w:spacing w:line="360" w:lineRule="auto"/>
        <w:jc w:val="both"/>
      </w:pPr>
      <w:r w:rsidRPr="001431BC">
        <w:t>Objective 1:</w:t>
      </w:r>
      <w:r w:rsidR="007F1886" w:rsidRPr="001431BC">
        <w:t xml:space="preserve"> It is evident that the </w:t>
      </w:r>
      <w:r w:rsidR="00832EDE" w:rsidRPr="001431BC">
        <w:t>ethos</w:t>
      </w:r>
      <w:r w:rsidR="007F1886" w:rsidRPr="001431BC">
        <w:t xml:space="preserve"> of the new Building Safety Act</w:t>
      </w:r>
      <w:r w:rsidR="00832EDE" w:rsidRPr="001431BC">
        <w:t xml:space="preserve"> and BS 8670</w:t>
      </w:r>
      <w:r w:rsidR="007F1886" w:rsidRPr="001431BC">
        <w:t xml:space="preserve"> </w:t>
      </w:r>
      <w:r w:rsidR="00C70CA8" w:rsidRPr="001431BC">
        <w:t>captures</w:t>
      </w:r>
      <w:r w:rsidR="007F1886" w:rsidRPr="001431BC">
        <w:t xml:space="preserve"> the key expectations of the Hackitt (2018) report </w:t>
      </w:r>
      <w:r w:rsidR="00832EDE" w:rsidRPr="001431BC">
        <w:t>which highlighted a</w:t>
      </w:r>
      <w:r w:rsidR="007F1886" w:rsidRPr="001431BC">
        <w:t xml:space="preserve"> </w:t>
      </w:r>
      <w:r w:rsidR="00832EDE" w:rsidRPr="001431BC">
        <w:t>need for</w:t>
      </w:r>
      <w:r w:rsidR="007F1886" w:rsidRPr="001431BC">
        <w:t xml:space="preserve"> a tectonic shift towards an honest, considerate and competent culture. However, the</w:t>
      </w:r>
      <w:r w:rsidR="00832EDE" w:rsidRPr="001431BC">
        <w:t xml:space="preserve"> mechanisms themselves have been criticised by industry professionals in remaining </w:t>
      </w:r>
      <w:r w:rsidR="00526DDB">
        <w:t xml:space="preserve">fundamentally </w:t>
      </w:r>
      <w:r w:rsidR="00832EDE" w:rsidRPr="001431BC">
        <w:t>flawed</w:t>
      </w:r>
      <w:r w:rsidR="00526DDB">
        <w:t xml:space="preserve"> which inhibits</w:t>
      </w:r>
      <w:r w:rsidR="00832EDE" w:rsidRPr="001431BC">
        <w:t xml:space="preserve"> the attainment of this objective. The </w:t>
      </w:r>
      <w:r w:rsidR="00C70CA8" w:rsidRPr="001431BC">
        <w:t xml:space="preserve">legislative framework to allow professionals to demonstrate competence remain prescriptive but demand justification of their appropriateness. The disparity in treatment of professionals working on HRBs and non-HRBs encourages </w:t>
      </w:r>
      <w:r w:rsidR="00526DDB">
        <w:t>an</w:t>
      </w:r>
      <w:r w:rsidR="00C70CA8" w:rsidRPr="001431BC">
        <w:t xml:space="preserve"> avoidance culture which diminishes the industry’s capacity to attain political directives. Most importantly, the </w:t>
      </w:r>
      <w:r w:rsidR="008F3DA3" w:rsidRPr="001431BC">
        <w:t>BS 8670 guidance</w:t>
      </w:r>
      <w:r w:rsidR="00C70CA8" w:rsidRPr="001431BC">
        <w:t xml:space="preserve"> </w:t>
      </w:r>
      <w:r w:rsidR="008F3DA3" w:rsidRPr="001431BC">
        <w:t>introduced</w:t>
      </w:r>
      <w:r w:rsidR="00C70CA8" w:rsidRPr="001431BC">
        <w:t xml:space="preserve"> is a voluntary expectation</w:t>
      </w:r>
      <w:r w:rsidR="008F3DA3" w:rsidRPr="001431BC">
        <w:t xml:space="preserve"> and not required by mandate. This diminishes the need, measurability, and value of competency declarations from key dutyholders.</w:t>
      </w:r>
    </w:p>
    <w:p w14:paraId="09C36E81" w14:textId="48BA293D" w:rsidR="00832EDE" w:rsidRPr="001431BC" w:rsidRDefault="00832EDE" w:rsidP="008C062F">
      <w:pPr>
        <w:spacing w:line="360" w:lineRule="auto"/>
        <w:jc w:val="both"/>
      </w:pPr>
      <w:r w:rsidRPr="001431BC">
        <w:t>Thus, this suggests the following questions for exploration based on the research gaps identified in table 1:</w:t>
      </w:r>
    </w:p>
    <w:p w14:paraId="54E5C2ED" w14:textId="4E0A0626" w:rsidR="00832EDE" w:rsidRPr="001431BC" w:rsidRDefault="00832EDE" w:rsidP="00832EDE">
      <w:pPr>
        <w:pStyle w:val="ListParagraph"/>
        <w:numPr>
          <w:ilvl w:val="0"/>
          <w:numId w:val="42"/>
        </w:numPr>
        <w:spacing w:line="360" w:lineRule="auto"/>
        <w:jc w:val="both"/>
      </w:pPr>
      <w:r w:rsidRPr="001431BC">
        <w:t>Learnings from overseas</w:t>
      </w:r>
      <w:r w:rsidR="00C70CA8" w:rsidRPr="001431BC">
        <w:t>:</w:t>
      </w:r>
      <w:r w:rsidRPr="001431BC">
        <w:t xml:space="preserve"> are there </w:t>
      </w:r>
      <w:r w:rsidR="00C70CA8" w:rsidRPr="001431BC">
        <w:t>better frameworks to support regulatory reform, industry standards and attitudes towards safer construction, design and management available for the UK to adopt?</w:t>
      </w:r>
    </w:p>
    <w:p w14:paraId="369AB70C" w14:textId="33F79FCF" w:rsidR="00832EDE" w:rsidRPr="001431BC" w:rsidRDefault="00C70CA8" w:rsidP="00832EDE">
      <w:pPr>
        <w:pStyle w:val="ListParagraph"/>
        <w:numPr>
          <w:ilvl w:val="0"/>
          <w:numId w:val="42"/>
        </w:numPr>
        <w:spacing w:line="360" w:lineRule="auto"/>
        <w:jc w:val="both"/>
      </w:pPr>
      <w:r w:rsidRPr="001431BC">
        <w:t>Competence across the board: should professionals working on HRBs and non-HRBs be held to the same standards of competency to support greater volumes of construction?</w:t>
      </w:r>
    </w:p>
    <w:p w14:paraId="7828CF23" w14:textId="722B7C2C" w:rsidR="00C70CA8" w:rsidRPr="001431BC" w:rsidRDefault="00C70CA8" w:rsidP="00832EDE">
      <w:pPr>
        <w:pStyle w:val="ListParagraph"/>
        <w:numPr>
          <w:ilvl w:val="0"/>
          <w:numId w:val="42"/>
        </w:numPr>
        <w:spacing w:line="360" w:lineRule="auto"/>
        <w:jc w:val="both"/>
      </w:pPr>
      <w:r w:rsidRPr="001431BC">
        <w:t>Government intervention: is a hardstop intervention needed to mandate competenc</w:t>
      </w:r>
      <w:r w:rsidR="008F3DA3" w:rsidRPr="001431BC">
        <w:t>y frameworks by professional bodies to</w:t>
      </w:r>
      <w:r w:rsidR="00580222" w:rsidRPr="001431BC">
        <w:t xml:space="preserve"> </w:t>
      </w:r>
      <w:r w:rsidR="008F3DA3" w:rsidRPr="001431BC">
        <w:t>align</w:t>
      </w:r>
      <w:r w:rsidR="00580222" w:rsidRPr="001431BC">
        <w:t xml:space="preserve"> with BS 8670</w:t>
      </w:r>
      <w:r w:rsidRPr="001431BC">
        <w:t>?</w:t>
      </w:r>
    </w:p>
    <w:p w14:paraId="1AFF59AF" w14:textId="07C60A21" w:rsidR="008C062F" w:rsidRDefault="008C062F" w:rsidP="008C062F">
      <w:pPr>
        <w:spacing w:line="360" w:lineRule="auto"/>
        <w:jc w:val="both"/>
      </w:pPr>
      <w:r w:rsidRPr="0047069E">
        <w:t>Objective 2:</w:t>
      </w:r>
      <w:r w:rsidR="001431BC">
        <w:t xml:space="preserve"> </w:t>
      </w:r>
      <w:r w:rsidR="00A67E0F">
        <w:t xml:space="preserve">It is apparent that </w:t>
      </w:r>
      <w:r w:rsidR="001431BC">
        <w:t xml:space="preserve">BS 8670, PAS 8672 and 8673 </w:t>
      </w:r>
      <w:r w:rsidR="00A67E0F">
        <w:t xml:space="preserve">is </w:t>
      </w:r>
      <w:r w:rsidR="001431BC">
        <w:t xml:space="preserve">recognised and </w:t>
      </w:r>
      <w:r w:rsidR="00A67E0F">
        <w:t xml:space="preserve">has been </w:t>
      </w:r>
      <w:r w:rsidR="001431BC">
        <w:t>implemented by some professional bodies through integration into their existing competency frameworks. However, most professional bodies</w:t>
      </w:r>
      <w:r w:rsidR="00A67E0F">
        <w:t xml:space="preserve"> appear to be</w:t>
      </w:r>
      <w:r w:rsidR="001431BC">
        <w:t xml:space="preserve"> reluctant </w:t>
      </w:r>
      <w:r w:rsidR="00A67E0F">
        <w:t>in</w:t>
      </w:r>
      <w:r w:rsidR="001431BC">
        <w:t xml:space="preserve"> impos</w:t>
      </w:r>
      <w:r w:rsidR="00A67E0F">
        <w:t>ing</w:t>
      </w:r>
      <w:r w:rsidR="001431BC">
        <w:t xml:space="preserve"> greater scrutiny on their members </w:t>
      </w:r>
      <w:r w:rsidR="00A67E0F">
        <w:t>to</w:t>
      </w:r>
      <w:r w:rsidR="001431BC">
        <w:t xml:space="preserve"> safeguard their profitability and status </w:t>
      </w:r>
      <w:r w:rsidR="00A67E0F">
        <w:t>with</w:t>
      </w:r>
      <w:r w:rsidR="001431BC">
        <w:t>in the industry.</w:t>
      </w:r>
      <w:r w:rsidR="00F16801">
        <w:t xml:space="preserve"> Furthermore, there is a bias and prioritisation on improving the duties and expectations of </w:t>
      </w:r>
      <w:r w:rsidR="0047069E">
        <w:t>p</w:t>
      </w:r>
      <w:r w:rsidR="00F16801">
        <w:t xml:space="preserve">rincipal </w:t>
      </w:r>
      <w:r w:rsidR="0047069E">
        <w:t>d</w:t>
      </w:r>
      <w:r w:rsidR="00F16801">
        <w:t xml:space="preserve">esigners: less so on </w:t>
      </w:r>
      <w:r w:rsidR="0047069E">
        <w:t>p</w:t>
      </w:r>
      <w:r w:rsidR="00F16801">
        <w:t xml:space="preserve">rincipal </w:t>
      </w:r>
      <w:r w:rsidR="0047069E">
        <w:t>c</w:t>
      </w:r>
      <w:r w:rsidR="00F16801">
        <w:t xml:space="preserve">ontractors and extremely limited on </w:t>
      </w:r>
      <w:r w:rsidR="0047069E">
        <w:t>c</w:t>
      </w:r>
      <w:r w:rsidR="00F16801">
        <w:t xml:space="preserve">lients. A balance is needed </w:t>
      </w:r>
      <w:r w:rsidR="0047069E">
        <w:t>to ensure all 3 key dutyholders are encouraged to work collaboratively</w:t>
      </w:r>
      <w:r w:rsidR="00107F5F">
        <w:t xml:space="preserve"> and are supported by their organisations</w:t>
      </w:r>
      <w:r w:rsidR="0047069E">
        <w:t xml:space="preserve"> to bridge the long-standing fragmentation of disciplines within the industry.</w:t>
      </w:r>
    </w:p>
    <w:p w14:paraId="17BBA15A" w14:textId="77777777" w:rsidR="00B66D88" w:rsidRPr="001431BC" w:rsidRDefault="00B66D88" w:rsidP="00B66D88">
      <w:pPr>
        <w:spacing w:line="360" w:lineRule="auto"/>
        <w:jc w:val="both"/>
      </w:pPr>
      <w:r w:rsidRPr="001431BC">
        <w:lastRenderedPageBreak/>
        <w:t>Thus, this suggests the following questions for exploration based on the research gaps identified in table 1:</w:t>
      </w:r>
    </w:p>
    <w:p w14:paraId="07D5F19F" w14:textId="697017B5" w:rsidR="0047069E" w:rsidRDefault="0047069E" w:rsidP="00DF1D27">
      <w:pPr>
        <w:pStyle w:val="ListParagraph"/>
        <w:numPr>
          <w:ilvl w:val="0"/>
          <w:numId w:val="45"/>
        </w:numPr>
        <w:spacing w:line="360" w:lineRule="auto"/>
        <w:jc w:val="both"/>
        <w:rPr>
          <w:rFonts w:cs="Times New Roman"/>
        </w:rPr>
      </w:pPr>
      <w:r>
        <w:rPr>
          <w:rFonts w:cs="Times New Roman"/>
        </w:rPr>
        <w:t xml:space="preserve">A </w:t>
      </w:r>
      <w:r w:rsidR="00C96124">
        <w:rPr>
          <w:rFonts w:cs="Times New Roman"/>
        </w:rPr>
        <w:t>minimum</w:t>
      </w:r>
      <w:r>
        <w:rPr>
          <w:rFonts w:cs="Times New Roman"/>
        </w:rPr>
        <w:t xml:space="preserve"> competency </w:t>
      </w:r>
      <w:r w:rsidR="00C96124">
        <w:rPr>
          <w:rFonts w:cs="Times New Roman"/>
        </w:rPr>
        <w:t>standard</w:t>
      </w:r>
      <w:r>
        <w:rPr>
          <w:rFonts w:cs="Times New Roman"/>
        </w:rPr>
        <w:t>: is a reform needed of regulations to better define the minimum skills, knowledge, experience and behaviours needed against each dutyholder role?</w:t>
      </w:r>
    </w:p>
    <w:p w14:paraId="507F0621" w14:textId="32F37244" w:rsidR="0047069E" w:rsidRDefault="0047069E" w:rsidP="00DF1D27">
      <w:pPr>
        <w:pStyle w:val="ListParagraph"/>
        <w:numPr>
          <w:ilvl w:val="0"/>
          <w:numId w:val="45"/>
        </w:numPr>
        <w:spacing w:line="360" w:lineRule="auto"/>
        <w:jc w:val="both"/>
        <w:rPr>
          <w:rFonts w:cs="Times New Roman"/>
        </w:rPr>
      </w:pPr>
      <w:r>
        <w:rPr>
          <w:rFonts w:cs="Times New Roman"/>
        </w:rPr>
        <w:t>Fitness to be a client: is a competency framework needed to determine whether a client is fit to conduct their role and responsibilities in scoping, supporting and managing the principal designer and principal contractor?</w:t>
      </w:r>
    </w:p>
    <w:p w14:paraId="623C190E" w14:textId="5FCEE20B" w:rsidR="0047069E" w:rsidRDefault="0047069E" w:rsidP="00DF1D27">
      <w:pPr>
        <w:pStyle w:val="ListParagraph"/>
        <w:numPr>
          <w:ilvl w:val="0"/>
          <w:numId w:val="45"/>
        </w:numPr>
        <w:spacing w:line="360" w:lineRule="auto"/>
        <w:jc w:val="both"/>
        <w:rPr>
          <w:rFonts w:cs="Times New Roman"/>
        </w:rPr>
      </w:pPr>
      <w:r>
        <w:rPr>
          <w:rFonts w:cs="Times New Roman"/>
        </w:rPr>
        <w:t>Government accreditation: is an approval scheme required to demonstrate formal support and acceptance competency frameworks by professional bodies to drive greater competency?</w:t>
      </w:r>
    </w:p>
    <w:p w14:paraId="52C90A37" w14:textId="58B6D46F" w:rsidR="00107F5F" w:rsidRPr="00107F5F" w:rsidRDefault="00107F5F" w:rsidP="00DF1D27">
      <w:pPr>
        <w:pStyle w:val="ListParagraph"/>
        <w:numPr>
          <w:ilvl w:val="0"/>
          <w:numId w:val="45"/>
        </w:numPr>
        <w:spacing w:line="360" w:lineRule="auto"/>
        <w:jc w:val="both"/>
        <w:rPr>
          <w:rFonts w:cs="Times New Roman"/>
        </w:rPr>
      </w:pPr>
      <w:r>
        <w:rPr>
          <w:rFonts w:cs="Times New Roman"/>
        </w:rPr>
        <w:t>Organisational commitment: is an organisational declaration needed with evidence of the staffing and support mechanisms to maintain a competent and committed workforce alongside dutyholders?</w:t>
      </w:r>
    </w:p>
    <w:p w14:paraId="68D7CF51" w14:textId="33B4E2D6" w:rsidR="00A12B90" w:rsidRDefault="008C062F" w:rsidP="00380C64">
      <w:pPr>
        <w:spacing w:line="360" w:lineRule="auto"/>
        <w:jc w:val="both"/>
      </w:pPr>
      <w:r w:rsidRPr="00F002EF">
        <w:t>Objective 3:</w:t>
      </w:r>
      <w:r w:rsidR="00B66D88">
        <w:t xml:space="preserve"> </w:t>
      </w:r>
      <w:r w:rsidR="00F002EF">
        <w:t>It is suggested that the directive of the BSA through its supplementary guidance lacks consideration of wider political directives such as the significant need for affordable housing which remains unfulfilled. Furthermore, the methods for measuring CPD performance are yet to be developed to match the expectations of BS 8670, particularly in regard to the measurement of behaviour</w:t>
      </w:r>
      <w:r w:rsidR="00DF1D27">
        <w:t>al</w:t>
      </w:r>
      <w:r w:rsidR="00F002EF">
        <w:t xml:space="preserve"> competence</w:t>
      </w:r>
      <w:r w:rsidR="00DF1D27">
        <w:t xml:space="preserve"> of dutyholders</w:t>
      </w:r>
      <w:r w:rsidR="00F002EF">
        <w:t>.</w:t>
      </w:r>
      <w:r w:rsidR="00DF1D27">
        <w:t xml:space="preserve"> There is also a lack of mechanisms between government, professional bodies, and organisations to incentivise and drive the standards of competency in line with BS 8670.  </w:t>
      </w:r>
    </w:p>
    <w:p w14:paraId="79D02225" w14:textId="77777777" w:rsidR="00B66D88" w:rsidRPr="001431BC" w:rsidRDefault="00B66D88" w:rsidP="00B66D88">
      <w:pPr>
        <w:spacing w:line="360" w:lineRule="auto"/>
        <w:jc w:val="both"/>
      </w:pPr>
      <w:r w:rsidRPr="001431BC">
        <w:t>Thus, this suggests the following questions for exploration based on the research gaps identified in table 1:</w:t>
      </w:r>
    </w:p>
    <w:p w14:paraId="2D758B60" w14:textId="4897061C" w:rsidR="00F002EF" w:rsidRDefault="00DF1D27" w:rsidP="00DF1D27">
      <w:pPr>
        <w:pStyle w:val="ListParagraph"/>
        <w:numPr>
          <w:ilvl w:val="0"/>
          <w:numId w:val="46"/>
        </w:numPr>
        <w:spacing w:line="360" w:lineRule="auto"/>
        <w:jc w:val="both"/>
        <w:rPr>
          <w:rFonts w:cs="Times New Roman"/>
        </w:rPr>
      </w:pPr>
      <w:r>
        <w:rPr>
          <w:rFonts w:cs="Times New Roman"/>
        </w:rPr>
        <w:t xml:space="preserve">A unified approach: </w:t>
      </w:r>
      <w:r>
        <w:t>is a collaborative approach between government, professional bodies, and organisations needed to drive competency of individuals in line with BS 8670?</w:t>
      </w:r>
    </w:p>
    <w:p w14:paraId="2EEB65D5" w14:textId="16C5613E" w:rsidR="00F002EF" w:rsidRDefault="00F002EF" w:rsidP="00DF1D27">
      <w:pPr>
        <w:pStyle w:val="ListParagraph"/>
        <w:numPr>
          <w:ilvl w:val="0"/>
          <w:numId w:val="46"/>
        </w:numPr>
        <w:spacing w:line="360" w:lineRule="auto"/>
        <w:jc w:val="both"/>
        <w:rPr>
          <w:rFonts w:cs="Times New Roman"/>
        </w:rPr>
      </w:pPr>
      <w:r>
        <w:rPr>
          <w:rFonts w:cs="Times New Roman"/>
        </w:rPr>
        <w:t>Establishing training hubs:</w:t>
      </w:r>
      <w:r w:rsidR="00DF1D27">
        <w:rPr>
          <w:rFonts w:cs="Times New Roman"/>
        </w:rPr>
        <w:t xml:space="preserve"> are training programmes needed between professional bodies and organisations to build individual competency portfolios and personalised development plans to build better dutyholders?</w:t>
      </w:r>
    </w:p>
    <w:p w14:paraId="0ABE0DF1" w14:textId="7BB2B706" w:rsidR="00F002EF" w:rsidRPr="00F002EF" w:rsidRDefault="00F002EF" w:rsidP="00DF1D27">
      <w:pPr>
        <w:pStyle w:val="ListParagraph"/>
        <w:numPr>
          <w:ilvl w:val="0"/>
          <w:numId w:val="46"/>
        </w:numPr>
        <w:spacing w:line="360" w:lineRule="auto"/>
        <w:jc w:val="both"/>
        <w:rPr>
          <w:rFonts w:cs="Times New Roman"/>
        </w:rPr>
      </w:pPr>
      <w:r>
        <w:rPr>
          <w:rFonts w:cs="Times New Roman"/>
        </w:rPr>
        <w:t xml:space="preserve">Comparative analysis: </w:t>
      </w:r>
      <w:r w:rsidR="00DF1D27">
        <w:rPr>
          <w:rFonts w:cs="Times New Roman"/>
        </w:rPr>
        <w:t>should peer debriefing and reflecti</w:t>
      </w:r>
      <w:r w:rsidR="003E53D4">
        <w:rPr>
          <w:rFonts w:cs="Times New Roman"/>
        </w:rPr>
        <w:t>ve</w:t>
      </w:r>
      <w:r w:rsidR="00DF1D27">
        <w:rPr>
          <w:rFonts w:cs="Times New Roman"/>
        </w:rPr>
        <w:t xml:space="preserve"> accounts </w:t>
      </w:r>
      <w:r w:rsidR="003E53D4">
        <w:rPr>
          <w:rFonts w:cs="Times New Roman"/>
        </w:rPr>
        <w:t>be viewed as</w:t>
      </w:r>
      <w:r w:rsidR="00DF1D27">
        <w:rPr>
          <w:rFonts w:cs="Times New Roman"/>
        </w:rPr>
        <w:t xml:space="preserve"> mandatory evidence of CPD and </w:t>
      </w:r>
      <w:r w:rsidR="003E53D4">
        <w:rPr>
          <w:rFonts w:cs="Times New Roman"/>
        </w:rPr>
        <w:t xml:space="preserve">SKEB </w:t>
      </w:r>
      <w:r w:rsidR="00DF1D27">
        <w:rPr>
          <w:rFonts w:cs="Times New Roman"/>
        </w:rPr>
        <w:t>competency demonstration.</w:t>
      </w:r>
    </w:p>
    <w:p w14:paraId="69C91EE3" w14:textId="3DF4D73A" w:rsidR="00E97308" w:rsidRPr="00E97308" w:rsidRDefault="0064790F" w:rsidP="00380C64">
      <w:pPr>
        <w:pStyle w:val="Heading1"/>
        <w:jc w:val="both"/>
        <w:rPr>
          <w:rFonts w:cs="Times New Roman"/>
          <w:b/>
          <w:bCs/>
          <w:color w:val="auto"/>
          <w:sz w:val="28"/>
          <w:szCs w:val="28"/>
        </w:rPr>
      </w:pPr>
      <w:bookmarkStart w:id="27" w:name="_Toc218947635"/>
      <w:r>
        <w:rPr>
          <w:rFonts w:cs="Times New Roman"/>
          <w:b/>
          <w:bCs/>
          <w:color w:val="auto"/>
          <w:sz w:val="28"/>
          <w:szCs w:val="28"/>
        </w:rPr>
        <w:lastRenderedPageBreak/>
        <w:t>3</w:t>
      </w:r>
      <w:r w:rsidR="00F86FB4" w:rsidRPr="00BC4B0E">
        <w:rPr>
          <w:rFonts w:cs="Times New Roman"/>
          <w:b/>
          <w:bCs/>
          <w:color w:val="auto"/>
          <w:sz w:val="28"/>
          <w:szCs w:val="28"/>
        </w:rPr>
        <w:t>.</w:t>
      </w:r>
      <w:r w:rsidR="00B07C0C" w:rsidRPr="00BC4B0E">
        <w:rPr>
          <w:rFonts w:cs="Times New Roman"/>
          <w:b/>
          <w:bCs/>
          <w:color w:val="auto"/>
          <w:sz w:val="28"/>
          <w:szCs w:val="28"/>
        </w:rPr>
        <w:t>0</w:t>
      </w:r>
      <w:r w:rsidR="00F86FB4" w:rsidRPr="00BC4B0E">
        <w:rPr>
          <w:rFonts w:cs="Times New Roman"/>
          <w:b/>
          <w:bCs/>
          <w:color w:val="auto"/>
          <w:sz w:val="28"/>
          <w:szCs w:val="28"/>
        </w:rPr>
        <w:t xml:space="preserve"> Conclusion</w:t>
      </w:r>
      <w:bookmarkEnd w:id="27"/>
    </w:p>
    <w:p w14:paraId="25897BDB" w14:textId="4FA2DFBB" w:rsidR="00200C19" w:rsidRPr="000F0428" w:rsidRDefault="002E1A5E" w:rsidP="00380C64">
      <w:pPr>
        <w:spacing w:line="360" w:lineRule="auto"/>
        <w:jc w:val="both"/>
        <w:rPr>
          <w:rFonts w:cs="Times New Roman"/>
        </w:rPr>
      </w:pPr>
      <w:r>
        <w:rPr>
          <w:rFonts w:cs="Times New Roman"/>
        </w:rPr>
        <w:t xml:space="preserve">In conclusion, it is evident that the industry seeks to grow from its tragedies and there is a </w:t>
      </w:r>
      <w:r w:rsidR="00835E78">
        <w:rPr>
          <w:rFonts w:cs="Times New Roman"/>
        </w:rPr>
        <w:t xml:space="preserve">governance </w:t>
      </w:r>
      <w:r>
        <w:rPr>
          <w:rFonts w:cs="Times New Roman"/>
        </w:rPr>
        <w:t>focus on demonstrating competency of key dutyholders</w:t>
      </w:r>
      <w:r w:rsidR="00835E78">
        <w:rPr>
          <w:rFonts w:cs="Times New Roman"/>
        </w:rPr>
        <w:t xml:space="preserve"> to improve overall project safety: particularly on HRB developments</w:t>
      </w:r>
      <w:r>
        <w:rPr>
          <w:rFonts w:cs="Times New Roman"/>
        </w:rPr>
        <w:t xml:space="preserve">. However, </w:t>
      </w:r>
      <w:r w:rsidR="00835E78">
        <w:rPr>
          <w:rFonts w:cs="Times New Roman"/>
        </w:rPr>
        <w:t xml:space="preserve">there does not appear to be a considerable effort to challenge the cultural indifference within the industry. A focus is needed to ensure dutyholders learn and avoid repeating the same mistakes through systematic learning, collaboration, and reflection. The competency framework and assessing its effectiveness remains at the mercy of professional bodies to administer and set for their respective members. With little </w:t>
      </w:r>
      <w:r w:rsidR="008F64B1">
        <w:rPr>
          <w:rFonts w:cs="Times New Roman"/>
        </w:rPr>
        <w:t>government</w:t>
      </w:r>
      <w:r w:rsidR="00835E78">
        <w:rPr>
          <w:rFonts w:cs="Times New Roman"/>
        </w:rPr>
        <w:t xml:space="preserve"> input</w:t>
      </w:r>
      <w:r w:rsidR="008F64B1">
        <w:rPr>
          <w:rFonts w:cs="Times New Roman"/>
        </w:rPr>
        <w:t xml:space="preserve"> and jurisdiction</w:t>
      </w:r>
      <w:r w:rsidR="00835E78">
        <w:rPr>
          <w:rFonts w:cs="Times New Roman"/>
        </w:rPr>
        <w:t xml:space="preserve">, other than the issuance of </w:t>
      </w:r>
      <w:r w:rsidR="00C21CFA">
        <w:rPr>
          <w:rFonts w:cs="Times New Roman"/>
        </w:rPr>
        <w:t xml:space="preserve">voluntary </w:t>
      </w:r>
      <w:r w:rsidR="00835E78">
        <w:rPr>
          <w:rFonts w:cs="Times New Roman"/>
        </w:rPr>
        <w:t xml:space="preserve">supplementary guidance, there is a risk that the system for holding dutyholders to a higher standard runs the risk of becoming further fragmented. This </w:t>
      </w:r>
      <w:r w:rsidR="00C60909">
        <w:rPr>
          <w:rFonts w:cs="Times New Roman"/>
        </w:rPr>
        <w:t>could</w:t>
      </w:r>
      <w:r w:rsidR="00835E78">
        <w:rPr>
          <w:rFonts w:cs="Times New Roman"/>
        </w:rPr>
        <w:t xml:space="preserve"> </w:t>
      </w:r>
      <w:r w:rsidR="00C60909">
        <w:rPr>
          <w:rFonts w:cs="Times New Roman"/>
        </w:rPr>
        <w:t>jeopardise</w:t>
      </w:r>
      <w:r w:rsidR="00835E78">
        <w:rPr>
          <w:rFonts w:cs="Times New Roman"/>
        </w:rPr>
        <w:t xml:space="preserve"> the ethos of the Building Safety Act</w:t>
      </w:r>
      <w:r w:rsidR="00C60909">
        <w:rPr>
          <w:rFonts w:cs="Times New Roman"/>
        </w:rPr>
        <w:t xml:space="preserve"> which set out to improve the industry’s purview on professionalism, accountability, and roles and responsibilities.</w:t>
      </w:r>
    </w:p>
    <w:p w14:paraId="26A9FA0C" w14:textId="77777777" w:rsidR="00812735" w:rsidRDefault="00812735" w:rsidP="00380C64">
      <w:pPr>
        <w:spacing w:line="360" w:lineRule="auto"/>
        <w:jc w:val="both"/>
        <w:rPr>
          <w:rFonts w:cs="Times New Roman"/>
        </w:rPr>
      </w:pPr>
    </w:p>
    <w:p w14:paraId="712037B6" w14:textId="77777777" w:rsidR="00EF2089" w:rsidRDefault="00EF2089" w:rsidP="00380C64">
      <w:pPr>
        <w:spacing w:line="360" w:lineRule="auto"/>
        <w:jc w:val="both"/>
        <w:rPr>
          <w:rFonts w:cs="Times New Roman"/>
        </w:rPr>
      </w:pPr>
    </w:p>
    <w:p w14:paraId="16EDB993" w14:textId="77777777" w:rsidR="00EF2089" w:rsidRDefault="00EF2089" w:rsidP="00380C64">
      <w:pPr>
        <w:spacing w:line="360" w:lineRule="auto"/>
        <w:jc w:val="both"/>
        <w:rPr>
          <w:rFonts w:cs="Times New Roman"/>
        </w:rPr>
      </w:pPr>
    </w:p>
    <w:p w14:paraId="27D15A58" w14:textId="77777777" w:rsidR="00EF2089" w:rsidRDefault="00EF2089" w:rsidP="00380C64">
      <w:pPr>
        <w:spacing w:line="360" w:lineRule="auto"/>
        <w:jc w:val="both"/>
        <w:rPr>
          <w:rFonts w:cs="Times New Roman"/>
        </w:rPr>
      </w:pPr>
    </w:p>
    <w:p w14:paraId="4595B63D" w14:textId="77777777" w:rsidR="00EF2089" w:rsidRDefault="00EF2089" w:rsidP="00380C64">
      <w:pPr>
        <w:spacing w:line="360" w:lineRule="auto"/>
        <w:jc w:val="both"/>
        <w:rPr>
          <w:rFonts w:cs="Times New Roman"/>
        </w:rPr>
      </w:pPr>
    </w:p>
    <w:p w14:paraId="2C1592E2" w14:textId="77777777" w:rsidR="00812735" w:rsidRDefault="00812735" w:rsidP="00380C64">
      <w:pPr>
        <w:spacing w:line="360" w:lineRule="auto"/>
        <w:jc w:val="both"/>
        <w:rPr>
          <w:rFonts w:cs="Times New Roman"/>
        </w:rPr>
      </w:pPr>
    </w:p>
    <w:p w14:paraId="2DEE00E8" w14:textId="77777777" w:rsidR="00812735" w:rsidRDefault="00812735" w:rsidP="00380C64">
      <w:pPr>
        <w:spacing w:line="360" w:lineRule="auto"/>
        <w:jc w:val="both"/>
        <w:rPr>
          <w:rFonts w:cs="Times New Roman"/>
        </w:rPr>
      </w:pPr>
    </w:p>
    <w:p w14:paraId="308C57FB" w14:textId="77777777" w:rsidR="0055298E" w:rsidRDefault="0055298E" w:rsidP="00380C64">
      <w:pPr>
        <w:spacing w:line="360" w:lineRule="auto"/>
        <w:jc w:val="both"/>
        <w:rPr>
          <w:rFonts w:cs="Times New Roman"/>
        </w:rPr>
      </w:pPr>
    </w:p>
    <w:p w14:paraId="06E91C4D" w14:textId="77777777" w:rsidR="0055298E" w:rsidRDefault="0055298E" w:rsidP="00380C64">
      <w:pPr>
        <w:spacing w:line="360" w:lineRule="auto"/>
        <w:jc w:val="both"/>
        <w:rPr>
          <w:rFonts w:cs="Times New Roman"/>
        </w:rPr>
      </w:pPr>
    </w:p>
    <w:p w14:paraId="6BC63F9B" w14:textId="77777777" w:rsidR="008C062F" w:rsidRDefault="008C062F" w:rsidP="00380C64">
      <w:pPr>
        <w:spacing w:line="360" w:lineRule="auto"/>
        <w:jc w:val="both"/>
        <w:rPr>
          <w:rFonts w:cs="Times New Roman"/>
        </w:rPr>
      </w:pPr>
    </w:p>
    <w:p w14:paraId="7031A20F" w14:textId="77777777" w:rsidR="008C062F" w:rsidRDefault="008C062F" w:rsidP="00380C64">
      <w:pPr>
        <w:spacing w:line="360" w:lineRule="auto"/>
        <w:jc w:val="both"/>
        <w:rPr>
          <w:rFonts w:cs="Times New Roman"/>
        </w:rPr>
      </w:pPr>
    </w:p>
    <w:p w14:paraId="2C019E05" w14:textId="77777777" w:rsidR="008C062F" w:rsidRDefault="008C062F" w:rsidP="00380C64">
      <w:pPr>
        <w:spacing w:line="360" w:lineRule="auto"/>
        <w:jc w:val="both"/>
        <w:rPr>
          <w:rFonts w:cs="Times New Roman"/>
        </w:rPr>
      </w:pPr>
    </w:p>
    <w:p w14:paraId="1313D177" w14:textId="77777777" w:rsidR="008C062F" w:rsidRDefault="008C062F" w:rsidP="00380C64">
      <w:pPr>
        <w:spacing w:line="360" w:lineRule="auto"/>
        <w:jc w:val="both"/>
        <w:rPr>
          <w:rFonts w:cs="Times New Roman"/>
        </w:rPr>
      </w:pPr>
    </w:p>
    <w:p w14:paraId="06A508B5" w14:textId="1DB85E67" w:rsidR="007C46F5" w:rsidRPr="00BC4B0E" w:rsidRDefault="0079505F" w:rsidP="00380C64">
      <w:pPr>
        <w:pStyle w:val="Heading1"/>
        <w:jc w:val="both"/>
        <w:rPr>
          <w:rFonts w:cs="Times New Roman"/>
          <w:b/>
          <w:bCs/>
          <w:color w:val="auto"/>
          <w:sz w:val="28"/>
          <w:szCs w:val="28"/>
        </w:rPr>
      </w:pPr>
      <w:bookmarkStart w:id="28" w:name="_Toc218947636"/>
      <w:r w:rsidRPr="00BC4B0E">
        <w:rPr>
          <w:rFonts w:cs="Times New Roman"/>
          <w:b/>
          <w:bCs/>
          <w:color w:val="auto"/>
          <w:sz w:val="28"/>
          <w:szCs w:val="28"/>
        </w:rPr>
        <w:lastRenderedPageBreak/>
        <w:t>References</w:t>
      </w:r>
      <w:bookmarkEnd w:id="28"/>
    </w:p>
    <w:p w14:paraId="7E11A07F" w14:textId="77777777" w:rsidR="00C21CFA" w:rsidRPr="00C21CFA" w:rsidRDefault="00C21CFA" w:rsidP="00052404">
      <w:pPr>
        <w:spacing w:line="360" w:lineRule="auto"/>
        <w:jc w:val="both"/>
        <w:rPr>
          <w:rFonts w:cs="Times New Roman"/>
          <w:sz w:val="20"/>
          <w:szCs w:val="20"/>
        </w:rPr>
      </w:pPr>
      <w:r w:rsidRPr="00C21CFA">
        <w:rPr>
          <w:rFonts w:cs="Times New Roman"/>
          <w:sz w:val="20"/>
          <w:szCs w:val="20"/>
        </w:rPr>
        <w:t xml:space="preserve">Achillies (n. d.), </w:t>
      </w:r>
      <w:r w:rsidRPr="00C21CFA">
        <w:rPr>
          <w:rFonts w:cs="Times New Roman"/>
          <w:i/>
          <w:iCs/>
          <w:sz w:val="20"/>
          <w:szCs w:val="20"/>
        </w:rPr>
        <w:t>Aligning the Building Safety Act through Common Assessment Standard V4</w:t>
      </w:r>
      <w:r w:rsidRPr="00C21CFA">
        <w:rPr>
          <w:rFonts w:cs="Times New Roman"/>
          <w:sz w:val="20"/>
          <w:szCs w:val="20"/>
        </w:rPr>
        <w:t xml:space="preserve">, Achilles, available at: </w:t>
      </w:r>
      <w:hyperlink r:id="rId13" w:history="1">
        <w:r w:rsidRPr="00C21CFA">
          <w:rPr>
            <w:rStyle w:val="Hyperlink"/>
            <w:rFonts w:cs="Times New Roman"/>
            <w:sz w:val="20"/>
            <w:szCs w:val="20"/>
          </w:rPr>
          <w:t>https://www.achilles.com/industry-insights/building-safety-and-aligning-industry-standards</w:t>
        </w:r>
      </w:hyperlink>
      <w:r w:rsidRPr="00C21CFA">
        <w:rPr>
          <w:rFonts w:cs="Times New Roman"/>
          <w:sz w:val="20"/>
          <w:szCs w:val="20"/>
        </w:rPr>
        <w:t xml:space="preserve"> (accessed January 2026)</w:t>
      </w:r>
    </w:p>
    <w:p w14:paraId="05472F89" w14:textId="77777777" w:rsidR="00C21CFA" w:rsidRPr="00C21CFA" w:rsidRDefault="00C21CFA" w:rsidP="00380C64">
      <w:pPr>
        <w:spacing w:line="360" w:lineRule="auto"/>
        <w:jc w:val="both"/>
        <w:rPr>
          <w:rFonts w:cs="Times New Roman"/>
          <w:sz w:val="20"/>
          <w:szCs w:val="20"/>
        </w:rPr>
      </w:pPr>
      <w:r w:rsidRPr="00C21CFA">
        <w:rPr>
          <w:rFonts w:cs="Times New Roman"/>
          <w:sz w:val="20"/>
          <w:szCs w:val="20"/>
        </w:rPr>
        <w:t xml:space="preserve">ARB (n. d.), </w:t>
      </w:r>
      <w:r w:rsidRPr="00C21CFA">
        <w:rPr>
          <w:rFonts w:cs="Times New Roman"/>
          <w:i/>
          <w:iCs/>
          <w:sz w:val="20"/>
          <w:szCs w:val="20"/>
        </w:rPr>
        <w:t>Architects setting up their own business for the first time</w:t>
      </w:r>
      <w:r w:rsidRPr="00C21CFA">
        <w:rPr>
          <w:rFonts w:cs="Times New Roman"/>
          <w:sz w:val="20"/>
          <w:szCs w:val="20"/>
        </w:rPr>
        <w:t xml:space="preserve">, ARB, available at: </w:t>
      </w:r>
      <w:hyperlink r:id="rId14" w:history="1">
        <w:r w:rsidRPr="00C21CFA">
          <w:rPr>
            <w:rStyle w:val="Hyperlink"/>
            <w:rFonts w:cs="Times New Roman"/>
            <w:sz w:val="20"/>
            <w:szCs w:val="20"/>
          </w:rPr>
          <w:t>https://arb.org.uk/architect-information/setting-up-own-business-for-the-first-time/</w:t>
        </w:r>
      </w:hyperlink>
      <w:r w:rsidRPr="00C21CFA">
        <w:rPr>
          <w:rFonts w:cs="Times New Roman"/>
          <w:sz w:val="20"/>
          <w:szCs w:val="20"/>
        </w:rPr>
        <w:t xml:space="preserve"> (accessed December 2025)</w:t>
      </w:r>
    </w:p>
    <w:p w14:paraId="16F756F1" w14:textId="77777777" w:rsidR="00C21CFA" w:rsidRPr="00C21CFA" w:rsidRDefault="00C21CFA" w:rsidP="00C30E61">
      <w:pPr>
        <w:spacing w:line="360" w:lineRule="auto"/>
        <w:jc w:val="both"/>
        <w:rPr>
          <w:rFonts w:cs="Times New Roman"/>
          <w:sz w:val="20"/>
          <w:szCs w:val="20"/>
        </w:rPr>
      </w:pPr>
      <w:r w:rsidRPr="00C21CFA">
        <w:rPr>
          <w:rFonts w:cs="Times New Roman"/>
          <w:sz w:val="20"/>
          <w:szCs w:val="20"/>
        </w:rPr>
        <w:t xml:space="preserve">BESA (2025), </w:t>
      </w:r>
      <w:r w:rsidRPr="00C21CFA">
        <w:rPr>
          <w:rFonts w:cs="Times New Roman"/>
          <w:i/>
          <w:iCs/>
          <w:sz w:val="20"/>
          <w:szCs w:val="20"/>
        </w:rPr>
        <w:t xml:space="preserve">BESA Guidance Framework for Principal Contractor Competence (PAS 8672), </w:t>
      </w:r>
      <w:r w:rsidRPr="00C21CFA">
        <w:rPr>
          <w:rFonts w:cs="Times New Roman"/>
          <w:sz w:val="20"/>
          <w:szCs w:val="20"/>
        </w:rPr>
        <w:t xml:space="preserve">BESA, available at: </w:t>
      </w:r>
      <w:hyperlink r:id="rId15" w:history="1">
        <w:r w:rsidRPr="00C21CFA">
          <w:rPr>
            <w:rStyle w:val="Hyperlink"/>
            <w:rFonts w:cs="Times New Roman"/>
            <w:sz w:val="20"/>
            <w:szCs w:val="20"/>
          </w:rPr>
          <w:t>https://publications.thebesa.com/products/besa-guidance-framework-for-principal-contractor-competence-pas-8672?_pos=1&amp;_psq</w:t>
        </w:r>
      </w:hyperlink>
      <w:r w:rsidRPr="00C21CFA">
        <w:rPr>
          <w:rFonts w:cs="Times New Roman"/>
          <w:sz w:val="20"/>
          <w:szCs w:val="20"/>
        </w:rPr>
        <w:t xml:space="preserve">  (accessed December 2025)</w:t>
      </w:r>
    </w:p>
    <w:p w14:paraId="29CF098F" w14:textId="77777777" w:rsidR="00C21CFA" w:rsidRPr="00C21CFA" w:rsidRDefault="00C21CFA" w:rsidP="00380C64">
      <w:pPr>
        <w:spacing w:line="360" w:lineRule="auto"/>
        <w:jc w:val="both"/>
        <w:rPr>
          <w:rFonts w:cs="Times New Roman"/>
          <w:sz w:val="20"/>
          <w:szCs w:val="20"/>
        </w:rPr>
      </w:pPr>
      <w:r w:rsidRPr="00C21CFA">
        <w:rPr>
          <w:rFonts w:cs="Times New Roman"/>
          <w:sz w:val="20"/>
          <w:szCs w:val="20"/>
        </w:rPr>
        <w:t xml:space="preserve">Bisby, L., Spinardi, G. (2017), </w:t>
      </w:r>
      <w:r w:rsidRPr="00C21CFA">
        <w:rPr>
          <w:rFonts w:cs="Times New Roman"/>
          <w:i/>
          <w:iCs/>
          <w:sz w:val="20"/>
          <w:szCs w:val="20"/>
        </w:rPr>
        <w:t>A Review of Sociological Issues in Fire Safety Regulation</w:t>
      </w:r>
      <w:r w:rsidRPr="00C21CFA">
        <w:rPr>
          <w:rFonts w:cs="Times New Roman"/>
          <w:sz w:val="20"/>
          <w:szCs w:val="20"/>
        </w:rPr>
        <w:t xml:space="preserve">, Springer Nature – Vol 53, available at: </w:t>
      </w:r>
      <w:hyperlink r:id="rId16" w:history="1">
        <w:r w:rsidRPr="00C21CFA">
          <w:rPr>
            <w:rStyle w:val="Hyperlink"/>
            <w:rFonts w:cs="Times New Roman"/>
            <w:sz w:val="20"/>
            <w:szCs w:val="20"/>
          </w:rPr>
          <w:t>https://doi.org/10.1007/s10694-016-0615-1</w:t>
        </w:r>
      </w:hyperlink>
      <w:r w:rsidRPr="00C21CFA">
        <w:rPr>
          <w:rFonts w:cs="Times New Roman"/>
          <w:sz w:val="20"/>
          <w:szCs w:val="20"/>
        </w:rPr>
        <w:t xml:space="preserve"> (accessed December 2025)</w:t>
      </w:r>
    </w:p>
    <w:p w14:paraId="06AE7AA9" w14:textId="77777777" w:rsidR="00C21CFA" w:rsidRPr="00C21CFA" w:rsidRDefault="00C21CFA" w:rsidP="00052404">
      <w:pPr>
        <w:spacing w:line="360" w:lineRule="auto"/>
        <w:jc w:val="both"/>
        <w:rPr>
          <w:rFonts w:cs="Times New Roman"/>
          <w:sz w:val="20"/>
          <w:szCs w:val="20"/>
        </w:rPr>
      </w:pPr>
      <w:r w:rsidRPr="00C21CFA">
        <w:rPr>
          <w:rFonts w:cs="Times New Roman"/>
          <w:sz w:val="20"/>
          <w:szCs w:val="20"/>
        </w:rPr>
        <w:t xml:space="preserve">BSI Group (2022), </w:t>
      </w:r>
      <w:r w:rsidRPr="00C21CFA">
        <w:rPr>
          <w:rFonts w:cs="Times New Roman"/>
          <w:i/>
          <w:iCs/>
          <w:sz w:val="20"/>
          <w:szCs w:val="20"/>
        </w:rPr>
        <w:t>Increase building safety with a principal contractor competency framework</w:t>
      </w:r>
      <w:r w:rsidRPr="00C21CFA">
        <w:rPr>
          <w:rFonts w:cs="Times New Roman"/>
          <w:sz w:val="20"/>
          <w:szCs w:val="20"/>
        </w:rPr>
        <w:t xml:space="preserve">, BSI, available at: </w:t>
      </w:r>
      <w:hyperlink r:id="rId17" w:history="1">
        <w:r w:rsidRPr="00C21CFA">
          <w:rPr>
            <w:rStyle w:val="Hyperlink"/>
            <w:rFonts w:cs="Times New Roman"/>
            <w:sz w:val="20"/>
            <w:szCs w:val="20"/>
          </w:rPr>
          <w:t>https://www.bsigroup.com/en-GB/insights-and-media/insights/brochures/pas-8672-framework-for-competence-of-individual-principal-contractors/</w:t>
        </w:r>
      </w:hyperlink>
      <w:r w:rsidRPr="00C21CFA">
        <w:rPr>
          <w:rFonts w:cs="Times New Roman"/>
          <w:sz w:val="20"/>
          <w:szCs w:val="20"/>
        </w:rPr>
        <w:t xml:space="preserve"> (accessed December 2025)</w:t>
      </w:r>
    </w:p>
    <w:p w14:paraId="6EA45259" w14:textId="77777777" w:rsidR="00C21CFA" w:rsidRPr="00C21CFA" w:rsidRDefault="00C21CFA" w:rsidP="00380C64">
      <w:pPr>
        <w:spacing w:line="360" w:lineRule="auto"/>
        <w:jc w:val="both"/>
        <w:rPr>
          <w:rFonts w:cs="Times New Roman"/>
          <w:sz w:val="20"/>
          <w:szCs w:val="20"/>
        </w:rPr>
      </w:pPr>
      <w:r w:rsidRPr="00C21CFA">
        <w:rPr>
          <w:rFonts w:cs="Times New Roman"/>
          <w:sz w:val="20"/>
          <w:szCs w:val="20"/>
        </w:rPr>
        <w:t xml:space="preserve">BSI Group (2024), </w:t>
      </w:r>
      <w:r w:rsidRPr="00C21CFA">
        <w:rPr>
          <w:rFonts w:cs="Times New Roman"/>
          <w:i/>
          <w:iCs/>
          <w:sz w:val="20"/>
          <w:szCs w:val="20"/>
        </w:rPr>
        <w:t>Competence frameworks for building safety - core criteria: code of practice</w:t>
      </w:r>
      <w:r w:rsidRPr="00C21CFA">
        <w:rPr>
          <w:rFonts w:cs="Times New Roman"/>
          <w:sz w:val="20"/>
          <w:szCs w:val="20"/>
        </w:rPr>
        <w:t xml:space="preserve">, BSI Group, available at: </w:t>
      </w:r>
      <w:hyperlink r:id="rId18" w:history="1">
        <w:r w:rsidRPr="00C21CFA">
          <w:rPr>
            <w:rStyle w:val="Hyperlink"/>
            <w:rFonts w:cs="Times New Roman"/>
            <w:sz w:val="20"/>
            <w:szCs w:val="20"/>
          </w:rPr>
          <w:t>https://knowledge.bsigroup.com/products/competence-frameworks-for-building-safety-core-criteria-code-of-practice</w:t>
        </w:r>
      </w:hyperlink>
      <w:r w:rsidRPr="00C21CFA">
        <w:rPr>
          <w:rFonts w:cs="Times New Roman"/>
          <w:sz w:val="20"/>
          <w:szCs w:val="20"/>
        </w:rPr>
        <w:t xml:space="preserve"> (accessed December 2025)</w:t>
      </w:r>
    </w:p>
    <w:p w14:paraId="30F81FF0" w14:textId="77777777" w:rsidR="00C21CFA" w:rsidRPr="00C21CFA" w:rsidRDefault="00C21CFA" w:rsidP="00052404">
      <w:pPr>
        <w:spacing w:line="360" w:lineRule="auto"/>
        <w:jc w:val="both"/>
        <w:rPr>
          <w:rFonts w:cs="Times New Roman"/>
          <w:sz w:val="20"/>
          <w:szCs w:val="20"/>
        </w:rPr>
      </w:pPr>
      <w:r w:rsidRPr="00C21CFA">
        <w:rPr>
          <w:rFonts w:cs="Times New Roman"/>
          <w:sz w:val="20"/>
          <w:szCs w:val="20"/>
        </w:rPr>
        <w:t xml:space="preserve">Build-UK (2025), </w:t>
      </w:r>
      <w:r w:rsidRPr="00C21CFA">
        <w:rPr>
          <w:rFonts w:cs="Times New Roman"/>
          <w:i/>
          <w:iCs/>
          <w:sz w:val="20"/>
          <w:szCs w:val="20"/>
        </w:rPr>
        <w:t>Common Assessment Standard – Question Set, Build-UK</w:t>
      </w:r>
      <w:r w:rsidRPr="00C21CFA">
        <w:rPr>
          <w:rFonts w:cs="Times New Roman"/>
          <w:sz w:val="20"/>
          <w:szCs w:val="20"/>
        </w:rPr>
        <w:t xml:space="preserve">, available at: </w:t>
      </w:r>
      <w:hyperlink r:id="rId19" w:history="1">
        <w:r w:rsidRPr="00C21CFA">
          <w:rPr>
            <w:rStyle w:val="Hyperlink"/>
            <w:rFonts w:cs="Times New Roman"/>
            <w:sz w:val="20"/>
            <w:szCs w:val="20"/>
          </w:rPr>
          <w:t>https://builduk.org/wp-content/uploads/2025/07/Common-Assessment-Standard-Question-Set-Version-5.pdf</w:t>
        </w:r>
      </w:hyperlink>
      <w:r w:rsidRPr="00C21CFA">
        <w:rPr>
          <w:rFonts w:cs="Times New Roman"/>
          <w:sz w:val="20"/>
          <w:szCs w:val="20"/>
        </w:rPr>
        <w:t xml:space="preserve"> (accessed January 2026)</w:t>
      </w:r>
    </w:p>
    <w:p w14:paraId="39EDFA8D" w14:textId="77777777" w:rsidR="00C21CFA" w:rsidRPr="00C21CFA" w:rsidRDefault="00C21CFA" w:rsidP="00052404">
      <w:pPr>
        <w:spacing w:line="360" w:lineRule="auto"/>
        <w:jc w:val="both"/>
        <w:rPr>
          <w:rFonts w:cs="Times New Roman"/>
          <w:sz w:val="20"/>
          <w:szCs w:val="20"/>
        </w:rPr>
      </w:pPr>
      <w:r w:rsidRPr="00C21CFA">
        <w:rPr>
          <w:rFonts w:cs="Times New Roman"/>
          <w:sz w:val="20"/>
          <w:szCs w:val="20"/>
        </w:rPr>
        <w:t xml:space="preserve">CIOB (n. d.), </w:t>
      </w:r>
      <w:r w:rsidRPr="00C21CFA">
        <w:rPr>
          <w:rFonts w:cs="Times New Roman"/>
          <w:i/>
          <w:iCs/>
          <w:sz w:val="20"/>
          <w:szCs w:val="20"/>
        </w:rPr>
        <w:t>Training Partnerships</w:t>
      </w:r>
      <w:r w:rsidRPr="00C21CFA">
        <w:rPr>
          <w:rFonts w:cs="Times New Roman"/>
          <w:sz w:val="20"/>
          <w:szCs w:val="20"/>
        </w:rPr>
        <w:t xml:space="preserve">, CIOB, available at: </w:t>
      </w:r>
      <w:hyperlink r:id="rId20" w:history="1">
        <w:r w:rsidRPr="00C21CFA">
          <w:rPr>
            <w:rStyle w:val="Hyperlink"/>
            <w:rFonts w:cs="Times New Roman"/>
            <w:sz w:val="20"/>
            <w:szCs w:val="20"/>
          </w:rPr>
          <w:t>https://www.ciob.org/company-membership/training-partnerships</w:t>
        </w:r>
      </w:hyperlink>
      <w:r w:rsidRPr="00C21CFA">
        <w:rPr>
          <w:rFonts w:cs="Times New Roman"/>
          <w:sz w:val="20"/>
          <w:szCs w:val="20"/>
        </w:rPr>
        <w:t xml:space="preserve"> (accessed December 2025)</w:t>
      </w:r>
    </w:p>
    <w:p w14:paraId="79B1CE2F" w14:textId="77777777" w:rsidR="00C21CFA" w:rsidRPr="00C21CFA" w:rsidRDefault="00C21CFA" w:rsidP="00C30E61">
      <w:pPr>
        <w:spacing w:line="360" w:lineRule="auto"/>
        <w:jc w:val="both"/>
        <w:rPr>
          <w:rFonts w:cs="Times New Roman"/>
          <w:sz w:val="20"/>
          <w:szCs w:val="20"/>
        </w:rPr>
      </w:pPr>
      <w:r w:rsidRPr="00C21CFA">
        <w:rPr>
          <w:rFonts w:cs="Times New Roman"/>
          <w:sz w:val="20"/>
          <w:szCs w:val="20"/>
        </w:rPr>
        <w:t xml:space="preserve">Constructing Excellence (n. d.), </w:t>
      </w:r>
      <w:r w:rsidRPr="00C21CFA">
        <w:rPr>
          <w:rFonts w:cs="Times New Roman"/>
          <w:i/>
          <w:iCs/>
          <w:sz w:val="20"/>
          <w:szCs w:val="20"/>
        </w:rPr>
        <w:t>Procurement Competency</w:t>
      </w:r>
      <w:r w:rsidRPr="00C21CFA">
        <w:rPr>
          <w:rFonts w:cs="Times New Roman"/>
          <w:sz w:val="20"/>
          <w:szCs w:val="20"/>
        </w:rPr>
        <w:t xml:space="preserve">, Constructing Excellence, available at: </w:t>
      </w:r>
      <w:hyperlink r:id="rId21" w:history="1">
        <w:r w:rsidRPr="00C21CFA">
          <w:rPr>
            <w:rStyle w:val="Hyperlink"/>
            <w:rFonts w:cs="Times New Roman"/>
            <w:sz w:val="20"/>
            <w:szCs w:val="20"/>
          </w:rPr>
          <w:t>https://constructingexcellence.org.uk/procurement-competency/</w:t>
        </w:r>
      </w:hyperlink>
      <w:r w:rsidRPr="00C21CFA">
        <w:rPr>
          <w:rFonts w:cs="Times New Roman"/>
          <w:sz w:val="20"/>
          <w:szCs w:val="20"/>
        </w:rPr>
        <w:t xml:space="preserve">  (accessed December 2025)</w:t>
      </w:r>
    </w:p>
    <w:p w14:paraId="353FCE8C" w14:textId="77777777" w:rsidR="00C21CFA" w:rsidRPr="00C21CFA" w:rsidRDefault="00C21CFA" w:rsidP="00380C64">
      <w:pPr>
        <w:spacing w:line="360" w:lineRule="auto"/>
        <w:jc w:val="both"/>
        <w:rPr>
          <w:rFonts w:cs="Times New Roman"/>
          <w:sz w:val="20"/>
          <w:szCs w:val="20"/>
        </w:rPr>
      </w:pPr>
      <w:r w:rsidRPr="00C21CFA">
        <w:rPr>
          <w:rFonts w:cs="Times New Roman"/>
          <w:sz w:val="20"/>
          <w:szCs w:val="20"/>
        </w:rPr>
        <w:t xml:space="preserve">Construction Leadership Council (n.d.), </w:t>
      </w:r>
      <w:r w:rsidRPr="00C21CFA">
        <w:rPr>
          <w:rFonts w:cs="Times New Roman"/>
          <w:i/>
          <w:iCs/>
          <w:sz w:val="20"/>
          <w:szCs w:val="20"/>
        </w:rPr>
        <w:t>Competence</w:t>
      </w:r>
      <w:r w:rsidRPr="00C21CFA">
        <w:rPr>
          <w:rFonts w:cs="Times New Roman"/>
          <w:sz w:val="20"/>
          <w:szCs w:val="20"/>
        </w:rPr>
        <w:t xml:space="preserve">, CLC, available at: </w:t>
      </w:r>
      <w:hyperlink r:id="rId22" w:history="1">
        <w:r w:rsidRPr="00C21CFA">
          <w:rPr>
            <w:rStyle w:val="Hyperlink"/>
            <w:rFonts w:cs="Times New Roman"/>
            <w:sz w:val="20"/>
            <w:szCs w:val="20"/>
          </w:rPr>
          <w:t>https://www.constructionleadershipcouncil.co.uk/workstream/people-and-skills/competence/</w:t>
        </w:r>
      </w:hyperlink>
      <w:r w:rsidRPr="00C21CFA">
        <w:rPr>
          <w:rFonts w:cs="Times New Roman"/>
          <w:sz w:val="20"/>
          <w:szCs w:val="20"/>
        </w:rPr>
        <w:t xml:space="preserve"> (accessed December 2025)</w:t>
      </w:r>
    </w:p>
    <w:p w14:paraId="6BE392DE" w14:textId="77777777" w:rsidR="00C21CFA" w:rsidRPr="00C21CFA" w:rsidRDefault="00C21CFA" w:rsidP="004D1780">
      <w:pPr>
        <w:spacing w:line="360" w:lineRule="auto"/>
        <w:jc w:val="both"/>
        <w:rPr>
          <w:rFonts w:cs="Times New Roman"/>
          <w:sz w:val="20"/>
          <w:szCs w:val="20"/>
        </w:rPr>
      </w:pPr>
      <w:r w:rsidRPr="00C21CFA">
        <w:rPr>
          <w:rFonts w:cs="Times New Roman"/>
          <w:sz w:val="20"/>
          <w:szCs w:val="20"/>
        </w:rPr>
        <w:t xml:space="preserve">Engineering Council (2025), </w:t>
      </w:r>
      <w:r w:rsidRPr="00C21CFA">
        <w:rPr>
          <w:rFonts w:cs="Times New Roman"/>
          <w:i/>
          <w:iCs/>
          <w:sz w:val="20"/>
          <w:szCs w:val="20"/>
        </w:rPr>
        <w:t>The UK Standard for Professional Engineering Competence and Commitment Contextualised for Higher-Risk Buildings (UK-SPEC HRB)</w:t>
      </w:r>
      <w:r w:rsidRPr="00C21CFA">
        <w:rPr>
          <w:rFonts w:cs="Times New Roman"/>
          <w:sz w:val="20"/>
          <w:szCs w:val="20"/>
        </w:rPr>
        <w:t xml:space="preserve">, Engineering Council, available at: </w:t>
      </w:r>
      <w:hyperlink r:id="rId23" w:history="1">
        <w:r w:rsidRPr="00C21CFA">
          <w:rPr>
            <w:rStyle w:val="Hyperlink"/>
            <w:rFonts w:cs="Times New Roman"/>
            <w:sz w:val="20"/>
            <w:szCs w:val="20"/>
          </w:rPr>
          <w:t>https://www.engc.org.uk/media/atffmldz/uk-spec-hrb-standard.pdf</w:t>
        </w:r>
      </w:hyperlink>
      <w:r w:rsidRPr="00C21CFA">
        <w:rPr>
          <w:rFonts w:cs="Times New Roman"/>
          <w:sz w:val="20"/>
          <w:szCs w:val="20"/>
        </w:rPr>
        <w:t xml:space="preserve"> (accessed December 2025)</w:t>
      </w:r>
    </w:p>
    <w:p w14:paraId="14864FD4" w14:textId="77777777" w:rsidR="00C21CFA" w:rsidRPr="00C21CFA" w:rsidRDefault="00C21CFA" w:rsidP="00486567">
      <w:pPr>
        <w:spacing w:line="360" w:lineRule="auto"/>
        <w:jc w:val="both"/>
        <w:rPr>
          <w:rFonts w:cs="Times New Roman"/>
          <w:sz w:val="20"/>
          <w:szCs w:val="20"/>
        </w:rPr>
      </w:pPr>
      <w:r w:rsidRPr="00C21CFA">
        <w:rPr>
          <w:rFonts w:cs="Times New Roman"/>
          <w:sz w:val="20"/>
          <w:szCs w:val="20"/>
        </w:rPr>
        <w:lastRenderedPageBreak/>
        <w:t xml:space="preserve">Engineering Council (2025), </w:t>
      </w:r>
      <w:r w:rsidRPr="00C21CFA">
        <w:rPr>
          <w:rFonts w:cs="Times New Roman"/>
          <w:i/>
          <w:iCs/>
          <w:sz w:val="20"/>
          <w:szCs w:val="20"/>
        </w:rPr>
        <w:t>The UK Standard for Professional Engineering Competence and Commitment</w:t>
      </w:r>
      <w:r w:rsidRPr="00C21CFA">
        <w:rPr>
          <w:rFonts w:cs="Times New Roman"/>
          <w:sz w:val="20"/>
          <w:szCs w:val="20"/>
        </w:rPr>
        <w:t xml:space="preserve">, Engineering Council, available at: </w:t>
      </w:r>
      <w:hyperlink r:id="rId24" w:history="1">
        <w:r w:rsidRPr="00C21CFA">
          <w:rPr>
            <w:rStyle w:val="Hyperlink"/>
            <w:sz w:val="20"/>
            <w:szCs w:val="20"/>
          </w:rPr>
          <w:t>https://www.engc.org.uk/media/a1yfae02/uk-spec-fourth-edition.pdf</w:t>
        </w:r>
      </w:hyperlink>
      <w:r w:rsidRPr="00C21CFA">
        <w:rPr>
          <w:sz w:val="20"/>
          <w:szCs w:val="20"/>
        </w:rPr>
        <w:t xml:space="preserve"> </w:t>
      </w:r>
      <w:r w:rsidRPr="00C21CFA">
        <w:rPr>
          <w:rFonts w:cs="Times New Roman"/>
          <w:sz w:val="20"/>
          <w:szCs w:val="20"/>
        </w:rPr>
        <w:t>(accessed December 2025)</w:t>
      </w:r>
    </w:p>
    <w:p w14:paraId="7FB1312F" w14:textId="77777777" w:rsidR="00C21CFA" w:rsidRPr="00C21CFA" w:rsidRDefault="00C21CFA" w:rsidP="00052404">
      <w:pPr>
        <w:spacing w:line="360" w:lineRule="auto"/>
        <w:jc w:val="both"/>
        <w:rPr>
          <w:rFonts w:cs="Times New Roman"/>
          <w:sz w:val="20"/>
          <w:szCs w:val="20"/>
        </w:rPr>
      </w:pPr>
      <w:r w:rsidRPr="00C21CFA">
        <w:rPr>
          <w:rFonts w:cs="Times New Roman"/>
          <w:sz w:val="20"/>
          <w:szCs w:val="20"/>
        </w:rPr>
        <w:t xml:space="preserve">Green, S. (2023), </w:t>
      </w:r>
      <w:r w:rsidRPr="00C21CFA">
        <w:rPr>
          <w:rFonts w:cs="Times New Roman"/>
          <w:i/>
          <w:iCs/>
          <w:sz w:val="20"/>
          <w:szCs w:val="20"/>
        </w:rPr>
        <w:t>Making Sense of Construction Improvement</w:t>
      </w:r>
      <w:r w:rsidRPr="00C21CFA">
        <w:rPr>
          <w:rFonts w:cs="Times New Roman"/>
          <w:sz w:val="20"/>
          <w:szCs w:val="20"/>
        </w:rPr>
        <w:t xml:space="preserve">,  Taylor &amp; Francis Group, available at: </w:t>
      </w:r>
      <w:hyperlink r:id="rId25" w:tgtFrame="_blank" w:history="1">
        <w:r w:rsidRPr="00C21CFA">
          <w:rPr>
            <w:rStyle w:val="Hyperlink"/>
            <w:rFonts w:cs="Times New Roman"/>
            <w:sz w:val="20"/>
            <w:szCs w:val="20"/>
          </w:rPr>
          <w:t>https://doi.org/10.1201/9781003308133</w:t>
        </w:r>
      </w:hyperlink>
      <w:r w:rsidRPr="00C21CFA">
        <w:rPr>
          <w:rFonts w:cs="Times New Roman"/>
          <w:sz w:val="20"/>
          <w:szCs w:val="20"/>
        </w:rPr>
        <w:t xml:space="preserve"> (accessed December 2025)</w:t>
      </w:r>
    </w:p>
    <w:p w14:paraId="4BB8C89E" w14:textId="77777777" w:rsidR="00C21CFA" w:rsidRPr="00C21CFA" w:rsidRDefault="00C21CFA" w:rsidP="00380C64">
      <w:pPr>
        <w:spacing w:line="360" w:lineRule="auto"/>
        <w:jc w:val="both"/>
        <w:rPr>
          <w:rFonts w:cs="Times New Roman"/>
          <w:sz w:val="20"/>
          <w:szCs w:val="20"/>
        </w:rPr>
      </w:pPr>
      <w:r w:rsidRPr="00C21CFA">
        <w:rPr>
          <w:rFonts w:cs="Times New Roman"/>
          <w:sz w:val="20"/>
          <w:szCs w:val="20"/>
        </w:rPr>
        <w:t xml:space="preserve">Hackitt, J. (2018), </w:t>
      </w:r>
      <w:r w:rsidRPr="00C21CFA">
        <w:rPr>
          <w:rFonts w:cs="Times New Roman"/>
          <w:i/>
          <w:iCs/>
          <w:sz w:val="20"/>
          <w:szCs w:val="20"/>
        </w:rPr>
        <w:t>Building a Safer Future</w:t>
      </w:r>
      <w:r w:rsidRPr="00C21CFA">
        <w:rPr>
          <w:rFonts w:cs="Times New Roman"/>
          <w:sz w:val="20"/>
          <w:szCs w:val="20"/>
        </w:rPr>
        <w:t xml:space="preserve">, HM Government, available at: </w:t>
      </w:r>
      <w:hyperlink r:id="rId26" w:history="1">
        <w:r w:rsidRPr="00C21CFA">
          <w:rPr>
            <w:rStyle w:val="Hyperlink"/>
            <w:rFonts w:cs="Times New Roman"/>
            <w:sz w:val="20"/>
            <w:szCs w:val="20"/>
          </w:rPr>
          <w:t>https://assets.publishing.service.gov.uk/media/5afc50c840f0b622e4844ab4/Building_a_Safer_Future_-_web.pdf</w:t>
        </w:r>
      </w:hyperlink>
      <w:r w:rsidRPr="00C21CFA">
        <w:rPr>
          <w:rStyle w:val="Hyperlink"/>
          <w:rFonts w:cs="Times New Roman"/>
          <w:sz w:val="20"/>
          <w:szCs w:val="20"/>
        </w:rPr>
        <w:t xml:space="preserve"> </w:t>
      </w:r>
      <w:r w:rsidRPr="00C21CFA">
        <w:rPr>
          <w:rFonts w:cs="Times New Roman"/>
          <w:sz w:val="20"/>
          <w:szCs w:val="20"/>
        </w:rPr>
        <w:t xml:space="preserve"> (accessed December 2025)</w:t>
      </w:r>
    </w:p>
    <w:p w14:paraId="0AF528A6" w14:textId="77777777" w:rsidR="00C21CFA" w:rsidRPr="00C21CFA" w:rsidRDefault="00C21CFA" w:rsidP="009A7AA3">
      <w:pPr>
        <w:spacing w:line="360" w:lineRule="auto"/>
        <w:jc w:val="both"/>
        <w:rPr>
          <w:rFonts w:cs="Times New Roman"/>
          <w:sz w:val="20"/>
          <w:szCs w:val="20"/>
        </w:rPr>
      </w:pPr>
      <w:r w:rsidRPr="00C21CFA">
        <w:rPr>
          <w:rFonts w:cs="Times New Roman"/>
          <w:sz w:val="20"/>
          <w:szCs w:val="20"/>
        </w:rPr>
        <w:t xml:space="preserve">Hancock, G. (2025), </w:t>
      </w:r>
      <w:r w:rsidRPr="00C21CFA">
        <w:rPr>
          <w:rFonts w:cs="Times New Roman"/>
          <w:i/>
          <w:iCs/>
          <w:sz w:val="20"/>
          <w:szCs w:val="20"/>
        </w:rPr>
        <w:t>Delivering Culture Change and a Competent Workforce across the Built Environment</w:t>
      </w:r>
      <w:r w:rsidRPr="00C21CFA">
        <w:rPr>
          <w:rFonts w:cs="Times New Roman"/>
          <w:sz w:val="20"/>
          <w:szCs w:val="20"/>
        </w:rPr>
        <w:t>, APM, available at:</w:t>
      </w:r>
      <w:r w:rsidRPr="00C21CFA">
        <w:rPr>
          <w:sz w:val="20"/>
          <w:szCs w:val="20"/>
        </w:rPr>
        <w:t xml:space="preserve"> </w:t>
      </w:r>
      <w:hyperlink r:id="rId27" w:history="1">
        <w:r w:rsidRPr="00C21CFA">
          <w:rPr>
            <w:rStyle w:val="Hyperlink"/>
            <w:rFonts w:cs="Times New Roman"/>
            <w:sz w:val="20"/>
            <w:szCs w:val="20"/>
          </w:rPr>
          <w:t>https://www.apm.org.uk/media/i4whgdrk/delivering-competence-and-culture-change-across-the-built-environment.pdf</w:t>
        </w:r>
      </w:hyperlink>
      <w:r w:rsidRPr="00C21CFA">
        <w:rPr>
          <w:rFonts w:cs="Times New Roman"/>
          <w:sz w:val="20"/>
          <w:szCs w:val="20"/>
        </w:rPr>
        <w:t xml:space="preserve"> (accessed December 2025) </w:t>
      </w:r>
    </w:p>
    <w:p w14:paraId="7A251436" w14:textId="77777777" w:rsidR="00C21CFA" w:rsidRPr="00C21CFA" w:rsidRDefault="00C21CFA" w:rsidP="00380C64">
      <w:pPr>
        <w:spacing w:line="360" w:lineRule="auto"/>
        <w:jc w:val="both"/>
        <w:rPr>
          <w:rFonts w:cs="Times New Roman"/>
          <w:sz w:val="20"/>
          <w:szCs w:val="20"/>
        </w:rPr>
      </w:pPr>
      <w:r w:rsidRPr="00C21CFA">
        <w:rPr>
          <w:rFonts w:cs="Times New Roman"/>
          <w:sz w:val="20"/>
          <w:szCs w:val="20"/>
        </w:rPr>
        <w:t xml:space="preserve">HM Government (2015), </w:t>
      </w:r>
      <w:r w:rsidRPr="00C21CFA">
        <w:rPr>
          <w:rFonts w:cs="Times New Roman"/>
          <w:i/>
          <w:iCs/>
          <w:sz w:val="20"/>
          <w:szCs w:val="20"/>
        </w:rPr>
        <w:t>The Construction (Design and Management) Regulations 2015</w:t>
      </w:r>
      <w:r w:rsidRPr="00C21CFA">
        <w:rPr>
          <w:rFonts w:cs="Times New Roman"/>
          <w:sz w:val="20"/>
          <w:szCs w:val="20"/>
        </w:rPr>
        <w:t xml:space="preserve">, HM Government, available at: </w:t>
      </w:r>
      <w:hyperlink r:id="rId28" w:history="1">
        <w:r w:rsidRPr="00C21CFA">
          <w:rPr>
            <w:rStyle w:val="Hyperlink"/>
            <w:rFonts w:cs="Times New Roman"/>
            <w:sz w:val="20"/>
            <w:szCs w:val="20"/>
          </w:rPr>
          <w:t>https://www.legislation.gov.uk/uksi/2015/51/contents</w:t>
        </w:r>
      </w:hyperlink>
      <w:r w:rsidRPr="00C21CFA">
        <w:rPr>
          <w:rFonts w:cs="Times New Roman"/>
          <w:sz w:val="20"/>
          <w:szCs w:val="20"/>
        </w:rPr>
        <w:t xml:space="preserve"> (accessed December 2025)</w:t>
      </w:r>
    </w:p>
    <w:p w14:paraId="7B854663" w14:textId="77777777" w:rsidR="00C21CFA" w:rsidRPr="00C21CFA" w:rsidRDefault="00C21CFA" w:rsidP="00380C64">
      <w:pPr>
        <w:spacing w:line="360" w:lineRule="auto"/>
        <w:jc w:val="both"/>
        <w:rPr>
          <w:rFonts w:cs="Times New Roman"/>
          <w:sz w:val="20"/>
          <w:szCs w:val="20"/>
        </w:rPr>
      </w:pPr>
      <w:r w:rsidRPr="00C21CFA">
        <w:rPr>
          <w:rFonts w:cs="Times New Roman"/>
          <w:sz w:val="20"/>
          <w:szCs w:val="20"/>
        </w:rPr>
        <w:t xml:space="preserve">HM Government (2022), </w:t>
      </w:r>
      <w:r w:rsidRPr="00C21CFA">
        <w:rPr>
          <w:rFonts w:cs="Times New Roman"/>
          <w:i/>
          <w:iCs/>
          <w:sz w:val="20"/>
          <w:szCs w:val="20"/>
        </w:rPr>
        <w:t>Building Safety Act 2022</w:t>
      </w:r>
      <w:r w:rsidRPr="00C21CFA">
        <w:rPr>
          <w:rFonts w:cs="Times New Roman"/>
          <w:sz w:val="20"/>
          <w:szCs w:val="20"/>
        </w:rPr>
        <w:t xml:space="preserve">, available at: </w:t>
      </w:r>
      <w:hyperlink r:id="rId29" w:history="1">
        <w:r w:rsidRPr="00C21CFA">
          <w:rPr>
            <w:rStyle w:val="Hyperlink"/>
            <w:rFonts w:cs="Times New Roman"/>
            <w:sz w:val="20"/>
            <w:szCs w:val="20"/>
          </w:rPr>
          <w:t>https://www.legislation.gov.uk/ukpga/2022/30/contents</w:t>
        </w:r>
      </w:hyperlink>
      <w:r w:rsidRPr="00C21CFA">
        <w:rPr>
          <w:rFonts w:cs="Times New Roman"/>
          <w:sz w:val="20"/>
          <w:szCs w:val="20"/>
        </w:rPr>
        <w:t xml:space="preserve"> (accessed December 2025)</w:t>
      </w:r>
    </w:p>
    <w:p w14:paraId="42EA3E06" w14:textId="77777777" w:rsidR="00C21CFA" w:rsidRPr="00C21CFA" w:rsidRDefault="00C21CFA" w:rsidP="00380C64">
      <w:pPr>
        <w:spacing w:line="360" w:lineRule="auto"/>
        <w:jc w:val="both"/>
        <w:rPr>
          <w:rFonts w:cs="Times New Roman"/>
          <w:sz w:val="20"/>
          <w:szCs w:val="20"/>
        </w:rPr>
      </w:pPr>
      <w:r w:rsidRPr="00C21CFA">
        <w:rPr>
          <w:rFonts w:cs="Times New Roman"/>
          <w:sz w:val="20"/>
          <w:szCs w:val="20"/>
        </w:rPr>
        <w:t xml:space="preserve">Izam, K. C., Ibrahim, C., Belayutham, S., Manu, P., Mahamadu, A., (2020), </w:t>
      </w:r>
      <w:r w:rsidRPr="00C21CFA">
        <w:rPr>
          <w:rFonts w:cs="Times New Roman"/>
          <w:i/>
          <w:iCs/>
          <w:sz w:val="20"/>
          <w:szCs w:val="20"/>
        </w:rPr>
        <w:t>Key attributes of designers’ competency for prevention through design (PtD) practices in construction: a review</w:t>
      </w:r>
      <w:r w:rsidRPr="00C21CFA">
        <w:rPr>
          <w:rFonts w:cs="Times New Roman"/>
          <w:sz w:val="20"/>
          <w:szCs w:val="20"/>
        </w:rPr>
        <w:t xml:space="preserve">, Emerald Insight – Vol. 28, available at: </w:t>
      </w:r>
      <w:hyperlink r:id="rId30" w:tgtFrame="_blank" w:history="1">
        <w:r w:rsidRPr="00C21CFA">
          <w:rPr>
            <w:rStyle w:val="Hyperlink"/>
            <w:rFonts w:cs="Times New Roman"/>
            <w:sz w:val="20"/>
            <w:szCs w:val="20"/>
          </w:rPr>
          <w:t>https://doi.org/10.1108/ECAM-04-2020-0252</w:t>
        </w:r>
      </w:hyperlink>
      <w:r w:rsidRPr="00C21CFA">
        <w:rPr>
          <w:rFonts w:cs="Times New Roman"/>
          <w:sz w:val="20"/>
          <w:szCs w:val="20"/>
        </w:rPr>
        <w:t xml:space="preserve"> (accessed December 2025)</w:t>
      </w:r>
    </w:p>
    <w:p w14:paraId="2F5A41F9" w14:textId="77777777" w:rsidR="00C21CFA" w:rsidRPr="00C21CFA" w:rsidRDefault="00C21CFA" w:rsidP="00486567">
      <w:pPr>
        <w:spacing w:line="360" w:lineRule="auto"/>
        <w:jc w:val="both"/>
        <w:rPr>
          <w:rFonts w:cs="Times New Roman"/>
          <w:sz w:val="20"/>
          <w:szCs w:val="20"/>
        </w:rPr>
      </w:pPr>
      <w:r w:rsidRPr="00C21CFA">
        <w:rPr>
          <w:rFonts w:cs="Times New Roman"/>
          <w:sz w:val="20"/>
          <w:szCs w:val="20"/>
        </w:rPr>
        <w:t xml:space="preserve">Jenkin, B., Raynsford, N., Conradi, K., Savage, K. (2025),  </w:t>
      </w:r>
      <w:r w:rsidRPr="00C21CFA">
        <w:rPr>
          <w:rFonts w:cs="Times New Roman"/>
          <w:i/>
          <w:iCs/>
          <w:sz w:val="20"/>
          <w:szCs w:val="20"/>
        </w:rPr>
        <w:t>Written evidence from Sir Bernard Jenkin MP (BSR0163) - Building Safety Regulator</w:t>
      </w:r>
      <w:r w:rsidRPr="00C21CFA">
        <w:rPr>
          <w:rFonts w:cs="Times New Roman"/>
          <w:sz w:val="20"/>
          <w:szCs w:val="20"/>
        </w:rPr>
        <w:t xml:space="preserve">, Parliament UK, available at: </w:t>
      </w:r>
      <w:hyperlink r:id="rId31" w:history="1">
        <w:r w:rsidRPr="00C21CFA">
          <w:rPr>
            <w:rStyle w:val="Hyperlink"/>
            <w:rFonts w:cs="Times New Roman"/>
            <w:sz w:val="20"/>
            <w:szCs w:val="20"/>
          </w:rPr>
          <w:t>https://committees.parliament.uk/writtenevidence/148117/html/</w:t>
        </w:r>
      </w:hyperlink>
      <w:r w:rsidRPr="00C21CFA">
        <w:rPr>
          <w:rFonts w:cs="Times New Roman"/>
          <w:sz w:val="20"/>
          <w:szCs w:val="20"/>
        </w:rPr>
        <w:t xml:space="preserve"> (accessed December 2025)</w:t>
      </w:r>
    </w:p>
    <w:p w14:paraId="34A1C679" w14:textId="77777777" w:rsidR="00C21CFA" w:rsidRPr="00C21CFA" w:rsidRDefault="00C21CFA" w:rsidP="00380C64">
      <w:pPr>
        <w:spacing w:line="360" w:lineRule="auto"/>
        <w:jc w:val="both"/>
        <w:rPr>
          <w:rFonts w:cs="Times New Roman"/>
          <w:sz w:val="20"/>
          <w:szCs w:val="20"/>
        </w:rPr>
      </w:pPr>
      <w:r w:rsidRPr="00C21CFA">
        <w:rPr>
          <w:rFonts w:cs="Times New Roman"/>
          <w:sz w:val="20"/>
          <w:szCs w:val="20"/>
        </w:rPr>
        <w:t xml:space="preserve">Kellie, M. (2025), </w:t>
      </w:r>
      <w:r w:rsidRPr="00C21CFA">
        <w:rPr>
          <w:rFonts w:cs="Times New Roman"/>
          <w:i/>
          <w:iCs/>
          <w:sz w:val="20"/>
          <w:szCs w:val="20"/>
        </w:rPr>
        <w:t>Hackitt Urges Professional Bodies Push New Building Safety Competency Standard</w:t>
      </w:r>
      <w:r w:rsidRPr="00C21CFA">
        <w:rPr>
          <w:rFonts w:cs="Times New Roman"/>
          <w:sz w:val="20"/>
          <w:szCs w:val="20"/>
        </w:rPr>
        <w:t xml:space="preserve">, Building Engineering, available at: </w:t>
      </w:r>
      <w:hyperlink r:id="rId32" w:history="1">
        <w:r w:rsidRPr="00C21CFA">
          <w:rPr>
            <w:rStyle w:val="Hyperlink"/>
            <w:rFonts w:cs="Times New Roman"/>
            <w:sz w:val="20"/>
            <w:szCs w:val="20"/>
          </w:rPr>
          <w:t>https://www.buildingengineer.org.uk/news/hackitt-urges-professional-bodies-push-new-building-safety-competence-standard</w:t>
        </w:r>
      </w:hyperlink>
      <w:r w:rsidRPr="00C21CFA">
        <w:rPr>
          <w:rFonts w:cs="Times New Roman"/>
          <w:sz w:val="20"/>
          <w:szCs w:val="20"/>
        </w:rPr>
        <w:t xml:space="preserve"> (accessed December 2025)</w:t>
      </w:r>
    </w:p>
    <w:p w14:paraId="3D47E1B4" w14:textId="77777777" w:rsidR="00C21CFA" w:rsidRPr="00C21CFA" w:rsidRDefault="00C21CFA" w:rsidP="00380C64">
      <w:pPr>
        <w:spacing w:line="360" w:lineRule="auto"/>
        <w:jc w:val="both"/>
        <w:rPr>
          <w:rFonts w:cs="Times New Roman"/>
          <w:sz w:val="20"/>
          <w:szCs w:val="20"/>
        </w:rPr>
      </w:pPr>
      <w:r w:rsidRPr="00C21CFA">
        <w:rPr>
          <w:rFonts w:cs="Times New Roman"/>
          <w:sz w:val="20"/>
          <w:szCs w:val="20"/>
        </w:rPr>
        <w:t xml:space="preserve">Law, A., Spinardi, G. (2019), </w:t>
      </w:r>
      <w:r w:rsidRPr="00C21CFA">
        <w:rPr>
          <w:rFonts w:cs="Times New Roman"/>
          <w:i/>
          <w:iCs/>
          <w:sz w:val="20"/>
          <w:szCs w:val="20"/>
        </w:rPr>
        <w:t>Beyond the stable door: Hackitt and the future of fire safety regulation in the UK</w:t>
      </w:r>
      <w:r w:rsidRPr="00C21CFA">
        <w:rPr>
          <w:rFonts w:cs="Times New Roman"/>
          <w:sz w:val="20"/>
          <w:szCs w:val="20"/>
        </w:rPr>
        <w:t xml:space="preserve">, Elsevier – Vol 109, available at: </w:t>
      </w:r>
      <w:hyperlink r:id="rId33" w:history="1">
        <w:r w:rsidRPr="00C21CFA">
          <w:rPr>
            <w:rStyle w:val="Hyperlink"/>
            <w:rFonts w:cs="Times New Roman"/>
            <w:sz w:val="20"/>
            <w:szCs w:val="20"/>
          </w:rPr>
          <w:t>https://doi.org/10.1016/j.firesaf.2019.102856</w:t>
        </w:r>
      </w:hyperlink>
      <w:r w:rsidRPr="00C21CFA">
        <w:rPr>
          <w:rFonts w:cs="Times New Roman"/>
          <w:sz w:val="20"/>
          <w:szCs w:val="20"/>
        </w:rPr>
        <w:t xml:space="preserve"> (accessed December 2025)</w:t>
      </w:r>
    </w:p>
    <w:p w14:paraId="09AA96C1" w14:textId="77777777" w:rsidR="00C21CFA" w:rsidRPr="00C21CFA" w:rsidRDefault="00C21CFA" w:rsidP="00380C64">
      <w:pPr>
        <w:spacing w:line="360" w:lineRule="auto"/>
        <w:jc w:val="both"/>
        <w:rPr>
          <w:rFonts w:cs="Times New Roman"/>
          <w:sz w:val="20"/>
          <w:szCs w:val="20"/>
        </w:rPr>
      </w:pPr>
      <w:r w:rsidRPr="00C21CFA">
        <w:rPr>
          <w:rFonts w:cs="Times New Roman"/>
          <w:sz w:val="20"/>
          <w:szCs w:val="20"/>
        </w:rPr>
        <w:t xml:space="preserve">Macdougall, C., Epstein, M., Highet, L. (2017), </w:t>
      </w:r>
      <w:r w:rsidRPr="00C21CFA">
        <w:rPr>
          <w:rFonts w:cs="Times New Roman"/>
          <w:i/>
          <w:iCs/>
          <w:sz w:val="20"/>
          <w:szCs w:val="20"/>
        </w:rPr>
        <w:t>Continuing professional development: putting the learner back at the centre</w:t>
      </w:r>
      <w:r w:rsidRPr="00C21CFA">
        <w:rPr>
          <w:rFonts w:cs="Times New Roman"/>
          <w:sz w:val="20"/>
          <w:szCs w:val="20"/>
        </w:rPr>
        <w:t xml:space="preserve">, ADC Education &amp; Practice – Vol 102, available at: </w:t>
      </w:r>
      <w:hyperlink r:id="rId34" w:history="1">
        <w:r w:rsidRPr="00C21CFA">
          <w:rPr>
            <w:rStyle w:val="Hyperlink"/>
            <w:rFonts w:cs="Times New Roman"/>
            <w:sz w:val="20"/>
            <w:szCs w:val="20"/>
          </w:rPr>
          <w:t>https://ep.bmj.com/content/102/5/249</w:t>
        </w:r>
      </w:hyperlink>
      <w:r w:rsidRPr="00C21CFA">
        <w:rPr>
          <w:rFonts w:cs="Times New Roman"/>
          <w:sz w:val="20"/>
          <w:szCs w:val="20"/>
        </w:rPr>
        <w:t xml:space="preserve"> (accessed December 2025)</w:t>
      </w:r>
    </w:p>
    <w:p w14:paraId="70660DDA" w14:textId="77777777" w:rsidR="00C21CFA" w:rsidRPr="00C21CFA" w:rsidRDefault="00C21CFA" w:rsidP="00380C64">
      <w:pPr>
        <w:spacing w:line="360" w:lineRule="auto"/>
        <w:jc w:val="both"/>
        <w:rPr>
          <w:rFonts w:cs="Times New Roman"/>
          <w:sz w:val="20"/>
          <w:szCs w:val="20"/>
        </w:rPr>
      </w:pPr>
      <w:r w:rsidRPr="00C21CFA">
        <w:rPr>
          <w:rFonts w:cs="Times New Roman"/>
          <w:sz w:val="20"/>
          <w:szCs w:val="20"/>
        </w:rPr>
        <w:t xml:space="preserve">Makant, W. (2021), </w:t>
      </w:r>
      <w:r w:rsidRPr="00C21CFA">
        <w:rPr>
          <w:rFonts w:cs="Times New Roman"/>
          <w:i/>
          <w:iCs/>
          <w:sz w:val="20"/>
          <w:szCs w:val="20"/>
        </w:rPr>
        <w:t>Focus on performance, not prescription</w:t>
      </w:r>
      <w:r w:rsidRPr="00C21CFA">
        <w:rPr>
          <w:rFonts w:cs="Times New Roman"/>
          <w:sz w:val="20"/>
          <w:szCs w:val="20"/>
        </w:rPr>
        <w:t xml:space="preserve">, RICS, available at: </w:t>
      </w:r>
      <w:hyperlink r:id="rId35" w:history="1">
        <w:r w:rsidRPr="00C21CFA">
          <w:rPr>
            <w:rStyle w:val="Hyperlink"/>
            <w:rFonts w:cs="Times New Roman"/>
            <w:sz w:val="20"/>
            <w:szCs w:val="20"/>
          </w:rPr>
          <w:t>https://ww3.rics.org/uk/en/journals/built-environment-journal/focus-on-performance--not-prescription.html</w:t>
        </w:r>
      </w:hyperlink>
      <w:r w:rsidRPr="00C21CFA">
        <w:rPr>
          <w:rFonts w:cs="Times New Roman"/>
          <w:sz w:val="20"/>
          <w:szCs w:val="20"/>
        </w:rPr>
        <w:t xml:space="preserve"> (accessed December 2025)</w:t>
      </w:r>
    </w:p>
    <w:p w14:paraId="162E56B0" w14:textId="77777777" w:rsidR="00C21CFA" w:rsidRPr="00C21CFA" w:rsidRDefault="00C21CFA" w:rsidP="00052404">
      <w:pPr>
        <w:spacing w:line="360" w:lineRule="auto"/>
        <w:jc w:val="both"/>
        <w:rPr>
          <w:rFonts w:cs="Times New Roman"/>
          <w:sz w:val="20"/>
          <w:szCs w:val="20"/>
        </w:rPr>
      </w:pPr>
      <w:r w:rsidRPr="00C21CFA">
        <w:rPr>
          <w:rFonts w:cs="Times New Roman"/>
          <w:sz w:val="20"/>
          <w:szCs w:val="20"/>
        </w:rPr>
        <w:lastRenderedPageBreak/>
        <w:t xml:space="preserve">May, R. (2023), </w:t>
      </w:r>
      <w:r w:rsidRPr="00C21CFA">
        <w:rPr>
          <w:rFonts w:cs="Times New Roman"/>
          <w:i/>
          <w:iCs/>
          <w:sz w:val="20"/>
          <w:szCs w:val="20"/>
        </w:rPr>
        <w:t>Enforcement powers under the Building Safety Act</w:t>
      </w:r>
      <w:r w:rsidRPr="00C21CFA">
        <w:rPr>
          <w:rFonts w:cs="Times New Roman"/>
          <w:sz w:val="20"/>
          <w:szCs w:val="20"/>
        </w:rPr>
        <w:t xml:space="preserve">, Taylor Wessing, available at: </w:t>
      </w:r>
      <w:hyperlink r:id="rId36" w:history="1">
        <w:r w:rsidRPr="00C21CFA">
          <w:rPr>
            <w:rStyle w:val="Hyperlink"/>
            <w:rFonts w:cs="Times New Roman"/>
            <w:sz w:val="20"/>
            <w:szCs w:val="20"/>
          </w:rPr>
          <w:t>https://www.taylorwessing.com/en/insights-and-events/insights/2023/06/uc-enforcement-powers-under-the-building-safety-act#</w:t>
        </w:r>
      </w:hyperlink>
      <w:r w:rsidRPr="00C21CFA">
        <w:rPr>
          <w:rFonts w:cs="Times New Roman"/>
          <w:sz w:val="20"/>
          <w:szCs w:val="20"/>
        </w:rPr>
        <w:t xml:space="preserve"> (accessed December 2025)</w:t>
      </w:r>
    </w:p>
    <w:p w14:paraId="0AC06666" w14:textId="77777777" w:rsidR="00C21CFA" w:rsidRPr="00C21CFA" w:rsidRDefault="00C21CFA" w:rsidP="004E2739">
      <w:pPr>
        <w:spacing w:line="360" w:lineRule="auto"/>
        <w:jc w:val="both"/>
        <w:rPr>
          <w:rFonts w:cs="Times New Roman"/>
          <w:sz w:val="20"/>
          <w:szCs w:val="20"/>
        </w:rPr>
      </w:pPr>
      <w:r w:rsidRPr="00C21CFA">
        <w:rPr>
          <w:rFonts w:cs="Times New Roman"/>
          <w:sz w:val="20"/>
          <w:szCs w:val="20"/>
        </w:rPr>
        <w:t xml:space="preserve">Moore-Bick et. al (2024), </w:t>
      </w:r>
      <w:r w:rsidRPr="00C21CFA">
        <w:rPr>
          <w:rFonts w:cs="Times New Roman"/>
          <w:i/>
          <w:iCs/>
          <w:sz w:val="20"/>
          <w:szCs w:val="20"/>
        </w:rPr>
        <w:t>GRENFELL TOWER INQUIRY:</w:t>
      </w:r>
      <w:r w:rsidRPr="00C21CFA">
        <w:rPr>
          <w:rFonts w:cs="Times New Roman"/>
          <w:i/>
          <w:iCs/>
          <w:sz w:val="20"/>
          <w:szCs w:val="20"/>
        </w:rPr>
        <w:t xml:space="preserve"> </w:t>
      </w:r>
      <w:r w:rsidRPr="00C21CFA">
        <w:rPr>
          <w:rFonts w:cs="Times New Roman"/>
          <w:i/>
          <w:iCs/>
          <w:sz w:val="20"/>
          <w:szCs w:val="20"/>
        </w:rPr>
        <w:t>PHASE 2 REPORT OVERVIEW</w:t>
      </w:r>
      <w:r w:rsidRPr="00C21CFA">
        <w:rPr>
          <w:rFonts w:cs="Times New Roman"/>
          <w:i/>
          <w:iCs/>
          <w:sz w:val="20"/>
          <w:szCs w:val="20"/>
        </w:rPr>
        <w:t xml:space="preserve"> </w:t>
      </w:r>
      <w:r w:rsidRPr="00C21CFA">
        <w:rPr>
          <w:rFonts w:cs="Times New Roman"/>
          <w:i/>
          <w:iCs/>
          <w:sz w:val="20"/>
          <w:szCs w:val="20"/>
        </w:rPr>
        <w:t>REPORT of the PUBLIC INQUIRY into the</w:t>
      </w:r>
      <w:r w:rsidRPr="00C21CFA">
        <w:rPr>
          <w:rFonts w:cs="Times New Roman"/>
          <w:i/>
          <w:iCs/>
          <w:sz w:val="20"/>
          <w:szCs w:val="20"/>
        </w:rPr>
        <w:t xml:space="preserve"> </w:t>
      </w:r>
      <w:r w:rsidRPr="00C21CFA">
        <w:rPr>
          <w:rFonts w:cs="Times New Roman"/>
          <w:i/>
          <w:iCs/>
          <w:sz w:val="20"/>
          <w:szCs w:val="20"/>
        </w:rPr>
        <w:t>FIRE at GRENFELL TOWER</w:t>
      </w:r>
      <w:r w:rsidRPr="00C21CFA">
        <w:rPr>
          <w:rFonts w:cs="Times New Roman"/>
          <w:i/>
          <w:iCs/>
          <w:sz w:val="20"/>
          <w:szCs w:val="20"/>
        </w:rPr>
        <w:t xml:space="preserve"> </w:t>
      </w:r>
      <w:r w:rsidRPr="00C21CFA">
        <w:rPr>
          <w:rFonts w:cs="Times New Roman"/>
          <w:i/>
          <w:iCs/>
          <w:sz w:val="20"/>
          <w:szCs w:val="20"/>
        </w:rPr>
        <w:t>on 14 JUNE 201</w:t>
      </w:r>
      <w:r w:rsidRPr="00C21CFA">
        <w:rPr>
          <w:rFonts w:cs="Times New Roman"/>
          <w:i/>
          <w:iCs/>
          <w:sz w:val="20"/>
          <w:szCs w:val="20"/>
        </w:rPr>
        <w:t>7</w:t>
      </w:r>
      <w:r w:rsidRPr="00C21CFA">
        <w:rPr>
          <w:rFonts w:cs="Times New Roman"/>
          <w:sz w:val="20"/>
          <w:szCs w:val="20"/>
        </w:rPr>
        <w:t xml:space="preserve">, Open Government License, available at: </w:t>
      </w:r>
      <w:hyperlink r:id="rId37" w:history="1">
        <w:r w:rsidRPr="00C21CFA">
          <w:rPr>
            <w:rStyle w:val="Hyperlink"/>
            <w:rFonts w:cs="Times New Roman"/>
            <w:sz w:val="20"/>
            <w:szCs w:val="20"/>
          </w:rPr>
          <w:t>https://webarchive.nationalarchives.gov.uk/ukgwa/20250320200312mp_/https://www.grenfelltowerinquiry.org.uk/sites/default/files/CCS0923434692-004_GTI%20Phase%202_Report%20Overview_E-Laying_0.pdf</w:t>
        </w:r>
      </w:hyperlink>
      <w:r w:rsidRPr="00C21CFA">
        <w:rPr>
          <w:rFonts w:cs="Times New Roman"/>
          <w:sz w:val="20"/>
          <w:szCs w:val="20"/>
        </w:rPr>
        <w:t xml:space="preserve"> (accessed January 2026)</w:t>
      </w:r>
    </w:p>
    <w:p w14:paraId="1224FCF9" w14:textId="77777777" w:rsidR="00C21CFA" w:rsidRPr="00C21CFA" w:rsidRDefault="00C21CFA" w:rsidP="00380C64">
      <w:pPr>
        <w:spacing w:line="360" w:lineRule="auto"/>
        <w:jc w:val="both"/>
        <w:rPr>
          <w:rFonts w:cs="Times New Roman"/>
          <w:sz w:val="20"/>
          <w:szCs w:val="20"/>
        </w:rPr>
      </w:pPr>
      <w:r w:rsidRPr="00C21CFA">
        <w:rPr>
          <w:rFonts w:cs="Times New Roman"/>
          <w:sz w:val="20"/>
          <w:szCs w:val="20"/>
        </w:rPr>
        <w:t xml:space="preserve">O’Regan, C. (2025), </w:t>
      </w:r>
      <w:r w:rsidRPr="00C21CFA">
        <w:rPr>
          <w:rFonts w:cs="Times New Roman"/>
          <w:i/>
          <w:iCs/>
          <w:sz w:val="20"/>
          <w:szCs w:val="20"/>
        </w:rPr>
        <w:t>Written evidence from Chris O’Regan (BSR0074)</w:t>
      </w:r>
      <w:r w:rsidRPr="00C21CFA">
        <w:rPr>
          <w:rFonts w:cs="Times New Roman"/>
          <w:sz w:val="20"/>
          <w:szCs w:val="20"/>
        </w:rPr>
        <w:t xml:space="preserve">, Parliament UK, available at: </w:t>
      </w:r>
      <w:hyperlink r:id="rId38" w:history="1">
        <w:r w:rsidRPr="00C21CFA">
          <w:rPr>
            <w:rStyle w:val="Hyperlink"/>
            <w:rFonts w:cs="Times New Roman"/>
            <w:sz w:val="20"/>
            <w:szCs w:val="20"/>
          </w:rPr>
          <w:t>https://committees.parliament.uk/writtenevidence/147541/pdf/</w:t>
        </w:r>
      </w:hyperlink>
      <w:r w:rsidRPr="00C21CFA">
        <w:rPr>
          <w:rFonts w:cs="Times New Roman"/>
          <w:sz w:val="20"/>
          <w:szCs w:val="20"/>
        </w:rPr>
        <w:t xml:space="preserve"> (accessed December 2025)</w:t>
      </w:r>
    </w:p>
    <w:p w14:paraId="30098C7D" w14:textId="77777777" w:rsidR="00C21CFA" w:rsidRPr="00C21CFA" w:rsidRDefault="00C21CFA" w:rsidP="00380C64">
      <w:pPr>
        <w:spacing w:line="360" w:lineRule="auto"/>
        <w:jc w:val="both"/>
        <w:rPr>
          <w:rFonts w:cs="Times New Roman"/>
          <w:sz w:val="20"/>
          <w:szCs w:val="20"/>
        </w:rPr>
      </w:pPr>
      <w:r w:rsidRPr="00C21CFA">
        <w:rPr>
          <w:rFonts w:cs="Times New Roman"/>
          <w:sz w:val="20"/>
          <w:szCs w:val="20"/>
        </w:rPr>
        <w:t xml:space="preserve">Planning Portal (2021),  </w:t>
      </w:r>
      <w:r w:rsidRPr="00C21CFA">
        <w:rPr>
          <w:rFonts w:cs="Times New Roman"/>
          <w:i/>
          <w:iCs/>
          <w:sz w:val="20"/>
          <w:szCs w:val="20"/>
        </w:rPr>
        <w:t>Difference Between Building Regulations and Planning Permission</w:t>
      </w:r>
      <w:r w:rsidRPr="00C21CFA">
        <w:rPr>
          <w:rFonts w:cs="Times New Roman"/>
          <w:sz w:val="20"/>
          <w:szCs w:val="20"/>
        </w:rPr>
        <w:t xml:space="preserve">, Planning Portal, available at: </w:t>
      </w:r>
      <w:hyperlink r:id="rId39" w:history="1">
        <w:r w:rsidRPr="00C21CFA">
          <w:rPr>
            <w:rStyle w:val="Hyperlink"/>
            <w:rFonts w:cs="Times New Roman"/>
            <w:sz w:val="20"/>
            <w:szCs w:val="20"/>
          </w:rPr>
          <w:t>https://www.planningportal.co.uk/info/200128/building_control/38/building_regulations/4</w:t>
        </w:r>
      </w:hyperlink>
      <w:r w:rsidRPr="00C21CFA">
        <w:rPr>
          <w:rFonts w:cs="Times New Roman"/>
          <w:sz w:val="20"/>
          <w:szCs w:val="20"/>
        </w:rPr>
        <w:t xml:space="preserve"> (accessed December 2025)</w:t>
      </w:r>
    </w:p>
    <w:p w14:paraId="795F5B71" w14:textId="77777777" w:rsidR="00C21CFA" w:rsidRPr="00C21CFA" w:rsidRDefault="00C21CFA" w:rsidP="00380C64">
      <w:pPr>
        <w:spacing w:line="360" w:lineRule="auto"/>
        <w:jc w:val="both"/>
        <w:rPr>
          <w:rFonts w:cs="Times New Roman"/>
          <w:sz w:val="20"/>
          <w:szCs w:val="20"/>
        </w:rPr>
      </w:pPr>
      <w:r w:rsidRPr="00C21CFA">
        <w:rPr>
          <w:rFonts w:cs="Times New Roman"/>
          <w:sz w:val="20"/>
          <w:szCs w:val="20"/>
        </w:rPr>
        <w:t xml:space="preserve">RIBA (2018), </w:t>
      </w:r>
      <w:r w:rsidRPr="00C21CFA">
        <w:rPr>
          <w:rFonts w:cs="Times New Roman"/>
          <w:i/>
          <w:iCs/>
          <w:sz w:val="20"/>
          <w:szCs w:val="20"/>
        </w:rPr>
        <w:t>‘A Major Missed Opportunity’ to make Buildings Safer Today</w:t>
      </w:r>
      <w:r w:rsidRPr="00C21CFA">
        <w:rPr>
          <w:rFonts w:cs="Times New Roman"/>
          <w:sz w:val="20"/>
          <w:szCs w:val="20"/>
        </w:rPr>
        <w:t xml:space="preserve">, RIBA, available at: </w:t>
      </w:r>
      <w:hyperlink r:id="rId40" w:history="1">
        <w:r w:rsidRPr="00C21CFA">
          <w:rPr>
            <w:rStyle w:val="Hyperlink"/>
            <w:rFonts w:cs="Times New Roman"/>
            <w:sz w:val="20"/>
            <w:szCs w:val="20"/>
          </w:rPr>
          <w:t>https://www.architectsjournal.co.uk/news/riba-slams-hackitts-post-grenfell-review-as-major-missed-opportunity</w:t>
        </w:r>
      </w:hyperlink>
      <w:r w:rsidRPr="00C21CFA">
        <w:rPr>
          <w:rFonts w:cs="Times New Roman"/>
          <w:sz w:val="20"/>
          <w:szCs w:val="20"/>
        </w:rPr>
        <w:t xml:space="preserve"> (accessed December 2025)</w:t>
      </w:r>
    </w:p>
    <w:p w14:paraId="5A43FB8E" w14:textId="77777777" w:rsidR="00C21CFA" w:rsidRPr="00C21CFA" w:rsidRDefault="00C21CFA" w:rsidP="00380C64">
      <w:pPr>
        <w:spacing w:line="360" w:lineRule="auto"/>
        <w:jc w:val="both"/>
        <w:rPr>
          <w:rFonts w:cs="Times New Roman"/>
          <w:sz w:val="20"/>
          <w:szCs w:val="20"/>
        </w:rPr>
      </w:pPr>
      <w:r w:rsidRPr="00C21CFA">
        <w:rPr>
          <w:rFonts w:cs="Times New Roman"/>
          <w:sz w:val="20"/>
          <w:szCs w:val="20"/>
        </w:rPr>
        <w:t xml:space="preserve">Rose, E. (2025), </w:t>
      </w:r>
      <w:r w:rsidRPr="00C21CFA">
        <w:rPr>
          <w:rFonts w:cs="Times New Roman"/>
          <w:i/>
          <w:iCs/>
          <w:sz w:val="20"/>
          <w:szCs w:val="20"/>
        </w:rPr>
        <w:t>Clients ‘Ignoring Building Safety’, Say BESA Members</w:t>
      </w:r>
      <w:r w:rsidRPr="00C21CFA">
        <w:rPr>
          <w:rFonts w:cs="Times New Roman"/>
          <w:sz w:val="20"/>
          <w:szCs w:val="20"/>
        </w:rPr>
        <w:t xml:space="preserve">, BESA, available at: </w:t>
      </w:r>
      <w:hyperlink r:id="rId41" w:history="1">
        <w:r w:rsidRPr="00C21CFA">
          <w:rPr>
            <w:rStyle w:val="Hyperlink"/>
            <w:rFonts w:cs="Times New Roman"/>
            <w:sz w:val="20"/>
            <w:szCs w:val="20"/>
          </w:rPr>
          <w:t>https://www.thebesa.com/besa-latest-news/clients-neglect-building-safety-act</w:t>
        </w:r>
      </w:hyperlink>
      <w:r w:rsidRPr="00C21CFA">
        <w:rPr>
          <w:rFonts w:cs="Times New Roman"/>
          <w:sz w:val="20"/>
          <w:szCs w:val="20"/>
        </w:rPr>
        <w:t xml:space="preserve">  (accessed December 2025)</w:t>
      </w:r>
    </w:p>
    <w:p w14:paraId="7D165A03" w14:textId="77777777" w:rsidR="00C21CFA" w:rsidRPr="00C21CFA" w:rsidRDefault="00C21CFA" w:rsidP="00380C64">
      <w:pPr>
        <w:spacing w:line="360" w:lineRule="auto"/>
        <w:jc w:val="both"/>
        <w:rPr>
          <w:rFonts w:cs="Times New Roman"/>
          <w:sz w:val="20"/>
          <w:szCs w:val="20"/>
        </w:rPr>
      </w:pPr>
      <w:r w:rsidRPr="00C21CFA">
        <w:rPr>
          <w:rFonts w:cs="Times New Roman"/>
          <w:sz w:val="20"/>
          <w:szCs w:val="20"/>
        </w:rPr>
        <w:t xml:space="preserve">Thorpe, R. (2024), </w:t>
      </w:r>
      <w:r w:rsidRPr="00C21CFA">
        <w:rPr>
          <w:rFonts w:cs="Times New Roman"/>
          <w:i/>
          <w:iCs/>
          <w:sz w:val="20"/>
          <w:szCs w:val="20"/>
        </w:rPr>
        <w:t>Meeting your Principal Contractor obligations</w:t>
      </w:r>
      <w:r w:rsidRPr="00C21CFA">
        <w:rPr>
          <w:rFonts w:cs="Times New Roman"/>
          <w:sz w:val="20"/>
          <w:szCs w:val="20"/>
        </w:rPr>
        <w:t xml:space="preserve">, CIOB, available at: </w:t>
      </w:r>
      <w:hyperlink r:id="rId42" w:history="1">
        <w:r w:rsidRPr="00C21CFA">
          <w:rPr>
            <w:rStyle w:val="Hyperlink"/>
            <w:rFonts w:cs="Times New Roman"/>
            <w:sz w:val="20"/>
            <w:szCs w:val="20"/>
          </w:rPr>
          <w:t>https://www.ciob.org/blog/meeting-your-principal-contractor-obligations</w:t>
        </w:r>
      </w:hyperlink>
      <w:r w:rsidRPr="00C21CFA">
        <w:rPr>
          <w:rFonts w:cs="Times New Roman"/>
          <w:sz w:val="20"/>
          <w:szCs w:val="20"/>
        </w:rPr>
        <w:t xml:space="preserve"> (accessed December 2025)</w:t>
      </w:r>
    </w:p>
    <w:p w14:paraId="5D8826B7" w14:textId="77777777" w:rsidR="00C21CFA" w:rsidRPr="00C21CFA" w:rsidRDefault="00C21CFA" w:rsidP="00380C64">
      <w:pPr>
        <w:spacing w:line="360" w:lineRule="auto"/>
        <w:jc w:val="both"/>
        <w:rPr>
          <w:rFonts w:cs="Times New Roman"/>
          <w:sz w:val="20"/>
          <w:szCs w:val="20"/>
        </w:rPr>
      </w:pPr>
      <w:r w:rsidRPr="00C21CFA">
        <w:rPr>
          <w:rFonts w:cs="Times New Roman"/>
          <w:sz w:val="20"/>
          <w:szCs w:val="20"/>
        </w:rPr>
        <w:t xml:space="preserve">Yamusa, M. A.,  Dauda, J. A.,  Jagun, Z. T., Saka, A. B., Rajan, R., Oyegoke, A. S., Ajayi, S. O. (2025), </w:t>
      </w:r>
      <w:r w:rsidRPr="00C21CFA">
        <w:rPr>
          <w:rFonts w:cs="Times New Roman"/>
          <w:i/>
          <w:iCs/>
          <w:sz w:val="20"/>
          <w:szCs w:val="20"/>
        </w:rPr>
        <w:t>Investigating the construction professionals’ perspective on the new building safety act in the UK: A sentiment analysis of media data</w:t>
      </w:r>
      <w:r w:rsidRPr="00C21CFA">
        <w:rPr>
          <w:rFonts w:cs="Times New Roman"/>
          <w:sz w:val="20"/>
          <w:szCs w:val="20"/>
        </w:rPr>
        <w:t xml:space="preserve">, Elsevier Safety Science – Volume 189, available at: </w:t>
      </w:r>
      <w:hyperlink r:id="rId43" w:history="1">
        <w:r w:rsidRPr="00C21CFA">
          <w:rPr>
            <w:rStyle w:val="Hyperlink"/>
            <w:rFonts w:cs="Times New Roman"/>
            <w:sz w:val="20"/>
            <w:szCs w:val="20"/>
          </w:rPr>
          <w:t>https://doi.org/10.1016/j.ssci.2025.106900</w:t>
        </w:r>
      </w:hyperlink>
      <w:r w:rsidRPr="00C21CFA">
        <w:rPr>
          <w:rFonts w:cs="Times New Roman"/>
          <w:sz w:val="20"/>
          <w:szCs w:val="20"/>
        </w:rPr>
        <w:t xml:space="preserve"> (accessed December 2025)</w:t>
      </w:r>
    </w:p>
    <w:p w14:paraId="4B421D9C" w14:textId="77777777" w:rsidR="00C21CFA" w:rsidRPr="00C21CFA" w:rsidRDefault="00C21CFA" w:rsidP="00052404">
      <w:pPr>
        <w:spacing w:line="360" w:lineRule="auto"/>
        <w:jc w:val="both"/>
        <w:rPr>
          <w:rFonts w:cs="Times New Roman"/>
          <w:sz w:val="20"/>
          <w:szCs w:val="20"/>
        </w:rPr>
      </w:pPr>
      <w:r w:rsidRPr="00C21CFA">
        <w:rPr>
          <w:rFonts w:cs="Times New Roman"/>
          <w:sz w:val="20"/>
          <w:szCs w:val="20"/>
        </w:rPr>
        <w:t xml:space="preserve">Yongwoo, L. (2025), </w:t>
      </w:r>
      <w:r w:rsidRPr="00C21CFA">
        <w:rPr>
          <w:rFonts w:cs="Times New Roman"/>
          <w:i/>
          <w:iCs/>
          <w:sz w:val="20"/>
          <w:szCs w:val="20"/>
        </w:rPr>
        <w:t>Reshaping UK Architectural Education Towards 2027: Examining Challenges and Implications of the Architects Registration Board’s Competency-Based Framework</w:t>
      </w:r>
      <w:r w:rsidRPr="00C21CFA">
        <w:rPr>
          <w:rFonts w:cs="Times New Roman"/>
          <w:sz w:val="20"/>
          <w:szCs w:val="20"/>
        </w:rPr>
        <w:t xml:space="preserve">, OAK, available at: </w:t>
      </w:r>
      <w:hyperlink r:id="rId44" w:history="1">
        <w:r w:rsidRPr="00C21CFA">
          <w:rPr>
            <w:rStyle w:val="Hyperlink"/>
            <w:rFonts w:cs="Times New Roman"/>
            <w:sz w:val="20"/>
            <w:szCs w:val="20"/>
          </w:rPr>
          <w:t>https://oak.go.kr/central/journallist/journaldetail.do?article_seq=29554</w:t>
        </w:r>
      </w:hyperlink>
      <w:r w:rsidRPr="00C21CFA">
        <w:rPr>
          <w:rFonts w:cs="Times New Roman"/>
          <w:sz w:val="20"/>
          <w:szCs w:val="20"/>
        </w:rPr>
        <w:t xml:space="preserve"> (accessed December 2025)</w:t>
      </w:r>
    </w:p>
    <w:sectPr w:rsidR="00C21CFA" w:rsidRPr="00C21CFA" w:rsidSect="00796188">
      <w:footerReference w:type="default" r:id="rId45"/>
      <w:pgSz w:w="11906" w:h="16838"/>
      <w:pgMar w:top="1440" w:right="1440" w:bottom="1440" w:left="1440" w:header="709" w:footer="709" w:gutter="0"/>
      <w:pgBorders w:display="firstPage" w:offsetFrom="page">
        <w:top w:val="thickThinSmallGap" w:sz="24" w:space="24" w:color="auto"/>
        <w:left w:val="thickThinSmallGap" w:sz="24" w:space="24" w:color="auto"/>
        <w:bottom w:val="thinThickSmallGap" w:sz="24" w:space="24" w:color="auto"/>
        <w:right w:val="thinThickSmallGap" w:sz="2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87151C" w14:textId="77777777" w:rsidR="000B3EC3" w:rsidRDefault="000B3EC3" w:rsidP="00414702">
      <w:pPr>
        <w:spacing w:after="0" w:line="240" w:lineRule="auto"/>
      </w:pPr>
      <w:r>
        <w:separator/>
      </w:r>
    </w:p>
  </w:endnote>
  <w:endnote w:type="continuationSeparator" w:id="0">
    <w:p w14:paraId="15FB6238" w14:textId="77777777" w:rsidR="000B3EC3" w:rsidRDefault="000B3EC3" w:rsidP="004147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88471850"/>
      <w:docPartObj>
        <w:docPartGallery w:val="Page Numbers (Bottom of Page)"/>
        <w:docPartUnique/>
      </w:docPartObj>
    </w:sdtPr>
    <w:sdtEndPr>
      <w:rPr>
        <w:noProof/>
      </w:rPr>
    </w:sdtEndPr>
    <w:sdtContent>
      <w:p w14:paraId="3174A669" w14:textId="35A9F18B" w:rsidR="00D234B9" w:rsidRDefault="00D234B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A111831" w14:textId="77777777" w:rsidR="00D234B9" w:rsidRDefault="00D234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83C737" w14:textId="77777777" w:rsidR="000B3EC3" w:rsidRDefault="000B3EC3" w:rsidP="00414702">
      <w:pPr>
        <w:spacing w:after="0" w:line="240" w:lineRule="auto"/>
      </w:pPr>
      <w:r>
        <w:separator/>
      </w:r>
    </w:p>
  </w:footnote>
  <w:footnote w:type="continuationSeparator" w:id="0">
    <w:p w14:paraId="592D0E52" w14:textId="77777777" w:rsidR="000B3EC3" w:rsidRDefault="000B3EC3" w:rsidP="0041470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812BA2"/>
    <w:multiLevelType w:val="multilevel"/>
    <w:tmpl w:val="ACFA9BD6"/>
    <w:lvl w:ilvl="0">
      <w:start w:val="1"/>
      <w:numFmt w:val="upperLetter"/>
      <w:lvlText w:val="%1."/>
      <w:lvlJc w:val="left"/>
      <w:pPr>
        <w:tabs>
          <w:tab w:val="num" w:pos="720"/>
        </w:tabs>
        <w:ind w:left="720" w:hanging="360"/>
      </w:pPr>
    </w:lvl>
    <w:lvl w:ilvl="1" w:tentative="1">
      <w:start w:val="1"/>
      <w:numFmt w:val="upperLetter"/>
      <w:lvlText w:val="%2."/>
      <w:lvlJc w:val="left"/>
      <w:pPr>
        <w:tabs>
          <w:tab w:val="num" w:pos="1440"/>
        </w:tabs>
        <w:ind w:left="1440" w:hanging="360"/>
      </w:pPr>
    </w:lvl>
    <w:lvl w:ilvl="2" w:tentative="1">
      <w:start w:val="1"/>
      <w:numFmt w:val="upperLetter"/>
      <w:lvlText w:val="%3."/>
      <w:lvlJc w:val="left"/>
      <w:pPr>
        <w:tabs>
          <w:tab w:val="num" w:pos="2160"/>
        </w:tabs>
        <w:ind w:left="2160" w:hanging="360"/>
      </w:pPr>
    </w:lvl>
    <w:lvl w:ilvl="3" w:tentative="1">
      <w:start w:val="1"/>
      <w:numFmt w:val="upperLetter"/>
      <w:lvlText w:val="%4."/>
      <w:lvlJc w:val="left"/>
      <w:pPr>
        <w:tabs>
          <w:tab w:val="num" w:pos="2880"/>
        </w:tabs>
        <w:ind w:left="2880" w:hanging="360"/>
      </w:pPr>
    </w:lvl>
    <w:lvl w:ilvl="4" w:tentative="1">
      <w:start w:val="1"/>
      <w:numFmt w:val="upperLetter"/>
      <w:lvlText w:val="%5."/>
      <w:lvlJc w:val="left"/>
      <w:pPr>
        <w:tabs>
          <w:tab w:val="num" w:pos="3600"/>
        </w:tabs>
        <w:ind w:left="3600" w:hanging="360"/>
      </w:pPr>
    </w:lvl>
    <w:lvl w:ilvl="5" w:tentative="1">
      <w:start w:val="1"/>
      <w:numFmt w:val="upperLetter"/>
      <w:lvlText w:val="%6."/>
      <w:lvlJc w:val="left"/>
      <w:pPr>
        <w:tabs>
          <w:tab w:val="num" w:pos="4320"/>
        </w:tabs>
        <w:ind w:left="4320" w:hanging="360"/>
      </w:pPr>
    </w:lvl>
    <w:lvl w:ilvl="6" w:tentative="1">
      <w:start w:val="1"/>
      <w:numFmt w:val="upperLetter"/>
      <w:lvlText w:val="%7."/>
      <w:lvlJc w:val="left"/>
      <w:pPr>
        <w:tabs>
          <w:tab w:val="num" w:pos="5040"/>
        </w:tabs>
        <w:ind w:left="5040" w:hanging="360"/>
      </w:pPr>
    </w:lvl>
    <w:lvl w:ilvl="7" w:tentative="1">
      <w:start w:val="1"/>
      <w:numFmt w:val="upperLetter"/>
      <w:lvlText w:val="%8."/>
      <w:lvlJc w:val="left"/>
      <w:pPr>
        <w:tabs>
          <w:tab w:val="num" w:pos="5760"/>
        </w:tabs>
        <w:ind w:left="5760" w:hanging="360"/>
      </w:pPr>
    </w:lvl>
    <w:lvl w:ilvl="8" w:tentative="1">
      <w:start w:val="1"/>
      <w:numFmt w:val="upperLetter"/>
      <w:lvlText w:val="%9."/>
      <w:lvlJc w:val="left"/>
      <w:pPr>
        <w:tabs>
          <w:tab w:val="num" w:pos="6480"/>
        </w:tabs>
        <w:ind w:left="6480" w:hanging="360"/>
      </w:pPr>
    </w:lvl>
  </w:abstractNum>
  <w:abstractNum w:abstractNumId="1" w15:restartNumberingAfterBreak="0">
    <w:nsid w:val="04F673EC"/>
    <w:multiLevelType w:val="hybridMultilevel"/>
    <w:tmpl w:val="DF58F4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A54A53"/>
    <w:multiLevelType w:val="multilevel"/>
    <w:tmpl w:val="ACFA9BD6"/>
    <w:lvl w:ilvl="0">
      <w:start w:val="1"/>
      <w:numFmt w:val="upperLetter"/>
      <w:lvlText w:val="%1."/>
      <w:lvlJc w:val="left"/>
      <w:pPr>
        <w:tabs>
          <w:tab w:val="num" w:pos="720"/>
        </w:tabs>
        <w:ind w:left="720" w:hanging="360"/>
      </w:pPr>
    </w:lvl>
    <w:lvl w:ilvl="1" w:tentative="1">
      <w:start w:val="1"/>
      <w:numFmt w:val="upperLetter"/>
      <w:lvlText w:val="%2."/>
      <w:lvlJc w:val="left"/>
      <w:pPr>
        <w:tabs>
          <w:tab w:val="num" w:pos="1440"/>
        </w:tabs>
        <w:ind w:left="1440" w:hanging="360"/>
      </w:pPr>
    </w:lvl>
    <w:lvl w:ilvl="2" w:tentative="1">
      <w:start w:val="1"/>
      <w:numFmt w:val="upperLetter"/>
      <w:lvlText w:val="%3."/>
      <w:lvlJc w:val="left"/>
      <w:pPr>
        <w:tabs>
          <w:tab w:val="num" w:pos="2160"/>
        </w:tabs>
        <w:ind w:left="2160" w:hanging="360"/>
      </w:pPr>
    </w:lvl>
    <w:lvl w:ilvl="3" w:tentative="1">
      <w:start w:val="1"/>
      <w:numFmt w:val="upperLetter"/>
      <w:lvlText w:val="%4."/>
      <w:lvlJc w:val="left"/>
      <w:pPr>
        <w:tabs>
          <w:tab w:val="num" w:pos="2880"/>
        </w:tabs>
        <w:ind w:left="2880" w:hanging="360"/>
      </w:pPr>
    </w:lvl>
    <w:lvl w:ilvl="4" w:tentative="1">
      <w:start w:val="1"/>
      <w:numFmt w:val="upperLetter"/>
      <w:lvlText w:val="%5."/>
      <w:lvlJc w:val="left"/>
      <w:pPr>
        <w:tabs>
          <w:tab w:val="num" w:pos="3600"/>
        </w:tabs>
        <w:ind w:left="3600" w:hanging="360"/>
      </w:pPr>
    </w:lvl>
    <w:lvl w:ilvl="5" w:tentative="1">
      <w:start w:val="1"/>
      <w:numFmt w:val="upperLetter"/>
      <w:lvlText w:val="%6."/>
      <w:lvlJc w:val="left"/>
      <w:pPr>
        <w:tabs>
          <w:tab w:val="num" w:pos="4320"/>
        </w:tabs>
        <w:ind w:left="4320" w:hanging="360"/>
      </w:pPr>
    </w:lvl>
    <w:lvl w:ilvl="6" w:tentative="1">
      <w:start w:val="1"/>
      <w:numFmt w:val="upperLetter"/>
      <w:lvlText w:val="%7."/>
      <w:lvlJc w:val="left"/>
      <w:pPr>
        <w:tabs>
          <w:tab w:val="num" w:pos="5040"/>
        </w:tabs>
        <w:ind w:left="5040" w:hanging="360"/>
      </w:pPr>
    </w:lvl>
    <w:lvl w:ilvl="7" w:tentative="1">
      <w:start w:val="1"/>
      <w:numFmt w:val="upperLetter"/>
      <w:lvlText w:val="%8."/>
      <w:lvlJc w:val="left"/>
      <w:pPr>
        <w:tabs>
          <w:tab w:val="num" w:pos="5760"/>
        </w:tabs>
        <w:ind w:left="5760" w:hanging="360"/>
      </w:pPr>
    </w:lvl>
    <w:lvl w:ilvl="8" w:tentative="1">
      <w:start w:val="1"/>
      <w:numFmt w:val="upperLetter"/>
      <w:lvlText w:val="%9."/>
      <w:lvlJc w:val="left"/>
      <w:pPr>
        <w:tabs>
          <w:tab w:val="num" w:pos="6480"/>
        </w:tabs>
        <w:ind w:left="6480" w:hanging="360"/>
      </w:pPr>
    </w:lvl>
  </w:abstractNum>
  <w:abstractNum w:abstractNumId="3" w15:restartNumberingAfterBreak="0">
    <w:nsid w:val="09EB2BAD"/>
    <w:multiLevelType w:val="hybridMultilevel"/>
    <w:tmpl w:val="4E2C59B0"/>
    <w:lvl w:ilvl="0" w:tplc="2CBA6620">
      <w:start w:val="5"/>
      <w:numFmt w:val="bullet"/>
      <w:lvlText w:val="-"/>
      <w:lvlJc w:val="left"/>
      <w:pPr>
        <w:ind w:left="720" w:hanging="360"/>
      </w:pPr>
      <w:rPr>
        <w:rFonts w:ascii="Aptos" w:eastAsiaTheme="minorHAnsi" w:hAnsi="Aptos"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B5A1FC4"/>
    <w:multiLevelType w:val="hybridMultilevel"/>
    <w:tmpl w:val="CA0CEA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DC57AF3"/>
    <w:multiLevelType w:val="hybridMultilevel"/>
    <w:tmpl w:val="3A9A7D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1C314D1"/>
    <w:multiLevelType w:val="multilevel"/>
    <w:tmpl w:val="ACFA9BD6"/>
    <w:lvl w:ilvl="0">
      <w:start w:val="1"/>
      <w:numFmt w:val="upperLetter"/>
      <w:lvlText w:val="%1."/>
      <w:lvlJc w:val="left"/>
      <w:pPr>
        <w:tabs>
          <w:tab w:val="num" w:pos="720"/>
        </w:tabs>
        <w:ind w:left="720" w:hanging="360"/>
      </w:pPr>
    </w:lvl>
    <w:lvl w:ilvl="1" w:tentative="1">
      <w:start w:val="1"/>
      <w:numFmt w:val="upperLetter"/>
      <w:lvlText w:val="%2."/>
      <w:lvlJc w:val="left"/>
      <w:pPr>
        <w:tabs>
          <w:tab w:val="num" w:pos="1440"/>
        </w:tabs>
        <w:ind w:left="1440" w:hanging="360"/>
      </w:pPr>
    </w:lvl>
    <w:lvl w:ilvl="2" w:tentative="1">
      <w:start w:val="1"/>
      <w:numFmt w:val="upperLetter"/>
      <w:lvlText w:val="%3."/>
      <w:lvlJc w:val="left"/>
      <w:pPr>
        <w:tabs>
          <w:tab w:val="num" w:pos="2160"/>
        </w:tabs>
        <w:ind w:left="2160" w:hanging="360"/>
      </w:pPr>
    </w:lvl>
    <w:lvl w:ilvl="3" w:tentative="1">
      <w:start w:val="1"/>
      <w:numFmt w:val="upperLetter"/>
      <w:lvlText w:val="%4."/>
      <w:lvlJc w:val="left"/>
      <w:pPr>
        <w:tabs>
          <w:tab w:val="num" w:pos="2880"/>
        </w:tabs>
        <w:ind w:left="2880" w:hanging="360"/>
      </w:pPr>
    </w:lvl>
    <w:lvl w:ilvl="4" w:tentative="1">
      <w:start w:val="1"/>
      <w:numFmt w:val="upperLetter"/>
      <w:lvlText w:val="%5."/>
      <w:lvlJc w:val="left"/>
      <w:pPr>
        <w:tabs>
          <w:tab w:val="num" w:pos="3600"/>
        </w:tabs>
        <w:ind w:left="3600" w:hanging="360"/>
      </w:pPr>
    </w:lvl>
    <w:lvl w:ilvl="5" w:tentative="1">
      <w:start w:val="1"/>
      <w:numFmt w:val="upperLetter"/>
      <w:lvlText w:val="%6."/>
      <w:lvlJc w:val="left"/>
      <w:pPr>
        <w:tabs>
          <w:tab w:val="num" w:pos="4320"/>
        </w:tabs>
        <w:ind w:left="4320" w:hanging="360"/>
      </w:pPr>
    </w:lvl>
    <w:lvl w:ilvl="6" w:tentative="1">
      <w:start w:val="1"/>
      <w:numFmt w:val="upperLetter"/>
      <w:lvlText w:val="%7."/>
      <w:lvlJc w:val="left"/>
      <w:pPr>
        <w:tabs>
          <w:tab w:val="num" w:pos="5040"/>
        </w:tabs>
        <w:ind w:left="5040" w:hanging="360"/>
      </w:pPr>
    </w:lvl>
    <w:lvl w:ilvl="7" w:tentative="1">
      <w:start w:val="1"/>
      <w:numFmt w:val="upperLetter"/>
      <w:lvlText w:val="%8."/>
      <w:lvlJc w:val="left"/>
      <w:pPr>
        <w:tabs>
          <w:tab w:val="num" w:pos="5760"/>
        </w:tabs>
        <w:ind w:left="5760" w:hanging="360"/>
      </w:pPr>
    </w:lvl>
    <w:lvl w:ilvl="8" w:tentative="1">
      <w:start w:val="1"/>
      <w:numFmt w:val="upperLetter"/>
      <w:lvlText w:val="%9."/>
      <w:lvlJc w:val="left"/>
      <w:pPr>
        <w:tabs>
          <w:tab w:val="num" w:pos="6480"/>
        </w:tabs>
        <w:ind w:left="6480" w:hanging="360"/>
      </w:pPr>
    </w:lvl>
  </w:abstractNum>
  <w:abstractNum w:abstractNumId="7" w15:restartNumberingAfterBreak="0">
    <w:nsid w:val="11EE0AD7"/>
    <w:multiLevelType w:val="hybridMultilevel"/>
    <w:tmpl w:val="B89A9A7C"/>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8" w15:restartNumberingAfterBreak="0">
    <w:nsid w:val="12172A4B"/>
    <w:multiLevelType w:val="hybridMultilevel"/>
    <w:tmpl w:val="89FE64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4F075BC"/>
    <w:multiLevelType w:val="hybridMultilevel"/>
    <w:tmpl w:val="17A801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17AA08AB"/>
    <w:multiLevelType w:val="hybridMultilevel"/>
    <w:tmpl w:val="91AE47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C7A3957"/>
    <w:multiLevelType w:val="hybridMultilevel"/>
    <w:tmpl w:val="002018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E0E2EA2"/>
    <w:multiLevelType w:val="hybridMultilevel"/>
    <w:tmpl w:val="5ADE8EC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20D551AD"/>
    <w:multiLevelType w:val="hybridMultilevel"/>
    <w:tmpl w:val="8A3A4016"/>
    <w:lvl w:ilvl="0" w:tplc="F076A89A">
      <w:start w:val="4"/>
      <w:numFmt w:val="bullet"/>
      <w:lvlText w:val="-"/>
      <w:lvlJc w:val="left"/>
      <w:pPr>
        <w:ind w:left="720" w:hanging="360"/>
      </w:pPr>
      <w:rPr>
        <w:rFonts w:ascii="Aptos" w:eastAsiaTheme="minorHAnsi" w:hAnsi="Aptos"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3DC5CB8"/>
    <w:multiLevelType w:val="hybridMultilevel"/>
    <w:tmpl w:val="55368DD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5" w15:restartNumberingAfterBreak="0">
    <w:nsid w:val="328D0F8A"/>
    <w:multiLevelType w:val="hybridMultilevel"/>
    <w:tmpl w:val="BFC22F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4655316"/>
    <w:multiLevelType w:val="hybridMultilevel"/>
    <w:tmpl w:val="C8E0F45A"/>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7" w15:restartNumberingAfterBreak="0">
    <w:nsid w:val="347C2F38"/>
    <w:multiLevelType w:val="hybridMultilevel"/>
    <w:tmpl w:val="7410F6C6"/>
    <w:lvl w:ilvl="0" w:tplc="9B605A94">
      <w:start w:val="1"/>
      <w:numFmt w:val="bullet"/>
      <w:pStyle w:val="Bullets"/>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7EA3E24"/>
    <w:multiLevelType w:val="hybridMultilevel"/>
    <w:tmpl w:val="78246E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B8E09C1"/>
    <w:multiLevelType w:val="hybridMultilevel"/>
    <w:tmpl w:val="CFC8C8EC"/>
    <w:lvl w:ilvl="0" w:tplc="B56EC422">
      <w:start w:val="1"/>
      <w:numFmt w:val="decimal"/>
      <w:lvlText w:val="%1."/>
      <w:lvlJc w:val="left"/>
      <w:pPr>
        <w:ind w:left="410" w:hanging="360"/>
      </w:pPr>
      <w:rPr>
        <w:rFonts w:hint="default"/>
      </w:rPr>
    </w:lvl>
    <w:lvl w:ilvl="1" w:tplc="08090019" w:tentative="1">
      <w:start w:val="1"/>
      <w:numFmt w:val="lowerLetter"/>
      <w:lvlText w:val="%2."/>
      <w:lvlJc w:val="left"/>
      <w:pPr>
        <w:ind w:left="1130" w:hanging="360"/>
      </w:pPr>
    </w:lvl>
    <w:lvl w:ilvl="2" w:tplc="0809001B" w:tentative="1">
      <w:start w:val="1"/>
      <w:numFmt w:val="lowerRoman"/>
      <w:lvlText w:val="%3."/>
      <w:lvlJc w:val="right"/>
      <w:pPr>
        <w:ind w:left="1850" w:hanging="180"/>
      </w:pPr>
    </w:lvl>
    <w:lvl w:ilvl="3" w:tplc="0809000F" w:tentative="1">
      <w:start w:val="1"/>
      <w:numFmt w:val="decimal"/>
      <w:lvlText w:val="%4."/>
      <w:lvlJc w:val="left"/>
      <w:pPr>
        <w:ind w:left="2570" w:hanging="360"/>
      </w:pPr>
    </w:lvl>
    <w:lvl w:ilvl="4" w:tplc="08090019" w:tentative="1">
      <w:start w:val="1"/>
      <w:numFmt w:val="lowerLetter"/>
      <w:lvlText w:val="%5."/>
      <w:lvlJc w:val="left"/>
      <w:pPr>
        <w:ind w:left="3290" w:hanging="360"/>
      </w:pPr>
    </w:lvl>
    <w:lvl w:ilvl="5" w:tplc="0809001B" w:tentative="1">
      <w:start w:val="1"/>
      <w:numFmt w:val="lowerRoman"/>
      <w:lvlText w:val="%6."/>
      <w:lvlJc w:val="right"/>
      <w:pPr>
        <w:ind w:left="4010" w:hanging="180"/>
      </w:pPr>
    </w:lvl>
    <w:lvl w:ilvl="6" w:tplc="0809000F" w:tentative="1">
      <w:start w:val="1"/>
      <w:numFmt w:val="decimal"/>
      <w:lvlText w:val="%7."/>
      <w:lvlJc w:val="left"/>
      <w:pPr>
        <w:ind w:left="4730" w:hanging="360"/>
      </w:pPr>
    </w:lvl>
    <w:lvl w:ilvl="7" w:tplc="08090019" w:tentative="1">
      <w:start w:val="1"/>
      <w:numFmt w:val="lowerLetter"/>
      <w:lvlText w:val="%8."/>
      <w:lvlJc w:val="left"/>
      <w:pPr>
        <w:ind w:left="5450" w:hanging="360"/>
      </w:pPr>
    </w:lvl>
    <w:lvl w:ilvl="8" w:tplc="0809001B" w:tentative="1">
      <w:start w:val="1"/>
      <w:numFmt w:val="lowerRoman"/>
      <w:lvlText w:val="%9."/>
      <w:lvlJc w:val="right"/>
      <w:pPr>
        <w:ind w:left="6170" w:hanging="180"/>
      </w:pPr>
    </w:lvl>
  </w:abstractNum>
  <w:abstractNum w:abstractNumId="20" w15:restartNumberingAfterBreak="0">
    <w:nsid w:val="426313D2"/>
    <w:multiLevelType w:val="hybridMultilevel"/>
    <w:tmpl w:val="78246E5E"/>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1" w15:restartNumberingAfterBreak="0">
    <w:nsid w:val="493D5BE0"/>
    <w:multiLevelType w:val="hybridMultilevel"/>
    <w:tmpl w:val="CB5E4E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AE333AE"/>
    <w:multiLevelType w:val="hybridMultilevel"/>
    <w:tmpl w:val="C09497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2F72102"/>
    <w:multiLevelType w:val="hybridMultilevel"/>
    <w:tmpl w:val="E1C276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3593CCA"/>
    <w:multiLevelType w:val="hybridMultilevel"/>
    <w:tmpl w:val="9E76B8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7B17ADE"/>
    <w:multiLevelType w:val="hybridMultilevel"/>
    <w:tmpl w:val="F154E6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9D1737F"/>
    <w:multiLevelType w:val="multilevel"/>
    <w:tmpl w:val="4C9A3DAA"/>
    <w:lvl w:ilvl="0">
      <w:start w:val="1"/>
      <w:numFmt w:val="decimal"/>
      <w:lvlText w:val="%1"/>
      <w:lvlJc w:val="left"/>
      <w:pPr>
        <w:ind w:left="360" w:hanging="360"/>
      </w:pPr>
      <w:rPr>
        <w:rFonts w:hint="default"/>
      </w:rPr>
    </w:lvl>
    <w:lvl w:ilvl="1">
      <w:start w:val="1"/>
      <w:numFmt w:val="decimal"/>
      <w:lvlText w:val="%2."/>
      <w:lvlJc w:val="left"/>
      <w:pPr>
        <w:ind w:left="360" w:hanging="360"/>
      </w:pPr>
      <w:rPr>
        <w:rFonts w:asciiTheme="minorHAnsi" w:eastAsiaTheme="minorHAnsi" w:hAnsiTheme="minorHAnsi" w:cs="Times New Roman"/>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7" w15:restartNumberingAfterBreak="0">
    <w:nsid w:val="5A320C58"/>
    <w:multiLevelType w:val="hybridMultilevel"/>
    <w:tmpl w:val="C8E0F4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B10362C"/>
    <w:multiLevelType w:val="multilevel"/>
    <w:tmpl w:val="F47CCE50"/>
    <w:lvl w:ilvl="0">
      <w:start w:val="1"/>
      <w:numFmt w:val="decimal"/>
      <w:lvlText w:val="%1"/>
      <w:lvlJc w:val="left"/>
      <w:pPr>
        <w:ind w:left="360" w:hanging="360"/>
      </w:pPr>
      <w:rPr>
        <w:rFonts w:hint="default"/>
      </w:rPr>
    </w:lvl>
    <w:lvl w:ilvl="1">
      <w:start w:val="1"/>
      <w:numFmt w:val="decimal"/>
      <w:lvlText w:val="%2."/>
      <w:lvlJc w:val="left"/>
      <w:pPr>
        <w:ind w:left="360" w:hanging="360"/>
      </w:pPr>
      <w:rPr>
        <w:rFonts w:asciiTheme="minorHAnsi" w:eastAsiaTheme="minorHAnsi" w:hAnsiTheme="minorHAnsi" w:cs="Times New Roman"/>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9" w15:restartNumberingAfterBreak="0">
    <w:nsid w:val="5F673605"/>
    <w:multiLevelType w:val="hybridMultilevel"/>
    <w:tmpl w:val="41C0EF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16E7436"/>
    <w:multiLevelType w:val="hybridMultilevel"/>
    <w:tmpl w:val="2AD8FF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3A330BE"/>
    <w:multiLevelType w:val="hybridMultilevel"/>
    <w:tmpl w:val="4A6A3D8E"/>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2" w15:restartNumberingAfterBreak="0">
    <w:nsid w:val="63BA2D5A"/>
    <w:multiLevelType w:val="hybridMultilevel"/>
    <w:tmpl w:val="1A9C56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3D06F42"/>
    <w:multiLevelType w:val="multilevel"/>
    <w:tmpl w:val="ACFA9BD6"/>
    <w:lvl w:ilvl="0">
      <w:start w:val="1"/>
      <w:numFmt w:val="upperLetter"/>
      <w:lvlText w:val="%1."/>
      <w:lvlJc w:val="left"/>
      <w:pPr>
        <w:tabs>
          <w:tab w:val="num" w:pos="720"/>
        </w:tabs>
        <w:ind w:left="720" w:hanging="360"/>
      </w:pPr>
    </w:lvl>
    <w:lvl w:ilvl="1" w:tentative="1">
      <w:start w:val="1"/>
      <w:numFmt w:val="upperLetter"/>
      <w:lvlText w:val="%2."/>
      <w:lvlJc w:val="left"/>
      <w:pPr>
        <w:tabs>
          <w:tab w:val="num" w:pos="1440"/>
        </w:tabs>
        <w:ind w:left="1440" w:hanging="360"/>
      </w:pPr>
    </w:lvl>
    <w:lvl w:ilvl="2" w:tentative="1">
      <w:start w:val="1"/>
      <w:numFmt w:val="upperLetter"/>
      <w:lvlText w:val="%3."/>
      <w:lvlJc w:val="left"/>
      <w:pPr>
        <w:tabs>
          <w:tab w:val="num" w:pos="2160"/>
        </w:tabs>
        <w:ind w:left="2160" w:hanging="360"/>
      </w:pPr>
    </w:lvl>
    <w:lvl w:ilvl="3" w:tentative="1">
      <w:start w:val="1"/>
      <w:numFmt w:val="upperLetter"/>
      <w:lvlText w:val="%4."/>
      <w:lvlJc w:val="left"/>
      <w:pPr>
        <w:tabs>
          <w:tab w:val="num" w:pos="2880"/>
        </w:tabs>
        <w:ind w:left="2880" w:hanging="360"/>
      </w:pPr>
    </w:lvl>
    <w:lvl w:ilvl="4" w:tentative="1">
      <w:start w:val="1"/>
      <w:numFmt w:val="upperLetter"/>
      <w:lvlText w:val="%5."/>
      <w:lvlJc w:val="left"/>
      <w:pPr>
        <w:tabs>
          <w:tab w:val="num" w:pos="3600"/>
        </w:tabs>
        <w:ind w:left="3600" w:hanging="360"/>
      </w:pPr>
    </w:lvl>
    <w:lvl w:ilvl="5" w:tentative="1">
      <w:start w:val="1"/>
      <w:numFmt w:val="upperLetter"/>
      <w:lvlText w:val="%6."/>
      <w:lvlJc w:val="left"/>
      <w:pPr>
        <w:tabs>
          <w:tab w:val="num" w:pos="4320"/>
        </w:tabs>
        <w:ind w:left="4320" w:hanging="360"/>
      </w:pPr>
    </w:lvl>
    <w:lvl w:ilvl="6" w:tentative="1">
      <w:start w:val="1"/>
      <w:numFmt w:val="upperLetter"/>
      <w:lvlText w:val="%7."/>
      <w:lvlJc w:val="left"/>
      <w:pPr>
        <w:tabs>
          <w:tab w:val="num" w:pos="5040"/>
        </w:tabs>
        <w:ind w:left="5040" w:hanging="360"/>
      </w:pPr>
    </w:lvl>
    <w:lvl w:ilvl="7" w:tentative="1">
      <w:start w:val="1"/>
      <w:numFmt w:val="upperLetter"/>
      <w:lvlText w:val="%8."/>
      <w:lvlJc w:val="left"/>
      <w:pPr>
        <w:tabs>
          <w:tab w:val="num" w:pos="5760"/>
        </w:tabs>
        <w:ind w:left="5760" w:hanging="360"/>
      </w:pPr>
    </w:lvl>
    <w:lvl w:ilvl="8" w:tentative="1">
      <w:start w:val="1"/>
      <w:numFmt w:val="upperLetter"/>
      <w:lvlText w:val="%9."/>
      <w:lvlJc w:val="left"/>
      <w:pPr>
        <w:tabs>
          <w:tab w:val="num" w:pos="6480"/>
        </w:tabs>
        <w:ind w:left="6480" w:hanging="360"/>
      </w:pPr>
    </w:lvl>
  </w:abstractNum>
  <w:abstractNum w:abstractNumId="34" w15:restartNumberingAfterBreak="0">
    <w:nsid w:val="642F3D06"/>
    <w:multiLevelType w:val="multilevel"/>
    <w:tmpl w:val="22F8EF44"/>
    <w:lvl w:ilvl="0">
      <w:start w:val="1"/>
      <w:numFmt w:val="decimal"/>
      <w:lvlText w:val="%1"/>
      <w:lvlJc w:val="left"/>
      <w:pPr>
        <w:ind w:left="420" w:hanging="420"/>
      </w:pPr>
      <w:rPr>
        <w:rFonts w:hint="default"/>
      </w:rPr>
    </w:lvl>
    <w:lvl w:ilvl="1">
      <w:start w:val="1"/>
      <w:numFmt w:val="decimal"/>
      <w:lvlText w:val="%2."/>
      <w:lvlJc w:val="left"/>
      <w:pPr>
        <w:ind w:left="420" w:hanging="420"/>
      </w:pPr>
      <w:rPr>
        <w:rFonts w:asciiTheme="minorHAnsi" w:eastAsiaTheme="minorHAnsi" w:hAnsiTheme="minorHAnsi" w:cs="Times New Roman"/>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5" w15:restartNumberingAfterBreak="0">
    <w:nsid w:val="6629009F"/>
    <w:multiLevelType w:val="hybridMultilevel"/>
    <w:tmpl w:val="9CCE33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72F450E"/>
    <w:multiLevelType w:val="hybridMultilevel"/>
    <w:tmpl w:val="B5DE9B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84A2116"/>
    <w:multiLevelType w:val="hybridMultilevel"/>
    <w:tmpl w:val="20AE33A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8845FFC"/>
    <w:multiLevelType w:val="hybridMultilevel"/>
    <w:tmpl w:val="C8E0F45A"/>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9" w15:restartNumberingAfterBreak="0">
    <w:nsid w:val="6A6323A6"/>
    <w:multiLevelType w:val="hybridMultilevel"/>
    <w:tmpl w:val="6EF29AF8"/>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B2E037C"/>
    <w:multiLevelType w:val="hybridMultilevel"/>
    <w:tmpl w:val="9CB2D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6EA3332"/>
    <w:multiLevelType w:val="hybridMultilevel"/>
    <w:tmpl w:val="9E76B8A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2" w15:restartNumberingAfterBreak="0">
    <w:nsid w:val="78A529F9"/>
    <w:multiLevelType w:val="hybridMultilevel"/>
    <w:tmpl w:val="F73661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9D064CC"/>
    <w:multiLevelType w:val="multilevel"/>
    <w:tmpl w:val="91B671F0"/>
    <w:lvl w:ilvl="0">
      <w:start w:val="1"/>
      <w:numFmt w:val="lowerLetter"/>
      <w:lvlText w:val="%1."/>
      <w:lvlJc w:val="left"/>
      <w:pPr>
        <w:tabs>
          <w:tab w:val="num" w:pos="720"/>
        </w:tabs>
        <w:ind w:left="720" w:hanging="360"/>
      </w:pPr>
    </w:lvl>
    <w:lvl w:ilvl="1" w:tentative="1">
      <w:start w:val="1"/>
      <w:numFmt w:val="upperLetter"/>
      <w:lvlText w:val="%2."/>
      <w:lvlJc w:val="left"/>
      <w:pPr>
        <w:tabs>
          <w:tab w:val="num" w:pos="1440"/>
        </w:tabs>
        <w:ind w:left="1440" w:hanging="360"/>
      </w:pPr>
    </w:lvl>
    <w:lvl w:ilvl="2" w:tentative="1">
      <w:start w:val="1"/>
      <w:numFmt w:val="upperLetter"/>
      <w:lvlText w:val="%3."/>
      <w:lvlJc w:val="left"/>
      <w:pPr>
        <w:tabs>
          <w:tab w:val="num" w:pos="2160"/>
        </w:tabs>
        <w:ind w:left="2160" w:hanging="360"/>
      </w:pPr>
    </w:lvl>
    <w:lvl w:ilvl="3" w:tentative="1">
      <w:start w:val="1"/>
      <w:numFmt w:val="upperLetter"/>
      <w:lvlText w:val="%4."/>
      <w:lvlJc w:val="left"/>
      <w:pPr>
        <w:tabs>
          <w:tab w:val="num" w:pos="2880"/>
        </w:tabs>
        <w:ind w:left="2880" w:hanging="360"/>
      </w:pPr>
    </w:lvl>
    <w:lvl w:ilvl="4" w:tentative="1">
      <w:start w:val="1"/>
      <w:numFmt w:val="upperLetter"/>
      <w:lvlText w:val="%5."/>
      <w:lvlJc w:val="left"/>
      <w:pPr>
        <w:tabs>
          <w:tab w:val="num" w:pos="3600"/>
        </w:tabs>
        <w:ind w:left="3600" w:hanging="360"/>
      </w:pPr>
    </w:lvl>
    <w:lvl w:ilvl="5" w:tentative="1">
      <w:start w:val="1"/>
      <w:numFmt w:val="upperLetter"/>
      <w:lvlText w:val="%6."/>
      <w:lvlJc w:val="left"/>
      <w:pPr>
        <w:tabs>
          <w:tab w:val="num" w:pos="4320"/>
        </w:tabs>
        <w:ind w:left="4320" w:hanging="360"/>
      </w:pPr>
    </w:lvl>
    <w:lvl w:ilvl="6" w:tentative="1">
      <w:start w:val="1"/>
      <w:numFmt w:val="upperLetter"/>
      <w:lvlText w:val="%7."/>
      <w:lvlJc w:val="left"/>
      <w:pPr>
        <w:tabs>
          <w:tab w:val="num" w:pos="5040"/>
        </w:tabs>
        <w:ind w:left="5040" w:hanging="360"/>
      </w:pPr>
    </w:lvl>
    <w:lvl w:ilvl="7" w:tentative="1">
      <w:start w:val="1"/>
      <w:numFmt w:val="upperLetter"/>
      <w:lvlText w:val="%8."/>
      <w:lvlJc w:val="left"/>
      <w:pPr>
        <w:tabs>
          <w:tab w:val="num" w:pos="5760"/>
        </w:tabs>
        <w:ind w:left="5760" w:hanging="360"/>
      </w:pPr>
    </w:lvl>
    <w:lvl w:ilvl="8" w:tentative="1">
      <w:start w:val="1"/>
      <w:numFmt w:val="upperLetter"/>
      <w:lvlText w:val="%9."/>
      <w:lvlJc w:val="left"/>
      <w:pPr>
        <w:tabs>
          <w:tab w:val="num" w:pos="6480"/>
        </w:tabs>
        <w:ind w:left="6480" w:hanging="360"/>
      </w:pPr>
    </w:lvl>
  </w:abstractNum>
  <w:abstractNum w:abstractNumId="44" w15:restartNumberingAfterBreak="0">
    <w:nsid w:val="7BB94BB0"/>
    <w:multiLevelType w:val="hybridMultilevel"/>
    <w:tmpl w:val="C8E0F45A"/>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5" w15:restartNumberingAfterBreak="0">
    <w:nsid w:val="7E6D7F71"/>
    <w:multiLevelType w:val="hybridMultilevel"/>
    <w:tmpl w:val="B292F7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09281057">
    <w:abstractNumId w:val="18"/>
  </w:num>
  <w:num w:numId="2" w16cid:durableId="102306178">
    <w:abstractNumId w:val="27"/>
  </w:num>
  <w:num w:numId="3" w16cid:durableId="406003190">
    <w:abstractNumId w:val="31"/>
  </w:num>
  <w:num w:numId="4" w16cid:durableId="1866366306">
    <w:abstractNumId w:val="40"/>
  </w:num>
  <w:num w:numId="5" w16cid:durableId="26102079">
    <w:abstractNumId w:val="38"/>
  </w:num>
  <w:num w:numId="6" w16cid:durableId="1855731793">
    <w:abstractNumId w:val="44"/>
  </w:num>
  <w:num w:numId="7" w16cid:durableId="1036932446">
    <w:abstractNumId w:val="16"/>
  </w:num>
  <w:num w:numId="8" w16cid:durableId="581183129">
    <w:abstractNumId w:val="17"/>
  </w:num>
  <w:num w:numId="9" w16cid:durableId="1978607547">
    <w:abstractNumId w:val="19"/>
  </w:num>
  <w:num w:numId="10" w16cid:durableId="1946381287">
    <w:abstractNumId w:val="35"/>
  </w:num>
  <w:num w:numId="11" w16cid:durableId="776490679">
    <w:abstractNumId w:val="10"/>
  </w:num>
  <w:num w:numId="12" w16cid:durableId="1703242448">
    <w:abstractNumId w:val="45"/>
  </w:num>
  <w:num w:numId="13" w16cid:durableId="761220861">
    <w:abstractNumId w:val="1"/>
  </w:num>
  <w:num w:numId="14" w16cid:durableId="1735622144">
    <w:abstractNumId w:val="5"/>
  </w:num>
  <w:num w:numId="15" w16cid:durableId="674960109">
    <w:abstractNumId w:val="22"/>
  </w:num>
  <w:num w:numId="16" w16cid:durableId="932856735">
    <w:abstractNumId w:val="29"/>
  </w:num>
  <w:num w:numId="17" w16cid:durableId="1947421582">
    <w:abstractNumId w:val="28"/>
  </w:num>
  <w:num w:numId="18" w16cid:durableId="240256467">
    <w:abstractNumId w:val="26"/>
  </w:num>
  <w:num w:numId="19" w16cid:durableId="2080130979">
    <w:abstractNumId w:val="34"/>
  </w:num>
  <w:num w:numId="20" w16cid:durableId="131142759">
    <w:abstractNumId w:val="25"/>
  </w:num>
  <w:num w:numId="21" w16cid:durableId="1398825170">
    <w:abstractNumId w:val="3"/>
  </w:num>
  <w:num w:numId="22" w16cid:durableId="330069116">
    <w:abstractNumId w:val="20"/>
  </w:num>
  <w:num w:numId="23" w16cid:durableId="1783642991">
    <w:abstractNumId w:val="24"/>
  </w:num>
  <w:num w:numId="24" w16cid:durableId="2098552068">
    <w:abstractNumId w:val="6"/>
  </w:num>
  <w:num w:numId="25" w16cid:durableId="741875750">
    <w:abstractNumId w:val="2"/>
  </w:num>
  <w:num w:numId="26" w16cid:durableId="1637687336">
    <w:abstractNumId w:val="23"/>
  </w:num>
  <w:num w:numId="27" w16cid:durableId="1825464969">
    <w:abstractNumId w:val="30"/>
  </w:num>
  <w:num w:numId="28" w16cid:durableId="1276594802">
    <w:abstractNumId w:val="15"/>
  </w:num>
  <w:num w:numId="29" w16cid:durableId="565335252">
    <w:abstractNumId w:val="11"/>
  </w:num>
  <w:num w:numId="30" w16cid:durableId="186022736">
    <w:abstractNumId w:val="42"/>
  </w:num>
  <w:num w:numId="31" w16cid:durableId="287787893">
    <w:abstractNumId w:val="4"/>
  </w:num>
  <w:num w:numId="32" w16cid:durableId="1479951897">
    <w:abstractNumId w:val="32"/>
  </w:num>
  <w:num w:numId="33" w16cid:durableId="259065551">
    <w:abstractNumId w:val="33"/>
  </w:num>
  <w:num w:numId="34" w16cid:durableId="334504351">
    <w:abstractNumId w:val="0"/>
  </w:num>
  <w:num w:numId="35" w16cid:durableId="897739027">
    <w:abstractNumId w:val="43"/>
  </w:num>
  <w:num w:numId="36" w16cid:durableId="1579679984">
    <w:abstractNumId w:val="39"/>
  </w:num>
  <w:num w:numId="37" w16cid:durableId="1484619394">
    <w:abstractNumId w:val="9"/>
  </w:num>
  <w:num w:numId="38" w16cid:durableId="1000233151">
    <w:abstractNumId w:val="37"/>
  </w:num>
  <w:num w:numId="39" w16cid:durableId="1615861497">
    <w:abstractNumId w:val="12"/>
  </w:num>
  <w:num w:numId="40" w16cid:durableId="176507164">
    <w:abstractNumId w:val="13"/>
  </w:num>
  <w:num w:numId="41" w16cid:durableId="1428313012">
    <w:abstractNumId w:val="41"/>
  </w:num>
  <w:num w:numId="42" w16cid:durableId="1944454822">
    <w:abstractNumId w:val="8"/>
  </w:num>
  <w:num w:numId="43" w16cid:durableId="878905779">
    <w:abstractNumId w:val="21"/>
  </w:num>
  <w:num w:numId="44" w16cid:durableId="1364750195">
    <w:abstractNumId w:val="36"/>
  </w:num>
  <w:num w:numId="45" w16cid:durableId="2127968248">
    <w:abstractNumId w:val="7"/>
  </w:num>
  <w:num w:numId="46" w16cid:durableId="981929274">
    <w:abstractNumId w:val="14"/>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3996"/>
    <w:rsid w:val="00000475"/>
    <w:rsid w:val="000006E1"/>
    <w:rsid w:val="00000AED"/>
    <w:rsid w:val="00000FA4"/>
    <w:rsid w:val="00001DFF"/>
    <w:rsid w:val="00003C2F"/>
    <w:rsid w:val="00005DB8"/>
    <w:rsid w:val="000066EF"/>
    <w:rsid w:val="00006BDC"/>
    <w:rsid w:val="00007795"/>
    <w:rsid w:val="0001067A"/>
    <w:rsid w:val="0001410D"/>
    <w:rsid w:val="00014968"/>
    <w:rsid w:val="00015079"/>
    <w:rsid w:val="0001651C"/>
    <w:rsid w:val="000217B2"/>
    <w:rsid w:val="00023C67"/>
    <w:rsid w:val="00023E54"/>
    <w:rsid w:val="00025B00"/>
    <w:rsid w:val="0002640C"/>
    <w:rsid w:val="00026613"/>
    <w:rsid w:val="000302C9"/>
    <w:rsid w:val="00031079"/>
    <w:rsid w:val="00031DAB"/>
    <w:rsid w:val="0003348C"/>
    <w:rsid w:val="00035210"/>
    <w:rsid w:val="000369F8"/>
    <w:rsid w:val="00036A0C"/>
    <w:rsid w:val="000373A8"/>
    <w:rsid w:val="000400C8"/>
    <w:rsid w:val="00040239"/>
    <w:rsid w:val="000415B4"/>
    <w:rsid w:val="00041D99"/>
    <w:rsid w:val="000434A9"/>
    <w:rsid w:val="000441B4"/>
    <w:rsid w:val="00044876"/>
    <w:rsid w:val="0004585B"/>
    <w:rsid w:val="000458DF"/>
    <w:rsid w:val="00047AAF"/>
    <w:rsid w:val="00047F54"/>
    <w:rsid w:val="00052404"/>
    <w:rsid w:val="0005455B"/>
    <w:rsid w:val="000579C6"/>
    <w:rsid w:val="0006338A"/>
    <w:rsid w:val="00063686"/>
    <w:rsid w:val="000675EF"/>
    <w:rsid w:val="00072A39"/>
    <w:rsid w:val="000732BD"/>
    <w:rsid w:val="00074F2B"/>
    <w:rsid w:val="00076B82"/>
    <w:rsid w:val="0007774F"/>
    <w:rsid w:val="00080B97"/>
    <w:rsid w:val="00081989"/>
    <w:rsid w:val="00082BEB"/>
    <w:rsid w:val="00083152"/>
    <w:rsid w:val="00083615"/>
    <w:rsid w:val="000850F0"/>
    <w:rsid w:val="00086B4E"/>
    <w:rsid w:val="00087F23"/>
    <w:rsid w:val="00094B33"/>
    <w:rsid w:val="00095EFC"/>
    <w:rsid w:val="00096CF4"/>
    <w:rsid w:val="000A110E"/>
    <w:rsid w:val="000A48BB"/>
    <w:rsid w:val="000A742D"/>
    <w:rsid w:val="000B26F5"/>
    <w:rsid w:val="000B3571"/>
    <w:rsid w:val="000B3A1B"/>
    <w:rsid w:val="000B3EC3"/>
    <w:rsid w:val="000B588B"/>
    <w:rsid w:val="000B63A4"/>
    <w:rsid w:val="000B6783"/>
    <w:rsid w:val="000B6F07"/>
    <w:rsid w:val="000C3655"/>
    <w:rsid w:val="000C4577"/>
    <w:rsid w:val="000C56C4"/>
    <w:rsid w:val="000C617C"/>
    <w:rsid w:val="000C64EC"/>
    <w:rsid w:val="000D1EBD"/>
    <w:rsid w:val="000D3953"/>
    <w:rsid w:val="000D6A31"/>
    <w:rsid w:val="000E0EE0"/>
    <w:rsid w:val="000E184A"/>
    <w:rsid w:val="000E24E5"/>
    <w:rsid w:val="000E3E33"/>
    <w:rsid w:val="000E60A8"/>
    <w:rsid w:val="000E6588"/>
    <w:rsid w:val="000E7BB5"/>
    <w:rsid w:val="000E7BEE"/>
    <w:rsid w:val="000F02DB"/>
    <w:rsid w:val="000F0428"/>
    <w:rsid w:val="000F0AC0"/>
    <w:rsid w:val="000F32B5"/>
    <w:rsid w:val="000F369C"/>
    <w:rsid w:val="000F769B"/>
    <w:rsid w:val="001043AD"/>
    <w:rsid w:val="00104413"/>
    <w:rsid w:val="001049F2"/>
    <w:rsid w:val="001066FF"/>
    <w:rsid w:val="001076B1"/>
    <w:rsid w:val="00107F5F"/>
    <w:rsid w:val="00110EC0"/>
    <w:rsid w:val="0011141B"/>
    <w:rsid w:val="00113F4D"/>
    <w:rsid w:val="001140FA"/>
    <w:rsid w:val="001268BA"/>
    <w:rsid w:val="00127893"/>
    <w:rsid w:val="00130227"/>
    <w:rsid w:val="00133BDE"/>
    <w:rsid w:val="00134894"/>
    <w:rsid w:val="001356B8"/>
    <w:rsid w:val="0013593B"/>
    <w:rsid w:val="001370D9"/>
    <w:rsid w:val="00140490"/>
    <w:rsid w:val="00140A41"/>
    <w:rsid w:val="001421D0"/>
    <w:rsid w:val="001431BC"/>
    <w:rsid w:val="001436A7"/>
    <w:rsid w:val="00145BCC"/>
    <w:rsid w:val="0014610C"/>
    <w:rsid w:val="00146DD9"/>
    <w:rsid w:val="00147B90"/>
    <w:rsid w:val="00150E0F"/>
    <w:rsid w:val="0015400B"/>
    <w:rsid w:val="00164350"/>
    <w:rsid w:val="0016509B"/>
    <w:rsid w:val="00167A80"/>
    <w:rsid w:val="001706AB"/>
    <w:rsid w:val="00170C14"/>
    <w:rsid w:val="001710E9"/>
    <w:rsid w:val="0017155E"/>
    <w:rsid w:val="001718D3"/>
    <w:rsid w:val="00172FDC"/>
    <w:rsid w:val="00174416"/>
    <w:rsid w:val="00176BB2"/>
    <w:rsid w:val="00177AC7"/>
    <w:rsid w:val="00182D4F"/>
    <w:rsid w:val="00182EF5"/>
    <w:rsid w:val="0018376E"/>
    <w:rsid w:val="001842BF"/>
    <w:rsid w:val="00192B4C"/>
    <w:rsid w:val="00192FDB"/>
    <w:rsid w:val="0019483A"/>
    <w:rsid w:val="00195A03"/>
    <w:rsid w:val="001973B3"/>
    <w:rsid w:val="001A0414"/>
    <w:rsid w:val="001A1876"/>
    <w:rsid w:val="001A216C"/>
    <w:rsid w:val="001A23BF"/>
    <w:rsid w:val="001A2A12"/>
    <w:rsid w:val="001A361D"/>
    <w:rsid w:val="001A5C8D"/>
    <w:rsid w:val="001B038E"/>
    <w:rsid w:val="001B04CF"/>
    <w:rsid w:val="001B0848"/>
    <w:rsid w:val="001B14F8"/>
    <w:rsid w:val="001B47B6"/>
    <w:rsid w:val="001B5B01"/>
    <w:rsid w:val="001C0980"/>
    <w:rsid w:val="001C1EAB"/>
    <w:rsid w:val="001C2F4D"/>
    <w:rsid w:val="001C3C90"/>
    <w:rsid w:val="001C73E7"/>
    <w:rsid w:val="001C7672"/>
    <w:rsid w:val="001D0537"/>
    <w:rsid w:val="001D0B23"/>
    <w:rsid w:val="001D12B4"/>
    <w:rsid w:val="001D3D74"/>
    <w:rsid w:val="001D5C16"/>
    <w:rsid w:val="001E2CB5"/>
    <w:rsid w:val="001E36A0"/>
    <w:rsid w:val="001F00B7"/>
    <w:rsid w:val="00200C19"/>
    <w:rsid w:val="00202D54"/>
    <w:rsid w:val="00203756"/>
    <w:rsid w:val="002065CA"/>
    <w:rsid w:val="0021077D"/>
    <w:rsid w:val="002135C7"/>
    <w:rsid w:val="0021383E"/>
    <w:rsid w:val="002151C3"/>
    <w:rsid w:val="00215796"/>
    <w:rsid w:val="002163F8"/>
    <w:rsid w:val="00216C41"/>
    <w:rsid w:val="00220651"/>
    <w:rsid w:val="00220A27"/>
    <w:rsid w:val="00221B57"/>
    <w:rsid w:val="002221E1"/>
    <w:rsid w:val="00222298"/>
    <w:rsid w:val="00222A4C"/>
    <w:rsid w:val="00224E7B"/>
    <w:rsid w:val="00226F3B"/>
    <w:rsid w:val="0023308C"/>
    <w:rsid w:val="00234647"/>
    <w:rsid w:val="00237788"/>
    <w:rsid w:val="00240A9C"/>
    <w:rsid w:val="00240DEF"/>
    <w:rsid w:val="00243741"/>
    <w:rsid w:val="0024377D"/>
    <w:rsid w:val="00244762"/>
    <w:rsid w:val="00245661"/>
    <w:rsid w:val="00246E33"/>
    <w:rsid w:val="0024720A"/>
    <w:rsid w:val="00250022"/>
    <w:rsid w:val="0025029B"/>
    <w:rsid w:val="002511FF"/>
    <w:rsid w:val="00251DCC"/>
    <w:rsid w:val="00252714"/>
    <w:rsid w:val="00254A7C"/>
    <w:rsid w:val="00254AE3"/>
    <w:rsid w:val="002552A2"/>
    <w:rsid w:val="00257453"/>
    <w:rsid w:val="00257BEF"/>
    <w:rsid w:val="00260DC8"/>
    <w:rsid w:val="00261650"/>
    <w:rsid w:val="00262993"/>
    <w:rsid w:val="00267453"/>
    <w:rsid w:val="00267481"/>
    <w:rsid w:val="002704ED"/>
    <w:rsid w:val="00270880"/>
    <w:rsid w:val="00270915"/>
    <w:rsid w:val="00271664"/>
    <w:rsid w:val="002716F1"/>
    <w:rsid w:val="0027313A"/>
    <w:rsid w:val="0027385D"/>
    <w:rsid w:val="00274185"/>
    <w:rsid w:val="00275978"/>
    <w:rsid w:val="00275FCE"/>
    <w:rsid w:val="002769B1"/>
    <w:rsid w:val="002805A4"/>
    <w:rsid w:val="002806D1"/>
    <w:rsid w:val="00281E42"/>
    <w:rsid w:val="00286507"/>
    <w:rsid w:val="00286F8C"/>
    <w:rsid w:val="00292035"/>
    <w:rsid w:val="00294F7C"/>
    <w:rsid w:val="00297755"/>
    <w:rsid w:val="002A0129"/>
    <w:rsid w:val="002A0997"/>
    <w:rsid w:val="002A6E40"/>
    <w:rsid w:val="002B3E25"/>
    <w:rsid w:val="002B55B2"/>
    <w:rsid w:val="002B5811"/>
    <w:rsid w:val="002B5A48"/>
    <w:rsid w:val="002B6C60"/>
    <w:rsid w:val="002C09AF"/>
    <w:rsid w:val="002C0F76"/>
    <w:rsid w:val="002C0FE3"/>
    <w:rsid w:val="002C2F9C"/>
    <w:rsid w:val="002C4224"/>
    <w:rsid w:val="002C51AD"/>
    <w:rsid w:val="002C5608"/>
    <w:rsid w:val="002C6C4E"/>
    <w:rsid w:val="002C6FD3"/>
    <w:rsid w:val="002D1FA3"/>
    <w:rsid w:val="002D2436"/>
    <w:rsid w:val="002D3515"/>
    <w:rsid w:val="002D388F"/>
    <w:rsid w:val="002D3C1B"/>
    <w:rsid w:val="002D4E58"/>
    <w:rsid w:val="002D5D49"/>
    <w:rsid w:val="002D6D89"/>
    <w:rsid w:val="002D6F49"/>
    <w:rsid w:val="002E1A5E"/>
    <w:rsid w:val="002E235B"/>
    <w:rsid w:val="002E53C8"/>
    <w:rsid w:val="002E5A45"/>
    <w:rsid w:val="002E5DCF"/>
    <w:rsid w:val="002E75A6"/>
    <w:rsid w:val="002F1DB4"/>
    <w:rsid w:val="002F36BE"/>
    <w:rsid w:val="002F66F3"/>
    <w:rsid w:val="002F7711"/>
    <w:rsid w:val="002F779C"/>
    <w:rsid w:val="002F7817"/>
    <w:rsid w:val="002F7C74"/>
    <w:rsid w:val="00300F89"/>
    <w:rsid w:val="00301AF3"/>
    <w:rsid w:val="00310363"/>
    <w:rsid w:val="0031037B"/>
    <w:rsid w:val="00312A63"/>
    <w:rsid w:val="00312D71"/>
    <w:rsid w:val="003138C6"/>
    <w:rsid w:val="00313E02"/>
    <w:rsid w:val="003209A6"/>
    <w:rsid w:val="00323208"/>
    <w:rsid w:val="00323EE6"/>
    <w:rsid w:val="00325CDE"/>
    <w:rsid w:val="00332B7A"/>
    <w:rsid w:val="00334B78"/>
    <w:rsid w:val="00335000"/>
    <w:rsid w:val="0033525F"/>
    <w:rsid w:val="0033565F"/>
    <w:rsid w:val="00335929"/>
    <w:rsid w:val="0034437D"/>
    <w:rsid w:val="00344962"/>
    <w:rsid w:val="00344C73"/>
    <w:rsid w:val="00345D46"/>
    <w:rsid w:val="003460D7"/>
    <w:rsid w:val="003467C2"/>
    <w:rsid w:val="00350511"/>
    <w:rsid w:val="003507AF"/>
    <w:rsid w:val="003514AA"/>
    <w:rsid w:val="00352D77"/>
    <w:rsid w:val="00352E03"/>
    <w:rsid w:val="003530DE"/>
    <w:rsid w:val="003535DE"/>
    <w:rsid w:val="00354BEB"/>
    <w:rsid w:val="00356B28"/>
    <w:rsid w:val="00356C2C"/>
    <w:rsid w:val="00357752"/>
    <w:rsid w:val="00361CF0"/>
    <w:rsid w:val="00364357"/>
    <w:rsid w:val="00366612"/>
    <w:rsid w:val="00366D38"/>
    <w:rsid w:val="00373CFD"/>
    <w:rsid w:val="00375AA3"/>
    <w:rsid w:val="00376F11"/>
    <w:rsid w:val="00380891"/>
    <w:rsid w:val="00380C64"/>
    <w:rsid w:val="00382D87"/>
    <w:rsid w:val="003848FB"/>
    <w:rsid w:val="00385A98"/>
    <w:rsid w:val="00385FBB"/>
    <w:rsid w:val="00386CA9"/>
    <w:rsid w:val="00392202"/>
    <w:rsid w:val="003944E5"/>
    <w:rsid w:val="003972FA"/>
    <w:rsid w:val="00397B75"/>
    <w:rsid w:val="003A098E"/>
    <w:rsid w:val="003A339B"/>
    <w:rsid w:val="003A34D9"/>
    <w:rsid w:val="003A521A"/>
    <w:rsid w:val="003A785B"/>
    <w:rsid w:val="003B04FD"/>
    <w:rsid w:val="003B0723"/>
    <w:rsid w:val="003B1094"/>
    <w:rsid w:val="003B1177"/>
    <w:rsid w:val="003B186E"/>
    <w:rsid w:val="003B5632"/>
    <w:rsid w:val="003B58A8"/>
    <w:rsid w:val="003B7193"/>
    <w:rsid w:val="003B7A4F"/>
    <w:rsid w:val="003C2C7C"/>
    <w:rsid w:val="003C7872"/>
    <w:rsid w:val="003D0670"/>
    <w:rsid w:val="003D08D9"/>
    <w:rsid w:val="003D30AB"/>
    <w:rsid w:val="003D5F5E"/>
    <w:rsid w:val="003D6DED"/>
    <w:rsid w:val="003E262A"/>
    <w:rsid w:val="003E3953"/>
    <w:rsid w:val="003E53D4"/>
    <w:rsid w:val="003E5E53"/>
    <w:rsid w:val="003E6B6C"/>
    <w:rsid w:val="003F1316"/>
    <w:rsid w:val="003F15D2"/>
    <w:rsid w:val="003F2991"/>
    <w:rsid w:val="003F3DF3"/>
    <w:rsid w:val="003F45AF"/>
    <w:rsid w:val="003F6B55"/>
    <w:rsid w:val="003F6C5D"/>
    <w:rsid w:val="0040483B"/>
    <w:rsid w:val="00405DCB"/>
    <w:rsid w:val="00411B5D"/>
    <w:rsid w:val="00414702"/>
    <w:rsid w:val="0041509B"/>
    <w:rsid w:val="0041730F"/>
    <w:rsid w:val="00423F17"/>
    <w:rsid w:val="00423F5D"/>
    <w:rsid w:val="004243C3"/>
    <w:rsid w:val="004254A6"/>
    <w:rsid w:val="00426BED"/>
    <w:rsid w:val="00427969"/>
    <w:rsid w:val="00431933"/>
    <w:rsid w:val="00432E2B"/>
    <w:rsid w:val="00433373"/>
    <w:rsid w:val="00433589"/>
    <w:rsid w:val="00433C62"/>
    <w:rsid w:val="0043512A"/>
    <w:rsid w:val="00435834"/>
    <w:rsid w:val="00435F60"/>
    <w:rsid w:val="00436399"/>
    <w:rsid w:val="0043711A"/>
    <w:rsid w:val="004373F9"/>
    <w:rsid w:val="004379BA"/>
    <w:rsid w:val="00437DC6"/>
    <w:rsid w:val="00440084"/>
    <w:rsid w:val="00440A8F"/>
    <w:rsid w:val="00441624"/>
    <w:rsid w:val="004420CE"/>
    <w:rsid w:val="004432FC"/>
    <w:rsid w:val="004454FC"/>
    <w:rsid w:val="00447676"/>
    <w:rsid w:val="00447E3C"/>
    <w:rsid w:val="00450866"/>
    <w:rsid w:val="00452C07"/>
    <w:rsid w:val="0045468C"/>
    <w:rsid w:val="00454B79"/>
    <w:rsid w:val="0045647F"/>
    <w:rsid w:val="00456F24"/>
    <w:rsid w:val="0046231D"/>
    <w:rsid w:val="0046554B"/>
    <w:rsid w:val="00466515"/>
    <w:rsid w:val="00466D6A"/>
    <w:rsid w:val="0047069E"/>
    <w:rsid w:val="00471C57"/>
    <w:rsid w:val="00474E93"/>
    <w:rsid w:val="004758EE"/>
    <w:rsid w:val="00476538"/>
    <w:rsid w:val="00477953"/>
    <w:rsid w:val="004805A4"/>
    <w:rsid w:val="0048271B"/>
    <w:rsid w:val="004849B5"/>
    <w:rsid w:val="00486567"/>
    <w:rsid w:val="004907E9"/>
    <w:rsid w:val="004929EF"/>
    <w:rsid w:val="00493587"/>
    <w:rsid w:val="00493A12"/>
    <w:rsid w:val="00493BCA"/>
    <w:rsid w:val="00493C3A"/>
    <w:rsid w:val="00497B26"/>
    <w:rsid w:val="004A192E"/>
    <w:rsid w:val="004A2710"/>
    <w:rsid w:val="004A2952"/>
    <w:rsid w:val="004A2F08"/>
    <w:rsid w:val="004A5A4D"/>
    <w:rsid w:val="004A661B"/>
    <w:rsid w:val="004B08DA"/>
    <w:rsid w:val="004B1915"/>
    <w:rsid w:val="004B238A"/>
    <w:rsid w:val="004B3192"/>
    <w:rsid w:val="004B342B"/>
    <w:rsid w:val="004B43C8"/>
    <w:rsid w:val="004B4CA2"/>
    <w:rsid w:val="004B4DCD"/>
    <w:rsid w:val="004B5C09"/>
    <w:rsid w:val="004B733F"/>
    <w:rsid w:val="004C07A6"/>
    <w:rsid w:val="004C0DD5"/>
    <w:rsid w:val="004C20B0"/>
    <w:rsid w:val="004C2B69"/>
    <w:rsid w:val="004C46DB"/>
    <w:rsid w:val="004C47A2"/>
    <w:rsid w:val="004C47EC"/>
    <w:rsid w:val="004C4978"/>
    <w:rsid w:val="004C5F95"/>
    <w:rsid w:val="004C660F"/>
    <w:rsid w:val="004D0040"/>
    <w:rsid w:val="004D080C"/>
    <w:rsid w:val="004D1780"/>
    <w:rsid w:val="004D17C0"/>
    <w:rsid w:val="004D2286"/>
    <w:rsid w:val="004D268F"/>
    <w:rsid w:val="004D2B6B"/>
    <w:rsid w:val="004D405A"/>
    <w:rsid w:val="004D406F"/>
    <w:rsid w:val="004D42B0"/>
    <w:rsid w:val="004D5790"/>
    <w:rsid w:val="004D5876"/>
    <w:rsid w:val="004D5B3D"/>
    <w:rsid w:val="004D5D35"/>
    <w:rsid w:val="004E2739"/>
    <w:rsid w:val="004E4D26"/>
    <w:rsid w:val="004E5D3C"/>
    <w:rsid w:val="004F24FD"/>
    <w:rsid w:val="00500FFF"/>
    <w:rsid w:val="00503A42"/>
    <w:rsid w:val="00503E51"/>
    <w:rsid w:val="00504330"/>
    <w:rsid w:val="005123EC"/>
    <w:rsid w:val="005142B8"/>
    <w:rsid w:val="00516BA5"/>
    <w:rsid w:val="00517BD1"/>
    <w:rsid w:val="00524442"/>
    <w:rsid w:val="00524563"/>
    <w:rsid w:val="00526DDB"/>
    <w:rsid w:val="00531862"/>
    <w:rsid w:val="005327E0"/>
    <w:rsid w:val="00536413"/>
    <w:rsid w:val="0053685E"/>
    <w:rsid w:val="00542E49"/>
    <w:rsid w:val="00543952"/>
    <w:rsid w:val="00544017"/>
    <w:rsid w:val="0054415C"/>
    <w:rsid w:val="00544668"/>
    <w:rsid w:val="005470E2"/>
    <w:rsid w:val="00550E5A"/>
    <w:rsid w:val="00552584"/>
    <w:rsid w:val="0055298E"/>
    <w:rsid w:val="00553025"/>
    <w:rsid w:val="005559AA"/>
    <w:rsid w:val="00556007"/>
    <w:rsid w:val="005573E3"/>
    <w:rsid w:val="00562F2C"/>
    <w:rsid w:val="005640C8"/>
    <w:rsid w:val="005649E4"/>
    <w:rsid w:val="00564C16"/>
    <w:rsid w:val="00571831"/>
    <w:rsid w:val="00573B6E"/>
    <w:rsid w:val="00576F5C"/>
    <w:rsid w:val="00580222"/>
    <w:rsid w:val="005817B6"/>
    <w:rsid w:val="005846E9"/>
    <w:rsid w:val="00584C72"/>
    <w:rsid w:val="00587E91"/>
    <w:rsid w:val="00591EF3"/>
    <w:rsid w:val="005921B1"/>
    <w:rsid w:val="00592538"/>
    <w:rsid w:val="005935D9"/>
    <w:rsid w:val="0059369E"/>
    <w:rsid w:val="005A0625"/>
    <w:rsid w:val="005A0EDC"/>
    <w:rsid w:val="005A2168"/>
    <w:rsid w:val="005A3C3E"/>
    <w:rsid w:val="005A43F1"/>
    <w:rsid w:val="005A7258"/>
    <w:rsid w:val="005B109F"/>
    <w:rsid w:val="005B302D"/>
    <w:rsid w:val="005B3744"/>
    <w:rsid w:val="005B3CA3"/>
    <w:rsid w:val="005B3F24"/>
    <w:rsid w:val="005B5446"/>
    <w:rsid w:val="005B6B9C"/>
    <w:rsid w:val="005B6D44"/>
    <w:rsid w:val="005C13E9"/>
    <w:rsid w:val="005C48CF"/>
    <w:rsid w:val="005D1162"/>
    <w:rsid w:val="005D3A52"/>
    <w:rsid w:val="005D5967"/>
    <w:rsid w:val="005D5D91"/>
    <w:rsid w:val="005D5EFE"/>
    <w:rsid w:val="005D7979"/>
    <w:rsid w:val="005D7AC8"/>
    <w:rsid w:val="005E077F"/>
    <w:rsid w:val="005E425C"/>
    <w:rsid w:val="005E544F"/>
    <w:rsid w:val="005E73A7"/>
    <w:rsid w:val="005E7835"/>
    <w:rsid w:val="005F00FF"/>
    <w:rsid w:val="005F0FE7"/>
    <w:rsid w:val="005F243A"/>
    <w:rsid w:val="005F5108"/>
    <w:rsid w:val="005F5451"/>
    <w:rsid w:val="005F549B"/>
    <w:rsid w:val="005F6637"/>
    <w:rsid w:val="005F6A3C"/>
    <w:rsid w:val="00601A17"/>
    <w:rsid w:val="0060376B"/>
    <w:rsid w:val="006039E2"/>
    <w:rsid w:val="00603FD5"/>
    <w:rsid w:val="0060445F"/>
    <w:rsid w:val="00605499"/>
    <w:rsid w:val="00605A92"/>
    <w:rsid w:val="00606471"/>
    <w:rsid w:val="006075B0"/>
    <w:rsid w:val="00607917"/>
    <w:rsid w:val="00611051"/>
    <w:rsid w:val="006126DD"/>
    <w:rsid w:val="00613381"/>
    <w:rsid w:val="006156A1"/>
    <w:rsid w:val="00617754"/>
    <w:rsid w:val="00617CD6"/>
    <w:rsid w:val="00617F4C"/>
    <w:rsid w:val="006205B6"/>
    <w:rsid w:val="00620BEB"/>
    <w:rsid w:val="0062190A"/>
    <w:rsid w:val="00621CD6"/>
    <w:rsid w:val="006234E2"/>
    <w:rsid w:val="00626BDC"/>
    <w:rsid w:val="00627001"/>
    <w:rsid w:val="0062723F"/>
    <w:rsid w:val="0063031C"/>
    <w:rsid w:val="00632578"/>
    <w:rsid w:val="00633B8B"/>
    <w:rsid w:val="00635C61"/>
    <w:rsid w:val="00636E73"/>
    <w:rsid w:val="00637C99"/>
    <w:rsid w:val="00641578"/>
    <w:rsid w:val="00641C70"/>
    <w:rsid w:val="00644128"/>
    <w:rsid w:val="006443D4"/>
    <w:rsid w:val="00646869"/>
    <w:rsid w:val="00646C3F"/>
    <w:rsid w:val="0064790F"/>
    <w:rsid w:val="00652CB7"/>
    <w:rsid w:val="00653516"/>
    <w:rsid w:val="00653A17"/>
    <w:rsid w:val="0066090E"/>
    <w:rsid w:val="006622F5"/>
    <w:rsid w:val="00667196"/>
    <w:rsid w:val="00670F56"/>
    <w:rsid w:val="00672229"/>
    <w:rsid w:val="006736CC"/>
    <w:rsid w:val="0068049F"/>
    <w:rsid w:val="0068073E"/>
    <w:rsid w:val="006829C0"/>
    <w:rsid w:val="006829E2"/>
    <w:rsid w:val="00683BB0"/>
    <w:rsid w:val="00684311"/>
    <w:rsid w:val="00684835"/>
    <w:rsid w:val="00684B48"/>
    <w:rsid w:val="006868BC"/>
    <w:rsid w:val="00687557"/>
    <w:rsid w:val="006920A8"/>
    <w:rsid w:val="00693AC3"/>
    <w:rsid w:val="006943B6"/>
    <w:rsid w:val="00696186"/>
    <w:rsid w:val="0069633B"/>
    <w:rsid w:val="00696F70"/>
    <w:rsid w:val="006A574C"/>
    <w:rsid w:val="006A6BEC"/>
    <w:rsid w:val="006B12CC"/>
    <w:rsid w:val="006B1C0C"/>
    <w:rsid w:val="006B215B"/>
    <w:rsid w:val="006B3408"/>
    <w:rsid w:val="006B4F94"/>
    <w:rsid w:val="006B7509"/>
    <w:rsid w:val="006C0205"/>
    <w:rsid w:val="006C553E"/>
    <w:rsid w:val="006C69C6"/>
    <w:rsid w:val="006D001B"/>
    <w:rsid w:val="006D0D31"/>
    <w:rsid w:val="006D136F"/>
    <w:rsid w:val="006D1F3B"/>
    <w:rsid w:val="006D2BE6"/>
    <w:rsid w:val="006D4875"/>
    <w:rsid w:val="006D5BBD"/>
    <w:rsid w:val="006D5EC9"/>
    <w:rsid w:val="006D6819"/>
    <w:rsid w:val="006E0D16"/>
    <w:rsid w:val="006E398D"/>
    <w:rsid w:val="006E44B6"/>
    <w:rsid w:val="006E4DC7"/>
    <w:rsid w:val="006E676D"/>
    <w:rsid w:val="006E7BE9"/>
    <w:rsid w:val="006F00DC"/>
    <w:rsid w:val="006F01E3"/>
    <w:rsid w:val="006F0A59"/>
    <w:rsid w:val="006F0CA1"/>
    <w:rsid w:val="006F1FC3"/>
    <w:rsid w:val="006F2A2F"/>
    <w:rsid w:val="006F68A3"/>
    <w:rsid w:val="006F6D63"/>
    <w:rsid w:val="006F70C0"/>
    <w:rsid w:val="00700AD4"/>
    <w:rsid w:val="00701F8E"/>
    <w:rsid w:val="0070246C"/>
    <w:rsid w:val="00702704"/>
    <w:rsid w:val="007067D8"/>
    <w:rsid w:val="00706F2C"/>
    <w:rsid w:val="00706FB2"/>
    <w:rsid w:val="007101F9"/>
    <w:rsid w:val="00710732"/>
    <w:rsid w:val="00713D55"/>
    <w:rsid w:val="00714D83"/>
    <w:rsid w:val="007150BC"/>
    <w:rsid w:val="00715824"/>
    <w:rsid w:val="007165A7"/>
    <w:rsid w:val="00716F77"/>
    <w:rsid w:val="00721611"/>
    <w:rsid w:val="007224E1"/>
    <w:rsid w:val="007239F9"/>
    <w:rsid w:val="00725A8D"/>
    <w:rsid w:val="007261B4"/>
    <w:rsid w:val="00726418"/>
    <w:rsid w:val="00727F7E"/>
    <w:rsid w:val="007346E4"/>
    <w:rsid w:val="0073530C"/>
    <w:rsid w:val="00737074"/>
    <w:rsid w:val="00737D9C"/>
    <w:rsid w:val="00740DA7"/>
    <w:rsid w:val="00742D09"/>
    <w:rsid w:val="007439B0"/>
    <w:rsid w:val="00744E1C"/>
    <w:rsid w:val="00745628"/>
    <w:rsid w:val="00745957"/>
    <w:rsid w:val="00745A91"/>
    <w:rsid w:val="00746605"/>
    <w:rsid w:val="0075154A"/>
    <w:rsid w:val="0075172E"/>
    <w:rsid w:val="00751ABF"/>
    <w:rsid w:val="007542F4"/>
    <w:rsid w:val="00755DCF"/>
    <w:rsid w:val="00757FC1"/>
    <w:rsid w:val="00764317"/>
    <w:rsid w:val="007658AA"/>
    <w:rsid w:val="00766A27"/>
    <w:rsid w:val="0076717F"/>
    <w:rsid w:val="007729AE"/>
    <w:rsid w:val="00772A21"/>
    <w:rsid w:val="0077637D"/>
    <w:rsid w:val="00783BEA"/>
    <w:rsid w:val="0078498F"/>
    <w:rsid w:val="007850A6"/>
    <w:rsid w:val="007867F6"/>
    <w:rsid w:val="00786C85"/>
    <w:rsid w:val="00786D35"/>
    <w:rsid w:val="00790C0E"/>
    <w:rsid w:val="007915B0"/>
    <w:rsid w:val="007930CE"/>
    <w:rsid w:val="0079505F"/>
    <w:rsid w:val="00795426"/>
    <w:rsid w:val="00796188"/>
    <w:rsid w:val="00796334"/>
    <w:rsid w:val="007A5C51"/>
    <w:rsid w:val="007A5DCF"/>
    <w:rsid w:val="007A5E30"/>
    <w:rsid w:val="007B4E84"/>
    <w:rsid w:val="007B60AE"/>
    <w:rsid w:val="007B61DA"/>
    <w:rsid w:val="007B69FA"/>
    <w:rsid w:val="007B6E9F"/>
    <w:rsid w:val="007B74EA"/>
    <w:rsid w:val="007C0B4C"/>
    <w:rsid w:val="007C1024"/>
    <w:rsid w:val="007C387B"/>
    <w:rsid w:val="007C3A0B"/>
    <w:rsid w:val="007C4328"/>
    <w:rsid w:val="007C462A"/>
    <w:rsid w:val="007C46F5"/>
    <w:rsid w:val="007C6082"/>
    <w:rsid w:val="007C7AAE"/>
    <w:rsid w:val="007D0184"/>
    <w:rsid w:val="007D06FC"/>
    <w:rsid w:val="007D154B"/>
    <w:rsid w:val="007D3DEC"/>
    <w:rsid w:val="007D4168"/>
    <w:rsid w:val="007D4F29"/>
    <w:rsid w:val="007E083F"/>
    <w:rsid w:val="007E37F2"/>
    <w:rsid w:val="007E5C91"/>
    <w:rsid w:val="007E6350"/>
    <w:rsid w:val="007E781D"/>
    <w:rsid w:val="007E7B2C"/>
    <w:rsid w:val="007F0133"/>
    <w:rsid w:val="007F1886"/>
    <w:rsid w:val="007F361A"/>
    <w:rsid w:val="007F36A0"/>
    <w:rsid w:val="007F435B"/>
    <w:rsid w:val="007F4C13"/>
    <w:rsid w:val="007F54CF"/>
    <w:rsid w:val="007F5BFF"/>
    <w:rsid w:val="008022D3"/>
    <w:rsid w:val="008039B1"/>
    <w:rsid w:val="00803A8D"/>
    <w:rsid w:val="00803BD3"/>
    <w:rsid w:val="008107B5"/>
    <w:rsid w:val="00810FB9"/>
    <w:rsid w:val="00811D3E"/>
    <w:rsid w:val="00812735"/>
    <w:rsid w:val="00813E5D"/>
    <w:rsid w:val="00815B1A"/>
    <w:rsid w:val="00817FE0"/>
    <w:rsid w:val="00820DEB"/>
    <w:rsid w:val="00822CD1"/>
    <w:rsid w:val="0082333B"/>
    <w:rsid w:val="00823A0B"/>
    <w:rsid w:val="00825131"/>
    <w:rsid w:val="0082562C"/>
    <w:rsid w:val="00825957"/>
    <w:rsid w:val="00827189"/>
    <w:rsid w:val="008313D1"/>
    <w:rsid w:val="00831518"/>
    <w:rsid w:val="00832925"/>
    <w:rsid w:val="00832DA0"/>
    <w:rsid w:val="00832EDE"/>
    <w:rsid w:val="008331E7"/>
    <w:rsid w:val="00835E78"/>
    <w:rsid w:val="008364C0"/>
    <w:rsid w:val="00837BD7"/>
    <w:rsid w:val="00844343"/>
    <w:rsid w:val="008443A6"/>
    <w:rsid w:val="00845F72"/>
    <w:rsid w:val="008510D8"/>
    <w:rsid w:val="0085138F"/>
    <w:rsid w:val="008513C1"/>
    <w:rsid w:val="0085315E"/>
    <w:rsid w:val="00857D5D"/>
    <w:rsid w:val="00862380"/>
    <w:rsid w:val="008623B9"/>
    <w:rsid w:val="00863C86"/>
    <w:rsid w:val="00865BD2"/>
    <w:rsid w:val="008668B0"/>
    <w:rsid w:val="00873349"/>
    <w:rsid w:val="0087448C"/>
    <w:rsid w:val="00875821"/>
    <w:rsid w:val="008759DE"/>
    <w:rsid w:val="00881AD7"/>
    <w:rsid w:val="00881BBF"/>
    <w:rsid w:val="00883013"/>
    <w:rsid w:val="00885FD9"/>
    <w:rsid w:val="008863C6"/>
    <w:rsid w:val="008904BD"/>
    <w:rsid w:val="008910CC"/>
    <w:rsid w:val="00891510"/>
    <w:rsid w:val="008915D5"/>
    <w:rsid w:val="0089221F"/>
    <w:rsid w:val="00893C2F"/>
    <w:rsid w:val="00894B0E"/>
    <w:rsid w:val="00894DFD"/>
    <w:rsid w:val="00897BFC"/>
    <w:rsid w:val="008A17C2"/>
    <w:rsid w:val="008A240E"/>
    <w:rsid w:val="008A3FFC"/>
    <w:rsid w:val="008A4825"/>
    <w:rsid w:val="008A560C"/>
    <w:rsid w:val="008A5CFD"/>
    <w:rsid w:val="008A718B"/>
    <w:rsid w:val="008A71DB"/>
    <w:rsid w:val="008B1F10"/>
    <w:rsid w:val="008B2023"/>
    <w:rsid w:val="008B5206"/>
    <w:rsid w:val="008B6907"/>
    <w:rsid w:val="008C062F"/>
    <w:rsid w:val="008C0A34"/>
    <w:rsid w:val="008C1073"/>
    <w:rsid w:val="008C5898"/>
    <w:rsid w:val="008C6C7D"/>
    <w:rsid w:val="008D02D7"/>
    <w:rsid w:val="008D118C"/>
    <w:rsid w:val="008D22F3"/>
    <w:rsid w:val="008D469A"/>
    <w:rsid w:val="008D5AB6"/>
    <w:rsid w:val="008D6D8D"/>
    <w:rsid w:val="008E1655"/>
    <w:rsid w:val="008E166F"/>
    <w:rsid w:val="008E3C41"/>
    <w:rsid w:val="008E49BC"/>
    <w:rsid w:val="008E4C3A"/>
    <w:rsid w:val="008E59E8"/>
    <w:rsid w:val="008F1A7B"/>
    <w:rsid w:val="008F3DA3"/>
    <w:rsid w:val="008F5323"/>
    <w:rsid w:val="008F56E4"/>
    <w:rsid w:val="008F64B1"/>
    <w:rsid w:val="009000B4"/>
    <w:rsid w:val="00902316"/>
    <w:rsid w:val="009060EF"/>
    <w:rsid w:val="0091012D"/>
    <w:rsid w:val="009127C3"/>
    <w:rsid w:val="00915E52"/>
    <w:rsid w:val="009202D2"/>
    <w:rsid w:val="0092104E"/>
    <w:rsid w:val="009240B2"/>
    <w:rsid w:val="00927667"/>
    <w:rsid w:val="00930120"/>
    <w:rsid w:val="0093100A"/>
    <w:rsid w:val="00935E7B"/>
    <w:rsid w:val="00936336"/>
    <w:rsid w:val="0093643B"/>
    <w:rsid w:val="009370B4"/>
    <w:rsid w:val="009428D8"/>
    <w:rsid w:val="00942B7A"/>
    <w:rsid w:val="00950770"/>
    <w:rsid w:val="00951133"/>
    <w:rsid w:val="009514C2"/>
    <w:rsid w:val="00952178"/>
    <w:rsid w:val="00952C85"/>
    <w:rsid w:val="00954543"/>
    <w:rsid w:val="00954B09"/>
    <w:rsid w:val="00957702"/>
    <w:rsid w:val="00957D7A"/>
    <w:rsid w:val="00962298"/>
    <w:rsid w:val="009625DD"/>
    <w:rsid w:val="00963188"/>
    <w:rsid w:val="00966407"/>
    <w:rsid w:val="009673D6"/>
    <w:rsid w:val="009700B9"/>
    <w:rsid w:val="00971E25"/>
    <w:rsid w:val="00972006"/>
    <w:rsid w:val="00972776"/>
    <w:rsid w:val="00975120"/>
    <w:rsid w:val="0097663B"/>
    <w:rsid w:val="00976809"/>
    <w:rsid w:val="00980AAC"/>
    <w:rsid w:val="00981583"/>
    <w:rsid w:val="00981BD2"/>
    <w:rsid w:val="00981C40"/>
    <w:rsid w:val="00982FF7"/>
    <w:rsid w:val="0098488C"/>
    <w:rsid w:val="00987C1E"/>
    <w:rsid w:val="0099059B"/>
    <w:rsid w:val="00991B6F"/>
    <w:rsid w:val="00991EA5"/>
    <w:rsid w:val="0099264C"/>
    <w:rsid w:val="00993472"/>
    <w:rsid w:val="00994D14"/>
    <w:rsid w:val="0099606F"/>
    <w:rsid w:val="00997964"/>
    <w:rsid w:val="009A0369"/>
    <w:rsid w:val="009A4AC9"/>
    <w:rsid w:val="009A7422"/>
    <w:rsid w:val="009A7AA3"/>
    <w:rsid w:val="009B0690"/>
    <w:rsid w:val="009B2337"/>
    <w:rsid w:val="009B2434"/>
    <w:rsid w:val="009B3322"/>
    <w:rsid w:val="009B739C"/>
    <w:rsid w:val="009C0BBC"/>
    <w:rsid w:val="009C7D46"/>
    <w:rsid w:val="009D15DC"/>
    <w:rsid w:val="009E25CF"/>
    <w:rsid w:val="009E2B65"/>
    <w:rsid w:val="009E3093"/>
    <w:rsid w:val="009E39A4"/>
    <w:rsid w:val="009E3AC0"/>
    <w:rsid w:val="009E4AB9"/>
    <w:rsid w:val="009E7F3D"/>
    <w:rsid w:val="009F07C8"/>
    <w:rsid w:val="009F16B9"/>
    <w:rsid w:val="009F1917"/>
    <w:rsid w:val="009F4ADD"/>
    <w:rsid w:val="009F5073"/>
    <w:rsid w:val="009F5216"/>
    <w:rsid w:val="009F583F"/>
    <w:rsid w:val="00A011D9"/>
    <w:rsid w:val="00A013C0"/>
    <w:rsid w:val="00A01EAC"/>
    <w:rsid w:val="00A02C22"/>
    <w:rsid w:val="00A04A8F"/>
    <w:rsid w:val="00A05EB8"/>
    <w:rsid w:val="00A0622F"/>
    <w:rsid w:val="00A06B27"/>
    <w:rsid w:val="00A12B90"/>
    <w:rsid w:val="00A1302E"/>
    <w:rsid w:val="00A1556D"/>
    <w:rsid w:val="00A157C6"/>
    <w:rsid w:val="00A159A2"/>
    <w:rsid w:val="00A15BDF"/>
    <w:rsid w:val="00A16A94"/>
    <w:rsid w:val="00A16DD4"/>
    <w:rsid w:val="00A17F21"/>
    <w:rsid w:val="00A203DF"/>
    <w:rsid w:val="00A211F0"/>
    <w:rsid w:val="00A21D00"/>
    <w:rsid w:val="00A21D6A"/>
    <w:rsid w:val="00A24C17"/>
    <w:rsid w:val="00A26C09"/>
    <w:rsid w:val="00A27984"/>
    <w:rsid w:val="00A300D4"/>
    <w:rsid w:val="00A3021F"/>
    <w:rsid w:val="00A3230D"/>
    <w:rsid w:val="00A33902"/>
    <w:rsid w:val="00A33996"/>
    <w:rsid w:val="00A349C2"/>
    <w:rsid w:val="00A3521E"/>
    <w:rsid w:val="00A35888"/>
    <w:rsid w:val="00A36B3D"/>
    <w:rsid w:val="00A372E8"/>
    <w:rsid w:val="00A401D8"/>
    <w:rsid w:val="00A4058E"/>
    <w:rsid w:val="00A40782"/>
    <w:rsid w:val="00A42220"/>
    <w:rsid w:val="00A4378A"/>
    <w:rsid w:val="00A43BA5"/>
    <w:rsid w:val="00A452DD"/>
    <w:rsid w:val="00A478CD"/>
    <w:rsid w:val="00A47A88"/>
    <w:rsid w:val="00A5182B"/>
    <w:rsid w:val="00A52334"/>
    <w:rsid w:val="00A5238A"/>
    <w:rsid w:val="00A5773D"/>
    <w:rsid w:val="00A577D1"/>
    <w:rsid w:val="00A6052F"/>
    <w:rsid w:val="00A63559"/>
    <w:rsid w:val="00A63A3B"/>
    <w:rsid w:val="00A63A95"/>
    <w:rsid w:val="00A67CE0"/>
    <w:rsid w:val="00A67E0F"/>
    <w:rsid w:val="00A72486"/>
    <w:rsid w:val="00A72F24"/>
    <w:rsid w:val="00A734D6"/>
    <w:rsid w:val="00A73C1C"/>
    <w:rsid w:val="00A7604C"/>
    <w:rsid w:val="00A76F55"/>
    <w:rsid w:val="00A80773"/>
    <w:rsid w:val="00A86A1D"/>
    <w:rsid w:val="00A87E3C"/>
    <w:rsid w:val="00A900F8"/>
    <w:rsid w:val="00A90883"/>
    <w:rsid w:val="00A90C70"/>
    <w:rsid w:val="00A92B5C"/>
    <w:rsid w:val="00A93BD9"/>
    <w:rsid w:val="00A95017"/>
    <w:rsid w:val="00A97B0B"/>
    <w:rsid w:val="00AA03FB"/>
    <w:rsid w:val="00AA0BB1"/>
    <w:rsid w:val="00AA4745"/>
    <w:rsid w:val="00AA5532"/>
    <w:rsid w:val="00AA662F"/>
    <w:rsid w:val="00AA6769"/>
    <w:rsid w:val="00AA76B9"/>
    <w:rsid w:val="00AB03EA"/>
    <w:rsid w:val="00AB69E9"/>
    <w:rsid w:val="00AC0A6A"/>
    <w:rsid w:val="00AC1AFE"/>
    <w:rsid w:val="00AC2622"/>
    <w:rsid w:val="00AC37BF"/>
    <w:rsid w:val="00AC43CC"/>
    <w:rsid w:val="00AC4AD3"/>
    <w:rsid w:val="00AC4D8C"/>
    <w:rsid w:val="00AC7620"/>
    <w:rsid w:val="00AD1728"/>
    <w:rsid w:val="00AD364D"/>
    <w:rsid w:val="00AD5E82"/>
    <w:rsid w:val="00AD7F90"/>
    <w:rsid w:val="00AE0FBD"/>
    <w:rsid w:val="00AE24D0"/>
    <w:rsid w:val="00AE6BB2"/>
    <w:rsid w:val="00AE7080"/>
    <w:rsid w:val="00AE74D0"/>
    <w:rsid w:val="00AF0FBF"/>
    <w:rsid w:val="00AF15F0"/>
    <w:rsid w:val="00AF1763"/>
    <w:rsid w:val="00AF2077"/>
    <w:rsid w:val="00AF79A0"/>
    <w:rsid w:val="00B015C7"/>
    <w:rsid w:val="00B02552"/>
    <w:rsid w:val="00B049DB"/>
    <w:rsid w:val="00B06302"/>
    <w:rsid w:val="00B07544"/>
    <w:rsid w:val="00B07C0C"/>
    <w:rsid w:val="00B135FC"/>
    <w:rsid w:val="00B15EFC"/>
    <w:rsid w:val="00B1682B"/>
    <w:rsid w:val="00B17F01"/>
    <w:rsid w:val="00B202A6"/>
    <w:rsid w:val="00B21567"/>
    <w:rsid w:val="00B2200A"/>
    <w:rsid w:val="00B22109"/>
    <w:rsid w:val="00B23C17"/>
    <w:rsid w:val="00B26C0D"/>
    <w:rsid w:val="00B3082B"/>
    <w:rsid w:val="00B338F4"/>
    <w:rsid w:val="00B33AB4"/>
    <w:rsid w:val="00B36EF5"/>
    <w:rsid w:val="00B36FAF"/>
    <w:rsid w:val="00B4631E"/>
    <w:rsid w:val="00B47443"/>
    <w:rsid w:val="00B479F7"/>
    <w:rsid w:val="00B50B27"/>
    <w:rsid w:val="00B50E2B"/>
    <w:rsid w:val="00B53070"/>
    <w:rsid w:val="00B53111"/>
    <w:rsid w:val="00B53540"/>
    <w:rsid w:val="00B53A55"/>
    <w:rsid w:val="00B53E2D"/>
    <w:rsid w:val="00B5400A"/>
    <w:rsid w:val="00B559AC"/>
    <w:rsid w:val="00B57E76"/>
    <w:rsid w:val="00B6134A"/>
    <w:rsid w:val="00B627FC"/>
    <w:rsid w:val="00B6388C"/>
    <w:rsid w:val="00B6689C"/>
    <w:rsid w:val="00B66A48"/>
    <w:rsid w:val="00B66D88"/>
    <w:rsid w:val="00B70B38"/>
    <w:rsid w:val="00B72058"/>
    <w:rsid w:val="00B73BA1"/>
    <w:rsid w:val="00B73FB3"/>
    <w:rsid w:val="00B741BA"/>
    <w:rsid w:val="00B75A6C"/>
    <w:rsid w:val="00B80BD5"/>
    <w:rsid w:val="00B820CF"/>
    <w:rsid w:val="00B82E22"/>
    <w:rsid w:val="00B82F53"/>
    <w:rsid w:val="00B852A8"/>
    <w:rsid w:val="00B85419"/>
    <w:rsid w:val="00B90546"/>
    <w:rsid w:val="00B91394"/>
    <w:rsid w:val="00B93186"/>
    <w:rsid w:val="00B93DFD"/>
    <w:rsid w:val="00B952E4"/>
    <w:rsid w:val="00B9632B"/>
    <w:rsid w:val="00BA0079"/>
    <w:rsid w:val="00BA32F2"/>
    <w:rsid w:val="00BA34BB"/>
    <w:rsid w:val="00BA3BD5"/>
    <w:rsid w:val="00BA4202"/>
    <w:rsid w:val="00BA4A53"/>
    <w:rsid w:val="00BA4E72"/>
    <w:rsid w:val="00BA508C"/>
    <w:rsid w:val="00BA5188"/>
    <w:rsid w:val="00BA5415"/>
    <w:rsid w:val="00BA55BD"/>
    <w:rsid w:val="00BA565A"/>
    <w:rsid w:val="00BA63AC"/>
    <w:rsid w:val="00BB045E"/>
    <w:rsid w:val="00BB083D"/>
    <w:rsid w:val="00BB2768"/>
    <w:rsid w:val="00BB439B"/>
    <w:rsid w:val="00BB4992"/>
    <w:rsid w:val="00BB6C05"/>
    <w:rsid w:val="00BB7F29"/>
    <w:rsid w:val="00BC0656"/>
    <w:rsid w:val="00BC1F03"/>
    <w:rsid w:val="00BC2062"/>
    <w:rsid w:val="00BC2224"/>
    <w:rsid w:val="00BC2DB0"/>
    <w:rsid w:val="00BC4B0E"/>
    <w:rsid w:val="00BC5117"/>
    <w:rsid w:val="00BC525E"/>
    <w:rsid w:val="00BC586F"/>
    <w:rsid w:val="00BC662D"/>
    <w:rsid w:val="00BD62EF"/>
    <w:rsid w:val="00BD702E"/>
    <w:rsid w:val="00BD7AA2"/>
    <w:rsid w:val="00BE1C32"/>
    <w:rsid w:val="00BE3301"/>
    <w:rsid w:val="00BE4B36"/>
    <w:rsid w:val="00BE56DE"/>
    <w:rsid w:val="00BE5FC8"/>
    <w:rsid w:val="00BE7F9B"/>
    <w:rsid w:val="00BF0873"/>
    <w:rsid w:val="00C019AE"/>
    <w:rsid w:val="00C01BBF"/>
    <w:rsid w:val="00C04160"/>
    <w:rsid w:val="00C0528C"/>
    <w:rsid w:val="00C05B47"/>
    <w:rsid w:val="00C07EB6"/>
    <w:rsid w:val="00C109FD"/>
    <w:rsid w:val="00C10A45"/>
    <w:rsid w:val="00C1232B"/>
    <w:rsid w:val="00C12668"/>
    <w:rsid w:val="00C1360B"/>
    <w:rsid w:val="00C137DF"/>
    <w:rsid w:val="00C1456B"/>
    <w:rsid w:val="00C147CA"/>
    <w:rsid w:val="00C14C4C"/>
    <w:rsid w:val="00C15532"/>
    <w:rsid w:val="00C15DCC"/>
    <w:rsid w:val="00C16ED9"/>
    <w:rsid w:val="00C17E91"/>
    <w:rsid w:val="00C20887"/>
    <w:rsid w:val="00C21564"/>
    <w:rsid w:val="00C21AB8"/>
    <w:rsid w:val="00C21CFA"/>
    <w:rsid w:val="00C235BA"/>
    <w:rsid w:val="00C308BC"/>
    <w:rsid w:val="00C30E61"/>
    <w:rsid w:val="00C31B9B"/>
    <w:rsid w:val="00C33624"/>
    <w:rsid w:val="00C33F6F"/>
    <w:rsid w:val="00C34C55"/>
    <w:rsid w:val="00C35CF2"/>
    <w:rsid w:val="00C3600C"/>
    <w:rsid w:val="00C37905"/>
    <w:rsid w:val="00C379A4"/>
    <w:rsid w:val="00C40F0A"/>
    <w:rsid w:val="00C43062"/>
    <w:rsid w:val="00C44164"/>
    <w:rsid w:val="00C46911"/>
    <w:rsid w:val="00C46F1F"/>
    <w:rsid w:val="00C46F72"/>
    <w:rsid w:val="00C51E49"/>
    <w:rsid w:val="00C538A7"/>
    <w:rsid w:val="00C53C08"/>
    <w:rsid w:val="00C53D3B"/>
    <w:rsid w:val="00C54DC5"/>
    <w:rsid w:val="00C60909"/>
    <w:rsid w:val="00C6338E"/>
    <w:rsid w:val="00C63D2D"/>
    <w:rsid w:val="00C65F3B"/>
    <w:rsid w:val="00C671FE"/>
    <w:rsid w:val="00C67617"/>
    <w:rsid w:val="00C70CA8"/>
    <w:rsid w:val="00C7306E"/>
    <w:rsid w:val="00C731C5"/>
    <w:rsid w:val="00C743E3"/>
    <w:rsid w:val="00C75430"/>
    <w:rsid w:val="00C7730B"/>
    <w:rsid w:val="00C77C62"/>
    <w:rsid w:val="00C81428"/>
    <w:rsid w:val="00C82CF9"/>
    <w:rsid w:val="00C82DDE"/>
    <w:rsid w:val="00C83581"/>
    <w:rsid w:val="00C842A7"/>
    <w:rsid w:val="00C85CF5"/>
    <w:rsid w:val="00C861A7"/>
    <w:rsid w:val="00C90715"/>
    <w:rsid w:val="00C9194D"/>
    <w:rsid w:val="00C927BB"/>
    <w:rsid w:val="00C93F93"/>
    <w:rsid w:val="00C96124"/>
    <w:rsid w:val="00CA59E6"/>
    <w:rsid w:val="00CA6F4C"/>
    <w:rsid w:val="00CA76EC"/>
    <w:rsid w:val="00CB0C76"/>
    <w:rsid w:val="00CB792D"/>
    <w:rsid w:val="00CB799A"/>
    <w:rsid w:val="00CB7C37"/>
    <w:rsid w:val="00CC2465"/>
    <w:rsid w:val="00CC283E"/>
    <w:rsid w:val="00CC2D6D"/>
    <w:rsid w:val="00CC366F"/>
    <w:rsid w:val="00CC5325"/>
    <w:rsid w:val="00CC76C3"/>
    <w:rsid w:val="00CD414F"/>
    <w:rsid w:val="00CD7222"/>
    <w:rsid w:val="00CE0FA7"/>
    <w:rsid w:val="00CE1E34"/>
    <w:rsid w:val="00CE256F"/>
    <w:rsid w:val="00CE48B3"/>
    <w:rsid w:val="00CE7DA1"/>
    <w:rsid w:val="00CE7DE4"/>
    <w:rsid w:val="00CF01EB"/>
    <w:rsid w:val="00CF0BB1"/>
    <w:rsid w:val="00CF1548"/>
    <w:rsid w:val="00CF50CE"/>
    <w:rsid w:val="00CF670A"/>
    <w:rsid w:val="00CF788F"/>
    <w:rsid w:val="00CF7D81"/>
    <w:rsid w:val="00D002BF"/>
    <w:rsid w:val="00D01A36"/>
    <w:rsid w:val="00D028A0"/>
    <w:rsid w:val="00D054F8"/>
    <w:rsid w:val="00D1036F"/>
    <w:rsid w:val="00D1075F"/>
    <w:rsid w:val="00D125B2"/>
    <w:rsid w:val="00D16ED0"/>
    <w:rsid w:val="00D17B9B"/>
    <w:rsid w:val="00D20F68"/>
    <w:rsid w:val="00D21248"/>
    <w:rsid w:val="00D21820"/>
    <w:rsid w:val="00D21CCB"/>
    <w:rsid w:val="00D23039"/>
    <w:rsid w:val="00D231AE"/>
    <w:rsid w:val="00D23255"/>
    <w:rsid w:val="00D234B9"/>
    <w:rsid w:val="00D24BC5"/>
    <w:rsid w:val="00D26DAA"/>
    <w:rsid w:val="00D30558"/>
    <w:rsid w:val="00D32D94"/>
    <w:rsid w:val="00D33C00"/>
    <w:rsid w:val="00D33FB7"/>
    <w:rsid w:val="00D341E9"/>
    <w:rsid w:val="00D35F65"/>
    <w:rsid w:val="00D36727"/>
    <w:rsid w:val="00D40A46"/>
    <w:rsid w:val="00D43FF7"/>
    <w:rsid w:val="00D45CB5"/>
    <w:rsid w:val="00D45CE7"/>
    <w:rsid w:val="00D46106"/>
    <w:rsid w:val="00D46668"/>
    <w:rsid w:val="00D500F4"/>
    <w:rsid w:val="00D5061C"/>
    <w:rsid w:val="00D50DB8"/>
    <w:rsid w:val="00D5653E"/>
    <w:rsid w:val="00D603B2"/>
    <w:rsid w:val="00D60E38"/>
    <w:rsid w:val="00D61A18"/>
    <w:rsid w:val="00D62469"/>
    <w:rsid w:val="00D62731"/>
    <w:rsid w:val="00D62EBC"/>
    <w:rsid w:val="00D63A60"/>
    <w:rsid w:val="00D63C45"/>
    <w:rsid w:val="00D63E7E"/>
    <w:rsid w:val="00D660B8"/>
    <w:rsid w:val="00D66BCD"/>
    <w:rsid w:val="00D67551"/>
    <w:rsid w:val="00D71DD6"/>
    <w:rsid w:val="00D7301B"/>
    <w:rsid w:val="00D76B75"/>
    <w:rsid w:val="00D81C31"/>
    <w:rsid w:val="00D82688"/>
    <w:rsid w:val="00D83E02"/>
    <w:rsid w:val="00D83F08"/>
    <w:rsid w:val="00D844B2"/>
    <w:rsid w:val="00D849BB"/>
    <w:rsid w:val="00D84F91"/>
    <w:rsid w:val="00D9093B"/>
    <w:rsid w:val="00D92AF4"/>
    <w:rsid w:val="00D93A3E"/>
    <w:rsid w:val="00D93F84"/>
    <w:rsid w:val="00D9412D"/>
    <w:rsid w:val="00D94834"/>
    <w:rsid w:val="00D94AE6"/>
    <w:rsid w:val="00D9501C"/>
    <w:rsid w:val="00D96F15"/>
    <w:rsid w:val="00D97C9E"/>
    <w:rsid w:val="00DA095B"/>
    <w:rsid w:val="00DA4708"/>
    <w:rsid w:val="00DA58DA"/>
    <w:rsid w:val="00DA693D"/>
    <w:rsid w:val="00DA745C"/>
    <w:rsid w:val="00DB0EAA"/>
    <w:rsid w:val="00DB2118"/>
    <w:rsid w:val="00DB47E6"/>
    <w:rsid w:val="00DB681F"/>
    <w:rsid w:val="00DB7282"/>
    <w:rsid w:val="00DC084F"/>
    <w:rsid w:val="00DC2D2A"/>
    <w:rsid w:val="00DC45E2"/>
    <w:rsid w:val="00DC59FC"/>
    <w:rsid w:val="00DC5FE3"/>
    <w:rsid w:val="00DC6BEC"/>
    <w:rsid w:val="00DC6C0E"/>
    <w:rsid w:val="00DC7424"/>
    <w:rsid w:val="00DD16BF"/>
    <w:rsid w:val="00DD24E2"/>
    <w:rsid w:val="00DD2A64"/>
    <w:rsid w:val="00DD2E25"/>
    <w:rsid w:val="00DD3F7A"/>
    <w:rsid w:val="00DD6ABC"/>
    <w:rsid w:val="00DD7057"/>
    <w:rsid w:val="00DD78A3"/>
    <w:rsid w:val="00DE12BF"/>
    <w:rsid w:val="00DE1A1C"/>
    <w:rsid w:val="00DE43BB"/>
    <w:rsid w:val="00DE5E9B"/>
    <w:rsid w:val="00DE5F74"/>
    <w:rsid w:val="00DF0B4D"/>
    <w:rsid w:val="00DF1D27"/>
    <w:rsid w:val="00DF640C"/>
    <w:rsid w:val="00DF6B36"/>
    <w:rsid w:val="00E016F6"/>
    <w:rsid w:val="00E02C33"/>
    <w:rsid w:val="00E03A41"/>
    <w:rsid w:val="00E04776"/>
    <w:rsid w:val="00E05912"/>
    <w:rsid w:val="00E065F4"/>
    <w:rsid w:val="00E07E4A"/>
    <w:rsid w:val="00E1074F"/>
    <w:rsid w:val="00E10997"/>
    <w:rsid w:val="00E1131B"/>
    <w:rsid w:val="00E12693"/>
    <w:rsid w:val="00E13096"/>
    <w:rsid w:val="00E1394A"/>
    <w:rsid w:val="00E156EB"/>
    <w:rsid w:val="00E164CB"/>
    <w:rsid w:val="00E21892"/>
    <w:rsid w:val="00E2232D"/>
    <w:rsid w:val="00E227B6"/>
    <w:rsid w:val="00E231F0"/>
    <w:rsid w:val="00E2445A"/>
    <w:rsid w:val="00E2497D"/>
    <w:rsid w:val="00E24A1A"/>
    <w:rsid w:val="00E25F66"/>
    <w:rsid w:val="00E26B26"/>
    <w:rsid w:val="00E27782"/>
    <w:rsid w:val="00E30434"/>
    <w:rsid w:val="00E32D64"/>
    <w:rsid w:val="00E33DC4"/>
    <w:rsid w:val="00E34731"/>
    <w:rsid w:val="00E34C40"/>
    <w:rsid w:val="00E35162"/>
    <w:rsid w:val="00E35311"/>
    <w:rsid w:val="00E36B39"/>
    <w:rsid w:val="00E42397"/>
    <w:rsid w:val="00E4304B"/>
    <w:rsid w:val="00E502ED"/>
    <w:rsid w:val="00E503EE"/>
    <w:rsid w:val="00E515D1"/>
    <w:rsid w:val="00E52BFD"/>
    <w:rsid w:val="00E55484"/>
    <w:rsid w:val="00E56195"/>
    <w:rsid w:val="00E56B73"/>
    <w:rsid w:val="00E60AC8"/>
    <w:rsid w:val="00E66184"/>
    <w:rsid w:val="00E6727E"/>
    <w:rsid w:val="00E67AE1"/>
    <w:rsid w:val="00E72DC5"/>
    <w:rsid w:val="00E730DF"/>
    <w:rsid w:val="00E7506E"/>
    <w:rsid w:val="00E8332E"/>
    <w:rsid w:val="00E83EDC"/>
    <w:rsid w:val="00E85781"/>
    <w:rsid w:val="00E870DA"/>
    <w:rsid w:val="00E870E1"/>
    <w:rsid w:val="00E879FD"/>
    <w:rsid w:val="00E93ABC"/>
    <w:rsid w:val="00E94E63"/>
    <w:rsid w:val="00E97308"/>
    <w:rsid w:val="00E975C8"/>
    <w:rsid w:val="00E97E3B"/>
    <w:rsid w:val="00EA0233"/>
    <w:rsid w:val="00EA1727"/>
    <w:rsid w:val="00EA23A8"/>
    <w:rsid w:val="00EA4709"/>
    <w:rsid w:val="00EA6B66"/>
    <w:rsid w:val="00EB055D"/>
    <w:rsid w:val="00EB4669"/>
    <w:rsid w:val="00EC0568"/>
    <w:rsid w:val="00EC1336"/>
    <w:rsid w:val="00ED08A1"/>
    <w:rsid w:val="00ED5AD9"/>
    <w:rsid w:val="00ED69B8"/>
    <w:rsid w:val="00EE0A8D"/>
    <w:rsid w:val="00EE397A"/>
    <w:rsid w:val="00EE7F9A"/>
    <w:rsid w:val="00EF2089"/>
    <w:rsid w:val="00EF2A90"/>
    <w:rsid w:val="00EF460B"/>
    <w:rsid w:val="00EF7AE2"/>
    <w:rsid w:val="00F002EF"/>
    <w:rsid w:val="00F01CF5"/>
    <w:rsid w:val="00F02C4B"/>
    <w:rsid w:val="00F02D22"/>
    <w:rsid w:val="00F03CED"/>
    <w:rsid w:val="00F0437B"/>
    <w:rsid w:val="00F06018"/>
    <w:rsid w:val="00F065E4"/>
    <w:rsid w:val="00F071C9"/>
    <w:rsid w:val="00F113D6"/>
    <w:rsid w:val="00F1246D"/>
    <w:rsid w:val="00F12DA5"/>
    <w:rsid w:val="00F14549"/>
    <w:rsid w:val="00F16801"/>
    <w:rsid w:val="00F20129"/>
    <w:rsid w:val="00F2481E"/>
    <w:rsid w:val="00F24CA4"/>
    <w:rsid w:val="00F2616D"/>
    <w:rsid w:val="00F26559"/>
    <w:rsid w:val="00F277CC"/>
    <w:rsid w:val="00F35C37"/>
    <w:rsid w:val="00F36379"/>
    <w:rsid w:val="00F42F83"/>
    <w:rsid w:val="00F46006"/>
    <w:rsid w:val="00F51767"/>
    <w:rsid w:val="00F5197A"/>
    <w:rsid w:val="00F526A7"/>
    <w:rsid w:val="00F54042"/>
    <w:rsid w:val="00F56C0F"/>
    <w:rsid w:val="00F60472"/>
    <w:rsid w:val="00F62732"/>
    <w:rsid w:val="00F6347A"/>
    <w:rsid w:val="00F64A46"/>
    <w:rsid w:val="00F667BD"/>
    <w:rsid w:val="00F705EA"/>
    <w:rsid w:val="00F71026"/>
    <w:rsid w:val="00F77D42"/>
    <w:rsid w:val="00F827ED"/>
    <w:rsid w:val="00F829D5"/>
    <w:rsid w:val="00F82C91"/>
    <w:rsid w:val="00F84818"/>
    <w:rsid w:val="00F8504F"/>
    <w:rsid w:val="00F855AB"/>
    <w:rsid w:val="00F86FB4"/>
    <w:rsid w:val="00F871CE"/>
    <w:rsid w:val="00F87E49"/>
    <w:rsid w:val="00F87F2C"/>
    <w:rsid w:val="00F916E8"/>
    <w:rsid w:val="00F9187F"/>
    <w:rsid w:val="00F92228"/>
    <w:rsid w:val="00F930B6"/>
    <w:rsid w:val="00F93BAC"/>
    <w:rsid w:val="00F93E78"/>
    <w:rsid w:val="00F9606A"/>
    <w:rsid w:val="00F96429"/>
    <w:rsid w:val="00F96C7D"/>
    <w:rsid w:val="00F97136"/>
    <w:rsid w:val="00FA154A"/>
    <w:rsid w:val="00FA1A52"/>
    <w:rsid w:val="00FA2599"/>
    <w:rsid w:val="00FA2D67"/>
    <w:rsid w:val="00FA5208"/>
    <w:rsid w:val="00FB3F90"/>
    <w:rsid w:val="00FB5040"/>
    <w:rsid w:val="00FB52AF"/>
    <w:rsid w:val="00FB588B"/>
    <w:rsid w:val="00FB5980"/>
    <w:rsid w:val="00FB5BB1"/>
    <w:rsid w:val="00FB653E"/>
    <w:rsid w:val="00FC041D"/>
    <w:rsid w:val="00FC0A0A"/>
    <w:rsid w:val="00FC1095"/>
    <w:rsid w:val="00FC24DC"/>
    <w:rsid w:val="00FC37EB"/>
    <w:rsid w:val="00FC3ED8"/>
    <w:rsid w:val="00FC52A7"/>
    <w:rsid w:val="00FC55FF"/>
    <w:rsid w:val="00FC5C6C"/>
    <w:rsid w:val="00FC6CBE"/>
    <w:rsid w:val="00FC6CFB"/>
    <w:rsid w:val="00FC6DD9"/>
    <w:rsid w:val="00FD08E4"/>
    <w:rsid w:val="00FD28BB"/>
    <w:rsid w:val="00FD2A38"/>
    <w:rsid w:val="00FD3818"/>
    <w:rsid w:val="00FD5816"/>
    <w:rsid w:val="00FD611F"/>
    <w:rsid w:val="00FD6908"/>
    <w:rsid w:val="00FD6CE4"/>
    <w:rsid w:val="00FE0309"/>
    <w:rsid w:val="00FE1509"/>
    <w:rsid w:val="00FE1AF4"/>
    <w:rsid w:val="00FE3D25"/>
    <w:rsid w:val="00FE4239"/>
    <w:rsid w:val="00FE5043"/>
    <w:rsid w:val="00FE6CCB"/>
    <w:rsid w:val="00FF1C10"/>
    <w:rsid w:val="00FF28EC"/>
    <w:rsid w:val="00FF2D75"/>
    <w:rsid w:val="00FF4E1B"/>
    <w:rsid w:val="00FF4FEF"/>
    <w:rsid w:val="00FF517E"/>
    <w:rsid w:val="00FF66E0"/>
    <w:rsid w:val="00FF7B29"/>
    <w:rsid w:val="00FF7D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C11BBC"/>
  <w15:chartTrackingRefBased/>
  <w15:docId w15:val="{5387F5E8-4303-47DB-9839-E5240064A2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3399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3399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3399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3399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3399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3399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3399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3399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3399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3399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3399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3399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3399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3399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3399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3399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3399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33996"/>
    <w:rPr>
      <w:rFonts w:eastAsiaTheme="majorEastAsia" w:cstheme="majorBidi"/>
      <w:color w:val="272727" w:themeColor="text1" w:themeTint="D8"/>
    </w:rPr>
  </w:style>
  <w:style w:type="paragraph" w:styleId="Title">
    <w:name w:val="Title"/>
    <w:basedOn w:val="Normal"/>
    <w:next w:val="Normal"/>
    <w:link w:val="TitleChar"/>
    <w:uiPriority w:val="10"/>
    <w:qFormat/>
    <w:rsid w:val="00A3399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3399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3399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3399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33996"/>
    <w:pPr>
      <w:spacing w:before="160"/>
      <w:jc w:val="center"/>
    </w:pPr>
    <w:rPr>
      <w:i/>
      <w:iCs/>
      <w:color w:val="404040" w:themeColor="text1" w:themeTint="BF"/>
    </w:rPr>
  </w:style>
  <w:style w:type="character" w:customStyle="1" w:styleId="QuoteChar">
    <w:name w:val="Quote Char"/>
    <w:basedOn w:val="DefaultParagraphFont"/>
    <w:link w:val="Quote"/>
    <w:uiPriority w:val="29"/>
    <w:rsid w:val="00A33996"/>
    <w:rPr>
      <w:i/>
      <w:iCs/>
      <w:color w:val="404040" w:themeColor="text1" w:themeTint="BF"/>
    </w:rPr>
  </w:style>
  <w:style w:type="paragraph" w:styleId="ListParagraph">
    <w:name w:val="List Paragraph"/>
    <w:basedOn w:val="Normal"/>
    <w:uiPriority w:val="34"/>
    <w:qFormat/>
    <w:rsid w:val="00A33996"/>
    <w:pPr>
      <w:ind w:left="720"/>
      <w:contextualSpacing/>
    </w:pPr>
  </w:style>
  <w:style w:type="character" w:styleId="IntenseEmphasis">
    <w:name w:val="Intense Emphasis"/>
    <w:basedOn w:val="DefaultParagraphFont"/>
    <w:uiPriority w:val="21"/>
    <w:qFormat/>
    <w:rsid w:val="00A33996"/>
    <w:rPr>
      <w:i/>
      <w:iCs/>
      <w:color w:val="0F4761" w:themeColor="accent1" w:themeShade="BF"/>
    </w:rPr>
  </w:style>
  <w:style w:type="paragraph" w:styleId="IntenseQuote">
    <w:name w:val="Intense Quote"/>
    <w:basedOn w:val="Normal"/>
    <w:next w:val="Normal"/>
    <w:link w:val="IntenseQuoteChar"/>
    <w:uiPriority w:val="30"/>
    <w:qFormat/>
    <w:rsid w:val="00A3399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33996"/>
    <w:rPr>
      <w:i/>
      <w:iCs/>
      <w:color w:val="0F4761" w:themeColor="accent1" w:themeShade="BF"/>
    </w:rPr>
  </w:style>
  <w:style w:type="character" w:styleId="IntenseReference">
    <w:name w:val="Intense Reference"/>
    <w:basedOn w:val="DefaultParagraphFont"/>
    <w:uiPriority w:val="32"/>
    <w:qFormat/>
    <w:rsid w:val="00A33996"/>
    <w:rPr>
      <w:b/>
      <w:bCs/>
      <w:smallCaps/>
      <w:color w:val="0F4761" w:themeColor="accent1" w:themeShade="BF"/>
      <w:spacing w:val="5"/>
    </w:rPr>
  </w:style>
  <w:style w:type="paragraph" w:styleId="NoSpacing">
    <w:name w:val="No Spacing"/>
    <w:uiPriority w:val="1"/>
    <w:qFormat/>
    <w:rsid w:val="00A33996"/>
    <w:pPr>
      <w:spacing w:after="0" w:line="240" w:lineRule="auto"/>
    </w:pPr>
    <w:rPr>
      <w:kern w:val="0"/>
      <w14:ligatures w14:val="none"/>
    </w:rPr>
  </w:style>
  <w:style w:type="table" w:styleId="TableGrid">
    <w:name w:val="Table Grid"/>
    <w:basedOn w:val="TableNormal"/>
    <w:uiPriority w:val="39"/>
    <w:rsid w:val="007C46F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FA2D67"/>
    <w:rPr>
      <w:color w:val="467886" w:themeColor="hyperlink"/>
      <w:u w:val="single"/>
    </w:rPr>
  </w:style>
  <w:style w:type="character" w:styleId="UnresolvedMention">
    <w:name w:val="Unresolved Mention"/>
    <w:basedOn w:val="DefaultParagraphFont"/>
    <w:uiPriority w:val="99"/>
    <w:semiHidden/>
    <w:unhideWhenUsed/>
    <w:rsid w:val="00FA2D67"/>
    <w:rPr>
      <w:color w:val="605E5C"/>
      <w:shd w:val="clear" w:color="auto" w:fill="E1DFDD"/>
    </w:rPr>
  </w:style>
  <w:style w:type="character" w:styleId="FollowedHyperlink">
    <w:name w:val="FollowedHyperlink"/>
    <w:basedOn w:val="DefaultParagraphFont"/>
    <w:uiPriority w:val="99"/>
    <w:semiHidden/>
    <w:unhideWhenUsed/>
    <w:rsid w:val="0079505F"/>
    <w:rPr>
      <w:color w:val="96607D" w:themeColor="followedHyperlink"/>
      <w:u w:val="single"/>
    </w:rPr>
  </w:style>
  <w:style w:type="paragraph" w:styleId="Header">
    <w:name w:val="header"/>
    <w:basedOn w:val="Normal"/>
    <w:link w:val="HeaderChar"/>
    <w:uiPriority w:val="99"/>
    <w:unhideWhenUsed/>
    <w:rsid w:val="0041470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4702"/>
  </w:style>
  <w:style w:type="paragraph" w:styleId="Footer">
    <w:name w:val="footer"/>
    <w:basedOn w:val="Normal"/>
    <w:link w:val="FooterChar"/>
    <w:uiPriority w:val="99"/>
    <w:unhideWhenUsed/>
    <w:rsid w:val="0041470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4702"/>
  </w:style>
  <w:style w:type="character" w:styleId="PageNumber">
    <w:name w:val="page number"/>
    <w:basedOn w:val="DefaultParagraphFont"/>
    <w:uiPriority w:val="99"/>
    <w:unhideWhenUsed/>
    <w:rsid w:val="00270880"/>
  </w:style>
  <w:style w:type="paragraph" w:styleId="TOCHeading">
    <w:name w:val="TOC Heading"/>
    <w:basedOn w:val="Heading1"/>
    <w:next w:val="Normal"/>
    <w:uiPriority w:val="39"/>
    <w:unhideWhenUsed/>
    <w:qFormat/>
    <w:rsid w:val="00270880"/>
    <w:pPr>
      <w:tabs>
        <w:tab w:val="left" w:pos="1843"/>
      </w:tabs>
      <w:spacing w:beforeLines="200" w:before="480" w:afterLines="200" w:after="480" w:line="240" w:lineRule="auto"/>
      <w:jc w:val="center"/>
    </w:pPr>
    <w:rPr>
      <w:rFonts w:ascii="Times New Roman" w:hAnsi="Times New Roman" w:cs="Times New Roman"/>
      <w:b/>
      <w:bCs/>
      <w:caps/>
      <w:color w:val="auto"/>
      <w:kern w:val="0"/>
      <w:sz w:val="32"/>
      <w:szCs w:val="32"/>
      <w14:ligatures w14:val="none"/>
    </w:rPr>
  </w:style>
  <w:style w:type="paragraph" w:customStyle="1" w:styleId="Bullets">
    <w:name w:val="Bullets"/>
    <w:basedOn w:val="Normal"/>
    <w:link w:val="BulletsChar"/>
    <w:qFormat/>
    <w:rsid w:val="00270880"/>
    <w:pPr>
      <w:widowControl w:val="0"/>
      <w:numPr>
        <w:numId w:val="8"/>
      </w:numPr>
      <w:tabs>
        <w:tab w:val="left" w:pos="2694"/>
      </w:tabs>
      <w:spacing w:line="360" w:lineRule="auto"/>
      <w:contextualSpacing/>
      <w:jc w:val="both"/>
    </w:pPr>
    <w:rPr>
      <w:rFonts w:ascii="Times New Roman" w:eastAsiaTheme="minorEastAsia" w:hAnsi="Times New Roman"/>
      <w:sz w:val="24"/>
      <w:lang w:val="en-US" w:eastAsia="zh-TW"/>
      <w14:ligatures w14:val="none"/>
    </w:rPr>
  </w:style>
  <w:style w:type="character" w:customStyle="1" w:styleId="BulletsChar">
    <w:name w:val="Bullets Char"/>
    <w:basedOn w:val="DefaultParagraphFont"/>
    <w:link w:val="Bullets"/>
    <w:rsid w:val="00270880"/>
    <w:rPr>
      <w:rFonts w:ascii="Times New Roman" w:eastAsiaTheme="minorEastAsia" w:hAnsi="Times New Roman"/>
      <w:sz w:val="24"/>
      <w:lang w:val="en-US" w:eastAsia="zh-TW"/>
      <w14:ligatures w14:val="none"/>
    </w:rPr>
  </w:style>
  <w:style w:type="character" w:styleId="Strong">
    <w:name w:val="Strong"/>
    <w:basedOn w:val="DefaultParagraphFont"/>
    <w:uiPriority w:val="22"/>
    <w:rsid w:val="00270880"/>
    <w:rPr>
      <w:b/>
      <w:bCs/>
    </w:rPr>
  </w:style>
  <w:style w:type="paragraph" w:styleId="TOC1">
    <w:name w:val="toc 1"/>
    <w:basedOn w:val="Normal"/>
    <w:next w:val="Normal"/>
    <w:autoRedefine/>
    <w:uiPriority w:val="39"/>
    <w:unhideWhenUsed/>
    <w:rsid w:val="007A5C51"/>
    <w:pPr>
      <w:spacing w:after="100"/>
    </w:pPr>
  </w:style>
  <w:style w:type="paragraph" w:styleId="TOC2">
    <w:name w:val="toc 2"/>
    <w:basedOn w:val="Normal"/>
    <w:next w:val="Normal"/>
    <w:autoRedefine/>
    <w:uiPriority w:val="39"/>
    <w:unhideWhenUsed/>
    <w:rsid w:val="007A5C51"/>
    <w:pPr>
      <w:spacing w:after="100"/>
      <w:ind w:left="220"/>
    </w:pPr>
    <w:rPr>
      <w:rFonts w:eastAsiaTheme="minorEastAsia" w:cs="Times New Roman"/>
      <w:kern w:val="0"/>
      <w:lang w:val="en-US"/>
      <w14:ligatures w14:val="none"/>
    </w:rPr>
  </w:style>
  <w:style w:type="paragraph" w:styleId="TOC3">
    <w:name w:val="toc 3"/>
    <w:basedOn w:val="Normal"/>
    <w:next w:val="Normal"/>
    <w:autoRedefine/>
    <w:uiPriority w:val="39"/>
    <w:unhideWhenUsed/>
    <w:rsid w:val="007A5C51"/>
    <w:pPr>
      <w:spacing w:after="100"/>
      <w:ind w:left="440"/>
    </w:pPr>
    <w:rPr>
      <w:rFonts w:eastAsiaTheme="minorEastAsia" w:cs="Times New Roman"/>
      <w:kern w:val="0"/>
      <w:lang w:val="en-US"/>
      <w14:ligatures w14:val="none"/>
    </w:rPr>
  </w:style>
  <w:style w:type="paragraph" w:styleId="TableofFigures">
    <w:name w:val="table of figures"/>
    <w:basedOn w:val="Normal"/>
    <w:next w:val="Normal"/>
    <w:uiPriority w:val="99"/>
    <w:unhideWhenUsed/>
    <w:rsid w:val="003C7872"/>
    <w:pPr>
      <w:spacing w:after="0"/>
    </w:pPr>
  </w:style>
  <w:style w:type="paragraph" w:styleId="Caption">
    <w:name w:val="caption"/>
    <w:basedOn w:val="Normal"/>
    <w:next w:val="Normal"/>
    <w:uiPriority w:val="35"/>
    <w:unhideWhenUsed/>
    <w:qFormat/>
    <w:rsid w:val="003C7872"/>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4548844">
      <w:bodyDiv w:val="1"/>
      <w:marLeft w:val="0"/>
      <w:marRight w:val="0"/>
      <w:marTop w:val="0"/>
      <w:marBottom w:val="0"/>
      <w:divBdr>
        <w:top w:val="none" w:sz="0" w:space="0" w:color="auto"/>
        <w:left w:val="none" w:sz="0" w:space="0" w:color="auto"/>
        <w:bottom w:val="none" w:sz="0" w:space="0" w:color="auto"/>
        <w:right w:val="none" w:sz="0" w:space="0" w:color="auto"/>
      </w:divBdr>
    </w:div>
    <w:div w:id="507523604">
      <w:bodyDiv w:val="1"/>
      <w:marLeft w:val="0"/>
      <w:marRight w:val="0"/>
      <w:marTop w:val="0"/>
      <w:marBottom w:val="0"/>
      <w:divBdr>
        <w:top w:val="none" w:sz="0" w:space="0" w:color="auto"/>
        <w:left w:val="none" w:sz="0" w:space="0" w:color="auto"/>
        <w:bottom w:val="none" w:sz="0" w:space="0" w:color="auto"/>
        <w:right w:val="none" w:sz="0" w:space="0" w:color="auto"/>
      </w:divBdr>
    </w:div>
    <w:div w:id="529152665">
      <w:bodyDiv w:val="1"/>
      <w:marLeft w:val="0"/>
      <w:marRight w:val="0"/>
      <w:marTop w:val="0"/>
      <w:marBottom w:val="0"/>
      <w:divBdr>
        <w:top w:val="none" w:sz="0" w:space="0" w:color="auto"/>
        <w:left w:val="none" w:sz="0" w:space="0" w:color="auto"/>
        <w:bottom w:val="none" w:sz="0" w:space="0" w:color="auto"/>
        <w:right w:val="none" w:sz="0" w:space="0" w:color="auto"/>
      </w:divBdr>
    </w:div>
    <w:div w:id="688484357">
      <w:bodyDiv w:val="1"/>
      <w:marLeft w:val="0"/>
      <w:marRight w:val="0"/>
      <w:marTop w:val="0"/>
      <w:marBottom w:val="0"/>
      <w:divBdr>
        <w:top w:val="none" w:sz="0" w:space="0" w:color="auto"/>
        <w:left w:val="none" w:sz="0" w:space="0" w:color="auto"/>
        <w:bottom w:val="none" w:sz="0" w:space="0" w:color="auto"/>
        <w:right w:val="none" w:sz="0" w:space="0" w:color="auto"/>
      </w:divBdr>
    </w:div>
    <w:div w:id="760684245">
      <w:bodyDiv w:val="1"/>
      <w:marLeft w:val="0"/>
      <w:marRight w:val="0"/>
      <w:marTop w:val="0"/>
      <w:marBottom w:val="0"/>
      <w:divBdr>
        <w:top w:val="none" w:sz="0" w:space="0" w:color="auto"/>
        <w:left w:val="none" w:sz="0" w:space="0" w:color="auto"/>
        <w:bottom w:val="none" w:sz="0" w:space="0" w:color="auto"/>
        <w:right w:val="none" w:sz="0" w:space="0" w:color="auto"/>
      </w:divBdr>
    </w:div>
    <w:div w:id="838083380">
      <w:bodyDiv w:val="1"/>
      <w:marLeft w:val="0"/>
      <w:marRight w:val="0"/>
      <w:marTop w:val="0"/>
      <w:marBottom w:val="0"/>
      <w:divBdr>
        <w:top w:val="none" w:sz="0" w:space="0" w:color="auto"/>
        <w:left w:val="none" w:sz="0" w:space="0" w:color="auto"/>
        <w:bottom w:val="none" w:sz="0" w:space="0" w:color="auto"/>
        <w:right w:val="none" w:sz="0" w:space="0" w:color="auto"/>
      </w:divBdr>
    </w:div>
    <w:div w:id="879778435">
      <w:bodyDiv w:val="1"/>
      <w:marLeft w:val="0"/>
      <w:marRight w:val="0"/>
      <w:marTop w:val="0"/>
      <w:marBottom w:val="0"/>
      <w:divBdr>
        <w:top w:val="none" w:sz="0" w:space="0" w:color="auto"/>
        <w:left w:val="none" w:sz="0" w:space="0" w:color="auto"/>
        <w:bottom w:val="none" w:sz="0" w:space="0" w:color="auto"/>
        <w:right w:val="none" w:sz="0" w:space="0" w:color="auto"/>
      </w:divBdr>
    </w:div>
    <w:div w:id="891767145">
      <w:bodyDiv w:val="1"/>
      <w:marLeft w:val="0"/>
      <w:marRight w:val="0"/>
      <w:marTop w:val="0"/>
      <w:marBottom w:val="0"/>
      <w:divBdr>
        <w:top w:val="none" w:sz="0" w:space="0" w:color="auto"/>
        <w:left w:val="none" w:sz="0" w:space="0" w:color="auto"/>
        <w:bottom w:val="none" w:sz="0" w:space="0" w:color="auto"/>
        <w:right w:val="none" w:sz="0" w:space="0" w:color="auto"/>
      </w:divBdr>
    </w:div>
    <w:div w:id="1138112634">
      <w:bodyDiv w:val="1"/>
      <w:marLeft w:val="0"/>
      <w:marRight w:val="0"/>
      <w:marTop w:val="0"/>
      <w:marBottom w:val="0"/>
      <w:divBdr>
        <w:top w:val="none" w:sz="0" w:space="0" w:color="auto"/>
        <w:left w:val="none" w:sz="0" w:space="0" w:color="auto"/>
        <w:bottom w:val="none" w:sz="0" w:space="0" w:color="auto"/>
        <w:right w:val="none" w:sz="0" w:space="0" w:color="auto"/>
      </w:divBdr>
    </w:div>
    <w:div w:id="14604959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chilles.com/industry-insights/building-safety-and-aligning-industry-standards" TargetMode="External"/><Relationship Id="rId18" Type="http://schemas.openxmlformats.org/officeDocument/2006/relationships/hyperlink" Target="https://knowledge.bsigroup.com/products/competence-frameworks-for-building-safety-core-criteria-code-of-practice" TargetMode="External"/><Relationship Id="rId26" Type="http://schemas.openxmlformats.org/officeDocument/2006/relationships/hyperlink" Target="https://assets.publishing.service.gov.uk/media/5afc50c840f0b622e4844ab4/Building_a_Safer_Future_-_web.pdf" TargetMode="External"/><Relationship Id="rId39" Type="http://schemas.openxmlformats.org/officeDocument/2006/relationships/hyperlink" Target="https://www.planningportal.co.uk/info/200128/building_control/38/building_regulations/4" TargetMode="External"/><Relationship Id="rId21" Type="http://schemas.openxmlformats.org/officeDocument/2006/relationships/hyperlink" Target="https://constructingexcellence.org.uk/procurement-competency/" TargetMode="External"/><Relationship Id="rId34" Type="http://schemas.openxmlformats.org/officeDocument/2006/relationships/hyperlink" Target="https://ep.bmj.com/content/102/5/249" TargetMode="External"/><Relationship Id="rId42" Type="http://schemas.openxmlformats.org/officeDocument/2006/relationships/hyperlink" Target="https://www.ciob.org/blog/meeting-your-principal-contractor-obligations" TargetMode="External"/><Relationship Id="rId47"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1007/s10694-016-0615-1" TargetMode="External"/><Relationship Id="rId29" Type="http://schemas.openxmlformats.org/officeDocument/2006/relationships/hyperlink" Target="https://www.legislation.gov.uk/ukpga/2022/30/content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engc.org.uk/media/a1yfae02/uk-spec-fourth-edition.pdf" TargetMode="External"/><Relationship Id="rId32" Type="http://schemas.openxmlformats.org/officeDocument/2006/relationships/hyperlink" Target="https://www.buildingengineer.org.uk/news/hackitt-urges-professional-bodies-push-new-building-safety-competence-standard" TargetMode="External"/><Relationship Id="rId37" Type="http://schemas.openxmlformats.org/officeDocument/2006/relationships/hyperlink" Target="https://webarchive.nationalarchives.gov.uk/ukgwa/20250320200312mp_/https://www.grenfelltowerinquiry.org.uk/sites/default/files/CCS0923434692-004_GTI%20Phase%202_Report%20Overview_E-Laying_0.pdf" TargetMode="External"/><Relationship Id="rId40" Type="http://schemas.openxmlformats.org/officeDocument/2006/relationships/hyperlink" Target="https://www.architectsjournal.co.uk/news/riba-slams-hackitts-post-grenfell-review-as-major-missed-opportunity" TargetMode="External"/><Relationship Id="rId45"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publications.thebesa.com/products/besa-guidance-framework-for-principal-contractor-competence-pas-8672?_pos=1&amp;_psq" TargetMode="External"/><Relationship Id="rId23" Type="http://schemas.openxmlformats.org/officeDocument/2006/relationships/hyperlink" Target="https://www.engc.org.uk/media/atffmldz/uk-spec-hrb-standard.pdf" TargetMode="External"/><Relationship Id="rId28" Type="http://schemas.openxmlformats.org/officeDocument/2006/relationships/hyperlink" Target="https://www.legislation.gov.uk/uksi/2015/51/contents" TargetMode="External"/><Relationship Id="rId36" Type="http://schemas.openxmlformats.org/officeDocument/2006/relationships/hyperlink" Target="https://www.taylorwessing.com/en/insights-and-events/insights/2023/06/uc-enforcement-powers-under-the-building-safety-act" TargetMode="External"/><Relationship Id="rId10" Type="http://schemas.openxmlformats.org/officeDocument/2006/relationships/image" Target="media/image3.png"/><Relationship Id="rId19" Type="http://schemas.openxmlformats.org/officeDocument/2006/relationships/hyperlink" Target="https://builduk.org/wp-content/uploads/2025/07/Common-Assessment-Standard-Question-Set-Version-5.pdf" TargetMode="External"/><Relationship Id="rId31" Type="http://schemas.openxmlformats.org/officeDocument/2006/relationships/hyperlink" Target="https://committees.parliament.uk/writtenevidence/148117/html/" TargetMode="External"/><Relationship Id="rId44" Type="http://schemas.openxmlformats.org/officeDocument/2006/relationships/hyperlink" Target="https://oak.go.kr/central/journallist/journaldetail.do?article_seq=29554"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arb.org.uk/architect-information/setting-up-own-business-for-the-first-time/" TargetMode="External"/><Relationship Id="rId22" Type="http://schemas.openxmlformats.org/officeDocument/2006/relationships/hyperlink" Target="https://www.constructionleadershipcouncil.co.uk/workstream/people-and-skills/competence/" TargetMode="External"/><Relationship Id="rId27" Type="http://schemas.openxmlformats.org/officeDocument/2006/relationships/hyperlink" Target="https://www.apm.org.uk/media/i4whgdrk/delivering-competence-and-culture-change-across-the-built-environment.pdf" TargetMode="External"/><Relationship Id="rId30" Type="http://schemas.openxmlformats.org/officeDocument/2006/relationships/hyperlink" Target="https://doi.org/10.1108/ECAM-04-2020-0252" TargetMode="External"/><Relationship Id="rId35" Type="http://schemas.openxmlformats.org/officeDocument/2006/relationships/hyperlink" Target="https://ww3.rics.org/uk/en/journals/built-environment-journal/focus-on-performance--not-prescription.html" TargetMode="External"/><Relationship Id="rId43" Type="http://schemas.openxmlformats.org/officeDocument/2006/relationships/hyperlink" Target="https://doi.org/10.1016/j.ssci.2025.106900"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www.bsigroup.com/en-GB/insights-and-media/insights/brochures/pas-8672-framework-for-competence-of-individual-principal-contractors/" TargetMode="External"/><Relationship Id="rId25" Type="http://schemas.openxmlformats.org/officeDocument/2006/relationships/hyperlink" Target="https://doi.org/10.1201/9781003308133" TargetMode="External"/><Relationship Id="rId33" Type="http://schemas.openxmlformats.org/officeDocument/2006/relationships/hyperlink" Target="https://doi.org/10.1016/j.firesaf.2019.102856" TargetMode="External"/><Relationship Id="rId38" Type="http://schemas.openxmlformats.org/officeDocument/2006/relationships/hyperlink" Target="https://committees.parliament.uk/writtenevidence/147541/pdf/" TargetMode="External"/><Relationship Id="rId46" Type="http://schemas.openxmlformats.org/officeDocument/2006/relationships/fontTable" Target="fontTable.xml"/><Relationship Id="rId20" Type="http://schemas.openxmlformats.org/officeDocument/2006/relationships/hyperlink" Target="https://www.ciob.org/company-membership/training-partnerships" TargetMode="External"/><Relationship Id="rId41" Type="http://schemas.openxmlformats.org/officeDocument/2006/relationships/hyperlink" Target="https://www.thebesa.com/besa-latest-news/clients-neglect-building-safety-ac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D1D28A4-5A73-4352-A7EB-88FC0FCEBB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1321</TotalTime>
  <Pages>23</Pages>
  <Words>7845</Words>
  <Characters>44722</Characters>
  <Application>Microsoft Office Word</Application>
  <DocSecurity>0</DocSecurity>
  <Lines>372</Lines>
  <Paragraphs>104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52463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Sachin Gor</dc:creator>
  <cp:keywords/>
  <dc:description/>
  <cp:lastModifiedBy>Sachin Gor (2500753)</cp:lastModifiedBy>
  <cp:revision>78</cp:revision>
  <cp:lastPrinted>2026-01-05T15:27:00Z</cp:lastPrinted>
  <dcterms:created xsi:type="dcterms:W3CDTF">2024-08-31T10:52:00Z</dcterms:created>
  <dcterms:modified xsi:type="dcterms:W3CDTF">2026-01-10T14:42:00Z</dcterms:modified>
</cp:coreProperties>
</file>