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C689E" w:rsidRPr="004F17B1" w:rsidRDefault="00BC689E" w:rsidP="00BC689E">
      <w:pPr>
        <w:spacing w:line="360" w:lineRule="auto"/>
        <w:jc w:val="center"/>
        <w:rPr>
          <w:rFonts w:ascii="Arial" w:hAnsi="Arial" w:cs="Arial"/>
          <w:sz w:val="24"/>
          <w:szCs w:val="24"/>
        </w:rPr>
      </w:pPr>
      <w:r w:rsidRPr="004F17B1">
        <w:rPr>
          <w:rFonts w:ascii="Arial" w:hAnsi="Arial" w:cs="Arial"/>
          <w:b/>
          <w:sz w:val="24"/>
          <w:szCs w:val="24"/>
        </w:rPr>
        <w:t>STUDENT NAME:</w:t>
      </w:r>
      <w:r w:rsidRPr="004F17B1">
        <w:rPr>
          <w:rFonts w:ascii="Arial" w:hAnsi="Arial" w:cs="Arial"/>
          <w:sz w:val="24"/>
          <w:szCs w:val="24"/>
        </w:rPr>
        <w:t xml:space="preserve"> CHRISTINE AKELLO</w:t>
      </w:r>
    </w:p>
    <w:p w:rsidR="00BC689E" w:rsidRPr="004F17B1" w:rsidRDefault="00BC689E" w:rsidP="00BC689E">
      <w:pPr>
        <w:spacing w:line="360" w:lineRule="auto"/>
        <w:jc w:val="center"/>
        <w:rPr>
          <w:rFonts w:ascii="Arial" w:hAnsi="Arial" w:cs="Arial"/>
          <w:sz w:val="24"/>
          <w:szCs w:val="24"/>
        </w:rPr>
      </w:pPr>
      <w:r w:rsidRPr="004F17B1">
        <w:rPr>
          <w:rFonts w:ascii="Arial" w:hAnsi="Arial" w:cs="Arial"/>
          <w:b/>
          <w:sz w:val="24"/>
          <w:szCs w:val="24"/>
        </w:rPr>
        <w:t>STUDENT NUMBER:</w:t>
      </w:r>
      <w:r w:rsidRPr="004F17B1">
        <w:rPr>
          <w:rFonts w:ascii="Arial" w:hAnsi="Arial" w:cs="Arial"/>
          <w:sz w:val="24"/>
          <w:szCs w:val="24"/>
        </w:rPr>
        <w:t xml:space="preserve"> 2524141</w:t>
      </w:r>
    </w:p>
    <w:p w:rsidR="00BC689E" w:rsidRPr="004F17B1" w:rsidRDefault="00BC689E" w:rsidP="00BC689E">
      <w:pPr>
        <w:spacing w:line="360" w:lineRule="auto"/>
        <w:jc w:val="center"/>
        <w:rPr>
          <w:rFonts w:ascii="Arial" w:hAnsi="Arial" w:cs="Arial"/>
          <w:sz w:val="24"/>
          <w:szCs w:val="24"/>
        </w:rPr>
      </w:pPr>
      <w:r w:rsidRPr="004F17B1">
        <w:rPr>
          <w:rFonts w:ascii="Arial" w:hAnsi="Arial" w:cs="Arial"/>
          <w:b/>
          <w:sz w:val="24"/>
          <w:szCs w:val="24"/>
        </w:rPr>
        <w:t>PROGRAMME:</w:t>
      </w:r>
      <w:r w:rsidRPr="004F17B1">
        <w:rPr>
          <w:rFonts w:ascii="Arial" w:hAnsi="Arial" w:cs="Arial"/>
          <w:sz w:val="24"/>
          <w:szCs w:val="24"/>
        </w:rPr>
        <w:t xml:space="preserve"> MBA ONLINE CARMARTHEN</w:t>
      </w:r>
    </w:p>
    <w:p w:rsidR="00BC689E" w:rsidRPr="004F17B1" w:rsidRDefault="00BC689E" w:rsidP="00BC689E">
      <w:pPr>
        <w:spacing w:line="360" w:lineRule="auto"/>
        <w:jc w:val="center"/>
        <w:rPr>
          <w:rFonts w:ascii="Arial" w:hAnsi="Arial" w:cs="Arial"/>
          <w:sz w:val="24"/>
          <w:szCs w:val="24"/>
        </w:rPr>
      </w:pPr>
      <w:r w:rsidRPr="004F17B1">
        <w:rPr>
          <w:rFonts w:ascii="Arial" w:hAnsi="Arial" w:cs="Arial"/>
          <w:b/>
          <w:sz w:val="24"/>
          <w:szCs w:val="24"/>
        </w:rPr>
        <w:t>MODULE:</w:t>
      </w:r>
      <w:r w:rsidRPr="004F17B1">
        <w:rPr>
          <w:rFonts w:ascii="Arial" w:hAnsi="Arial" w:cs="Arial"/>
          <w:sz w:val="24"/>
          <w:szCs w:val="24"/>
        </w:rPr>
        <w:t xml:space="preserve"> MANAGING MARKETING CHANGE</w:t>
      </w:r>
    </w:p>
    <w:p w:rsidR="00BC689E" w:rsidRPr="004F17B1" w:rsidRDefault="00BC689E" w:rsidP="00BC689E">
      <w:pPr>
        <w:spacing w:line="360" w:lineRule="auto"/>
        <w:jc w:val="center"/>
        <w:rPr>
          <w:rFonts w:ascii="Arial" w:hAnsi="Arial" w:cs="Arial"/>
          <w:sz w:val="24"/>
          <w:szCs w:val="24"/>
        </w:rPr>
      </w:pPr>
      <w:r w:rsidRPr="004F17B1">
        <w:rPr>
          <w:rFonts w:ascii="Arial" w:hAnsi="Arial" w:cs="Arial"/>
          <w:b/>
          <w:sz w:val="24"/>
          <w:szCs w:val="24"/>
        </w:rPr>
        <w:t>MODULE CODE:</w:t>
      </w:r>
      <w:r w:rsidRPr="004F17B1">
        <w:rPr>
          <w:rFonts w:ascii="Arial" w:hAnsi="Arial" w:cs="Arial"/>
          <w:sz w:val="24"/>
          <w:szCs w:val="24"/>
        </w:rPr>
        <w:t xml:space="preserve"> BMMB7026D</w:t>
      </w:r>
    </w:p>
    <w:p w:rsidR="00BC689E" w:rsidRPr="004F17B1" w:rsidRDefault="00BC689E" w:rsidP="00BC689E">
      <w:pPr>
        <w:spacing w:line="360" w:lineRule="auto"/>
        <w:jc w:val="center"/>
        <w:rPr>
          <w:rFonts w:ascii="Arial" w:hAnsi="Arial" w:cs="Arial"/>
          <w:sz w:val="24"/>
          <w:szCs w:val="24"/>
        </w:rPr>
      </w:pPr>
      <w:r w:rsidRPr="004F17B1">
        <w:rPr>
          <w:rFonts w:ascii="Arial" w:hAnsi="Arial" w:cs="Arial"/>
          <w:b/>
          <w:sz w:val="24"/>
          <w:szCs w:val="24"/>
        </w:rPr>
        <w:t>LECTURER:</w:t>
      </w:r>
      <w:r w:rsidRPr="004F17B1">
        <w:rPr>
          <w:rFonts w:ascii="Arial" w:hAnsi="Arial" w:cs="Arial"/>
          <w:sz w:val="24"/>
          <w:szCs w:val="24"/>
        </w:rPr>
        <w:t xml:space="preserve"> NAVDEEP RANDHAWA</w:t>
      </w:r>
    </w:p>
    <w:p w:rsidR="00BC689E" w:rsidRPr="004F17B1" w:rsidRDefault="00BC689E" w:rsidP="00BC689E">
      <w:pPr>
        <w:spacing w:line="360" w:lineRule="auto"/>
        <w:jc w:val="center"/>
        <w:rPr>
          <w:rFonts w:ascii="Arial" w:hAnsi="Arial" w:cs="Arial"/>
          <w:sz w:val="24"/>
          <w:szCs w:val="24"/>
        </w:rPr>
      </w:pPr>
      <w:r w:rsidRPr="004F17B1">
        <w:rPr>
          <w:rFonts w:ascii="Arial" w:hAnsi="Arial" w:cs="Arial"/>
          <w:b/>
          <w:sz w:val="24"/>
          <w:szCs w:val="24"/>
        </w:rPr>
        <w:t>ASSIGNMENT TITLE:</w:t>
      </w:r>
      <w:r w:rsidRPr="004F17B1">
        <w:rPr>
          <w:rFonts w:ascii="Arial" w:hAnsi="Arial" w:cs="Arial"/>
          <w:sz w:val="24"/>
          <w:szCs w:val="24"/>
        </w:rPr>
        <w:t xml:space="preserve"> MANAGING MARKETING CHANGE IN THE DIGITAL ERA</w:t>
      </w:r>
    </w:p>
    <w:p w:rsidR="00BC689E" w:rsidRPr="004F17B1" w:rsidRDefault="00BC689E" w:rsidP="00BC689E">
      <w:pPr>
        <w:spacing w:line="360" w:lineRule="auto"/>
        <w:jc w:val="center"/>
        <w:rPr>
          <w:rFonts w:ascii="Arial" w:hAnsi="Arial" w:cs="Arial"/>
          <w:sz w:val="24"/>
          <w:szCs w:val="24"/>
        </w:rPr>
      </w:pPr>
      <w:r w:rsidRPr="004F17B1">
        <w:rPr>
          <w:rFonts w:ascii="Arial" w:hAnsi="Arial" w:cs="Arial"/>
          <w:b/>
          <w:sz w:val="24"/>
          <w:szCs w:val="24"/>
        </w:rPr>
        <w:t>WORD COUNT:</w:t>
      </w:r>
      <w:r>
        <w:rPr>
          <w:rFonts w:ascii="Arial" w:hAnsi="Arial" w:cs="Arial"/>
          <w:sz w:val="24"/>
          <w:szCs w:val="24"/>
        </w:rPr>
        <w:t xml:space="preserve"> 2</w:t>
      </w:r>
      <w:r w:rsidRPr="004F17B1">
        <w:rPr>
          <w:rFonts w:ascii="Arial" w:hAnsi="Arial" w:cs="Arial"/>
          <w:sz w:val="24"/>
          <w:szCs w:val="24"/>
        </w:rPr>
        <w:t>000</w:t>
      </w:r>
    </w:p>
    <w:p w:rsidR="00BC689E" w:rsidRPr="004F17B1" w:rsidRDefault="00BC689E" w:rsidP="00BC689E">
      <w:pPr>
        <w:spacing w:line="360" w:lineRule="auto"/>
        <w:jc w:val="center"/>
        <w:rPr>
          <w:rFonts w:ascii="Arial" w:hAnsi="Arial" w:cs="Arial"/>
          <w:sz w:val="24"/>
          <w:szCs w:val="24"/>
        </w:rPr>
      </w:pPr>
      <w:r w:rsidRPr="004F17B1">
        <w:rPr>
          <w:rFonts w:ascii="Arial" w:hAnsi="Arial" w:cs="Arial"/>
          <w:b/>
          <w:sz w:val="24"/>
          <w:szCs w:val="24"/>
        </w:rPr>
        <w:t>SUBMISSION DEADLINE:</w:t>
      </w:r>
      <w:r>
        <w:rPr>
          <w:rFonts w:ascii="Arial" w:hAnsi="Arial" w:cs="Arial"/>
          <w:sz w:val="24"/>
          <w:szCs w:val="24"/>
        </w:rPr>
        <w:t xml:space="preserve"> 3</w:t>
      </w:r>
      <w:r w:rsidRPr="004F17B1">
        <w:rPr>
          <w:rFonts w:ascii="Arial" w:hAnsi="Arial" w:cs="Arial"/>
          <w:sz w:val="24"/>
          <w:szCs w:val="24"/>
          <w:vertAlign w:val="superscript"/>
        </w:rPr>
        <w:t>th</w:t>
      </w:r>
      <w:r>
        <w:rPr>
          <w:rFonts w:ascii="Arial" w:hAnsi="Arial" w:cs="Arial"/>
          <w:sz w:val="24"/>
          <w:szCs w:val="24"/>
        </w:rPr>
        <w:t xml:space="preserve"> JULY</w:t>
      </w:r>
      <w:r w:rsidRPr="004F17B1">
        <w:rPr>
          <w:rFonts w:ascii="Arial" w:hAnsi="Arial" w:cs="Arial"/>
          <w:sz w:val="24"/>
          <w:szCs w:val="24"/>
        </w:rPr>
        <w:t xml:space="preserve"> 2026</w:t>
      </w:r>
    </w:p>
    <w:p w:rsidR="006B0E4B" w:rsidRDefault="006B0E4B"/>
    <w:p w:rsidR="006B0E4B" w:rsidRDefault="006B0E4B"/>
    <w:p w:rsidR="006B0E4B" w:rsidRDefault="006B0E4B"/>
    <w:p w:rsidR="006B0E4B" w:rsidRDefault="006B0E4B"/>
    <w:p w:rsidR="006B0E4B" w:rsidRDefault="006B0E4B"/>
    <w:p w:rsidR="006B0E4B" w:rsidRDefault="006B0E4B"/>
    <w:p w:rsidR="006B0E4B" w:rsidRDefault="006B0E4B"/>
    <w:p w:rsidR="006B0E4B" w:rsidRDefault="006B0E4B"/>
    <w:p w:rsidR="006B0E4B" w:rsidRDefault="006B0E4B"/>
    <w:p w:rsidR="006B0E4B" w:rsidRDefault="006B0E4B"/>
    <w:p w:rsidR="006B0E4B" w:rsidRDefault="006B0E4B"/>
    <w:p w:rsidR="006B0E4B" w:rsidRDefault="006B0E4B"/>
    <w:p w:rsidR="006B0E4B" w:rsidRDefault="006B0E4B"/>
    <w:p w:rsidR="006B0E4B" w:rsidRDefault="006B0E4B"/>
    <w:p w:rsidR="006B0E4B" w:rsidRDefault="006B0E4B"/>
    <w:p w:rsidR="006B0E4B" w:rsidRDefault="006B0E4B"/>
    <w:p w:rsidR="006B0E4B" w:rsidRDefault="006B0E4B"/>
    <w:p w:rsidR="006B0E4B" w:rsidRDefault="006B0E4B"/>
    <w:p w:rsidR="006B0E4B" w:rsidRDefault="006B0E4B"/>
    <w:p w:rsidR="00C632F4" w:rsidRPr="00E91576" w:rsidRDefault="002B4CB5" w:rsidP="00C632F4">
      <w:pPr>
        <w:spacing w:line="360" w:lineRule="auto"/>
        <w:jc w:val="center"/>
        <w:rPr>
          <w:rFonts w:ascii="Arial" w:hAnsi="Arial" w:cs="Arial"/>
          <w:b/>
          <w:sz w:val="28"/>
          <w:szCs w:val="28"/>
        </w:rPr>
      </w:pPr>
      <w:r w:rsidRPr="00E91576">
        <w:rPr>
          <w:rFonts w:ascii="Arial" w:hAnsi="Arial" w:cs="Arial"/>
          <w:b/>
          <w:sz w:val="28"/>
          <w:szCs w:val="28"/>
        </w:rPr>
        <w:lastRenderedPageBreak/>
        <w:t>LINK TO VIDEO</w:t>
      </w:r>
      <w:r w:rsidR="00D61CA2" w:rsidRPr="00E91576">
        <w:rPr>
          <w:rFonts w:ascii="Arial" w:hAnsi="Arial" w:cs="Arial"/>
          <w:b/>
          <w:sz w:val="28"/>
          <w:szCs w:val="28"/>
        </w:rPr>
        <w:t xml:space="preserve"> </w:t>
      </w:r>
      <w:r w:rsidR="00E91576">
        <w:rPr>
          <w:rFonts w:ascii="Arial" w:hAnsi="Arial" w:cs="Arial"/>
          <w:b/>
          <w:sz w:val="28"/>
          <w:szCs w:val="28"/>
        </w:rPr>
        <w:t>PRESENTATION</w:t>
      </w:r>
    </w:p>
    <w:p w:rsidR="00D52280" w:rsidRPr="00D52280" w:rsidRDefault="00D52280" w:rsidP="00D52280">
      <w:pPr>
        <w:jc w:val="center"/>
        <w:rPr>
          <w:rFonts w:ascii="Arial" w:hAnsi="Arial" w:cs="Arial"/>
          <w:sz w:val="24"/>
          <w:szCs w:val="24"/>
        </w:rPr>
      </w:pPr>
      <w:hyperlink r:id="rId5" w:history="1">
        <w:r w:rsidRPr="00D52280">
          <w:rPr>
            <w:rStyle w:val="Hyperlink"/>
            <w:rFonts w:ascii="Arial" w:hAnsi="Arial" w:cs="Arial"/>
            <w:sz w:val="24"/>
            <w:szCs w:val="24"/>
          </w:rPr>
          <w:t>BMMB7026D- TASK 2- CHRISTINE AKELLO-2524141.mp4</w:t>
        </w:r>
      </w:hyperlink>
    </w:p>
    <w:p w:rsidR="002A1A21" w:rsidRPr="002A1A21" w:rsidRDefault="002A1A21" w:rsidP="00B83DED">
      <w:pPr>
        <w:jc w:val="center"/>
        <w:rPr>
          <w:rFonts w:ascii="Arial" w:hAnsi="Arial" w:cs="Arial"/>
        </w:rPr>
      </w:pPr>
    </w:p>
    <w:p w:rsidR="00D41A04" w:rsidRPr="00E91576" w:rsidRDefault="006B0E4B" w:rsidP="00070440">
      <w:pPr>
        <w:spacing w:line="360" w:lineRule="auto"/>
        <w:jc w:val="center"/>
        <w:rPr>
          <w:rFonts w:ascii="Arial" w:hAnsi="Arial" w:cs="Arial"/>
          <w:b/>
          <w:sz w:val="28"/>
          <w:szCs w:val="28"/>
        </w:rPr>
      </w:pPr>
      <w:r w:rsidRPr="00E91576">
        <w:rPr>
          <w:rFonts w:ascii="Arial" w:hAnsi="Arial" w:cs="Arial"/>
          <w:b/>
          <w:sz w:val="28"/>
          <w:szCs w:val="28"/>
        </w:rPr>
        <w:t>SCRIPT</w:t>
      </w:r>
      <w:bookmarkStart w:id="0" w:name="_GoBack"/>
      <w:bookmarkEnd w:id="0"/>
    </w:p>
    <w:p w:rsidR="002A1A21" w:rsidRPr="002A1A21" w:rsidRDefault="002A1A21" w:rsidP="002A1A21">
      <w:pPr>
        <w:numPr>
          <w:ilvl w:val="0"/>
          <w:numId w:val="3"/>
        </w:numPr>
        <w:spacing w:after="0" w:line="360" w:lineRule="auto"/>
        <w:jc w:val="both"/>
        <w:rPr>
          <w:rFonts w:ascii="Arial" w:eastAsia="Times New Roman" w:hAnsi="Arial" w:cs="Arial"/>
          <w:sz w:val="24"/>
          <w:szCs w:val="24"/>
          <w:lang w:eastAsia="en-GB"/>
        </w:rPr>
      </w:pPr>
      <w:r w:rsidRPr="002A1A21">
        <w:rPr>
          <w:rFonts w:ascii="Arial" w:eastAsia="Times New Roman" w:hAnsi="Arial" w:cs="Arial"/>
          <w:sz w:val="24"/>
          <w:szCs w:val="24"/>
          <w:lang w:eastAsia="en-GB"/>
        </w:rPr>
        <w:t xml:space="preserve">Good morning, my name is Christine Akello. Welcome to this presentation on managing marketing change in the Digital era at Turner &amp; Townsend Canada. </w:t>
      </w:r>
    </w:p>
    <w:p w:rsidR="002A1A21" w:rsidRPr="002A1A21" w:rsidRDefault="002A1A21" w:rsidP="002A1A21">
      <w:pPr>
        <w:numPr>
          <w:ilvl w:val="0"/>
          <w:numId w:val="3"/>
        </w:numPr>
        <w:spacing w:after="0" w:line="360" w:lineRule="auto"/>
        <w:jc w:val="both"/>
        <w:rPr>
          <w:rFonts w:ascii="Arial" w:eastAsia="Times New Roman" w:hAnsi="Arial" w:cs="Arial"/>
          <w:sz w:val="24"/>
          <w:szCs w:val="24"/>
          <w:lang w:eastAsia="en-GB"/>
        </w:rPr>
      </w:pPr>
      <w:r w:rsidRPr="002A1A21">
        <w:rPr>
          <w:rFonts w:ascii="Arial" w:eastAsia="Times New Roman" w:hAnsi="Arial" w:cs="Arial"/>
          <w:sz w:val="24"/>
          <w:szCs w:val="24"/>
          <w:lang w:val="en-US" w:eastAsia="en-GB"/>
        </w:rPr>
        <w:t xml:space="preserve">This presentation will cover key findings from evaluation of the marketing function at Turner &amp; Townsend Canada, a critical overview of how marketing contributes to organisational performance, strategic recommendations for managing marketing change, anticipated future challenges and opportunities, and actionable priorities for the organisation. </w:t>
      </w:r>
    </w:p>
    <w:p w:rsidR="002A1A21" w:rsidRPr="002A1A21" w:rsidRDefault="002A1A21" w:rsidP="002A1A21">
      <w:pPr>
        <w:numPr>
          <w:ilvl w:val="0"/>
          <w:numId w:val="3"/>
        </w:numPr>
        <w:spacing w:after="0" w:line="360" w:lineRule="auto"/>
        <w:jc w:val="both"/>
        <w:rPr>
          <w:rFonts w:ascii="Arial" w:eastAsia="Times New Roman" w:hAnsi="Arial" w:cs="Arial"/>
          <w:sz w:val="24"/>
          <w:szCs w:val="24"/>
          <w:lang w:eastAsia="en-GB"/>
        </w:rPr>
      </w:pPr>
      <w:r w:rsidRPr="002A1A21">
        <w:rPr>
          <w:rFonts w:ascii="Arial" w:eastAsia="Times New Roman" w:hAnsi="Arial" w:cs="Arial"/>
          <w:sz w:val="24"/>
          <w:szCs w:val="24"/>
          <w:lang w:eastAsia="en-GB"/>
        </w:rPr>
        <w:t>There are several key findings from critical evaluation of marketing function at Turner &amp; Townsend Canada- which is a global consulting firm who successfully help clients deliver major projects and programmes in different sectors including infrastructure, real estate, energy and nat</w:t>
      </w:r>
      <w:r w:rsidR="00AB180E">
        <w:rPr>
          <w:rFonts w:ascii="Arial" w:eastAsia="Times New Roman" w:hAnsi="Arial" w:cs="Arial"/>
          <w:sz w:val="24"/>
          <w:szCs w:val="24"/>
          <w:lang w:eastAsia="en-GB"/>
        </w:rPr>
        <w:t>ural resources. These include; C</w:t>
      </w:r>
      <w:r w:rsidRPr="002A1A21">
        <w:rPr>
          <w:rFonts w:ascii="Arial" w:eastAsia="Times New Roman" w:hAnsi="Arial" w:cs="Arial"/>
          <w:sz w:val="24"/>
          <w:szCs w:val="24"/>
          <w:lang w:eastAsia="en-GB"/>
        </w:rPr>
        <w:t xml:space="preserve">urrent marketing activities at the organisation are data driven, positioning the company as data-led expert advisor. They are segmented on a multi-level structure, and target capital programmes that are large and complex, clients in public sectors, and analytical oriented decision makers. In addition, the core product for the organisation include project management, cost and commercial management, procurement and supply-chain support, programme advisory, digital project-control solutions, and sustainability. Moreover, value-based approach is supported by the current marketing activities with justifiable premium pricing. They also have offices across several major cities in Canada, and they distribute insights through digital channels via market intelligence reports, website, global network, case studies and visual branding. The current marketing activities also have several strengths, weaknesses, opportunities and threats. In addition, they are ethical, aligns with Canadian expectations, and shows a clear understanding of how sustainability play a core value creation in the built-environment sector. Another key finding is that disruptive technologies, evolving market dynamics and digital-age consumer behaviour play key roles in driving changes at the organisation. And finally, in terms of </w:t>
      </w:r>
      <w:r w:rsidRPr="002A1A21">
        <w:rPr>
          <w:rFonts w:ascii="Arial" w:eastAsia="Times New Roman" w:hAnsi="Arial" w:cs="Arial"/>
          <w:sz w:val="24"/>
          <w:szCs w:val="24"/>
          <w:lang w:eastAsia="en-GB"/>
        </w:rPr>
        <w:lastRenderedPageBreak/>
        <w:t xml:space="preserve">future developments in marketing, the report argues that it will be more data-driven, personalised and technology enabled which will likely raise more concern around privacy and ethics that can damage trust, which is an important value in consulting businesses. </w:t>
      </w:r>
    </w:p>
    <w:p w:rsidR="002A1A21" w:rsidRPr="002A1A21" w:rsidRDefault="002A1A21" w:rsidP="002A1A21">
      <w:pPr>
        <w:numPr>
          <w:ilvl w:val="0"/>
          <w:numId w:val="3"/>
        </w:numPr>
        <w:spacing w:after="0" w:line="360" w:lineRule="auto"/>
        <w:jc w:val="both"/>
        <w:rPr>
          <w:rFonts w:ascii="Arial" w:eastAsia="Times New Roman" w:hAnsi="Arial" w:cs="Arial"/>
          <w:sz w:val="24"/>
          <w:szCs w:val="24"/>
          <w:lang w:eastAsia="en-GB"/>
        </w:rPr>
      </w:pPr>
      <w:r w:rsidRPr="002A1A21">
        <w:rPr>
          <w:rFonts w:ascii="Arial" w:eastAsia="Times New Roman" w:hAnsi="Arial" w:cs="Arial"/>
          <w:sz w:val="24"/>
          <w:szCs w:val="24"/>
          <w:lang w:eastAsia="en-GB"/>
        </w:rPr>
        <w:t xml:space="preserve">In terms of how marketing contributes to organisational performance, effective marketing strategy depends on competitive positioning that is clear, value differentiation that is strong, and demand-led approach that responds to client needs. At Turner &amp; Townsend Canada, marketing contributes to organisational performance by ensuring the value proposition being offered aligns with market conditions, influences clients’ perceptions, and enhances the firm’s competitive positioning. This is done through promoting capabilities that are important in Canadian construction market, which is facing pressures due to inflation, labour shortages, and investment behaviour that is cautious. The organisation therefore build credibility and maintain client trust, which supports performance through reputation and perceived reliability.  For marketing to contribute most effectively to performance, it should integrate segmentation, targeting and a value creation that is customer-centric. However, marketing at the organisation is mostly centred on general thought-leadership outputs e.g. market intelligence reports, instead of segmentation or differentiated messaging. This therefore only strengthens brand authority but may not fully help with acquisition or retention of clients, creating a gap between strategic marketing theory and practice. In addition, even though the insights from the organisation reinforce expertise, they may not translate into quantifiable competitive advantage or a market share that is stronger. </w:t>
      </w:r>
    </w:p>
    <w:p w:rsidR="00070440" w:rsidRPr="007B15EE" w:rsidRDefault="002A1A21" w:rsidP="007B15EE">
      <w:pPr>
        <w:numPr>
          <w:ilvl w:val="0"/>
          <w:numId w:val="3"/>
        </w:numPr>
        <w:spacing w:after="0" w:line="360" w:lineRule="auto"/>
        <w:jc w:val="both"/>
        <w:rPr>
          <w:rFonts w:ascii="Arial" w:eastAsia="Times New Roman" w:hAnsi="Arial" w:cs="Arial"/>
          <w:sz w:val="24"/>
          <w:szCs w:val="24"/>
          <w:lang w:eastAsia="en-GB"/>
        </w:rPr>
      </w:pPr>
      <w:r w:rsidRPr="002A1A21">
        <w:rPr>
          <w:rFonts w:ascii="Arial" w:eastAsia="Times New Roman" w:hAnsi="Arial" w:cs="Arial"/>
          <w:sz w:val="24"/>
          <w:szCs w:val="24"/>
          <w:lang w:eastAsia="en-GB"/>
        </w:rPr>
        <w:t>For Turner &amp; Townsend Canada to remain competitive in the marketplace, the following strategic recommendations for managing marketing change can be adopted;</w:t>
      </w:r>
      <w:r w:rsidR="007B15EE">
        <w:rPr>
          <w:rFonts w:ascii="Arial" w:eastAsia="Times New Roman" w:hAnsi="Arial" w:cs="Arial"/>
          <w:sz w:val="24"/>
          <w:szCs w:val="24"/>
          <w:lang w:eastAsia="en-GB"/>
        </w:rPr>
        <w:t xml:space="preserve"> </w:t>
      </w:r>
      <w:r w:rsidRPr="007B15EE">
        <w:rPr>
          <w:rFonts w:ascii="Arial" w:eastAsia="Times New Roman" w:hAnsi="Arial" w:cs="Arial"/>
          <w:sz w:val="24"/>
          <w:szCs w:val="24"/>
          <w:lang w:eastAsia="en-GB"/>
        </w:rPr>
        <w:t>First, a strategic positioning that is market driven. To remain relevant, organisations must enhance how they segment, target and value proposition themselves when facing dynamic markets. For the organisation, they can align market decisions with client value creation and competitive positioning by adopting a market-driven strategic orientation. This can be done by differentiating their increasingly demanded services in the C</w:t>
      </w:r>
      <w:r w:rsidR="007B15EE">
        <w:rPr>
          <w:rFonts w:ascii="Arial" w:eastAsia="Times New Roman" w:hAnsi="Arial" w:cs="Arial"/>
          <w:sz w:val="24"/>
          <w:szCs w:val="24"/>
          <w:lang w:eastAsia="en-GB"/>
        </w:rPr>
        <w:t xml:space="preserve">anadian infrastructure and real </w:t>
      </w:r>
      <w:r w:rsidRPr="007B15EE">
        <w:rPr>
          <w:rFonts w:ascii="Arial" w:eastAsia="Times New Roman" w:hAnsi="Arial" w:cs="Arial"/>
          <w:sz w:val="24"/>
          <w:szCs w:val="24"/>
          <w:lang w:eastAsia="en-GB"/>
        </w:rPr>
        <w:t xml:space="preserve">estate sectors around cost certainty, risk management, </w:t>
      </w:r>
      <w:r w:rsidRPr="007B15EE">
        <w:rPr>
          <w:rFonts w:ascii="Arial" w:eastAsia="Times New Roman" w:hAnsi="Arial" w:cs="Arial"/>
          <w:sz w:val="24"/>
          <w:szCs w:val="24"/>
          <w:lang w:eastAsia="en-GB"/>
        </w:rPr>
        <w:lastRenderedPageBreak/>
        <w:t xml:space="preserve">and digital project controls. A structured STP approach as shown in appendix A can enable the organisation to reposition themselves as a measurable outcome delivery partner instead of traditional consultancy output.  Second, they can manage marketing change by strengthening their market capabilities through increased digital transformation. To enhance customer experience and internal decision making, organisations must integrate data-driven tools and automation, making digital transformation central to modern marketing change. This is driven by the rise in the clients’ expectation for transparent, and data-supported insights from professional service providers. For example, to improve campaign effectiveness, Turner &amp; Townsend Canada can adopt digital analytics dashboards, automated client-insight systems, and content-performance tracking, as shown in appendix B. These will enable the organisation to have a better understanding of customer needs and tailor messaging to decision-makers. And finally, the organisation can manage marketing change by institutionalising mechanisms of continuous client insight such as structured feedback loops, as shown on Appendix C to adjust service offerings and marketing content. Examples include CRM-based engagement scoring, post-project survey, and digital sentiment tracking. Advancement in digital innovations such as Artificial Intelligence (AI) has improved the ability for organisations to capture and analyse customer behaviour. These strategies therefore will ensure marketing change at the organisation are managed based on real client needs rather than assumptions by the marketing department. </w:t>
      </w:r>
    </w:p>
    <w:p w:rsidR="002A1A21" w:rsidRPr="002A1A21" w:rsidRDefault="002A1A21" w:rsidP="002A1A21">
      <w:pPr>
        <w:numPr>
          <w:ilvl w:val="0"/>
          <w:numId w:val="3"/>
        </w:numPr>
        <w:spacing w:after="0" w:line="360" w:lineRule="auto"/>
        <w:jc w:val="both"/>
        <w:rPr>
          <w:rFonts w:ascii="Arial" w:eastAsia="Times New Roman" w:hAnsi="Arial" w:cs="Arial"/>
          <w:sz w:val="24"/>
          <w:szCs w:val="24"/>
          <w:lang w:eastAsia="en-GB"/>
        </w:rPr>
      </w:pPr>
      <w:r w:rsidRPr="002A1A21">
        <w:rPr>
          <w:rFonts w:ascii="Arial" w:eastAsia="Times New Roman" w:hAnsi="Arial" w:cs="Arial"/>
          <w:sz w:val="24"/>
          <w:szCs w:val="24"/>
          <w:lang w:eastAsia="en-GB"/>
        </w:rPr>
        <w:t xml:space="preserve">There are several emerging challenges and opportunities in marketing for Turner &amp; Townsend Canada. In terms of challenges, we have volatile Canadian construction market environment and rapid speed of digital transformation. Volatile Canadian construction market environment is likely one of the key future challenges for the organisation as the sector is increasingly facing cost escalation, shortages in labour, and constraints in productivity which puts pressure on clients to ensure they get greater certainty and value from service providers like Turner &amp; Townsend Canada. Therefore, the organisation should clearly communicate their ability to successfully deliver cost control, programme certainty, and risk management in a volatile market where clients are increasingly becoming risk-averse. In addition, so many other firms are offering similar digital and advisory services, which compounds this challenge </w:t>
      </w:r>
      <w:r w:rsidRPr="002A1A21">
        <w:rPr>
          <w:rFonts w:ascii="Arial" w:eastAsia="Times New Roman" w:hAnsi="Arial" w:cs="Arial"/>
          <w:sz w:val="24"/>
          <w:szCs w:val="24"/>
          <w:lang w:eastAsia="en-GB"/>
        </w:rPr>
        <w:lastRenderedPageBreak/>
        <w:t xml:space="preserve">as the organisation needs to differentiate itself in a competitive construction consultancy environment. In terms of rapid speed of digital transformation, organisations are facing pressure to integrate digital technologies into their marketing and service delivery models, despite the struggle with organisational readiness and capability gaps. This means marketing at the organisation needs to be refined to reflect a more data-driven, technology-enabled value proposition. This however requires communication of complex digital solutions in a clear and client-centric way, plus investments in internal alignment and digital tools. </w:t>
      </w:r>
    </w:p>
    <w:p w:rsidR="00070440" w:rsidRPr="002A1A21" w:rsidRDefault="002A1A21" w:rsidP="002A1A21">
      <w:pPr>
        <w:numPr>
          <w:ilvl w:val="0"/>
          <w:numId w:val="3"/>
        </w:numPr>
        <w:spacing w:after="0" w:line="360" w:lineRule="auto"/>
        <w:jc w:val="both"/>
        <w:rPr>
          <w:rFonts w:ascii="Arial" w:eastAsia="Times New Roman" w:hAnsi="Arial" w:cs="Arial"/>
          <w:sz w:val="24"/>
          <w:szCs w:val="24"/>
          <w:lang w:eastAsia="en-GB"/>
        </w:rPr>
      </w:pPr>
      <w:r w:rsidRPr="002A1A21">
        <w:rPr>
          <w:rFonts w:ascii="Arial" w:eastAsia="Times New Roman" w:hAnsi="Arial" w:cs="Arial"/>
          <w:sz w:val="24"/>
          <w:szCs w:val="24"/>
          <w:lang w:eastAsia="en-GB"/>
        </w:rPr>
        <w:t xml:space="preserve">Despite the challenges, there are significant opportunities that the organisation can leverage to strengthen its market position. First, its Digital marketing. There is an increased importance in personalised and analytical-driven marketing approaches, fuelled by rapid innovation in technology. This creates an opportunity for the organisation to target specific client segments such as real estate developers and infrastructure owners using digital channels with tailored insights and value propositions. In addition, they can strengthen the organisation’s brand authority, and support client acquisition using enhanced content marketing, thought leadership, and data-supported insights. Second, we have Digital transformation shift across industries. Organisations value partners that can support both technological adoption and strategic change which creates an opportunity for the organisation to market its advisory services in areas such as digital project controls, data-analytics, and technology-enabled programme management. This can highlight the organisation’s expertise in assisting clients to navigate digital maturity challenges. </w:t>
      </w:r>
    </w:p>
    <w:p w:rsidR="002A1A21" w:rsidRPr="002A1A21" w:rsidRDefault="002A1A21" w:rsidP="002A1A21">
      <w:pPr>
        <w:numPr>
          <w:ilvl w:val="0"/>
          <w:numId w:val="3"/>
        </w:numPr>
        <w:spacing w:after="0" w:line="360" w:lineRule="auto"/>
        <w:jc w:val="both"/>
        <w:rPr>
          <w:rFonts w:ascii="Arial" w:eastAsia="Times New Roman" w:hAnsi="Arial" w:cs="Arial"/>
          <w:sz w:val="24"/>
          <w:szCs w:val="24"/>
          <w:lang w:eastAsia="en-GB"/>
        </w:rPr>
      </w:pPr>
      <w:r w:rsidRPr="002A1A21">
        <w:rPr>
          <w:rFonts w:ascii="Arial" w:eastAsia="Times New Roman" w:hAnsi="Arial" w:cs="Arial"/>
          <w:sz w:val="24"/>
          <w:szCs w:val="24"/>
          <w:lang w:eastAsia="en-GB"/>
        </w:rPr>
        <w:t xml:space="preserve">To conclude, I would recommend two actionable priorities for Turner &amp; Townsend Canada. First, they can enhance their digital marketing and thought leadership. The organisation can focus on creating a digital-first marketing framework that emphasise its expertise in cost and risk management and digital project delivery. The organisation can strengthen its visibility through creation of thought leadership that is targeted, and digital content that aligns with emerging construction sector trends such as sustainability, digital transformation, and productivity. This is because clients in volatile markets are increasingly looking for certainty and data-driven insights. And second, they </w:t>
      </w:r>
      <w:r w:rsidRPr="002A1A21">
        <w:rPr>
          <w:rFonts w:ascii="Arial" w:eastAsia="Times New Roman" w:hAnsi="Arial" w:cs="Arial"/>
          <w:sz w:val="24"/>
          <w:szCs w:val="24"/>
          <w:lang w:eastAsia="en-GB"/>
        </w:rPr>
        <w:lastRenderedPageBreak/>
        <w:t xml:space="preserve">can utilise market intelligence and sector-specific insights to strengthen client engagement. The organisation can position itself as a trusted advisor by providing clients with regular updates on cost trends, risk factors and labour dynamics. This can be achieved through investing in structured, proactive client engagement created around timely market intelligence. </w:t>
      </w:r>
    </w:p>
    <w:p w:rsidR="002A1A21" w:rsidRPr="002A1A21" w:rsidRDefault="002A1A21" w:rsidP="002A1A21">
      <w:pPr>
        <w:numPr>
          <w:ilvl w:val="0"/>
          <w:numId w:val="3"/>
        </w:numPr>
        <w:spacing w:after="0" w:line="360" w:lineRule="auto"/>
        <w:jc w:val="both"/>
        <w:rPr>
          <w:rFonts w:ascii="Arial" w:eastAsia="Times New Roman" w:hAnsi="Arial" w:cs="Arial"/>
          <w:sz w:val="24"/>
          <w:szCs w:val="24"/>
          <w:lang w:eastAsia="en-GB"/>
        </w:rPr>
      </w:pPr>
      <w:r w:rsidRPr="002A1A21">
        <w:rPr>
          <w:rFonts w:ascii="Arial" w:eastAsia="Times New Roman" w:hAnsi="Arial" w:cs="Arial"/>
          <w:sz w:val="24"/>
          <w:szCs w:val="24"/>
          <w:lang w:eastAsia="en-GB"/>
        </w:rPr>
        <w:t xml:space="preserve">This is an illustration of a structured STP marketing approach discussed earlier. </w:t>
      </w:r>
    </w:p>
    <w:p w:rsidR="002A1A21" w:rsidRPr="002A1A21" w:rsidRDefault="002A1A21" w:rsidP="002A1A21">
      <w:pPr>
        <w:numPr>
          <w:ilvl w:val="0"/>
          <w:numId w:val="3"/>
        </w:numPr>
        <w:spacing w:after="0" w:line="360" w:lineRule="auto"/>
        <w:jc w:val="both"/>
        <w:rPr>
          <w:rFonts w:ascii="Arial" w:eastAsia="Times New Roman" w:hAnsi="Arial" w:cs="Arial"/>
          <w:sz w:val="24"/>
          <w:szCs w:val="24"/>
          <w:lang w:eastAsia="en-GB"/>
        </w:rPr>
      </w:pPr>
      <w:r w:rsidRPr="002A1A21">
        <w:rPr>
          <w:rFonts w:ascii="Arial" w:eastAsia="Times New Roman" w:hAnsi="Arial" w:cs="Arial"/>
          <w:sz w:val="24"/>
          <w:szCs w:val="24"/>
          <w:lang w:eastAsia="en-GB"/>
        </w:rPr>
        <w:t xml:space="preserve">This shows an example of digital marketing dashboard also discussed earlier. </w:t>
      </w:r>
    </w:p>
    <w:p w:rsidR="002A1A21" w:rsidRDefault="002A1A21" w:rsidP="002A1A21">
      <w:pPr>
        <w:numPr>
          <w:ilvl w:val="0"/>
          <w:numId w:val="3"/>
        </w:numPr>
        <w:spacing w:after="0" w:line="360" w:lineRule="auto"/>
        <w:jc w:val="both"/>
        <w:rPr>
          <w:rFonts w:ascii="Arial" w:eastAsia="Times New Roman" w:hAnsi="Arial" w:cs="Arial"/>
          <w:sz w:val="24"/>
          <w:szCs w:val="24"/>
          <w:lang w:eastAsia="en-GB"/>
        </w:rPr>
      </w:pPr>
      <w:r w:rsidRPr="002A1A21">
        <w:rPr>
          <w:rFonts w:ascii="Arial" w:eastAsia="Times New Roman" w:hAnsi="Arial" w:cs="Arial"/>
          <w:sz w:val="24"/>
          <w:szCs w:val="24"/>
          <w:lang w:eastAsia="en-GB"/>
        </w:rPr>
        <w:t>And finally, this demonstrates a customer insigh</w:t>
      </w:r>
      <w:bookmarkStart w:id="1" w:name="_Toc226968791"/>
      <w:r>
        <w:rPr>
          <w:rFonts w:ascii="Arial" w:eastAsia="Times New Roman" w:hAnsi="Arial" w:cs="Arial"/>
          <w:sz w:val="24"/>
          <w:szCs w:val="24"/>
          <w:lang w:eastAsia="en-GB"/>
        </w:rPr>
        <w:t>t loop discussed above as well.</w:t>
      </w:r>
    </w:p>
    <w:p w:rsidR="002A1A21" w:rsidRDefault="002A1A21" w:rsidP="002A1A21">
      <w:pPr>
        <w:numPr>
          <w:ilvl w:val="0"/>
          <w:numId w:val="3"/>
        </w:numPr>
        <w:spacing w:after="0" w:line="360" w:lineRule="auto"/>
        <w:jc w:val="both"/>
        <w:rPr>
          <w:rFonts w:ascii="Arial" w:eastAsia="Times New Roman" w:hAnsi="Arial" w:cs="Arial"/>
          <w:sz w:val="24"/>
          <w:szCs w:val="24"/>
          <w:lang w:eastAsia="en-GB"/>
        </w:rPr>
      </w:pPr>
      <w:r w:rsidRPr="002A1A21">
        <w:rPr>
          <w:rFonts w:ascii="Arial" w:eastAsia="Times New Roman" w:hAnsi="Arial" w:cs="Arial"/>
          <w:sz w:val="24"/>
          <w:szCs w:val="24"/>
          <w:lang w:eastAsia="en-GB"/>
        </w:rPr>
        <w:t xml:space="preserve">And that is the end of this presentation. Thank you very much for your time. </w:t>
      </w:r>
    </w:p>
    <w:p w:rsidR="009A312B" w:rsidRPr="009A312B" w:rsidRDefault="009A312B" w:rsidP="009A312B"/>
    <w:p w:rsidR="009A312B" w:rsidRPr="009A312B" w:rsidRDefault="009A312B" w:rsidP="009A312B"/>
    <w:p w:rsidR="009A312B" w:rsidRPr="009A312B" w:rsidRDefault="009A312B" w:rsidP="009A312B"/>
    <w:p w:rsidR="009A312B" w:rsidRPr="009A312B" w:rsidRDefault="009A312B" w:rsidP="009A312B"/>
    <w:p w:rsidR="009A312B" w:rsidRPr="009A312B" w:rsidRDefault="009A312B" w:rsidP="009A312B"/>
    <w:p w:rsidR="009A312B" w:rsidRPr="009A312B" w:rsidRDefault="009A312B" w:rsidP="009A312B"/>
    <w:p w:rsidR="009A312B" w:rsidRPr="009A312B" w:rsidRDefault="009A312B" w:rsidP="009A312B"/>
    <w:p w:rsidR="009A312B" w:rsidRPr="009A312B" w:rsidRDefault="009A312B" w:rsidP="009A312B"/>
    <w:p w:rsidR="009A312B" w:rsidRPr="009A312B" w:rsidRDefault="009A312B" w:rsidP="009A312B"/>
    <w:p w:rsidR="009A312B" w:rsidRPr="009A312B" w:rsidRDefault="009A312B" w:rsidP="009A312B"/>
    <w:p w:rsidR="009A312B" w:rsidRPr="009A312B" w:rsidRDefault="009A312B" w:rsidP="009A312B"/>
    <w:p w:rsidR="009A312B" w:rsidRPr="009A312B" w:rsidRDefault="009A312B" w:rsidP="009A312B"/>
    <w:p w:rsidR="009A312B" w:rsidRPr="009A312B" w:rsidRDefault="009A312B" w:rsidP="009A312B"/>
    <w:p w:rsidR="009A312B" w:rsidRPr="009A312B" w:rsidRDefault="009A312B" w:rsidP="009A312B"/>
    <w:p w:rsidR="009A312B" w:rsidRPr="009A312B" w:rsidRDefault="009A312B" w:rsidP="009A312B"/>
    <w:p w:rsidR="009A312B" w:rsidRPr="009A312B" w:rsidRDefault="009A312B" w:rsidP="009A312B"/>
    <w:p w:rsidR="009A312B" w:rsidRPr="009A312B" w:rsidRDefault="009A312B" w:rsidP="009A312B"/>
    <w:p w:rsidR="009A312B" w:rsidRPr="009A312B" w:rsidRDefault="009A312B" w:rsidP="009A312B"/>
    <w:p w:rsidR="009A312B" w:rsidRDefault="009A312B" w:rsidP="009A312B"/>
    <w:p w:rsidR="001407DB" w:rsidRPr="009A312B" w:rsidRDefault="001407DB" w:rsidP="009A312B"/>
    <w:p w:rsidR="009A312B" w:rsidRDefault="009A312B" w:rsidP="009A312B">
      <w:pPr>
        <w:keepNext/>
        <w:keepLines/>
        <w:spacing w:after="0" w:line="360" w:lineRule="auto"/>
        <w:outlineLvl w:val="0"/>
      </w:pPr>
    </w:p>
    <w:p w:rsidR="009A312B" w:rsidRPr="009A312B" w:rsidRDefault="009A312B" w:rsidP="009A312B"/>
    <w:p w:rsidR="006B0E4B" w:rsidRPr="00973B6A" w:rsidRDefault="006B0E4B" w:rsidP="002A1A21">
      <w:pPr>
        <w:keepNext/>
        <w:keepLines/>
        <w:spacing w:after="0" w:line="360" w:lineRule="auto"/>
        <w:ind w:left="720"/>
        <w:jc w:val="center"/>
        <w:outlineLvl w:val="0"/>
        <w:rPr>
          <w:rFonts w:ascii="Arial" w:eastAsia="Times New Roman" w:hAnsi="Arial" w:cs="Arial"/>
          <w:b/>
          <w:color w:val="000000" w:themeColor="text1"/>
          <w:sz w:val="28"/>
          <w:szCs w:val="28"/>
          <w:lang w:eastAsia="en-GB"/>
        </w:rPr>
      </w:pPr>
      <w:r w:rsidRPr="00973B6A">
        <w:rPr>
          <w:rFonts w:ascii="Arial" w:eastAsia="Times New Roman" w:hAnsi="Arial" w:cs="Arial"/>
          <w:b/>
          <w:color w:val="000000" w:themeColor="text1"/>
          <w:sz w:val="28"/>
          <w:szCs w:val="28"/>
          <w:lang w:eastAsia="en-GB"/>
        </w:rPr>
        <w:lastRenderedPageBreak/>
        <w:t>REFERENCES</w:t>
      </w:r>
      <w:bookmarkEnd w:id="1"/>
    </w:p>
    <w:p w:rsidR="003361FA" w:rsidRPr="00973B6A" w:rsidRDefault="003361FA" w:rsidP="002A1A21">
      <w:pPr>
        <w:pStyle w:val="NormalWeb"/>
        <w:numPr>
          <w:ilvl w:val="0"/>
          <w:numId w:val="1"/>
        </w:numPr>
        <w:spacing w:before="0" w:beforeAutospacing="0" w:after="0" w:afterAutospacing="0" w:line="360" w:lineRule="auto"/>
        <w:rPr>
          <w:rFonts w:ascii="Arial" w:hAnsi="Arial" w:cs="Arial"/>
        </w:rPr>
      </w:pPr>
      <w:r w:rsidRPr="00973B6A">
        <w:rPr>
          <w:rFonts w:ascii="Arial" w:hAnsi="Arial" w:cs="Arial"/>
        </w:rPr>
        <w:t>Abdi, M., Azadegan</w:t>
      </w:r>
      <w:r w:rsidRPr="00973B6A">
        <w:rPr>
          <w:rFonts w:ascii="Arial" w:hAnsi="Arial" w:cs="Arial"/>
        </w:rPr>
        <w:noBreakHyphen/>
        <w:t>Mehr, M. and Ghazinoory, S. (2011) ‘SWOT methodology: A state</w:t>
      </w:r>
      <w:r w:rsidRPr="00973B6A">
        <w:rPr>
          <w:rFonts w:ascii="Arial" w:hAnsi="Arial" w:cs="Arial"/>
        </w:rPr>
        <w:noBreakHyphen/>
        <w:t>of</w:t>
      </w:r>
      <w:r w:rsidRPr="00973B6A">
        <w:rPr>
          <w:rFonts w:ascii="Arial" w:hAnsi="Arial" w:cs="Arial"/>
        </w:rPr>
        <w:noBreakHyphen/>
        <w:t>the</w:t>
      </w:r>
      <w:r w:rsidRPr="00973B6A">
        <w:rPr>
          <w:rFonts w:ascii="Arial" w:hAnsi="Arial" w:cs="Arial"/>
        </w:rPr>
        <w:noBreakHyphen/>
        <w:t xml:space="preserve">art review for the past, a framework for the future’, </w:t>
      </w:r>
      <w:r w:rsidRPr="00973B6A">
        <w:rPr>
          <w:rStyle w:val="Emphasis"/>
          <w:rFonts w:ascii="Arial" w:hAnsi="Arial" w:cs="Arial"/>
        </w:rPr>
        <w:t>Journal of Business Economics and Management</w:t>
      </w:r>
      <w:r w:rsidRPr="00973B6A">
        <w:rPr>
          <w:rFonts w:ascii="Arial" w:hAnsi="Arial" w:cs="Arial"/>
        </w:rPr>
        <w:t xml:space="preserve">, 12(1), pp. 24–48. Available at: </w:t>
      </w:r>
      <w:hyperlink r:id="rId6" w:history="1">
        <w:r w:rsidRPr="00973B6A">
          <w:rPr>
            <w:rStyle w:val="Hyperlink"/>
            <w:rFonts w:ascii="Arial" w:eastAsiaTheme="majorEastAsia" w:hAnsi="Arial" w:cs="Arial"/>
          </w:rPr>
          <w:t>https://doi.org/10.3846/16111699.2011.555358</w:t>
        </w:r>
      </w:hyperlink>
    </w:p>
    <w:p w:rsidR="009355E0" w:rsidRPr="00973B6A" w:rsidRDefault="00BC689E" w:rsidP="002A1A21">
      <w:pPr>
        <w:numPr>
          <w:ilvl w:val="0"/>
          <w:numId w:val="1"/>
        </w:numPr>
        <w:tabs>
          <w:tab w:val="num" w:pos="720"/>
        </w:tabs>
        <w:spacing w:after="0" w:line="360" w:lineRule="auto"/>
        <w:contextualSpacing/>
        <w:rPr>
          <w:rFonts w:ascii="Arial" w:hAnsi="Arial" w:cs="Arial"/>
          <w:sz w:val="24"/>
          <w:szCs w:val="24"/>
        </w:rPr>
      </w:pPr>
      <w:r w:rsidRPr="00973B6A">
        <w:rPr>
          <w:rFonts w:ascii="Arial" w:hAnsi="Arial" w:cs="Arial"/>
          <w:sz w:val="24"/>
          <w:szCs w:val="24"/>
        </w:rPr>
        <w:t>Chaffey, D. and Ellis-Chadwick, F. (2019) </w:t>
      </w:r>
      <w:r w:rsidRPr="00973B6A">
        <w:rPr>
          <w:rFonts w:ascii="Arial" w:hAnsi="Arial" w:cs="Arial"/>
          <w:i/>
          <w:iCs/>
          <w:sz w:val="24"/>
          <w:szCs w:val="24"/>
        </w:rPr>
        <w:t>Digital marketing</w:t>
      </w:r>
      <w:r w:rsidRPr="00973B6A">
        <w:rPr>
          <w:rFonts w:ascii="Arial" w:hAnsi="Arial" w:cs="Arial"/>
          <w:sz w:val="24"/>
          <w:szCs w:val="24"/>
        </w:rPr>
        <w:t xml:space="preserve">. 7th edn. Harlow, England: Pearson. </w:t>
      </w:r>
    </w:p>
    <w:p w:rsidR="009355E0" w:rsidRPr="00973B6A" w:rsidRDefault="00BC689E" w:rsidP="002A1A21">
      <w:pPr>
        <w:numPr>
          <w:ilvl w:val="0"/>
          <w:numId w:val="1"/>
        </w:numPr>
        <w:tabs>
          <w:tab w:val="num" w:pos="720"/>
        </w:tabs>
        <w:spacing w:after="0" w:line="360" w:lineRule="auto"/>
        <w:contextualSpacing/>
        <w:rPr>
          <w:rStyle w:val="Hyperlink"/>
          <w:rFonts w:ascii="Arial" w:hAnsi="Arial" w:cs="Arial"/>
          <w:color w:val="auto"/>
          <w:sz w:val="24"/>
          <w:szCs w:val="24"/>
          <w:u w:val="none"/>
        </w:rPr>
      </w:pPr>
      <w:r w:rsidRPr="00973B6A">
        <w:rPr>
          <w:rFonts w:ascii="Arial" w:hAnsi="Arial" w:cs="Arial"/>
          <w:sz w:val="24"/>
          <w:szCs w:val="24"/>
        </w:rPr>
        <w:t>Cioppi, M. </w:t>
      </w:r>
      <w:r w:rsidRPr="00973B6A">
        <w:rPr>
          <w:rFonts w:ascii="Arial" w:hAnsi="Arial" w:cs="Arial"/>
          <w:i/>
          <w:iCs/>
          <w:sz w:val="24"/>
          <w:szCs w:val="24"/>
        </w:rPr>
        <w:t>et al.</w:t>
      </w:r>
      <w:r w:rsidRPr="00973B6A">
        <w:rPr>
          <w:rFonts w:ascii="Arial" w:hAnsi="Arial" w:cs="Arial"/>
          <w:sz w:val="24"/>
          <w:szCs w:val="24"/>
        </w:rPr>
        <w:t> (2023) ‘Digital transformation and marketing: a systematic and thematic literature review’, </w:t>
      </w:r>
      <w:r w:rsidRPr="00973B6A">
        <w:rPr>
          <w:rFonts w:ascii="Arial" w:hAnsi="Arial" w:cs="Arial"/>
          <w:i/>
          <w:iCs/>
          <w:sz w:val="24"/>
          <w:szCs w:val="24"/>
        </w:rPr>
        <w:t>Italian Journal of Marketing</w:t>
      </w:r>
      <w:r w:rsidRPr="00973B6A">
        <w:rPr>
          <w:rFonts w:ascii="Arial" w:hAnsi="Arial" w:cs="Arial"/>
          <w:sz w:val="24"/>
          <w:szCs w:val="24"/>
        </w:rPr>
        <w:t xml:space="preserve">, 2023(2), pp. 207–288. Available at: </w:t>
      </w:r>
      <w:hyperlink r:id="rId7" w:history="1">
        <w:r w:rsidRPr="00973B6A">
          <w:rPr>
            <w:rStyle w:val="Hyperlink"/>
            <w:rFonts w:ascii="Arial" w:hAnsi="Arial" w:cs="Arial"/>
            <w:sz w:val="24"/>
            <w:szCs w:val="24"/>
          </w:rPr>
          <w:t>https://doi.org/10.1007/s43039-023-00067-2</w:t>
        </w:r>
      </w:hyperlink>
    </w:p>
    <w:p w:rsidR="007965BB" w:rsidRPr="00973B6A" w:rsidRDefault="007965BB" w:rsidP="002A1A21">
      <w:pPr>
        <w:numPr>
          <w:ilvl w:val="0"/>
          <w:numId w:val="1"/>
        </w:numPr>
        <w:spacing w:after="0" w:line="360" w:lineRule="auto"/>
        <w:contextualSpacing/>
        <w:rPr>
          <w:rFonts w:ascii="Arial" w:hAnsi="Arial" w:cs="Arial"/>
          <w:sz w:val="24"/>
          <w:szCs w:val="24"/>
        </w:rPr>
      </w:pPr>
      <w:r w:rsidRPr="00973B6A">
        <w:rPr>
          <w:rFonts w:ascii="Arial" w:hAnsi="Arial" w:cs="Arial"/>
          <w:sz w:val="24"/>
          <w:szCs w:val="24"/>
        </w:rPr>
        <w:t xml:space="preserve">Clark, J.B. (2022) </w:t>
      </w:r>
      <w:r w:rsidRPr="00973B6A">
        <w:rPr>
          <w:rFonts w:ascii="Arial" w:hAnsi="Arial" w:cs="Arial"/>
          <w:i/>
          <w:iCs/>
          <w:sz w:val="24"/>
          <w:szCs w:val="24"/>
        </w:rPr>
        <w:t>The 9 best marketing frameworks you need to know</w:t>
      </w:r>
      <w:r w:rsidRPr="00973B6A">
        <w:rPr>
          <w:rFonts w:ascii="Arial" w:hAnsi="Arial" w:cs="Arial"/>
          <w:sz w:val="24"/>
          <w:szCs w:val="24"/>
        </w:rPr>
        <w:t xml:space="preserve">: Hubsport. Available at: </w:t>
      </w:r>
      <w:hyperlink r:id="rId8" w:history="1">
        <w:r w:rsidRPr="00973B6A">
          <w:rPr>
            <w:rStyle w:val="Hyperlink"/>
            <w:rFonts w:ascii="Arial" w:hAnsi="Arial" w:cs="Arial"/>
            <w:sz w:val="24"/>
            <w:szCs w:val="24"/>
          </w:rPr>
          <w:t>https://blog.hubspot.com/marketing/marketing-frameworks</w:t>
        </w:r>
      </w:hyperlink>
      <w:r w:rsidRPr="00973B6A">
        <w:rPr>
          <w:rFonts w:ascii="Arial" w:hAnsi="Arial" w:cs="Arial"/>
          <w:sz w:val="24"/>
          <w:szCs w:val="24"/>
        </w:rPr>
        <w:t>?  (Accessed: 28 June 2026).</w:t>
      </w:r>
    </w:p>
    <w:p w:rsidR="009355E0" w:rsidRPr="00973B6A" w:rsidRDefault="00BC689E" w:rsidP="002A1A21">
      <w:pPr>
        <w:numPr>
          <w:ilvl w:val="0"/>
          <w:numId w:val="1"/>
        </w:numPr>
        <w:tabs>
          <w:tab w:val="num" w:pos="720"/>
        </w:tabs>
        <w:spacing w:after="0" w:line="360" w:lineRule="auto"/>
        <w:contextualSpacing/>
        <w:rPr>
          <w:rFonts w:ascii="Arial" w:hAnsi="Arial" w:cs="Arial"/>
          <w:sz w:val="24"/>
          <w:szCs w:val="24"/>
        </w:rPr>
      </w:pPr>
      <w:r w:rsidRPr="00973B6A">
        <w:rPr>
          <w:rFonts w:ascii="Arial" w:hAnsi="Arial" w:cs="Arial"/>
          <w:sz w:val="24"/>
          <w:szCs w:val="24"/>
        </w:rPr>
        <w:t xml:space="preserve">Consource (2025) </w:t>
      </w:r>
      <w:r w:rsidRPr="00973B6A">
        <w:rPr>
          <w:rFonts w:ascii="Arial" w:hAnsi="Arial" w:cs="Arial"/>
          <w:i/>
          <w:iCs/>
          <w:sz w:val="24"/>
          <w:szCs w:val="24"/>
        </w:rPr>
        <w:t>Addressing key challenges in Canada’s construction industry</w:t>
      </w:r>
      <w:r w:rsidRPr="00973B6A">
        <w:rPr>
          <w:rFonts w:ascii="Arial" w:hAnsi="Arial" w:cs="Arial"/>
          <w:sz w:val="24"/>
          <w:szCs w:val="24"/>
        </w:rPr>
        <w:t xml:space="preserve">. Available at: </w:t>
      </w:r>
      <w:hyperlink r:id="rId9" w:history="1">
        <w:r w:rsidRPr="00973B6A">
          <w:rPr>
            <w:rStyle w:val="Hyperlink"/>
            <w:rFonts w:ascii="Arial" w:hAnsi="Arial" w:cs="Arial"/>
            <w:sz w:val="24"/>
            <w:szCs w:val="24"/>
          </w:rPr>
          <w:t>https://www.consource.ca/post/addressing-key-challenges-in-canada-s-construction-industry</w:t>
        </w:r>
      </w:hyperlink>
      <w:r w:rsidRPr="00973B6A">
        <w:rPr>
          <w:rFonts w:ascii="Arial" w:hAnsi="Arial" w:cs="Arial"/>
          <w:sz w:val="24"/>
          <w:szCs w:val="24"/>
        </w:rPr>
        <w:t>? (Accessed: 25 June 2026).</w:t>
      </w:r>
    </w:p>
    <w:p w:rsidR="009355E0" w:rsidRPr="00973B6A" w:rsidRDefault="00BC689E" w:rsidP="002A1A21">
      <w:pPr>
        <w:numPr>
          <w:ilvl w:val="0"/>
          <w:numId w:val="1"/>
        </w:numPr>
        <w:tabs>
          <w:tab w:val="num" w:pos="720"/>
        </w:tabs>
        <w:spacing w:after="0" w:line="360" w:lineRule="auto"/>
        <w:contextualSpacing/>
        <w:rPr>
          <w:rFonts w:ascii="Arial" w:hAnsi="Arial" w:cs="Arial"/>
          <w:sz w:val="24"/>
          <w:szCs w:val="24"/>
        </w:rPr>
      </w:pPr>
      <w:r w:rsidRPr="00973B6A">
        <w:rPr>
          <w:rFonts w:ascii="Arial" w:hAnsi="Arial" w:cs="Arial"/>
          <w:sz w:val="24"/>
          <w:szCs w:val="24"/>
        </w:rPr>
        <w:t>Efendioğlu, İ.H. (2024) ‘Digital consumer behaviour: A systematic literature review’,</w:t>
      </w:r>
      <w:r w:rsidRPr="00973B6A">
        <w:rPr>
          <w:rFonts w:ascii="Arial" w:hAnsi="Arial" w:cs="Arial"/>
          <w:i/>
          <w:iCs/>
          <w:sz w:val="24"/>
          <w:szCs w:val="24"/>
        </w:rPr>
        <w:t xml:space="preserve"> Prizren Social Science Journal</w:t>
      </w:r>
      <w:r w:rsidRPr="00973B6A">
        <w:rPr>
          <w:rFonts w:ascii="Arial" w:hAnsi="Arial" w:cs="Arial"/>
          <w:sz w:val="24"/>
          <w:szCs w:val="24"/>
        </w:rPr>
        <w:t xml:space="preserve">, 8(1), pp. 67–80. Available at: </w:t>
      </w:r>
      <w:hyperlink r:id="rId10" w:history="1">
        <w:r w:rsidRPr="00973B6A">
          <w:rPr>
            <w:rStyle w:val="Hyperlink"/>
            <w:rFonts w:ascii="Arial" w:hAnsi="Arial" w:cs="Arial"/>
            <w:sz w:val="24"/>
            <w:szCs w:val="24"/>
          </w:rPr>
          <w:t>https://doi.org/10.32936/pssj.v8i1.479</w:t>
        </w:r>
      </w:hyperlink>
    </w:p>
    <w:p w:rsidR="009355E0" w:rsidRPr="00973B6A" w:rsidRDefault="00BC689E" w:rsidP="002A1A21">
      <w:pPr>
        <w:numPr>
          <w:ilvl w:val="0"/>
          <w:numId w:val="1"/>
        </w:numPr>
        <w:tabs>
          <w:tab w:val="num" w:pos="720"/>
        </w:tabs>
        <w:spacing w:after="0" w:line="360" w:lineRule="auto"/>
        <w:contextualSpacing/>
        <w:rPr>
          <w:rFonts w:ascii="Arial" w:hAnsi="Arial" w:cs="Arial"/>
          <w:sz w:val="24"/>
          <w:szCs w:val="24"/>
        </w:rPr>
      </w:pPr>
      <w:r w:rsidRPr="00973B6A">
        <w:rPr>
          <w:rFonts w:ascii="Arial" w:hAnsi="Arial" w:cs="Arial"/>
          <w:sz w:val="24"/>
          <w:szCs w:val="24"/>
        </w:rPr>
        <w:t xml:space="preserve">Hooley, G.J., Piercy, N.F., Nicoulaud, B. and Rudd, J.M. (2024) </w:t>
      </w:r>
      <w:r w:rsidRPr="00973B6A">
        <w:rPr>
          <w:rFonts w:ascii="Arial" w:hAnsi="Arial" w:cs="Arial"/>
          <w:i/>
          <w:iCs/>
          <w:sz w:val="24"/>
          <w:szCs w:val="24"/>
        </w:rPr>
        <w:t>Marketing strategy and competitive positioning</w:t>
      </w:r>
      <w:r w:rsidRPr="00973B6A">
        <w:rPr>
          <w:rFonts w:ascii="Arial" w:hAnsi="Arial" w:cs="Arial"/>
          <w:sz w:val="24"/>
          <w:szCs w:val="24"/>
        </w:rPr>
        <w:t xml:space="preserve">. 8th edn. Harlow: Pearson. Available at: </w:t>
      </w:r>
      <w:hyperlink r:id="rId11" w:history="1">
        <w:r w:rsidRPr="00973B6A">
          <w:rPr>
            <w:rStyle w:val="Hyperlink"/>
            <w:rFonts w:ascii="Arial" w:hAnsi="Arial" w:cs="Arial"/>
            <w:sz w:val="24"/>
            <w:szCs w:val="24"/>
          </w:rPr>
          <w:t>https://ezproxy.uwtsd.ac.uk/login?url=https://www.vlebooks.com/product/openreader?id=TrinityStD&amp;accId=8886856&amp;isbn=9781292456720&amp;uid=^u</w:t>
        </w:r>
      </w:hyperlink>
      <w:r w:rsidRPr="00973B6A">
        <w:rPr>
          <w:rFonts w:ascii="Arial" w:hAnsi="Arial" w:cs="Arial"/>
          <w:sz w:val="24"/>
          <w:szCs w:val="24"/>
          <w:u w:val="single"/>
        </w:rPr>
        <w:t xml:space="preserve"> </w:t>
      </w:r>
      <w:r w:rsidRPr="00973B6A">
        <w:rPr>
          <w:rFonts w:ascii="Arial" w:hAnsi="Arial" w:cs="Arial"/>
          <w:sz w:val="24"/>
          <w:szCs w:val="24"/>
        </w:rPr>
        <w:t>(Accessed: 25 May 2026).</w:t>
      </w:r>
    </w:p>
    <w:p w:rsidR="009355E0" w:rsidRPr="00973B6A" w:rsidRDefault="00BC689E" w:rsidP="002A1A21">
      <w:pPr>
        <w:numPr>
          <w:ilvl w:val="0"/>
          <w:numId w:val="1"/>
        </w:numPr>
        <w:tabs>
          <w:tab w:val="num" w:pos="720"/>
        </w:tabs>
        <w:spacing w:after="0" w:line="360" w:lineRule="auto"/>
        <w:contextualSpacing/>
        <w:rPr>
          <w:rFonts w:ascii="Arial" w:hAnsi="Arial" w:cs="Arial"/>
          <w:sz w:val="24"/>
          <w:szCs w:val="24"/>
        </w:rPr>
      </w:pPr>
      <w:r w:rsidRPr="00973B6A">
        <w:rPr>
          <w:rFonts w:ascii="Arial" w:hAnsi="Arial" w:cs="Arial"/>
          <w:sz w:val="24"/>
          <w:szCs w:val="24"/>
        </w:rPr>
        <w:t xml:space="preserve">Hudson, K. (2025) </w:t>
      </w:r>
      <w:r w:rsidRPr="00973B6A">
        <w:rPr>
          <w:rFonts w:ascii="Arial" w:hAnsi="Arial" w:cs="Arial"/>
          <w:i/>
          <w:iCs/>
          <w:sz w:val="24"/>
          <w:szCs w:val="24"/>
        </w:rPr>
        <w:t>Canada market intelligence: Holding on</w:t>
      </w:r>
      <w:r w:rsidRPr="00973B6A">
        <w:rPr>
          <w:rFonts w:ascii="Arial" w:hAnsi="Arial" w:cs="Arial"/>
          <w:sz w:val="24"/>
          <w:szCs w:val="24"/>
        </w:rPr>
        <w:t xml:space="preserve">: Turner &amp; Townsend Canada. Available at: </w:t>
      </w:r>
      <w:hyperlink r:id="rId12" w:history="1">
        <w:r w:rsidRPr="00973B6A">
          <w:rPr>
            <w:rStyle w:val="Hyperlink"/>
            <w:rFonts w:ascii="Arial" w:hAnsi="Arial" w:cs="Arial"/>
            <w:sz w:val="24"/>
            <w:szCs w:val="24"/>
          </w:rPr>
          <w:t>https://www.turnerandtownsend.com/insights/canada-market-intelligence-holding-on/</w:t>
        </w:r>
      </w:hyperlink>
      <w:r w:rsidRPr="00973B6A">
        <w:rPr>
          <w:rFonts w:ascii="Arial" w:hAnsi="Arial" w:cs="Arial"/>
          <w:sz w:val="24"/>
          <w:szCs w:val="24"/>
        </w:rPr>
        <w:t xml:space="preserve"> (Accessed: 24 June 2026).</w:t>
      </w:r>
    </w:p>
    <w:p w:rsidR="009355E0" w:rsidRPr="00973B6A" w:rsidRDefault="00BC689E" w:rsidP="002A1A21">
      <w:pPr>
        <w:numPr>
          <w:ilvl w:val="0"/>
          <w:numId w:val="1"/>
        </w:numPr>
        <w:tabs>
          <w:tab w:val="num" w:pos="720"/>
        </w:tabs>
        <w:spacing w:after="0" w:line="360" w:lineRule="auto"/>
        <w:contextualSpacing/>
        <w:rPr>
          <w:rFonts w:ascii="Arial" w:hAnsi="Arial" w:cs="Arial"/>
          <w:sz w:val="24"/>
          <w:szCs w:val="24"/>
        </w:rPr>
      </w:pPr>
      <w:r w:rsidRPr="00973B6A">
        <w:rPr>
          <w:rFonts w:ascii="Arial" w:hAnsi="Arial" w:cs="Arial"/>
          <w:sz w:val="24"/>
          <w:szCs w:val="24"/>
        </w:rPr>
        <w:t xml:space="preserve">Kotler, P., Keller, K.L., Ancarani, F. and Costabile, M. (2025) </w:t>
      </w:r>
      <w:r w:rsidRPr="00973B6A">
        <w:rPr>
          <w:rFonts w:ascii="Arial" w:hAnsi="Arial" w:cs="Arial"/>
          <w:i/>
          <w:iCs/>
          <w:sz w:val="24"/>
          <w:szCs w:val="24"/>
        </w:rPr>
        <w:t>Marketing management</w:t>
      </w:r>
      <w:r w:rsidRPr="00973B6A">
        <w:rPr>
          <w:rFonts w:ascii="Arial" w:hAnsi="Arial" w:cs="Arial"/>
          <w:sz w:val="24"/>
          <w:szCs w:val="24"/>
        </w:rPr>
        <w:t>. 5th edn. Harlow: Pearson.</w:t>
      </w:r>
    </w:p>
    <w:p w:rsidR="009355E0" w:rsidRPr="00973B6A" w:rsidRDefault="00BC689E" w:rsidP="002A1A21">
      <w:pPr>
        <w:numPr>
          <w:ilvl w:val="0"/>
          <w:numId w:val="1"/>
        </w:numPr>
        <w:tabs>
          <w:tab w:val="num" w:pos="720"/>
        </w:tabs>
        <w:spacing w:after="0" w:line="360" w:lineRule="auto"/>
        <w:contextualSpacing/>
        <w:rPr>
          <w:rFonts w:ascii="Arial" w:hAnsi="Arial" w:cs="Arial"/>
          <w:sz w:val="24"/>
          <w:szCs w:val="24"/>
        </w:rPr>
      </w:pPr>
      <w:r w:rsidRPr="00973B6A">
        <w:rPr>
          <w:rFonts w:ascii="Arial" w:hAnsi="Arial" w:cs="Arial"/>
          <w:sz w:val="24"/>
          <w:szCs w:val="24"/>
        </w:rPr>
        <w:t>Kotler, P. </w:t>
      </w:r>
      <w:r w:rsidRPr="00973B6A">
        <w:rPr>
          <w:rFonts w:ascii="Arial" w:hAnsi="Arial" w:cs="Arial"/>
          <w:i/>
          <w:iCs/>
          <w:sz w:val="24"/>
          <w:szCs w:val="24"/>
        </w:rPr>
        <w:t>et al</w:t>
      </w:r>
      <w:r w:rsidRPr="00973B6A">
        <w:rPr>
          <w:rFonts w:ascii="Arial" w:hAnsi="Arial" w:cs="Arial"/>
          <w:sz w:val="24"/>
          <w:szCs w:val="24"/>
        </w:rPr>
        <w:t>. (2020) </w:t>
      </w:r>
      <w:r w:rsidRPr="00973B6A">
        <w:rPr>
          <w:rFonts w:ascii="Arial" w:hAnsi="Arial" w:cs="Arial"/>
          <w:i/>
          <w:iCs/>
          <w:sz w:val="24"/>
          <w:szCs w:val="24"/>
        </w:rPr>
        <w:t>Principles of marketing</w:t>
      </w:r>
      <w:r w:rsidRPr="00973B6A">
        <w:rPr>
          <w:rFonts w:ascii="Arial" w:hAnsi="Arial" w:cs="Arial"/>
          <w:sz w:val="24"/>
          <w:szCs w:val="24"/>
        </w:rPr>
        <w:t xml:space="preserve">. 8th edn. Harlow, England: Pearson. Available at: </w:t>
      </w:r>
      <w:hyperlink r:id="rId13" w:history="1">
        <w:r w:rsidRPr="00973B6A">
          <w:rPr>
            <w:rStyle w:val="Hyperlink"/>
            <w:rFonts w:ascii="Arial" w:hAnsi="Arial" w:cs="Arial"/>
            <w:sz w:val="24"/>
            <w:szCs w:val="24"/>
          </w:rPr>
          <w:t>https://ezproxy.uwtsd.ac.uk/login?url=https://www.vlebooks.com/product/open</w:t>
        </w:r>
        <w:r w:rsidRPr="00973B6A">
          <w:rPr>
            <w:rStyle w:val="Hyperlink"/>
            <w:rFonts w:ascii="Arial" w:hAnsi="Arial" w:cs="Arial"/>
            <w:sz w:val="24"/>
            <w:szCs w:val="24"/>
          </w:rPr>
          <w:lastRenderedPageBreak/>
          <w:t>reader?id=TrinityStD&amp;accId=8886856&amp;isbn=9781292458786&amp;uid=^u</w:t>
        </w:r>
      </w:hyperlink>
      <w:r w:rsidRPr="00973B6A">
        <w:rPr>
          <w:rFonts w:ascii="Arial" w:hAnsi="Arial" w:cs="Arial"/>
          <w:sz w:val="24"/>
          <w:szCs w:val="24"/>
        </w:rPr>
        <w:t>. (Accessed: 25 June 2026).</w:t>
      </w:r>
    </w:p>
    <w:p w:rsidR="009355E0" w:rsidRPr="00973B6A" w:rsidRDefault="00BC689E" w:rsidP="002A1A21">
      <w:pPr>
        <w:numPr>
          <w:ilvl w:val="0"/>
          <w:numId w:val="1"/>
        </w:numPr>
        <w:tabs>
          <w:tab w:val="num" w:pos="720"/>
        </w:tabs>
        <w:spacing w:after="0" w:line="360" w:lineRule="auto"/>
        <w:contextualSpacing/>
        <w:rPr>
          <w:rFonts w:ascii="Arial" w:hAnsi="Arial" w:cs="Arial"/>
          <w:sz w:val="24"/>
          <w:szCs w:val="24"/>
        </w:rPr>
      </w:pPr>
      <w:r w:rsidRPr="00973B6A">
        <w:rPr>
          <w:rFonts w:ascii="Arial" w:hAnsi="Arial" w:cs="Arial"/>
          <w:sz w:val="24"/>
          <w:szCs w:val="24"/>
        </w:rPr>
        <w:t xml:space="preserve">Maytorena, E. (2016) ‘Megaprojects and risk: An anatomy of ambition’, </w:t>
      </w:r>
      <w:r w:rsidRPr="00973B6A">
        <w:rPr>
          <w:rFonts w:ascii="Arial" w:hAnsi="Arial" w:cs="Arial"/>
          <w:i/>
          <w:iCs/>
          <w:sz w:val="24"/>
          <w:szCs w:val="24"/>
        </w:rPr>
        <w:t>Defense AR Journal</w:t>
      </w:r>
      <w:r w:rsidRPr="00973B6A">
        <w:rPr>
          <w:rFonts w:ascii="Arial" w:hAnsi="Arial" w:cs="Arial"/>
          <w:sz w:val="24"/>
          <w:szCs w:val="24"/>
        </w:rPr>
        <w:t xml:space="preserve">, 23(4), p. 362. Available at: </w:t>
      </w:r>
      <w:hyperlink r:id="rId14" w:history="1">
        <w:r w:rsidRPr="00973B6A">
          <w:rPr>
            <w:rStyle w:val="Hyperlink"/>
            <w:rFonts w:ascii="Arial" w:hAnsi="Arial" w:cs="Arial"/>
            <w:sz w:val="24"/>
            <w:szCs w:val="24"/>
          </w:rPr>
          <w:t>https://www.proquest.com/docview/1834767040</w:t>
        </w:r>
      </w:hyperlink>
      <w:r w:rsidRPr="00973B6A">
        <w:rPr>
          <w:rFonts w:ascii="Arial" w:hAnsi="Arial" w:cs="Arial"/>
          <w:sz w:val="24"/>
          <w:szCs w:val="24"/>
        </w:rPr>
        <w:t xml:space="preserve">? (Accessed: 24 June 2026).  </w:t>
      </w:r>
    </w:p>
    <w:p w:rsidR="009355E0" w:rsidRPr="00973B6A" w:rsidRDefault="00BC689E" w:rsidP="002A1A21">
      <w:pPr>
        <w:numPr>
          <w:ilvl w:val="0"/>
          <w:numId w:val="1"/>
        </w:numPr>
        <w:tabs>
          <w:tab w:val="num" w:pos="720"/>
        </w:tabs>
        <w:spacing w:after="0" w:line="360" w:lineRule="auto"/>
        <w:contextualSpacing/>
        <w:rPr>
          <w:rFonts w:ascii="Arial" w:hAnsi="Arial" w:cs="Arial"/>
          <w:sz w:val="24"/>
          <w:szCs w:val="24"/>
        </w:rPr>
      </w:pPr>
      <w:r w:rsidRPr="00973B6A">
        <w:rPr>
          <w:rFonts w:ascii="Arial" w:hAnsi="Arial" w:cs="Arial"/>
          <w:sz w:val="24"/>
          <w:szCs w:val="24"/>
        </w:rPr>
        <w:t xml:space="preserve">Turner &amp; Townsend (2026) </w:t>
      </w:r>
      <w:r w:rsidRPr="00973B6A">
        <w:rPr>
          <w:rFonts w:ascii="Arial" w:hAnsi="Arial" w:cs="Arial"/>
          <w:i/>
          <w:iCs/>
          <w:sz w:val="24"/>
          <w:szCs w:val="24"/>
        </w:rPr>
        <w:t>We transform, solve, build, shape, innovate, evolve, make progress together</w:t>
      </w:r>
      <w:r w:rsidRPr="00973B6A">
        <w:rPr>
          <w:rFonts w:ascii="Arial" w:hAnsi="Arial" w:cs="Arial"/>
          <w:sz w:val="24"/>
          <w:szCs w:val="24"/>
        </w:rPr>
        <w:t xml:space="preserve">. Available at: </w:t>
      </w:r>
      <w:hyperlink r:id="rId15" w:history="1">
        <w:r w:rsidRPr="00973B6A">
          <w:rPr>
            <w:rStyle w:val="Hyperlink"/>
            <w:rFonts w:ascii="Arial" w:hAnsi="Arial" w:cs="Arial"/>
            <w:sz w:val="24"/>
            <w:szCs w:val="24"/>
          </w:rPr>
          <w:t>https://www.turnerandtownsend.com/</w:t>
        </w:r>
      </w:hyperlink>
      <w:r w:rsidRPr="00973B6A">
        <w:rPr>
          <w:rFonts w:ascii="Arial" w:hAnsi="Arial" w:cs="Arial"/>
          <w:sz w:val="24"/>
          <w:szCs w:val="24"/>
        </w:rPr>
        <w:t xml:space="preserve"> (Accessed: 24 June 2026).</w:t>
      </w:r>
    </w:p>
    <w:p w:rsidR="009355E0" w:rsidRPr="00973B6A" w:rsidRDefault="00BC689E" w:rsidP="002A1A21">
      <w:pPr>
        <w:numPr>
          <w:ilvl w:val="0"/>
          <w:numId w:val="1"/>
        </w:numPr>
        <w:tabs>
          <w:tab w:val="num" w:pos="720"/>
        </w:tabs>
        <w:spacing w:after="0" w:line="360" w:lineRule="auto"/>
        <w:contextualSpacing/>
        <w:rPr>
          <w:rFonts w:ascii="Arial" w:hAnsi="Arial" w:cs="Arial"/>
          <w:sz w:val="24"/>
          <w:szCs w:val="24"/>
        </w:rPr>
      </w:pPr>
      <w:r w:rsidRPr="00973B6A">
        <w:rPr>
          <w:rFonts w:ascii="Arial" w:hAnsi="Arial" w:cs="Arial"/>
          <w:sz w:val="24"/>
          <w:szCs w:val="24"/>
        </w:rPr>
        <w:t>Urribarri, A.C. and Vera, K.C. (2025) ‘Adoption of disruptive technologies in marketing in Latin American organizations: A documentary review’, </w:t>
      </w:r>
      <w:r w:rsidRPr="00973B6A">
        <w:rPr>
          <w:rFonts w:ascii="Arial" w:hAnsi="Arial" w:cs="Arial"/>
          <w:i/>
          <w:iCs/>
          <w:sz w:val="24"/>
          <w:szCs w:val="24"/>
        </w:rPr>
        <w:t>Qubahan Academic Journal</w:t>
      </w:r>
      <w:r w:rsidRPr="00973B6A">
        <w:rPr>
          <w:rFonts w:ascii="Arial" w:hAnsi="Arial" w:cs="Arial"/>
          <w:sz w:val="24"/>
          <w:szCs w:val="24"/>
        </w:rPr>
        <w:t xml:space="preserve">, 5(4). Available at: </w:t>
      </w:r>
      <w:hyperlink r:id="rId16" w:history="1">
        <w:r w:rsidRPr="00973B6A">
          <w:rPr>
            <w:rStyle w:val="Hyperlink"/>
            <w:rFonts w:ascii="Arial" w:hAnsi="Arial" w:cs="Arial"/>
            <w:sz w:val="24"/>
            <w:szCs w:val="24"/>
          </w:rPr>
          <w:t>https://doi.org/10.48161/qaj.v5n4a1956</w:t>
        </w:r>
      </w:hyperlink>
    </w:p>
    <w:p w:rsidR="006B0E4B" w:rsidRPr="007965BB" w:rsidRDefault="006B0E4B" w:rsidP="007E4E7A">
      <w:pPr>
        <w:spacing w:after="0" w:line="360" w:lineRule="auto"/>
        <w:ind w:left="720"/>
        <w:contextualSpacing/>
        <w:rPr>
          <w:rFonts w:ascii="Arial" w:hAnsi="Arial" w:cs="Arial"/>
          <w:sz w:val="24"/>
          <w:szCs w:val="24"/>
        </w:rPr>
      </w:pPr>
    </w:p>
    <w:sectPr w:rsidR="006B0E4B" w:rsidRPr="007965B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F9353E"/>
    <w:multiLevelType w:val="hybridMultilevel"/>
    <w:tmpl w:val="9EDA88C2"/>
    <w:lvl w:ilvl="0" w:tplc="EE6C436C">
      <w:start w:val="1"/>
      <w:numFmt w:val="decimal"/>
      <w:lvlText w:val="%1."/>
      <w:lvlJc w:val="left"/>
      <w:pPr>
        <w:tabs>
          <w:tab w:val="num" w:pos="720"/>
        </w:tabs>
        <w:ind w:left="720" w:hanging="360"/>
      </w:pPr>
    </w:lvl>
    <w:lvl w:ilvl="1" w:tplc="15E65B24" w:tentative="1">
      <w:start w:val="1"/>
      <w:numFmt w:val="decimal"/>
      <w:lvlText w:val="%2."/>
      <w:lvlJc w:val="left"/>
      <w:pPr>
        <w:tabs>
          <w:tab w:val="num" w:pos="1440"/>
        </w:tabs>
        <w:ind w:left="1440" w:hanging="360"/>
      </w:pPr>
    </w:lvl>
    <w:lvl w:ilvl="2" w:tplc="F88CD5AE" w:tentative="1">
      <w:start w:val="1"/>
      <w:numFmt w:val="decimal"/>
      <w:lvlText w:val="%3."/>
      <w:lvlJc w:val="left"/>
      <w:pPr>
        <w:tabs>
          <w:tab w:val="num" w:pos="2160"/>
        </w:tabs>
        <w:ind w:left="2160" w:hanging="360"/>
      </w:pPr>
    </w:lvl>
    <w:lvl w:ilvl="3" w:tplc="094E62EC" w:tentative="1">
      <w:start w:val="1"/>
      <w:numFmt w:val="decimal"/>
      <w:lvlText w:val="%4."/>
      <w:lvlJc w:val="left"/>
      <w:pPr>
        <w:tabs>
          <w:tab w:val="num" w:pos="2880"/>
        </w:tabs>
        <w:ind w:left="2880" w:hanging="360"/>
      </w:pPr>
    </w:lvl>
    <w:lvl w:ilvl="4" w:tplc="799E4314" w:tentative="1">
      <w:start w:val="1"/>
      <w:numFmt w:val="decimal"/>
      <w:lvlText w:val="%5."/>
      <w:lvlJc w:val="left"/>
      <w:pPr>
        <w:tabs>
          <w:tab w:val="num" w:pos="3600"/>
        </w:tabs>
        <w:ind w:left="3600" w:hanging="360"/>
      </w:pPr>
    </w:lvl>
    <w:lvl w:ilvl="5" w:tplc="E752F41A" w:tentative="1">
      <w:start w:val="1"/>
      <w:numFmt w:val="decimal"/>
      <w:lvlText w:val="%6."/>
      <w:lvlJc w:val="left"/>
      <w:pPr>
        <w:tabs>
          <w:tab w:val="num" w:pos="4320"/>
        </w:tabs>
        <w:ind w:left="4320" w:hanging="360"/>
      </w:pPr>
    </w:lvl>
    <w:lvl w:ilvl="6" w:tplc="282A37B2" w:tentative="1">
      <w:start w:val="1"/>
      <w:numFmt w:val="decimal"/>
      <w:lvlText w:val="%7."/>
      <w:lvlJc w:val="left"/>
      <w:pPr>
        <w:tabs>
          <w:tab w:val="num" w:pos="5040"/>
        </w:tabs>
        <w:ind w:left="5040" w:hanging="360"/>
      </w:pPr>
    </w:lvl>
    <w:lvl w:ilvl="7" w:tplc="F2484BEC" w:tentative="1">
      <w:start w:val="1"/>
      <w:numFmt w:val="decimal"/>
      <w:lvlText w:val="%8."/>
      <w:lvlJc w:val="left"/>
      <w:pPr>
        <w:tabs>
          <w:tab w:val="num" w:pos="5760"/>
        </w:tabs>
        <w:ind w:left="5760" w:hanging="360"/>
      </w:pPr>
    </w:lvl>
    <w:lvl w:ilvl="8" w:tplc="FF1A40F4" w:tentative="1">
      <w:start w:val="1"/>
      <w:numFmt w:val="decimal"/>
      <w:lvlText w:val="%9."/>
      <w:lvlJc w:val="left"/>
      <w:pPr>
        <w:tabs>
          <w:tab w:val="num" w:pos="6480"/>
        </w:tabs>
        <w:ind w:left="6480" w:hanging="360"/>
      </w:pPr>
    </w:lvl>
  </w:abstractNum>
  <w:abstractNum w:abstractNumId="1">
    <w:nsid w:val="42476C67"/>
    <w:multiLevelType w:val="hybridMultilevel"/>
    <w:tmpl w:val="FB5238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4F9A7CEC"/>
    <w:multiLevelType w:val="hybridMultilevel"/>
    <w:tmpl w:val="578CF7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56D043F8"/>
    <w:multiLevelType w:val="hybridMultilevel"/>
    <w:tmpl w:val="CF0C8D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5E9419CA"/>
    <w:multiLevelType w:val="hybridMultilevel"/>
    <w:tmpl w:val="3F88A3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2"/>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1249"/>
    <w:rsid w:val="00063646"/>
    <w:rsid w:val="00064728"/>
    <w:rsid w:val="00066184"/>
    <w:rsid w:val="00070440"/>
    <w:rsid w:val="0010733A"/>
    <w:rsid w:val="001128BD"/>
    <w:rsid w:val="001407DB"/>
    <w:rsid w:val="001D5DBC"/>
    <w:rsid w:val="00205E1C"/>
    <w:rsid w:val="00241B47"/>
    <w:rsid w:val="00247026"/>
    <w:rsid w:val="00251249"/>
    <w:rsid w:val="002A1A21"/>
    <w:rsid w:val="002B106E"/>
    <w:rsid w:val="002B4CB5"/>
    <w:rsid w:val="002C24B6"/>
    <w:rsid w:val="003361FA"/>
    <w:rsid w:val="003660D1"/>
    <w:rsid w:val="003C0516"/>
    <w:rsid w:val="003D6D13"/>
    <w:rsid w:val="004052EB"/>
    <w:rsid w:val="004616DB"/>
    <w:rsid w:val="00477802"/>
    <w:rsid w:val="00495D86"/>
    <w:rsid w:val="004F074B"/>
    <w:rsid w:val="005A4294"/>
    <w:rsid w:val="006B0E4B"/>
    <w:rsid w:val="006B186D"/>
    <w:rsid w:val="00757CA3"/>
    <w:rsid w:val="0076197D"/>
    <w:rsid w:val="00785A13"/>
    <w:rsid w:val="007965BB"/>
    <w:rsid w:val="007B15EE"/>
    <w:rsid w:val="007E4E7A"/>
    <w:rsid w:val="008205AE"/>
    <w:rsid w:val="008A280D"/>
    <w:rsid w:val="008B2C44"/>
    <w:rsid w:val="009355E0"/>
    <w:rsid w:val="00973B6A"/>
    <w:rsid w:val="00992C1A"/>
    <w:rsid w:val="00993FD3"/>
    <w:rsid w:val="009A312B"/>
    <w:rsid w:val="00A17FE8"/>
    <w:rsid w:val="00A60966"/>
    <w:rsid w:val="00AB180E"/>
    <w:rsid w:val="00B0233B"/>
    <w:rsid w:val="00B31B11"/>
    <w:rsid w:val="00B456C8"/>
    <w:rsid w:val="00B672AD"/>
    <w:rsid w:val="00B76F9A"/>
    <w:rsid w:val="00B83DED"/>
    <w:rsid w:val="00BC689E"/>
    <w:rsid w:val="00C00012"/>
    <w:rsid w:val="00C241DD"/>
    <w:rsid w:val="00C2468A"/>
    <w:rsid w:val="00C565B0"/>
    <w:rsid w:val="00C632F4"/>
    <w:rsid w:val="00D13A58"/>
    <w:rsid w:val="00D41A04"/>
    <w:rsid w:val="00D51667"/>
    <w:rsid w:val="00D52280"/>
    <w:rsid w:val="00D61CA2"/>
    <w:rsid w:val="00D66100"/>
    <w:rsid w:val="00D937B6"/>
    <w:rsid w:val="00DE1592"/>
    <w:rsid w:val="00DF7DE5"/>
    <w:rsid w:val="00E607F4"/>
    <w:rsid w:val="00E91576"/>
    <w:rsid w:val="00ED1C3D"/>
    <w:rsid w:val="00EE5EB4"/>
    <w:rsid w:val="00F12C5C"/>
    <w:rsid w:val="00F33161"/>
    <w:rsid w:val="00F42336"/>
    <w:rsid w:val="00F43511"/>
    <w:rsid w:val="00FC68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AE36836-D185-47EB-BB0E-CCF1EDFBA6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0E4B"/>
  </w:style>
  <w:style w:type="paragraph" w:styleId="Heading1">
    <w:name w:val="heading 1"/>
    <w:basedOn w:val="Normal"/>
    <w:next w:val="Normal"/>
    <w:link w:val="Heading1Char"/>
    <w:autoRedefine/>
    <w:uiPriority w:val="9"/>
    <w:qFormat/>
    <w:rsid w:val="00B0233B"/>
    <w:pPr>
      <w:keepNext/>
      <w:keepLines/>
      <w:spacing w:before="240" w:after="0"/>
      <w:outlineLvl w:val="0"/>
    </w:pPr>
    <w:rPr>
      <w:rFonts w:ascii="Times New Roman" w:eastAsiaTheme="majorEastAsia" w:hAnsi="Times New Roman" w:cstheme="majorBidi"/>
      <w:b/>
      <w:color w:val="000000" w:themeColor="text1"/>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233B"/>
    <w:rPr>
      <w:rFonts w:ascii="Times New Roman" w:eastAsiaTheme="majorEastAsia" w:hAnsi="Times New Roman" w:cstheme="majorBidi"/>
      <w:b/>
      <w:color w:val="000000" w:themeColor="text1"/>
      <w:sz w:val="28"/>
      <w:szCs w:val="32"/>
    </w:rPr>
  </w:style>
  <w:style w:type="paragraph" w:styleId="NormalWeb">
    <w:name w:val="Normal (Web)"/>
    <w:basedOn w:val="Normal"/>
    <w:uiPriority w:val="99"/>
    <w:unhideWhenUsed/>
    <w:rsid w:val="00A6096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A60966"/>
    <w:pPr>
      <w:ind w:left="720"/>
      <w:contextualSpacing/>
    </w:pPr>
  </w:style>
  <w:style w:type="character" w:styleId="Hyperlink">
    <w:name w:val="Hyperlink"/>
    <w:basedOn w:val="DefaultParagraphFont"/>
    <w:uiPriority w:val="99"/>
    <w:unhideWhenUsed/>
    <w:rsid w:val="004616DB"/>
    <w:rPr>
      <w:color w:val="0563C1" w:themeColor="hyperlink"/>
      <w:u w:val="single"/>
    </w:rPr>
  </w:style>
  <w:style w:type="character" w:customStyle="1" w:styleId="jnlarticle">
    <w:name w:val="jnlarticle"/>
    <w:basedOn w:val="DefaultParagraphFont"/>
    <w:rsid w:val="004616DB"/>
  </w:style>
  <w:style w:type="character" w:styleId="Emphasis">
    <w:name w:val="Emphasis"/>
    <w:basedOn w:val="DefaultParagraphFont"/>
    <w:uiPriority w:val="20"/>
    <w:qFormat/>
    <w:rsid w:val="00993FD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803493">
      <w:bodyDiv w:val="1"/>
      <w:marLeft w:val="0"/>
      <w:marRight w:val="0"/>
      <w:marTop w:val="0"/>
      <w:marBottom w:val="0"/>
      <w:divBdr>
        <w:top w:val="none" w:sz="0" w:space="0" w:color="auto"/>
        <w:left w:val="none" w:sz="0" w:space="0" w:color="auto"/>
        <w:bottom w:val="none" w:sz="0" w:space="0" w:color="auto"/>
        <w:right w:val="none" w:sz="0" w:space="0" w:color="auto"/>
      </w:divBdr>
    </w:div>
    <w:div w:id="76828856">
      <w:bodyDiv w:val="1"/>
      <w:marLeft w:val="0"/>
      <w:marRight w:val="0"/>
      <w:marTop w:val="0"/>
      <w:marBottom w:val="0"/>
      <w:divBdr>
        <w:top w:val="none" w:sz="0" w:space="0" w:color="auto"/>
        <w:left w:val="none" w:sz="0" w:space="0" w:color="auto"/>
        <w:bottom w:val="none" w:sz="0" w:space="0" w:color="auto"/>
        <w:right w:val="none" w:sz="0" w:space="0" w:color="auto"/>
      </w:divBdr>
    </w:div>
    <w:div w:id="145825351">
      <w:bodyDiv w:val="1"/>
      <w:marLeft w:val="0"/>
      <w:marRight w:val="0"/>
      <w:marTop w:val="0"/>
      <w:marBottom w:val="0"/>
      <w:divBdr>
        <w:top w:val="none" w:sz="0" w:space="0" w:color="auto"/>
        <w:left w:val="none" w:sz="0" w:space="0" w:color="auto"/>
        <w:bottom w:val="none" w:sz="0" w:space="0" w:color="auto"/>
        <w:right w:val="none" w:sz="0" w:space="0" w:color="auto"/>
      </w:divBdr>
    </w:div>
    <w:div w:id="177819434">
      <w:bodyDiv w:val="1"/>
      <w:marLeft w:val="0"/>
      <w:marRight w:val="0"/>
      <w:marTop w:val="0"/>
      <w:marBottom w:val="0"/>
      <w:divBdr>
        <w:top w:val="none" w:sz="0" w:space="0" w:color="auto"/>
        <w:left w:val="none" w:sz="0" w:space="0" w:color="auto"/>
        <w:bottom w:val="none" w:sz="0" w:space="0" w:color="auto"/>
        <w:right w:val="none" w:sz="0" w:space="0" w:color="auto"/>
      </w:divBdr>
    </w:div>
    <w:div w:id="189417090">
      <w:bodyDiv w:val="1"/>
      <w:marLeft w:val="0"/>
      <w:marRight w:val="0"/>
      <w:marTop w:val="0"/>
      <w:marBottom w:val="0"/>
      <w:divBdr>
        <w:top w:val="none" w:sz="0" w:space="0" w:color="auto"/>
        <w:left w:val="none" w:sz="0" w:space="0" w:color="auto"/>
        <w:bottom w:val="none" w:sz="0" w:space="0" w:color="auto"/>
        <w:right w:val="none" w:sz="0" w:space="0" w:color="auto"/>
      </w:divBdr>
    </w:div>
    <w:div w:id="239873848">
      <w:bodyDiv w:val="1"/>
      <w:marLeft w:val="0"/>
      <w:marRight w:val="0"/>
      <w:marTop w:val="0"/>
      <w:marBottom w:val="0"/>
      <w:divBdr>
        <w:top w:val="none" w:sz="0" w:space="0" w:color="auto"/>
        <w:left w:val="none" w:sz="0" w:space="0" w:color="auto"/>
        <w:bottom w:val="none" w:sz="0" w:space="0" w:color="auto"/>
        <w:right w:val="none" w:sz="0" w:space="0" w:color="auto"/>
      </w:divBdr>
    </w:div>
    <w:div w:id="273830089">
      <w:bodyDiv w:val="1"/>
      <w:marLeft w:val="0"/>
      <w:marRight w:val="0"/>
      <w:marTop w:val="0"/>
      <w:marBottom w:val="0"/>
      <w:divBdr>
        <w:top w:val="none" w:sz="0" w:space="0" w:color="auto"/>
        <w:left w:val="none" w:sz="0" w:space="0" w:color="auto"/>
        <w:bottom w:val="none" w:sz="0" w:space="0" w:color="auto"/>
        <w:right w:val="none" w:sz="0" w:space="0" w:color="auto"/>
      </w:divBdr>
    </w:div>
    <w:div w:id="299924308">
      <w:bodyDiv w:val="1"/>
      <w:marLeft w:val="0"/>
      <w:marRight w:val="0"/>
      <w:marTop w:val="0"/>
      <w:marBottom w:val="0"/>
      <w:divBdr>
        <w:top w:val="none" w:sz="0" w:space="0" w:color="auto"/>
        <w:left w:val="none" w:sz="0" w:space="0" w:color="auto"/>
        <w:bottom w:val="none" w:sz="0" w:space="0" w:color="auto"/>
        <w:right w:val="none" w:sz="0" w:space="0" w:color="auto"/>
      </w:divBdr>
    </w:div>
    <w:div w:id="366879284">
      <w:bodyDiv w:val="1"/>
      <w:marLeft w:val="0"/>
      <w:marRight w:val="0"/>
      <w:marTop w:val="0"/>
      <w:marBottom w:val="0"/>
      <w:divBdr>
        <w:top w:val="none" w:sz="0" w:space="0" w:color="auto"/>
        <w:left w:val="none" w:sz="0" w:space="0" w:color="auto"/>
        <w:bottom w:val="none" w:sz="0" w:space="0" w:color="auto"/>
        <w:right w:val="none" w:sz="0" w:space="0" w:color="auto"/>
      </w:divBdr>
    </w:div>
    <w:div w:id="370149735">
      <w:bodyDiv w:val="1"/>
      <w:marLeft w:val="0"/>
      <w:marRight w:val="0"/>
      <w:marTop w:val="0"/>
      <w:marBottom w:val="0"/>
      <w:divBdr>
        <w:top w:val="none" w:sz="0" w:space="0" w:color="auto"/>
        <w:left w:val="none" w:sz="0" w:space="0" w:color="auto"/>
        <w:bottom w:val="none" w:sz="0" w:space="0" w:color="auto"/>
        <w:right w:val="none" w:sz="0" w:space="0" w:color="auto"/>
      </w:divBdr>
    </w:div>
    <w:div w:id="450632138">
      <w:bodyDiv w:val="1"/>
      <w:marLeft w:val="0"/>
      <w:marRight w:val="0"/>
      <w:marTop w:val="0"/>
      <w:marBottom w:val="0"/>
      <w:divBdr>
        <w:top w:val="none" w:sz="0" w:space="0" w:color="auto"/>
        <w:left w:val="none" w:sz="0" w:space="0" w:color="auto"/>
        <w:bottom w:val="none" w:sz="0" w:space="0" w:color="auto"/>
        <w:right w:val="none" w:sz="0" w:space="0" w:color="auto"/>
      </w:divBdr>
    </w:div>
    <w:div w:id="473178441">
      <w:bodyDiv w:val="1"/>
      <w:marLeft w:val="0"/>
      <w:marRight w:val="0"/>
      <w:marTop w:val="0"/>
      <w:marBottom w:val="0"/>
      <w:divBdr>
        <w:top w:val="none" w:sz="0" w:space="0" w:color="auto"/>
        <w:left w:val="none" w:sz="0" w:space="0" w:color="auto"/>
        <w:bottom w:val="none" w:sz="0" w:space="0" w:color="auto"/>
        <w:right w:val="none" w:sz="0" w:space="0" w:color="auto"/>
      </w:divBdr>
    </w:div>
    <w:div w:id="711270904">
      <w:bodyDiv w:val="1"/>
      <w:marLeft w:val="0"/>
      <w:marRight w:val="0"/>
      <w:marTop w:val="0"/>
      <w:marBottom w:val="0"/>
      <w:divBdr>
        <w:top w:val="none" w:sz="0" w:space="0" w:color="auto"/>
        <w:left w:val="none" w:sz="0" w:space="0" w:color="auto"/>
        <w:bottom w:val="none" w:sz="0" w:space="0" w:color="auto"/>
        <w:right w:val="none" w:sz="0" w:space="0" w:color="auto"/>
      </w:divBdr>
    </w:div>
    <w:div w:id="751781532">
      <w:bodyDiv w:val="1"/>
      <w:marLeft w:val="0"/>
      <w:marRight w:val="0"/>
      <w:marTop w:val="0"/>
      <w:marBottom w:val="0"/>
      <w:divBdr>
        <w:top w:val="none" w:sz="0" w:space="0" w:color="auto"/>
        <w:left w:val="none" w:sz="0" w:space="0" w:color="auto"/>
        <w:bottom w:val="none" w:sz="0" w:space="0" w:color="auto"/>
        <w:right w:val="none" w:sz="0" w:space="0" w:color="auto"/>
      </w:divBdr>
    </w:div>
    <w:div w:id="788665947">
      <w:bodyDiv w:val="1"/>
      <w:marLeft w:val="0"/>
      <w:marRight w:val="0"/>
      <w:marTop w:val="0"/>
      <w:marBottom w:val="0"/>
      <w:divBdr>
        <w:top w:val="none" w:sz="0" w:space="0" w:color="auto"/>
        <w:left w:val="none" w:sz="0" w:space="0" w:color="auto"/>
        <w:bottom w:val="none" w:sz="0" w:space="0" w:color="auto"/>
        <w:right w:val="none" w:sz="0" w:space="0" w:color="auto"/>
      </w:divBdr>
    </w:div>
    <w:div w:id="820922304">
      <w:bodyDiv w:val="1"/>
      <w:marLeft w:val="0"/>
      <w:marRight w:val="0"/>
      <w:marTop w:val="0"/>
      <w:marBottom w:val="0"/>
      <w:divBdr>
        <w:top w:val="none" w:sz="0" w:space="0" w:color="auto"/>
        <w:left w:val="none" w:sz="0" w:space="0" w:color="auto"/>
        <w:bottom w:val="none" w:sz="0" w:space="0" w:color="auto"/>
        <w:right w:val="none" w:sz="0" w:space="0" w:color="auto"/>
      </w:divBdr>
    </w:div>
    <w:div w:id="869954602">
      <w:bodyDiv w:val="1"/>
      <w:marLeft w:val="0"/>
      <w:marRight w:val="0"/>
      <w:marTop w:val="0"/>
      <w:marBottom w:val="0"/>
      <w:divBdr>
        <w:top w:val="none" w:sz="0" w:space="0" w:color="auto"/>
        <w:left w:val="none" w:sz="0" w:space="0" w:color="auto"/>
        <w:bottom w:val="none" w:sz="0" w:space="0" w:color="auto"/>
        <w:right w:val="none" w:sz="0" w:space="0" w:color="auto"/>
      </w:divBdr>
    </w:div>
    <w:div w:id="874267083">
      <w:bodyDiv w:val="1"/>
      <w:marLeft w:val="0"/>
      <w:marRight w:val="0"/>
      <w:marTop w:val="0"/>
      <w:marBottom w:val="0"/>
      <w:divBdr>
        <w:top w:val="none" w:sz="0" w:space="0" w:color="auto"/>
        <w:left w:val="none" w:sz="0" w:space="0" w:color="auto"/>
        <w:bottom w:val="none" w:sz="0" w:space="0" w:color="auto"/>
        <w:right w:val="none" w:sz="0" w:space="0" w:color="auto"/>
      </w:divBdr>
    </w:div>
    <w:div w:id="898712697">
      <w:bodyDiv w:val="1"/>
      <w:marLeft w:val="0"/>
      <w:marRight w:val="0"/>
      <w:marTop w:val="0"/>
      <w:marBottom w:val="0"/>
      <w:divBdr>
        <w:top w:val="none" w:sz="0" w:space="0" w:color="auto"/>
        <w:left w:val="none" w:sz="0" w:space="0" w:color="auto"/>
        <w:bottom w:val="none" w:sz="0" w:space="0" w:color="auto"/>
        <w:right w:val="none" w:sz="0" w:space="0" w:color="auto"/>
      </w:divBdr>
    </w:div>
    <w:div w:id="924143654">
      <w:bodyDiv w:val="1"/>
      <w:marLeft w:val="0"/>
      <w:marRight w:val="0"/>
      <w:marTop w:val="0"/>
      <w:marBottom w:val="0"/>
      <w:divBdr>
        <w:top w:val="none" w:sz="0" w:space="0" w:color="auto"/>
        <w:left w:val="none" w:sz="0" w:space="0" w:color="auto"/>
        <w:bottom w:val="none" w:sz="0" w:space="0" w:color="auto"/>
        <w:right w:val="none" w:sz="0" w:space="0" w:color="auto"/>
      </w:divBdr>
    </w:div>
    <w:div w:id="952441125">
      <w:bodyDiv w:val="1"/>
      <w:marLeft w:val="0"/>
      <w:marRight w:val="0"/>
      <w:marTop w:val="0"/>
      <w:marBottom w:val="0"/>
      <w:divBdr>
        <w:top w:val="none" w:sz="0" w:space="0" w:color="auto"/>
        <w:left w:val="none" w:sz="0" w:space="0" w:color="auto"/>
        <w:bottom w:val="none" w:sz="0" w:space="0" w:color="auto"/>
        <w:right w:val="none" w:sz="0" w:space="0" w:color="auto"/>
      </w:divBdr>
    </w:div>
    <w:div w:id="1048917502">
      <w:bodyDiv w:val="1"/>
      <w:marLeft w:val="0"/>
      <w:marRight w:val="0"/>
      <w:marTop w:val="0"/>
      <w:marBottom w:val="0"/>
      <w:divBdr>
        <w:top w:val="none" w:sz="0" w:space="0" w:color="auto"/>
        <w:left w:val="none" w:sz="0" w:space="0" w:color="auto"/>
        <w:bottom w:val="none" w:sz="0" w:space="0" w:color="auto"/>
        <w:right w:val="none" w:sz="0" w:space="0" w:color="auto"/>
      </w:divBdr>
    </w:div>
    <w:div w:id="1102147994">
      <w:bodyDiv w:val="1"/>
      <w:marLeft w:val="0"/>
      <w:marRight w:val="0"/>
      <w:marTop w:val="0"/>
      <w:marBottom w:val="0"/>
      <w:divBdr>
        <w:top w:val="none" w:sz="0" w:space="0" w:color="auto"/>
        <w:left w:val="none" w:sz="0" w:space="0" w:color="auto"/>
        <w:bottom w:val="none" w:sz="0" w:space="0" w:color="auto"/>
        <w:right w:val="none" w:sz="0" w:space="0" w:color="auto"/>
      </w:divBdr>
    </w:div>
    <w:div w:id="1105927671">
      <w:bodyDiv w:val="1"/>
      <w:marLeft w:val="0"/>
      <w:marRight w:val="0"/>
      <w:marTop w:val="0"/>
      <w:marBottom w:val="0"/>
      <w:divBdr>
        <w:top w:val="none" w:sz="0" w:space="0" w:color="auto"/>
        <w:left w:val="none" w:sz="0" w:space="0" w:color="auto"/>
        <w:bottom w:val="none" w:sz="0" w:space="0" w:color="auto"/>
        <w:right w:val="none" w:sz="0" w:space="0" w:color="auto"/>
      </w:divBdr>
      <w:divsChild>
        <w:div w:id="1111391820">
          <w:marLeft w:val="720"/>
          <w:marRight w:val="0"/>
          <w:marTop w:val="200"/>
          <w:marBottom w:val="0"/>
          <w:divBdr>
            <w:top w:val="none" w:sz="0" w:space="0" w:color="auto"/>
            <w:left w:val="none" w:sz="0" w:space="0" w:color="auto"/>
            <w:bottom w:val="none" w:sz="0" w:space="0" w:color="auto"/>
            <w:right w:val="none" w:sz="0" w:space="0" w:color="auto"/>
          </w:divBdr>
        </w:div>
        <w:div w:id="324093351">
          <w:marLeft w:val="720"/>
          <w:marRight w:val="0"/>
          <w:marTop w:val="200"/>
          <w:marBottom w:val="0"/>
          <w:divBdr>
            <w:top w:val="none" w:sz="0" w:space="0" w:color="auto"/>
            <w:left w:val="none" w:sz="0" w:space="0" w:color="auto"/>
            <w:bottom w:val="none" w:sz="0" w:space="0" w:color="auto"/>
            <w:right w:val="none" w:sz="0" w:space="0" w:color="auto"/>
          </w:divBdr>
        </w:div>
        <w:div w:id="1686903058">
          <w:marLeft w:val="720"/>
          <w:marRight w:val="0"/>
          <w:marTop w:val="200"/>
          <w:marBottom w:val="0"/>
          <w:divBdr>
            <w:top w:val="none" w:sz="0" w:space="0" w:color="auto"/>
            <w:left w:val="none" w:sz="0" w:space="0" w:color="auto"/>
            <w:bottom w:val="none" w:sz="0" w:space="0" w:color="auto"/>
            <w:right w:val="none" w:sz="0" w:space="0" w:color="auto"/>
          </w:divBdr>
        </w:div>
        <w:div w:id="658311941">
          <w:marLeft w:val="720"/>
          <w:marRight w:val="0"/>
          <w:marTop w:val="200"/>
          <w:marBottom w:val="0"/>
          <w:divBdr>
            <w:top w:val="none" w:sz="0" w:space="0" w:color="auto"/>
            <w:left w:val="none" w:sz="0" w:space="0" w:color="auto"/>
            <w:bottom w:val="none" w:sz="0" w:space="0" w:color="auto"/>
            <w:right w:val="none" w:sz="0" w:space="0" w:color="auto"/>
          </w:divBdr>
        </w:div>
        <w:div w:id="297495784">
          <w:marLeft w:val="720"/>
          <w:marRight w:val="0"/>
          <w:marTop w:val="200"/>
          <w:marBottom w:val="0"/>
          <w:divBdr>
            <w:top w:val="none" w:sz="0" w:space="0" w:color="auto"/>
            <w:left w:val="none" w:sz="0" w:space="0" w:color="auto"/>
            <w:bottom w:val="none" w:sz="0" w:space="0" w:color="auto"/>
            <w:right w:val="none" w:sz="0" w:space="0" w:color="auto"/>
          </w:divBdr>
        </w:div>
        <w:div w:id="1552418200">
          <w:marLeft w:val="720"/>
          <w:marRight w:val="0"/>
          <w:marTop w:val="200"/>
          <w:marBottom w:val="0"/>
          <w:divBdr>
            <w:top w:val="none" w:sz="0" w:space="0" w:color="auto"/>
            <w:left w:val="none" w:sz="0" w:space="0" w:color="auto"/>
            <w:bottom w:val="none" w:sz="0" w:space="0" w:color="auto"/>
            <w:right w:val="none" w:sz="0" w:space="0" w:color="auto"/>
          </w:divBdr>
        </w:div>
        <w:div w:id="1836720987">
          <w:marLeft w:val="720"/>
          <w:marRight w:val="0"/>
          <w:marTop w:val="200"/>
          <w:marBottom w:val="0"/>
          <w:divBdr>
            <w:top w:val="none" w:sz="0" w:space="0" w:color="auto"/>
            <w:left w:val="none" w:sz="0" w:space="0" w:color="auto"/>
            <w:bottom w:val="none" w:sz="0" w:space="0" w:color="auto"/>
            <w:right w:val="none" w:sz="0" w:space="0" w:color="auto"/>
          </w:divBdr>
        </w:div>
        <w:div w:id="928663582">
          <w:marLeft w:val="720"/>
          <w:marRight w:val="0"/>
          <w:marTop w:val="200"/>
          <w:marBottom w:val="0"/>
          <w:divBdr>
            <w:top w:val="none" w:sz="0" w:space="0" w:color="auto"/>
            <w:left w:val="none" w:sz="0" w:space="0" w:color="auto"/>
            <w:bottom w:val="none" w:sz="0" w:space="0" w:color="auto"/>
            <w:right w:val="none" w:sz="0" w:space="0" w:color="auto"/>
          </w:divBdr>
        </w:div>
        <w:div w:id="1149907338">
          <w:marLeft w:val="720"/>
          <w:marRight w:val="0"/>
          <w:marTop w:val="200"/>
          <w:marBottom w:val="0"/>
          <w:divBdr>
            <w:top w:val="none" w:sz="0" w:space="0" w:color="auto"/>
            <w:left w:val="none" w:sz="0" w:space="0" w:color="auto"/>
            <w:bottom w:val="none" w:sz="0" w:space="0" w:color="auto"/>
            <w:right w:val="none" w:sz="0" w:space="0" w:color="auto"/>
          </w:divBdr>
        </w:div>
        <w:div w:id="632907568">
          <w:marLeft w:val="720"/>
          <w:marRight w:val="0"/>
          <w:marTop w:val="200"/>
          <w:marBottom w:val="0"/>
          <w:divBdr>
            <w:top w:val="none" w:sz="0" w:space="0" w:color="auto"/>
            <w:left w:val="none" w:sz="0" w:space="0" w:color="auto"/>
            <w:bottom w:val="none" w:sz="0" w:space="0" w:color="auto"/>
            <w:right w:val="none" w:sz="0" w:space="0" w:color="auto"/>
          </w:divBdr>
        </w:div>
        <w:div w:id="2093551876">
          <w:marLeft w:val="720"/>
          <w:marRight w:val="0"/>
          <w:marTop w:val="200"/>
          <w:marBottom w:val="0"/>
          <w:divBdr>
            <w:top w:val="none" w:sz="0" w:space="0" w:color="auto"/>
            <w:left w:val="none" w:sz="0" w:space="0" w:color="auto"/>
            <w:bottom w:val="none" w:sz="0" w:space="0" w:color="auto"/>
            <w:right w:val="none" w:sz="0" w:space="0" w:color="auto"/>
          </w:divBdr>
        </w:div>
      </w:divsChild>
    </w:div>
    <w:div w:id="1155800334">
      <w:bodyDiv w:val="1"/>
      <w:marLeft w:val="0"/>
      <w:marRight w:val="0"/>
      <w:marTop w:val="0"/>
      <w:marBottom w:val="0"/>
      <w:divBdr>
        <w:top w:val="none" w:sz="0" w:space="0" w:color="auto"/>
        <w:left w:val="none" w:sz="0" w:space="0" w:color="auto"/>
        <w:bottom w:val="none" w:sz="0" w:space="0" w:color="auto"/>
        <w:right w:val="none" w:sz="0" w:space="0" w:color="auto"/>
      </w:divBdr>
    </w:div>
    <w:div w:id="1188176191">
      <w:bodyDiv w:val="1"/>
      <w:marLeft w:val="0"/>
      <w:marRight w:val="0"/>
      <w:marTop w:val="0"/>
      <w:marBottom w:val="0"/>
      <w:divBdr>
        <w:top w:val="none" w:sz="0" w:space="0" w:color="auto"/>
        <w:left w:val="none" w:sz="0" w:space="0" w:color="auto"/>
        <w:bottom w:val="none" w:sz="0" w:space="0" w:color="auto"/>
        <w:right w:val="none" w:sz="0" w:space="0" w:color="auto"/>
      </w:divBdr>
    </w:div>
    <w:div w:id="1202747421">
      <w:bodyDiv w:val="1"/>
      <w:marLeft w:val="0"/>
      <w:marRight w:val="0"/>
      <w:marTop w:val="0"/>
      <w:marBottom w:val="0"/>
      <w:divBdr>
        <w:top w:val="none" w:sz="0" w:space="0" w:color="auto"/>
        <w:left w:val="none" w:sz="0" w:space="0" w:color="auto"/>
        <w:bottom w:val="none" w:sz="0" w:space="0" w:color="auto"/>
        <w:right w:val="none" w:sz="0" w:space="0" w:color="auto"/>
      </w:divBdr>
    </w:div>
    <w:div w:id="1284768450">
      <w:bodyDiv w:val="1"/>
      <w:marLeft w:val="0"/>
      <w:marRight w:val="0"/>
      <w:marTop w:val="0"/>
      <w:marBottom w:val="0"/>
      <w:divBdr>
        <w:top w:val="none" w:sz="0" w:space="0" w:color="auto"/>
        <w:left w:val="none" w:sz="0" w:space="0" w:color="auto"/>
        <w:bottom w:val="none" w:sz="0" w:space="0" w:color="auto"/>
        <w:right w:val="none" w:sz="0" w:space="0" w:color="auto"/>
      </w:divBdr>
    </w:div>
    <w:div w:id="1308708640">
      <w:bodyDiv w:val="1"/>
      <w:marLeft w:val="0"/>
      <w:marRight w:val="0"/>
      <w:marTop w:val="0"/>
      <w:marBottom w:val="0"/>
      <w:divBdr>
        <w:top w:val="none" w:sz="0" w:space="0" w:color="auto"/>
        <w:left w:val="none" w:sz="0" w:space="0" w:color="auto"/>
        <w:bottom w:val="none" w:sz="0" w:space="0" w:color="auto"/>
        <w:right w:val="none" w:sz="0" w:space="0" w:color="auto"/>
      </w:divBdr>
    </w:div>
    <w:div w:id="1444497314">
      <w:bodyDiv w:val="1"/>
      <w:marLeft w:val="0"/>
      <w:marRight w:val="0"/>
      <w:marTop w:val="0"/>
      <w:marBottom w:val="0"/>
      <w:divBdr>
        <w:top w:val="none" w:sz="0" w:space="0" w:color="auto"/>
        <w:left w:val="none" w:sz="0" w:space="0" w:color="auto"/>
        <w:bottom w:val="none" w:sz="0" w:space="0" w:color="auto"/>
        <w:right w:val="none" w:sz="0" w:space="0" w:color="auto"/>
      </w:divBdr>
    </w:div>
    <w:div w:id="1473254007">
      <w:bodyDiv w:val="1"/>
      <w:marLeft w:val="0"/>
      <w:marRight w:val="0"/>
      <w:marTop w:val="0"/>
      <w:marBottom w:val="0"/>
      <w:divBdr>
        <w:top w:val="none" w:sz="0" w:space="0" w:color="auto"/>
        <w:left w:val="none" w:sz="0" w:space="0" w:color="auto"/>
        <w:bottom w:val="none" w:sz="0" w:space="0" w:color="auto"/>
        <w:right w:val="none" w:sz="0" w:space="0" w:color="auto"/>
      </w:divBdr>
    </w:div>
    <w:div w:id="1595238642">
      <w:bodyDiv w:val="1"/>
      <w:marLeft w:val="0"/>
      <w:marRight w:val="0"/>
      <w:marTop w:val="0"/>
      <w:marBottom w:val="0"/>
      <w:divBdr>
        <w:top w:val="none" w:sz="0" w:space="0" w:color="auto"/>
        <w:left w:val="none" w:sz="0" w:space="0" w:color="auto"/>
        <w:bottom w:val="none" w:sz="0" w:space="0" w:color="auto"/>
        <w:right w:val="none" w:sz="0" w:space="0" w:color="auto"/>
      </w:divBdr>
    </w:div>
    <w:div w:id="1634559902">
      <w:bodyDiv w:val="1"/>
      <w:marLeft w:val="0"/>
      <w:marRight w:val="0"/>
      <w:marTop w:val="0"/>
      <w:marBottom w:val="0"/>
      <w:divBdr>
        <w:top w:val="none" w:sz="0" w:space="0" w:color="auto"/>
        <w:left w:val="none" w:sz="0" w:space="0" w:color="auto"/>
        <w:bottom w:val="none" w:sz="0" w:space="0" w:color="auto"/>
        <w:right w:val="none" w:sz="0" w:space="0" w:color="auto"/>
      </w:divBdr>
    </w:div>
    <w:div w:id="1684744352">
      <w:bodyDiv w:val="1"/>
      <w:marLeft w:val="0"/>
      <w:marRight w:val="0"/>
      <w:marTop w:val="0"/>
      <w:marBottom w:val="0"/>
      <w:divBdr>
        <w:top w:val="none" w:sz="0" w:space="0" w:color="auto"/>
        <w:left w:val="none" w:sz="0" w:space="0" w:color="auto"/>
        <w:bottom w:val="none" w:sz="0" w:space="0" w:color="auto"/>
        <w:right w:val="none" w:sz="0" w:space="0" w:color="auto"/>
      </w:divBdr>
      <w:divsChild>
        <w:div w:id="1248807162">
          <w:marLeft w:val="0"/>
          <w:marRight w:val="0"/>
          <w:marTop w:val="0"/>
          <w:marBottom w:val="0"/>
          <w:divBdr>
            <w:top w:val="none" w:sz="0" w:space="0" w:color="auto"/>
            <w:left w:val="none" w:sz="0" w:space="0" w:color="auto"/>
            <w:bottom w:val="none" w:sz="0" w:space="0" w:color="auto"/>
            <w:right w:val="none" w:sz="0" w:space="0" w:color="auto"/>
          </w:divBdr>
        </w:div>
        <w:div w:id="1192380984">
          <w:marLeft w:val="0"/>
          <w:marRight w:val="0"/>
          <w:marTop w:val="0"/>
          <w:marBottom w:val="0"/>
          <w:divBdr>
            <w:top w:val="none" w:sz="0" w:space="0" w:color="auto"/>
            <w:left w:val="none" w:sz="0" w:space="0" w:color="auto"/>
            <w:bottom w:val="none" w:sz="0" w:space="0" w:color="auto"/>
            <w:right w:val="none" w:sz="0" w:space="0" w:color="auto"/>
          </w:divBdr>
        </w:div>
        <w:div w:id="1950434393">
          <w:marLeft w:val="0"/>
          <w:marRight w:val="0"/>
          <w:marTop w:val="0"/>
          <w:marBottom w:val="0"/>
          <w:divBdr>
            <w:top w:val="none" w:sz="0" w:space="0" w:color="auto"/>
            <w:left w:val="none" w:sz="0" w:space="0" w:color="auto"/>
            <w:bottom w:val="none" w:sz="0" w:space="0" w:color="auto"/>
            <w:right w:val="none" w:sz="0" w:space="0" w:color="auto"/>
          </w:divBdr>
        </w:div>
        <w:div w:id="808864117">
          <w:marLeft w:val="0"/>
          <w:marRight w:val="0"/>
          <w:marTop w:val="0"/>
          <w:marBottom w:val="0"/>
          <w:divBdr>
            <w:top w:val="none" w:sz="0" w:space="0" w:color="auto"/>
            <w:left w:val="none" w:sz="0" w:space="0" w:color="auto"/>
            <w:bottom w:val="none" w:sz="0" w:space="0" w:color="auto"/>
            <w:right w:val="none" w:sz="0" w:space="0" w:color="auto"/>
          </w:divBdr>
        </w:div>
        <w:div w:id="621616129">
          <w:marLeft w:val="0"/>
          <w:marRight w:val="0"/>
          <w:marTop w:val="0"/>
          <w:marBottom w:val="0"/>
          <w:divBdr>
            <w:top w:val="none" w:sz="0" w:space="0" w:color="auto"/>
            <w:left w:val="none" w:sz="0" w:space="0" w:color="auto"/>
            <w:bottom w:val="none" w:sz="0" w:space="0" w:color="auto"/>
            <w:right w:val="none" w:sz="0" w:space="0" w:color="auto"/>
          </w:divBdr>
        </w:div>
      </w:divsChild>
    </w:div>
    <w:div w:id="1696998632">
      <w:bodyDiv w:val="1"/>
      <w:marLeft w:val="0"/>
      <w:marRight w:val="0"/>
      <w:marTop w:val="0"/>
      <w:marBottom w:val="0"/>
      <w:divBdr>
        <w:top w:val="none" w:sz="0" w:space="0" w:color="auto"/>
        <w:left w:val="none" w:sz="0" w:space="0" w:color="auto"/>
        <w:bottom w:val="none" w:sz="0" w:space="0" w:color="auto"/>
        <w:right w:val="none" w:sz="0" w:space="0" w:color="auto"/>
      </w:divBdr>
    </w:div>
    <w:div w:id="1709406722">
      <w:bodyDiv w:val="1"/>
      <w:marLeft w:val="0"/>
      <w:marRight w:val="0"/>
      <w:marTop w:val="0"/>
      <w:marBottom w:val="0"/>
      <w:divBdr>
        <w:top w:val="none" w:sz="0" w:space="0" w:color="auto"/>
        <w:left w:val="none" w:sz="0" w:space="0" w:color="auto"/>
        <w:bottom w:val="none" w:sz="0" w:space="0" w:color="auto"/>
        <w:right w:val="none" w:sz="0" w:space="0" w:color="auto"/>
      </w:divBdr>
    </w:div>
    <w:div w:id="1727223252">
      <w:bodyDiv w:val="1"/>
      <w:marLeft w:val="0"/>
      <w:marRight w:val="0"/>
      <w:marTop w:val="0"/>
      <w:marBottom w:val="0"/>
      <w:divBdr>
        <w:top w:val="none" w:sz="0" w:space="0" w:color="auto"/>
        <w:left w:val="none" w:sz="0" w:space="0" w:color="auto"/>
        <w:bottom w:val="none" w:sz="0" w:space="0" w:color="auto"/>
        <w:right w:val="none" w:sz="0" w:space="0" w:color="auto"/>
      </w:divBdr>
    </w:div>
    <w:div w:id="1821773040">
      <w:bodyDiv w:val="1"/>
      <w:marLeft w:val="0"/>
      <w:marRight w:val="0"/>
      <w:marTop w:val="0"/>
      <w:marBottom w:val="0"/>
      <w:divBdr>
        <w:top w:val="none" w:sz="0" w:space="0" w:color="auto"/>
        <w:left w:val="none" w:sz="0" w:space="0" w:color="auto"/>
        <w:bottom w:val="none" w:sz="0" w:space="0" w:color="auto"/>
        <w:right w:val="none" w:sz="0" w:space="0" w:color="auto"/>
      </w:divBdr>
    </w:div>
    <w:div w:id="1841196279">
      <w:bodyDiv w:val="1"/>
      <w:marLeft w:val="0"/>
      <w:marRight w:val="0"/>
      <w:marTop w:val="0"/>
      <w:marBottom w:val="0"/>
      <w:divBdr>
        <w:top w:val="none" w:sz="0" w:space="0" w:color="auto"/>
        <w:left w:val="none" w:sz="0" w:space="0" w:color="auto"/>
        <w:bottom w:val="none" w:sz="0" w:space="0" w:color="auto"/>
        <w:right w:val="none" w:sz="0" w:space="0" w:color="auto"/>
      </w:divBdr>
    </w:div>
    <w:div w:id="2071615218">
      <w:bodyDiv w:val="1"/>
      <w:marLeft w:val="0"/>
      <w:marRight w:val="0"/>
      <w:marTop w:val="0"/>
      <w:marBottom w:val="0"/>
      <w:divBdr>
        <w:top w:val="none" w:sz="0" w:space="0" w:color="auto"/>
        <w:left w:val="none" w:sz="0" w:space="0" w:color="auto"/>
        <w:bottom w:val="none" w:sz="0" w:space="0" w:color="auto"/>
        <w:right w:val="none" w:sz="0" w:space="0" w:color="auto"/>
      </w:divBdr>
    </w:div>
    <w:div w:id="2101024111">
      <w:bodyDiv w:val="1"/>
      <w:marLeft w:val="0"/>
      <w:marRight w:val="0"/>
      <w:marTop w:val="0"/>
      <w:marBottom w:val="0"/>
      <w:divBdr>
        <w:top w:val="none" w:sz="0" w:space="0" w:color="auto"/>
        <w:left w:val="none" w:sz="0" w:space="0" w:color="auto"/>
        <w:bottom w:val="none" w:sz="0" w:space="0" w:color="auto"/>
        <w:right w:val="none" w:sz="0" w:space="0" w:color="auto"/>
      </w:divBdr>
    </w:div>
    <w:div w:id="2101758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og.hubspot.com/marketing/marketing-frameworks" TargetMode="External"/><Relationship Id="rId13" Type="http://schemas.openxmlformats.org/officeDocument/2006/relationships/hyperlink" Target="https://ezproxy.uwtsd.ac.uk/login?url=https://www.vlebooks.com/product/openreader?id=TrinityStD&amp;accId=8886856&amp;isbn=9781292458786&amp;uid=%5eu"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oi.org/10.1007/s43039-023-00067-2" TargetMode="External"/><Relationship Id="rId12" Type="http://schemas.openxmlformats.org/officeDocument/2006/relationships/hyperlink" Target="https://www.turnerandtownsend.com/insights/canada-market-intelligence-holding-on/"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doi.org/10.48161/qaj.v5n4a1956" TargetMode="External"/><Relationship Id="rId1" Type="http://schemas.openxmlformats.org/officeDocument/2006/relationships/numbering" Target="numbering.xml"/><Relationship Id="rId6" Type="http://schemas.openxmlformats.org/officeDocument/2006/relationships/hyperlink" Target="https://doi.org/10.3846/16111699.2011.555358" TargetMode="External"/><Relationship Id="rId11" Type="http://schemas.openxmlformats.org/officeDocument/2006/relationships/hyperlink" Target="https://ezproxy.uwtsd.ac.uk/login?url=https://www.vlebooks.com/product/openreader?id=TrinityStD&amp;accId=8886856&amp;isbn=9781292456720&amp;uid=%5eu" TargetMode="External"/><Relationship Id="rId5" Type="http://schemas.openxmlformats.org/officeDocument/2006/relationships/hyperlink" Target="https://uowtsd-my.sharepoint.com/:v:/g/personal/2524141_student_uwtsd_ac_uk/IQB3cnSDPsp-SLJO9GAKMYUHAVPx0Zy2CsdvesLcT5g1QJg?nav=eyJyZWZlcnJhbEluZm8iOnsicmVmZXJyYWxBcHAiOiJTdHJlYW1XZWJBcHAiLCJyZWZlcnJhbFZpZXciOiJTaGFyZURpYWxvZy1MaW5rIiwicmVmZXJyYWxBcHBQbGF0Zm9ybSI6IldlYiIsInJlZmVycmFsTW9kZSI6InZpZXcifX0%3D&amp;e=RgqEWL" TargetMode="External"/><Relationship Id="rId15" Type="http://schemas.openxmlformats.org/officeDocument/2006/relationships/hyperlink" Target="https://www.turnerandtownsend.com/" TargetMode="External"/><Relationship Id="rId10" Type="http://schemas.openxmlformats.org/officeDocument/2006/relationships/hyperlink" Target="https://doi.org/10.32936/pssj.v8i1.479" TargetMode="External"/><Relationship Id="rId4" Type="http://schemas.openxmlformats.org/officeDocument/2006/relationships/webSettings" Target="webSettings.xml"/><Relationship Id="rId9" Type="http://schemas.openxmlformats.org/officeDocument/2006/relationships/hyperlink" Target="https://www.consource.ca/post/addressing-key-challenges-in-canada-s-construction-industry" TargetMode="External"/><Relationship Id="rId14" Type="http://schemas.openxmlformats.org/officeDocument/2006/relationships/hyperlink" Target="https://www.proquest.com/docview/183476704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591</TotalTime>
  <Pages>8</Pages>
  <Words>2184</Words>
  <Characters>12454</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56</cp:revision>
  <dcterms:created xsi:type="dcterms:W3CDTF">2026-04-20T11:37:00Z</dcterms:created>
  <dcterms:modified xsi:type="dcterms:W3CDTF">2026-07-02T12:11:00Z</dcterms:modified>
</cp:coreProperties>
</file>