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12C7" w14:textId="77777777" w:rsidR="002A3666" w:rsidRPr="00A15BA9" w:rsidRDefault="002A3666" w:rsidP="00A15BA9">
      <w:pPr>
        <w:spacing w:line="360" w:lineRule="auto"/>
        <w:jc w:val="both"/>
        <w:rPr>
          <w:rFonts w:ascii="Arial" w:hAnsi="Arial" w:cs="Arial"/>
          <w:sz w:val="24"/>
          <w:szCs w:val="24"/>
        </w:rPr>
      </w:pPr>
      <w:r w:rsidRPr="00A15BA9">
        <w:rPr>
          <w:rFonts w:ascii="Arial" w:hAnsi="Arial" w:cs="Arial"/>
          <w:noProof/>
          <w:sz w:val="24"/>
          <w:szCs w:val="24"/>
        </w:rPr>
        <mc:AlternateContent>
          <mc:Choice Requires="wps">
            <w:drawing>
              <wp:anchor distT="0" distB="0" distL="114300" distR="114300" simplePos="0" relativeHeight="251658240" behindDoc="0" locked="0" layoutInCell="1" allowOverlap="1" wp14:anchorId="0E38953D" wp14:editId="2BC1F7E3">
                <wp:simplePos x="0" y="0"/>
                <wp:positionH relativeFrom="margin">
                  <wp:posOffset>-121920</wp:posOffset>
                </wp:positionH>
                <wp:positionV relativeFrom="paragraph">
                  <wp:posOffset>-160020</wp:posOffset>
                </wp:positionV>
                <wp:extent cx="6301740" cy="8785860"/>
                <wp:effectExtent l="0" t="0" r="22860" b="15240"/>
                <wp:wrapNone/>
                <wp:docPr id="754328824" name="Rectangle: Rounded Corners 17"/>
                <wp:cNvGraphicFramePr/>
                <a:graphic xmlns:a="http://schemas.openxmlformats.org/drawingml/2006/main">
                  <a:graphicData uri="http://schemas.microsoft.com/office/word/2010/wordprocessingShape">
                    <wps:wsp>
                      <wps:cNvSpPr/>
                      <wps:spPr>
                        <a:xfrm>
                          <a:off x="0" y="0"/>
                          <a:ext cx="6301740" cy="8785860"/>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90605C" w14:textId="77777777" w:rsidR="002A3666" w:rsidRPr="00CD5776" w:rsidRDefault="002A3666" w:rsidP="002A3666">
                            <w:pPr>
                              <w:rPr>
                                <w:rFonts w:ascii="Arial" w:hAnsi="Arial" w:cs="Arial"/>
                                <w:b/>
                                <w:bCs/>
                                <w:color w:val="0D0D0D" w:themeColor="text1" w:themeTint="F2"/>
                                <w:sz w:val="40"/>
                                <w:szCs w:val="40"/>
                                <w:u w:val="single"/>
                              </w:rPr>
                            </w:pPr>
                            <w:r w:rsidRPr="00CD5776">
                              <w:rPr>
                                <w:rFonts w:ascii="Arial" w:hAnsi="Arial" w:cs="Arial"/>
                                <w:noProof/>
                              </w:rPr>
                              <w:drawing>
                                <wp:inline distT="0" distB="0" distL="0" distR="0" wp14:anchorId="42515835" wp14:editId="45B1CB8F">
                                  <wp:extent cx="2042160" cy="876300"/>
                                  <wp:effectExtent l="0" t="0" r="0" b="0"/>
                                  <wp:docPr id="1417677716" name="Picture 1417677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2160" cy="876300"/>
                                          </a:xfrm>
                                          <a:prstGeom prst="rect">
                                            <a:avLst/>
                                          </a:prstGeom>
                                          <a:noFill/>
                                          <a:ln>
                                            <a:noFill/>
                                          </a:ln>
                                        </pic:spPr>
                                      </pic:pic>
                                    </a:graphicData>
                                  </a:graphic>
                                </wp:inline>
                              </w:drawing>
                            </w:r>
                          </w:p>
                          <w:p w14:paraId="34CD9013" w14:textId="77777777" w:rsidR="002A3666" w:rsidRDefault="002A3666" w:rsidP="002A3666">
                            <w:pPr>
                              <w:rPr>
                                <w:rFonts w:ascii="Arial" w:hAnsi="Arial" w:cs="Arial"/>
                                <w:b/>
                                <w:bCs/>
                                <w:color w:val="0D0D0D" w:themeColor="text1" w:themeTint="F2"/>
                                <w:sz w:val="40"/>
                                <w:szCs w:val="40"/>
                                <w:u w:val="single"/>
                              </w:rPr>
                            </w:pPr>
                          </w:p>
                          <w:p w14:paraId="4D1CFCE6" w14:textId="77777777" w:rsidR="002A3666" w:rsidRPr="00CD5776" w:rsidRDefault="002A3666" w:rsidP="002A3666">
                            <w:pPr>
                              <w:rPr>
                                <w:rFonts w:ascii="Arial" w:hAnsi="Arial" w:cs="Arial"/>
                                <w:b/>
                                <w:bCs/>
                                <w:color w:val="0D0D0D" w:themeColor="text1" w:themeTint="F2"/>
                                <w:sz w:val="40"/>
                                <w:szCs w:val="40"/>
                                <w:u w:val="single"/>
                              </w:rPr>
                            </w:pPr>
                          </w:p>
                          <w:p w14:paraId="568408AF" w14:textId="77777777" w:rsidR="005F4CDA" w:rsidRPr="005F4CDA" w:rsidRDefault="002A3666" w:rsidP="005F4CDA">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A</w:t>
                            </w:r>
                            <w:r>
                              <w:rPr>
                                <w:rFonts w:ascii="Arial" w:hAnsi="Arial" w:cs="Arial"/>
                                <w:b/>
                                <w:bCs/>
                                <w:color w:val="0D0D0D" w:themeColor="text1" w:themeTint="F2"/>
                                <w:sz w:val="40"/>
                                <w:szCs w:val="40"/>
                                <w:u w:val="single"/>
                              </w:rPr>
                              <w:t xml:space="preserve">ssignment </w:t>
                            </w:r>
                            <w:r w:rsidR="005F4CDA" w:rsidRPr="005F4CDA">
                              <w:rPr>
                                <w:rFonts w:ascii="Arial" w:hAnsi="Arial" w:cs="Arial"/>
                                <w:b/>
                                <w:bCs/>
                                <w:color w:val="0D0D0D" w:themeColor="text1" w:themeTint="F2"/>
                                <w:sz w:val="40"/>
                                <w:szCs w:val="40"/>
                                <w:u w:val="single"/>
                              </w:rPr>
                              <w:t>Fundamentals of Construction Technology (ACBA4022)</w:t>
                            </w:r>
                          </w:p>
                          <w:p w14:paraId="74EFB694" w14:textId="224E0F32" w:rsidR="002A3666" w:rsidRDefault="002A3666" w:rsidP="005F4CDA">
                            <w:pPr>
                              <w:jc w:val="center"/>
                              <w:rPr>
                                <w:rFonts w:ascii="Arial" w:hAnsi="Arial" w:cs="Arial"/>
                                <w:b/>
                                <w:bCs/>
                                <w:color w:val="0D0D0D" w:themeColor="text1" w:themeTint="F2"/>
                                <w:sz w:val="40"/>
                                <w:szCs w:val="40"/>
                                <w:u w:val="single"/>
                              </w:rPr>
                            </w:pPr>
                          </w:p>
                          <w:p w14:paraId="2B3C4992" w14:textId="77777777" w:rsidR="002A3666" w:rsidRDefault="002A3666" w:rsidP="002A3666">
                            <w:pPr>
                              <w:rPr>
                                <w:rFonts w:ascii="Arial" w:hAnsi="Arial" w:cs="Arial"/>
                                <w:b/>
                                <w:bCs/>
                                <w:color w:val="0D0D0D" w:themeColor="text1" w:themeTint="F2"/>
                                <w:sz w:val="40"/>
                                <w:szCs w:val="40"/>
                                <w:u w:val="single"/>
                              </w:rPr>
                            </w:pPr>
                          </w:p>
                          <w:p w14:paraId="42DF3EFB" w14:textId="77777777" w:rsidR="002A3666" w:rsidRPr="00CD5776" w:rsidRDefault="002A3666" w:rsidP="002A3666">
                            <w:pPr>
                              <w:rPr>
                                <w:rFonts w:ascii="Arial" w:hAnsi="Arial" w:cs="Arial"/>
                                <w:b/>
                                <w:bCs/>
                                <w:color w:val="0D0D0D" w:themeColor="text1" w:themeTint="F2"/>
                                <w:sz w:val="40"/>
                                <w:szCs w:val="40"/>
                                <w:u w:val="single"/>
                              </w:rPr>
                            </w:pPr>
                          </w:p>
                          <w:p w14:paraId="097FEDF7" w14:textId="77777777" w:rsidR="002A3666" w:rsidRPr="00CD577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HNC / HND / BSc Quantity Surveying</w:t>
                            </w:r>
                          </w:p>
                          <w:p w14:paraId="0BD8DAD9" w14:textId="1BFB52D0" w:rsidR="002A366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Lecturer –</w:t>
                            </w:r>
                            <w:r>
                              <w:rPr>
                                <w:rFonts w:ascii="Arial" w:hAnsi="Arial" w:cs="Arial"/>
                                <w:b/>
                                <w:bCs/>
                                <w:color w:val="0D0D0D" w:themeColor="text1" w:themeTint="F2"/>
                                <w:sz w:val="40"/>
                                <w:szCs w:val="40"/>
                                <w:u w:val="single"/>
                              </w:rPr>
                              <w:t xml:space="preserve"> </w:t>
                            </w:r>
                            <w:r w:rsidR="00BF5675">
                              <w:rPr>
                                <w:rFonts w:ascii="Arial" w:hAnsi="Arial" w:cs="Arial"/>
                                <w:b/>
                                <w:bCs/>
                                <w:color w:val="0D0D0D" w:themeColor="text1" w:themeTint="F2"/>
                                <w:sz w:val="40"/>
                                <w:szCs w:val="40"/>
                                <w:u w:val="single"/>
                              </w:rPr>
                              <w:t>Alan Nantel</w:t>
                            </w:r>
                          </w:p>
                          <w:p w14:paraId="19508090" w14:textId="77777777" w:rsidR="002A3666" w:rsidRPr="00CD5776" w:rsidRDefault="002A3666" w:rsidP="002A3666">
                            <w:pPr>
                              <w:jc w:val="center"/>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060E3F6"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016316D"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E73135D"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Bibek Khatri    </w:t>
                            </w:r>
                          </w:p>
                          <w:p w14:paraId="2FBABEC9"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2503477</w:t>
                            </w:r>
                          </w:p>
                          <w:p w14:paraId="2A36035B"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2B87D5" w14:textId="77777777" w:rsidR="002A3666" w:rsidRPr="00CD5776" w:rsidRDefault="002A3666" w:rsidP="002A3666">
                            <w:pPr>
                              <w:jc w:val="center"/>
                              <w:rPr>
                                <w:rFonts w:ascii="Arial" w:hAnsi="Arial" w:cs="Arial"/>
                                <w:b/>
                                <w:bCs/>
                                <w:color w:val="000000" w:themeColor="text1"/>
                                <w:sz w:val="44"/>
                                <w:szCs w:val="44"/>
                                <w:lang w:val="en-US"/>
                              </w:rPr>
                            </w:pPr>
                          </w:p>
                          <w:p w14:paraId="2206E50D" w14:textId="77777777" w:rsidR="002A3666" w:rsidRPr="00CD5776" w:rsidRDefault="002A3666" w:rsidP="002A3666">
                            <w:pPr>
                              <w:jc w:val="center"/>
                              <w:rPr>
                                <w:rFonts w:ascii="Arial" w:hAnsi="Arial" w:cs="Arial"/>
                                <w:b/>
                                <w:bCs/>
                                <w:color w:val="000000" w:themeColor="text1"/>
                                <w:sz w:val="44"/>
                                <w:szCs w:val="44"/>
                                <w:lang w:val="en-US"/>
                              </w:rPr>
                            </w:pPr>
                          </w:p>
                          <w:p w14:paraId="7D8DE222" w14:textId="77777777" w:rsidR="002A3666" w:rsidRDefault="002A3666" w:rsidP="002A3666">
                            <w:pPr>
                              <w:jc w:val="center"/>
                              <w:rPr>
                                <w:rFonts w:ascii="Arial" w:hAnsi="Arial" w:cs="Arial"/>
                                <w:lang w:val="en-US"/>
                              </w:rPr>
                            </w:pPr>
                          </w:p>
                          <w:p w14:paraId="47293E51" w14:textId="77777777" w:rsidR="002A3666" w:rsidRDefault="002A3666" w:rsidP="002A3666">
                            <w:pPr>
                              <w:jc w:val="center"/>
                              <w:rPr>
                                <w:rFonts w:ascii="Arial" w:hAnsi="Arial" w:cs="Arial"/>
                                <w:lang w:val="en-US"/>
                              </w:rPr>
                            </w:pPr>
                          </w:p>
                          <w:p w14:paraId="14488EF5" w14:textId="77777777" w:rsidR="002A3666" w:rsidRPr="00CD5776" w:rsidRDefault="002A3666" w:rsidP="002A3666">
                            <w:pPr>
                              <w:jc w:val="center"/>
                              <w:rPr>
                                <w:rFonts w:ascii="Arial" w:hAnsi="Arial" w:cs="Arial"/>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38953D" id="Rectangle: Rounded Corners 17" o:spid="_x0000_s1026" style="position:absolute;left:0;text-align:left;margin-left:-9.6pt;margin-top:-12.6pt;width:496.2pt;height:691.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n0ClAIAAJIFAAAOAAAAZHJzL2Uyb0RvYy54bWysVEtv2zAMvg/YfxB0X21nfaRBnSJI0WFA&#10;1xZth54VWaoNyKImKbGzXz9Kcpz0gR2G5eBQFPmR/ETy4rJvFdkI6xrQJS2OckqE5lA1+qWkP5+u&#10;v0wpcZ7piinQoqRb4ejl/POni87MxARqUJWwBEG0m3WmpLX3ZpZljteiZe4IjNB4KcG2zOPRvmSV&#10;ZR2ityqb5Plp1oGtjAUunEPtVbqk84gvpeD+TkonPFElxdx8/Nr4XYVvNr9gsxfLTN3wIQ32D1m0&#10;rNEYdIS6Yp6RtW3eQbUNt+BA+iMObQZSNlzEGrCaIn9TzWPNjIi1IDnOjDS5/wfLbzeP5t4iDZ1x&#10;M4diqKKXtg3/mB/pI1nbkSzRe8JRefo1L86OkVOOd9Oz6cn0NNKZ7d2Ndf6bgJYEoaQW1rp6wCeJ&#10;TLHNjfMYF+13diGkA9VU141S8RDaQCyVJRuGD+j7SXRV6/YHVElX5PhLz4hqfOykPt+pET42U0CJ&#10;wQ4CZPuao+S3SoSwSj8ISZoKq0wBR4QEzjgX2hcxF1ezSgypnAypvIsZAQOyxMJG7AHgdY077MTM&#10;YB9cRezm0TlP0f/mPHrEyKD96Nw2GuxHAAqrGiIne6TsgJog+n7VD+2ygmp7b4mFNFbO8OsGX/qG&#10;OX/PLM4RdgfuBn+HH6mgKykMEiU12N8f6YM9tjfeUtLhXJbU/VozKyhR3zU2/nlxHJrOx8PxydkE&#10;D/bwZnV4o9ftErBzCtxChkcx2Hu1E6WF9hlXyCJExSumOcYuKfd2d1j6tC9wCXGxWEQzHF7D/I1+&#10;NDyAB4JDEz/1z8yaod09Tsot7GaYzd40fLINnhoWaw+yidMQKE68DtTj4Me+HZZU2CyH52i1X6Xz&#10;PwAAAP//AwBQSwMEFAAGAAgAAAAhAGFFYfjhAAAADAEAAA8AAABkcnMvZG93bnJldi54bWxMj8FO&#10;wzAMhu9IvENkJC5oS9exdi1NJ4TEiQOigAQ3rwlNReNUTbYVnh5zgttn+dPv39VudoM4min0nhSs&#10;lgkIQ63XPXUKXp7vF1sQISJpHDwZBV8mwK4+P6uw1P5ET+bYxE5wCIUSFdgYx1LK0FrjMCz9aIh3&#10;H35yGHmcOqknPHG4G2SaJJl02BNfsDiaO2vaz+bgFOTFVZbN4/ejLN6yB8yb99fGjkpdXsy3NyCi&#10;meOfDL/1uTrU3GnvD6SDGBQsVkXKKkO6YWCjyNcMe1bXm+01yLqS/5+ofwAAAP//AwBQSwECLQAU&#10;AAYACAAAACEAtoM4kv4AAADhAQAAEwAAAAAAAAAAAAAAAAAAAAAAW0NvbnRlbnRfVHlwZXNdLnht&#10;bFBLAQItABQABgAIAAAAIQA4/SH/1gAAAJQBAAALAAAAAAAAAAAAAAAAAC8BAABfcmVscy8ucmVs&#10;c1BLAQItABQABgAIAAAAIQD9An0ClAIAAJIFAAAOAAAAAAAAAAAAAAAAAC4CAABkcnMvZTJvRG9j&#10;LnhtbFBLAQItABQABgAIAAAAIQBhRWH44QAAAAwBAAAPAAAAAAAAAAAAAAAAAO4EAABkcnMvZG93&#10;bnJldi54bWxQSwUGAAAAAAQABADzAAAA/AUAAAAA&#10;" fillcolor="#dceaf7 [351]" strokecolor="#030e13 [484]" strokeweight="1pt">
                <v:stroke joinstyle="miter"/>
                <v:textbox>
                  <w:txbxContent>
                    <w:p w14:paraId="6390605C" w14:textId="77777777" w:rsidR="002A3666" w:rsidRPr="00CD5776" w:rsidRDefault="002A3666" w:rsidP="002A3666">
                      <w:pPr>
                        <w:rPr>
                          <w:rFonts w:ascii="Arial" w:hAnsi="Arial" w:cs="Arial"/>
                          <w:b/>
                          <w:bCs/>
                          <w:color w:val="0D0D0D" w:themeColor="text1" w:themeTint="F2"/>
                          <w:sz w:val="40"/>
                          <w:szCs w:val="40"/>
                          <w:u w:val="single"/>
                        </w:rPr>
                      </w:pPr>
                      <w:r w:rsidRPr="00CD5776">
                        <w:rPr>
                          <w:rFonts w:ascii="Arial" w:hAnsi="Arial" w:cs="Arial"/>
                          <w:noProof/>
                        </w:rPr>
                        <w:drawing>
                          <wp:inline distT="0" distB="0" distL="0" distR="0" wp14:anchorId="42515835" wp14:editId="45B1CB8F">
                            <wp:extent cx="2042160" cy="876300"/>
                            <wp:effectExtent l="0" t="0" r="0" b="0"/>
                            <wp:docPr id="1417677716" name="Picture 1417677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2160" cy="876300"/>
                                    </a:xfrm>
                                    <a:prstGeom prst="rect">
                                      <a:avLst/>
                                    </a:prstGeom>
                                    <a:noFill/>
                                    <a:ln>
                                      <a:noFill/>
                                    </a:ln>
                                  </pic:spPr>
                                </pic:pic>
                              </a:graphicData>
                            </a:graphic>
                          </wp:inline>
                        </w:drawing>
                      </w:r>
                    </w:p>
                    <w:p w14:paraId="34CD9013" w14:textId="77777777" w:rsidR="002A3666" w:rsidRDefault="002A3666" w:rsidP="002A3666">
                      <w:pPr>
                        <w:rPr>
                          <w:rFonts w:ascii="Arial" w:hAnsi="Arial" w:cs="Arial"/>
                          <w:b/>
                          <w:bCs/>
                          <w:color w:val="0D0D0D" w:themeColor="text1" w:themeTint="F2"/>
                          <w:sz w:val="40"/>
                          <w:szCs w:val="40"/>
                          <w:u w:val="single"/>
                        </w:rPr>
                      </w:pPr>
                    </w:p>
                    <w:p w14:paraId="4D1CFCE6" w14:textId="77777777" w:rsidR="002A3666" w:rsidRPr="00CD5776" w:rsidRDefault="002A3666" w:rsidP="002A3666">
                      <w:pPr>
                        <w:rPr>
                          <w:rFonts w:ascii="Arial" w:hAnsi="Arial" w:cs="Arial"/>
                          <w:b/>
                          <w:bCs/>
                          <w:color w:val="0D0D0D" w:themeColor="text1" w:themeTint="F2"/>
                          <w:sz w:val="40"/>
                          <w:szCs w:val="40"/>
                          <w:u w:val="single"/>
                        </w:rPr>
                      </w:pPr>
                    </w:p>
                    <w:p w14:paraId="568408AF" w14:textId="77777777" w:rsidR="005F4CDA" w:rsidRPr="005F4CDA" w:rsidRDefault="002A3666" w:rsidP="005F4CDA">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A</w:t>
                      </w:r>
                      <w:r>
                        <w:rPr>
                          <w:rFonts w:ascii="Arial" w:hAnsi="Arial" w:cs="Arial"/>
                          <w:b/>
                          <w:bCs/>
                          <w:color w:val="0D0D0D" w:themeColor="text1" w:themeTint="F2"/>
                          <w:sz w:val="40"/>
                          <w:szCs w:val="40"/>
                          <w:u w:val="single"/>
                        </w:rPr>
                        <w:t xml:space="preserve">ssignment </w:t>
                      </w:r>
                      <w:r w:rsidR="005F4CDA" w:rsidRPr="005F4CDA">
                        <w:rPr>
                          <w:rFonts w:ascii="Arial" w:hAnsi="Arial" w:cs="Arial"/>
                          <w:b/>
                          <w:bCs/>
                          <w:color w:val="0D0D0D" w:themeColor="text1" w:themeTint="F2"/>
                          <w:sz w:val="40"/>
                          <w:szCs w:val="40"/>
                          <w:u w:val="single"/>
                        </w:rPr>
                        <w:t>Fundamentals of Construction Technology (ACBA4022)</w:t>
                      </w:r>
                    </w:p>
                    <w:p w14:paraId="74EFB694" w14:textId="224E0F32" w:rsidR="002A3666" w:rsidRDefault="002A3666" w:rsidP="005F4CDA">
                      <w:pPr>
                        <w:jc w:val="center"/>
                        <w:rPr>
                          <w:rFonts w:ascii="Arial" w:hAnsi="Arial" w:cs="Arial"/>
                          <w:b/>
                          <w:bCs/>
                          <w:color w:val="0D0D0D" w:themeColor="text1" w:themeTint="F2"/>
                          <w:sz w:val="40"/>
                          <w:szCs w:val="40"/>
                          <w:u w:val="single"/>
                        </w:rPr>
                      </w:pPr>
                    </w:p>
                    <w:p w14:paraId="2B3C4992" w14:textId="77777777" w:rsidR="002A3666" w:rsidRDefault="002A3666" w:rsidP="002A3666">
                      <w:pPr>
                        <w:rPr>
                          <w:rFonts w:ascii="Arial" w:hAnsi="Arial" w:cs="Arial"/>
                          <w:b/>
                          <w:bCs/>
                          <w:color w:val="0D0D0D" w:themeColor="text1" w:themeTint="F2"/>
                          <w:sz w:val="40"/>
                          <w:szCs w:val="40"/>
                          <w:u w:val="single"/>
                        </w:rPr>
                      </w:pPr>
                    </w:p>
                    <w:p w14:paraId="42DF3EFB" w14:textId="77777777" w:rsidR="002A3666" w:rsidRPr="00CD5776" w:rsidRDefault="002A3666" w:rsidP="002A3666">
                      <w:pPr>
                        <w:rPr>
                          <w:rFonts w:ascii="Arial" w:hAnsi="Arial" w:cs="Arial"/>
                          <w:b/>
                          <w:bCs/>
                          <w:color w:val="0D0D0D" w:themeColor="text1" w:themeTint="F2"/>
                          <w:sz w:val="40"/>
                          <w:szCs w:val="40"/>
                          <w:u w:val="single"/>
                        </w:rPr>
                      </w:pPr>
                    </w:p>
                    <w:p w14:paraId="097FEDF7" w14:textId="77777777" w:rsidR="002A3666" w:rsidRPr="00CD577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HNC / HND / BSc Quantity Surveying</w:t>
                      </w:r>
                    </w:p>
                    <w:p w14:paraId="0BD8DAD9" w14:textId="1BFB52D0" w:rsidR="002A366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Lecturer –</w:t>
                      </w:r>
                      <w:r>
                        <w:rPr>
                          <w:rFonts w:ascii="Arial" w:hAnsi="Arial" w:cs="Arial"/>
                          <w:b/>
                          <w:bCs/>
                          <w:color w:val="0D0D0D" w:themeColor="text1" w:themeTint="F2"/>
                          <w:sz w:val="40"/>
                          <w:szCs w:val="40"/>
                          <w:u w:val="single"/>
                        </w:rPr>
                        <w:t xml:space="preserve"> </w:t>
                      </w:r>
                      <w:r w:rsidR="00BF5675">
                        <w:rPr>
                          <w:rFonts w:ascii="Arial" w:hAnsi="Arial" w:cs="Arial"/>
                          <w:b/>
                          <w:bCs/>
                          <w:color w:val="0D0D0D" w:themeColor="text1" w:themeTint="F2"/>
                          <w:sz w:val="40"/>
                          <w:szCs w:val="40"/>
                          <w:u w:val="single"/>
                        </w:rPr>
                        <w:t>Alan Nantel</w:t>
                      </w:r>
                    </w:p>
                    <w:p w14:paraId="19508090" w14:textId="77777777" w:rsidR="002A3666" w:rsidRPr="00CD5776" w:rsidRDefault="002A3666" w:rsidP="002A3666">
                      <w:pPr>
                        <w:jc w:val="center"/>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060E3F6"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016316D"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E73135D"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Bibek Khatri    </w:t>
                      </w:r>
                    </w:p>
                    <w:p w14:paraId="2FBABEC9"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2503477</w:t>
                      </w:r>
                    </w:p>
                    <w:p w14:paraId="2A36035B"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2B87D5" w14:textId="77777777" w:rsidR="002A3666" w:rsidRPr="00CD5776" w:rsidRDefault="002A3666" w:rsidP="002A3666">
                      <w:pPr>
                        <w:jc w:val="center"/>
                        <w:rPr>
                          <w:rFonts w:ascii="Arial" w:hAnsi="Arial" w:cs="Arial"/>
                          <w:b/>
                          <w:bCs/>
                          <w:color w:val="000000" w:themeColor="text1"/>
                          <w:sz w:val="44"/>
                          <w:szCs w:val="44"/>
                          <w:lang w:val="en-US"/>
                        </w:rPr>
                      </w:pPr>
                    </w:p>
                    <w:p w14:paraId="2206E50D" w14:textId="77777777" w:rsidR="002A3666" w:rsidRPr="00CD5776" w:rsidRDefault="002A3666" w:rsidP="002A3666">
                      <w:pPr>
                        <w:jc w:val="center"/>
                        <w:rPr>
                          <w:rFonts w:ascii="Arial" w:hAnsi="Arial" w:cs="Arial"/>
                          <w:b/>
                          <w:bCs/>
                          <w:color w:val="000000" w:themeColor="text1"/>
                          <w:sz w:val="44"/>
                          <w:szCs w:val="44"/>
                          <w:lang w:val="en-US"/>
                        </w:rPr>
                      </w:pPr>
                    </w:p>
                    <w:p w14:paraId="7D8DE222" w14:textId="77777777" w:rsidR="002A3666" w:rsidRDefault="002A3666" w:rsidP="002A3666">
                      <w:pPr>
                        <w:jc w:val="center"/>
                        <w:rPr>
                          <w:rFonts w:ascii="Arial" w:hAnsi="Arial" w:cs="Arial"/>
                          <w:lang w:val="en-US"/>
                        </w:rPr>
                      </w:pPr>
                    </w:p>
                    <w:p w14:paraId="47293E51" w14:textId="77777777" w:rsidR="002A3666" w:rsidRDefault="002A3666" w:rsidP="002A3666">
                      <w:pPr>
                        <w:jc w:val="center"/>
                        <w:rPr>
                          <w:rFonts w:ascii="Arial" w:hAnsi="Arial" w:cs="Arial"/>
                          <w:lang w:val="en-US"/>
                        </w:rPr>
                      </w:pPr>
                    </w:p>
                    <w:p w14:paraId="14488EF5" w14:textId="77777777" w:rsidR="002A3666" w:rsidRPr="00CD5776" w:rsidRDefault="002A3666" w:rsidP="002A3666">
                      <w:pPr>
                        <w:jc w:val="center"/>
                        <w:rPr>
                          <w:rFonts w:ascii="Arial" w:hAnsi="Arial" w:cs="Arial"/>
                          <w:lang w:val="en-US"/>
                        </w:rPr>
                      </w:pPr>
                    </w:p>
                  </w:txbxContent>
                </v:textbox>
                <w10:wrap anchorx="margin"/>
              </v:roundrect>
            </w:pict>
          </mc:Fallback>
        </mc:AlternateContent>
      </w:r>
    </w:p>
    <w:p w14:paraId="7F6C305C" w14:textId="77777777" w:rsidR="002A3666" w:rsidRPr="00A15BA9" w:rsidRDefault="002A3666" w:rsidP="00A15BA9">
      <w:pPr>
        <w:spacing w:line="360" w:lineRule="auto"/>
        <w:jc w:val="both"/>
        <w:rPr>
          <w:rFonts w:ascii="Arial" w:hAnsi="Arial" w:cs="Arial"/>
          <w:sz w:val="24"/>
          <w:szCs w:val="24"/>
        </w:rPr>
      </w:pPr>
    </w:p>
    <w:p w14:paraId="748831FB" w14:textId="77777777" w:rsidR="002A3666" w:rsidRPr="00A15BA9" w:rsidRDefault="002A3666" w:rsidP="00A15BA9">
      <w:pPr>
        <w:spacing w:line="360" w:lineRule="auto"/>
        <w:jc w:val="both"/>
        <w:rPr>
          <w:rFonts w:ascii="Arial" w:hAnsi="Arial" w:cs="Arial"/>
          <w:sz w:val="24"/>
          <w:szCs w:val="24"/>
        </w:rPr>
      </w:pPr>
    </w:p>
    <w:p w14:paraId="27F24E11" w14:textId="77777777" w:rsidR="002A3666" w:rsidRPr="00A15BA9" w:rsidRDefault="002A3666" w:rsidP="00A15BA9">
      <w:pPr>
        <w:spacing w:line="360" w:lineRule="auto"/>
        <w:jc w:val="both"/>
        <w:rPr>
          <w:rFonts w:ascii="Arial" w:hAnsi="Arial" w:cs="Arial"/>
          <w:sz w:val="24"/>
          <w:szCs w:val="24"/>
        </w:rPr>
      </w:pPr>
    </w:p>
    <w:p w14:paraId="15A99A9A" w14:textId="77777777" w:rsidR="002A3666" w:rsidRPr="00A15BA9" w:rsidRDefault="002A3666" w:rsidP="00A15BA9">
      <w:pPr>
        <w:spacing w:line="360" w:lineRule="auto"/>
        <w:jc w:val="both"/>
        <w:rPr>
          <w:rFonts w:ascii="Arial" w:hAnsi="Arial" w:cs="Arial"/>
          <w:sz w:val="24"/>
          <w:szCs w:val="24"/>
        </w:rPr>
      </w:pPr>
    </w:p>
    <w:p w14:paraId="269CB0CE" w14:textId="77777777" w:rsidR="002A3666" w:rsidRPr="00A15BA9" w:rsidRDefault="002A3666" w:rsidP="00A15BA9">
      <w:pPr>
        <w:spacing w:line="360" w:lineRule="auto"/>
        <w:jc w:val="both"/>
        <w:rPr>
          <w:rFonts w:ascii="Arial" w:hAnsi="Arial" w:cs="Arial"/>
          <w:sz w:val="24"/>
          <w:szCs w:val="24"/>
        </w:rPr>
      </w:pPr>
    </w:p>
    <w:p w14:paraId="6437A4C7" w14:textId="77777777" w:rsidR="002A3666" w:rsidRPr="00A15BA9" w:rsidRDefault="002A3666" w:rsidP="00A15BA9">
      <w:pPr>
        <w:spacing w:line="360" w:lineRule="auto"/>
        <w:jc w:val="both"/>
        <w:rPr>
          <w:rFonts w:ascii="Arial" w:hAnsi="Arial" w:cs="Arial"/>
          <w:sz w:val="24"/>
          <w:szCs w:val="24"/>
        </w:rPr>
      </w:pPr>
    </w:p>
    <w:p w14:paraId="45B94D3F" w14:textId="77777777" w:rsidR="002A3666" w:rsidRPr="00A15BA9" w:rsidRDefault="002A3666" w:rsidP="00A15BA9">
      <w:pPr>
        <w:spacing w:line="360" w:lineRule="auto"/>
        <w:jc w:val="both"/>
        <w:rPr>
          <w:rFonts w:ascii="Arial" w:hAnsi="Arial" w:cs="Arial"/>
          <w:sz w:val="24"/>
          <w:szCs w:val="24"/>
        </w:rPr>
      </w:pPr>
    </w:p>
    <w:p w14:paraId="70D53364" w14:textId="77777777" w:rsidR="002A3666" w:rsidRPr="00A15BA9" w:rsidRDefault="002A3666" w:rsidP="00A15BA9">
      <w:pPr>
        <w:spacing w:line="360" w:lineRule="auto"/>
        <w:jc w:val="both"/>
        <w:rPr>
          <w:rFonts w:ascii="Arial" w:hAnsi="Arial" w:cs="Arial"/>
          <w:sz w:val="24"/>
          <w:szCs w:val="24"/>
        </w:rPr>
      </w:pPr>
    </w:p>
    <w:p w14:paraId="3E216470" w14:textId="77777777" w:rsidR="002A3666" w:rsidRPr="00A15BA9" w:rsidRDefault="002A3666" w:rsidP="00A15BA9">
      <w:pPr>
        <w:spacing w:line="360" w:lineRule="auto"/>
        <w:jc w:val="both"/>
        <w:rPr>
          <w:rFonts w:ascii="Arial" w:hAnsi="Arial" w:cs="Arial"/>
          <w:sz w:val="24"/>
          <w:szCs w:val="24"/>
        </w:rPr>
      </w:pPr>
    </w:p>
    <w:p w14:paraId="2216DFC0" w14:textId="77777777" w:rsidR="002A3666" w:rsidRPr="00A15BA9" w:rsidRDefault="002A3666" w:rsidP="00A15BA9">
      <w:pPr>
        <w:spacing w:line="360" w:lineRule="auto"/>
        <w:jc w:val="both"/>
        <w:rPr>
          <w:rFonts w:ascii="Arial" w:hAnsi="Arial" w:cs="Arial"/>
          <w:sz w:val="24"/>
          <w:szCs w:val="24"/>
        </w:rPr>
      </w:pPr>
    </w:p>
    <w:p w14:paraId="62929207" w14:textId="77777777" w:rsidR="002A3666" w:rsidRPr="00A15BA9" w:rsidRDefault="002A3666" w:rsidP="00A15BA9">
      <w:pPr>
        <w:spacing w:line="360" w:lineRule="auto"/>
        <w:jc w:val="both"/>
        <w:rPr>
          <w:rFonts w:ascii="Arial" w:hAnsi="Arial" w:cs="Arial"/>
          <w:sz w:val="24"/>
          <w:szCs w:val="24"/>
        </w:rPr>
      </w:pPr>
    </w:p>
    <w:p w14:paraId="2BF9091C" w14:textId="77777777" w:rsidR="002A3666" w:rsidRPr="00A15BA9" w:rsidRDefault="002A3666" w:rsidP="00A15BA9">
      <w:pPr>
        <w:spacing w:line="360" w:lineRule="auto"/>
        <w:jc w:val="both"/>
        <w:rPr>
          <w:rFonts w:ascii="Arial" w:hAnsi="Arial" w:cs="Arial"/>
          <w:sz w:val="24"/>
          <w:szCs w:val="24"/>
        </w:rPr>
      </w:pPr>
    </w:p>
    <w:p w14:paraId="0BDF4699" w14:textId="77777777" w:rsidR="002A3666" w:rsidRPr="00A15BA9" w:rsidRDefault="002A3666" w:rsidP="00A15BA9">
      <w:pPr>
        <w:spacing w:line="360" w:lineRule="auto"/>
        <w:jc w:val="both"/>
        <w:rPr>
          <w:rFonts w:ascii="Arial" w:hAnsi="Arial" w:cs="Arial"/>
          <w:sz w:val="24"/>
          <w:szCs w:val="24"/>
        </w:rPr>
      </w:pPr>
    </w:p>
    <w:p w14:paraId="0FA423BE" w14:textId="77777777" w:rsidR="002A3666" w:rsidRPr="00A15BA9" w:rsidRDefault="002A3666" w:rsidP="00A15BA9">
      <w:pPr>
        <w:spacing w:line="360" w:lineRule="auto"/>
        <w:jc w:val="both"/>
        <w:rPr>
          <w:rFonts w:ascii="Arial" w:hAnsi="Arial" w:cs="Arial"/>
          <w:sz w:val="24"/>
          <w:szCs w:val="24"/>
        </w:rPr>
      </w:pPr>
    </w:p>
    <w:p w14:paraId="26FBE06E" w14:textId="77777777" w:rsidR="002A3666" w:rsidRPr="00A15BA9" w:rsidRDefault="002A3666" w:rsidP="00A15BA9">
      <w:pPr>
        <w:spacing w:line="360" w:lineRule="auto"/>
        <w:jc w:val="both"/>
        <w:rPr>
          <w:rFonts w:ascii="Arial" w:hAnsi="Arial" w:cs="Arial"/>
          <w:sz w:val="24"/>
          <w:szCs w:val="24"/>
        </w:rPr>
      </w:pPr>
    </w:p>
    <w:p w14:paraId="27DD9C7A" w14:textId="77777777" w:rsidR="002A3666" w:rsidRPr="00A15BA9" w:rsidRDefault="002A3666" w:rsidP="00A15BA9">
      <w:pPr>
        <w:spacing w:line="360" w:lineRule="auto"/>
        <w:jc w:val="both"/>
        <w:rPr>
          <w:rFonts w:ascii="Arial" w:hAnsi="Arial" w:cs="Arial"/>
          <w:sz w:val="24"/>
          <w:szCs w:val="24"/>
        </w:rPr>
      </w:pPr>
    </w:p>
    <w:p w14:paraId="7BC8B6DA" w14:textId="77777777" w:rsidR="002A3666" w:rsidRPr="00A15BA9" w:rsidRDefault="002A3666" w:rsidP="00A15BA9">
      <w:pPr>
        <w:spacing w:line="360" w:lineRule="auto"/>
        <w:jc w:val="both"/>
        <w:rPr>
          <w:rFonts w:ascii="Arial" w:hAnsi="Arial" w:cs="Arial"/>
          <w:sz w:val="24"/>
          <w:szCs w:val="24"/>
        </w:rPr>
      </w:pPr>
    </w:p>
    <w:p w14:paraId="5E1BD4C9" w14:textId="77777777" w:rsidR="002A3666" w:rsidRPr="00A15BA9" w:rsidRDefault="002A3666" w:rsidP="00A15BA9">
      <w:pPr>
        <w:spacing w:line="360" w:lineRule="auto"/>
        <w:jc w:val="both"/>
        <w:rPr>
          <w:rFonts w:ascii="Arial" w:hAnsi="Arial" w:cs="Arial"/>
          <w:sz w:val="24"/>
          <w:szCs w:val="24"/>
        </w:rPr>
      </w:pPr>
    </w:p>
    <w:p w14:paraId="6CBF0C24" w14:textId="77777777" w:rsidR="002A3666" w:rsidRPr="00A15BA9" w:rsidRDefault="002A3666" w:rsidP="00A15BA9">
      <w:pPr>
        <w:spacing w:line="360" w:lineRule="auto"/>
        <w:jc w:val="both"/>
        <w:rPr>
          <w:rFonts w:ascii="Arial" w:hAnsi="Arial" w:cs="Arial"/>
          <w:sz w:val="24"/>
          <w:szCs w:val="24"/>
        </w:rPr>
      </w:pPr>
    </w:p>
    <w:p w14:paraId="7841BB35" w14:textId="77777777" w:rsidR="002A3666" w:rsidRPr="00A15BA9" w:rsidRDefault="002A3666" w:rsidP="00A15BA9">
      <w:pPr>
        <w:spacing w:line="360" w:lineRule="auto"/>
        <w:jc w:val="both"/>
        <w:rPr>
          <w:rFonts w:ascii="Arial" w:hAnsi="Arial" w:cs="Arial"/>
          <w:sz w:val="24"/>
          <w:szCs w:val="24"/>
        </w:rPr>
      </w:pPr>
    </w:p>
    <w:p w14:paraId="0CB7E375" w14:textId="77777777" w:rsidR="002A3666" w:rsidRPr="00A15BA9" w:rsidRDefault="002A3666" w:rsidP="00A15BA9">
      <w:pPr>
        <w:spacing w:line="360" w:lineRule="auto"/>
        <w:jc w:val="both"/>
        <w:rPr>
          <w:rFonts w:ascii="Arial" w:hAnsi="Arial" w:cs="Arial"/>
          <w:sz w:val="24"/>
          <w:szCs w:val="24"/>
        </w:rPr>
      </w:pPr>
    </w:p>
    <w:p w14:paraId="059DB515" w14:textId="77777777" w:rsidR="002A3666" w:rsidRPr="00A15BA9" w:rsidRDefault="002A3666" w:rsidP="00A15BA9">
      <w:pPr>
        <w:spacing w:line="360" w:lineRule="auto"/>
        <w:jc w:val="both"/>
        <w:rPr>
          <w:rFonts w:ascii="Arial" w:hAnsi="Arial" w:cs="Arial"/>
          <w:sz w:val="24"/>
          <w:szCs w:val="24"/>
        </w:rPr>
      </w:pPr>
    </w:p>
    <w:p w14:paraId="6DCCEF58" w14:textId="77777777" w:rsidR="008379AF" w:rsidRPr="00A15BA9" w:rsidRDefault="008379AF" w:rsidP="00A15BA9">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411887121"/>
        <w:docPartObj>
          <w:docPartGallery w:val="Table of Contents"/>
          <w:docPartUnique/>
        </w:docPartObj>
      </w:sdtPr>
      <w:sdtEndPr>
        <w:rPr>
          <w:noProof/>
        </w:rPr>
      </w:sdtEndPr>
      <w:sdtContent>
        <w:p w14:paraId="69A59BF8" w14:textId="121E28E7" w:rsidR="005C5D14" w:rsidRPr="00A15BA9" w:rsidRDefault="005C5D14" w:rsidP="00A15BA9">
          <w:pPr>
            <w:pStyle w:val="TOCHeading"/>
            <w:spacing w:line="360" w:lineRule="auto"/>
            <w:jc w:val="both"/>
            <w:rPr>
              <w:rFonts w:ascii="Arial" w:hAnsi="Arial" w:cs="Arial"/>
              <w:sz w:val="24"/>
              <w:szCs w:val="24"/>
            </w:rPr>
          </w:pPr>
          <w:r w:rsidRPr="00A15BA9">
            <w:rPr>
              <w:rFonts w:ascii="Arial" w:hAnsi="Arial" w:cs="Arial"/>
              <w:sz w:val="24"/>
              <w:szCs w:val="24"/>
            </w:rPr>
            <w:t>Contents</w:t>
          </w:r>
        </w:p>
        <w:p w14:paraId="7B537798" w14:textId="07662245" w:rsidR="00AD1574" w:rsidRPr="00A15BA9" w:rsidRDefault="005C5D14" w:rsidP="00A15BA9">
          <w:pPr>
            <w:pStyle w:val="TOC1"/>
            <w:tabs>
              <w:tab w:val="right" w:leader="dot" w:pos="9016"/>
            </w:tabs>
            <w:spacing w:line="360" w:lineRule="auto"/>
            <w:rPr>
              <w:rFonts w:ascii="Arial" w:eastAsiaTheme="minorEastAsia" w:hAnsi="Arial" w:cs="Arial"/>
              <w:noProof/>
              <w:sz w:val="24"/>
              <w:szCs w:val="24"/>
              <w:lang w:eastAsia="en-GB"/>
            </w:rPr>
          </w:pPr>
          <w:r w:rsidRPr="00A15BA9">
            <w:rPr>
              <w:rFonts w:ascii="Arial" w:hAnsi="Arial" w:cs="Arial"/>
              <w:sz w:val="24"/>
              <w:szCs w:val="24"/>
            </w:rPr>
            <w:fldChar w:fldCharType="begin"/>
          </w:r>
          <w:r w:rsidRPr="00A15BA9">
            <w:rPr>
              <w:rFonts w:ascii="Arial" w:hAnsi="Arial" w:cs="Arial"/>
              <w:sz w:val="24"/>
              <w:szCs w:val="24"/>
            </w:rPr>
            <w:instrText xml:space="preserve"> TOC \o "1-3" \h \z \u </w:instrText>
          </w:r>
          <w:r w:rsidRPr="00A15BA9">
            <w:rPr>
              <w:rFonts w:ascii="Arial" w:hAnsi="Arial" w:cs="Arial"/>
              <w:sz w:val="24"/>
              <w:szCs w:val="24"/>
            </w:rPr>
            <w:fldChar w:fldCharType="separate"/>
          </w:r>
          <w:hyperlink w:anchor="_Toc228434497" w:history="1">
            <w:r w:rsidR="00AD1574" w:rsidRPr="00A15BA9">
              <w:rPr>
                <w:rStyle w:val="Hyperlink"/>
                <w:rFonts w:ascii="Arial" w:hAnsi="Arial" w:cs="Arial"/>
                <w:noProof/>
                <w:sz w:val="24"/>
                <w:szCs w:val="24"/>
              </w:rPr>
              <w:t>1.0. Introduction and Purpose of Report</w:t>
            </w:r>
            <w:r w:rsidR="00AD1574" w:rsidRPr="00A15BA9">
              <w:rPr>
                <w:rFonts w:ascii="Arial" w:hAnsi="Arial" w:cs="Arial"/>
                <w:noProof/>
                <w:webHidden/>
                <w:sz w:val="24"/>
                <w:szCs w:val="24"/>
              </w:rPr>
              <w:tab/>
            </w:r>
            <w:r w:rsidR="00AD1574" w:rsidRPr="00A15BA9">
              <w:rPr>
                <w:rFonts w:ascii="Arial" w:hAnsi="Arial" w:cs="Arial"/>
                <w:noProof/>
                <w:webHidden/>
                <w:sz w:val="24"/>
                <w:szCs w:val="24"/>
              </w:rPr>
              <w:fldChar w:fldCharType="begin"/>
            </w:r>
            <w:r w:rsidR="00AD1574" w:rsidRPr="00A15BA9">
              <w:rPr>
                <w:rFonts w:ascii="Arial" w:hAnsi="Arial" w:cs="Arial"/>
                <w:noProof/>
                <w:webHidden/>
                <w:sz w:val="24"/>
                <w:szCs w:val="24"/>
              </w:rPr>
              <w:instrText xml:space="preserve"> PAGEREF _Toc228434497 \h </w:instrText>
            </w:r>
            <w:r w:rsidR="00AD1574" w:rsidRPr="00A15BA9">
              <w:rPr>
                <w:rFonts w:ascii="Arial" w:hAnsi="Arial" w:cs="Arial"/>
                <w:noProof/>
                <w:webHidden/>
                <w:sz w:val="24"/>
                <w:szCs w:val="24"/>
              </w:rPr>
            </w:r>
            <w:r w:rsidR="00AD1574" w:rsidRPr="00A15BA9">
              <w:rPr>
                <w:rFonts w:ascii="Arial" w:hAnsi="Arial" w:cs="Arial"/>
                <w:noProof/>
                <w:webHidden/>
                <w:sz w:val="24"/>
                <w:szCs w:val="24"/>
              </w:rPr>
              <w:fldChar w:fldCharType="separate"/>
            </w:r>
            <w:r w:rsidR="00AD1574" w:rsidRPr="00A15BA9">
              <w:rPr>
                <w:rFonts w:ascii="Arial" w:hAnsi="Arial" w:cs="Arial"/>
                <w:noProof/>
                <w:webHidden/>
                <w:sz w:val="24"/>
                <w:szCs w:val="24"/>
              </w:rPr>
              <w:t>1</w:t>
            </w:r>
            <w:r w:rsidR="00AD1574" w:rsidRPr="00A15BA9">
              <w:rPr>
                <w:rFonts w:ascii="Arial" w:hAnsi="Arial" w:cs="Arial"/>
                <w:noProof/>
                <w:webHidden/>
                <w:sz w:val="24"/>
                <w:szCs w:val="24"/>
              </w:rPr>
              <w:fldChar w:fldCharType="end"/>
            </w:r>
          </w:hyperlink>
        </w:p>
        <w:p w14:paraId="4C200BF0" w14:textId="73410EE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498" w:history="1">
            <w:r w:rsidRPr="00A15BA9">
              <w:rPr>
                <w:rStyle w:val="Hyperlink"/>
                <w:rFonts w:ascii="Arial" w:hAnsi="Arial" w:cs="Arial"/>
                <w:noProof/>
                <w:sz w:val="24"/>
                <w:szCs w:val="24"/>
              </w:rPr>
              <w:t>2.0. Site Description and Proposed development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_Toc228434498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w:t>
            </w:r>
            <w:r w:rsidRPr="00A15BA9">
              <w:rPr>
                <w:rFonts w:ascii="Arial" w:hAnsi="Arial" w:cs="Arial"/>
                <w:noProof/>
                <w:webHidden/>
                <w:sz w:val="24"/>
                <w:szCs w:val="24"/>
              </w:rPr>
              <w:fldChar w:fldCharType="end"/>
            </w:r>
          </w:hyperlink>
        </w:p>
        <w:p w14:paraId="0476CAA3" w14:textId="136FEBE8"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499" w:history="1">
            <w:r w:rsidRPr="00A15BA9">
              <w:rPr>
                <w:rStyle w:val="Hyperlink"/>
                <w:rFonts w:ascii="Arial" w:hAnsi="Arial" w:cs="Arial"/>
                <w:noProof/>
                <w:sz w:val="24"/>
                <w:szCs w:val="24"/>
              </w:rPr>
              <w:t>2.1 Site Location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_Toc228434499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w:t>
            </w:r>
            <w:r w:rsidRPr="00A15BA9">
              <w:rPr>
                <w:rFonts w:ascii="Arial" w:hAnsi="Arial" w:cs="Arial"/>
                <w:noProof/>
                <w:webHidden/>
                <w:sz w:val="24"/>
                <w:szCs w:val="24"/>
              </w:rPr>
              <w:fldChar w:fldCharType="end"/>
            </w:r>
          </w:hyperlink>
        </w:p>
        <w:p w14:paraId="5C487786" w14:textId="3DD594A4"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0" w:history="1">
            <w:r w:rsidRPr="00A15BA9">
              <w:rPr>
                <w:rStyle w:val="Hyperlink"/>
                <w:rFonts w:ascii="Arial" w:hAnsi="Arial" w:cs="Arial"/>
                <w:noProof/>
                <w:sz w:val="24"/>
                <w:szCs w:val="24"/>
              </w:rPr>
              <w:t>2.2 Proposed Use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_Toc228434500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w:t>
            </w:r>
            <w:r w:rsidRPr="00A15BA9">
              <w:rPr>
                <w:rFonts w:ascii="Arial" w:hAnsi="Arial" w:cs="Arial"/>
                <w:noProof/>
                <w:webHidden/>
                <w:sz w:val="24"/>
                <w:szCs w:val="24"/>
              </w:rPr>
              <w:fldChar w:fldCharType="end"/>
            </w:r>
          </w:hyperlink>
        </w:p>
        <w:p w14:paraId="631E453E" w14:textId="2EDB3065"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1" w:history="1">
            <w:r w:rsidRPr="00A15BA9">
              <w:rPr>
                <w:rStyle w:val="Hyperlink"/>
                <w:rFonts w:ascii="Arial" w:hAnsi="Arial" w:cs="Arial"/>
                <w:noProof/>
                <w:sz w:val="24"/>
                <w:szCs w:val="24"/>
              </w:rPr>
              <w:t>3.0. Historical Background (1850s to present)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_Toc228434501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2</w:t>
            </w:r>
            <w:r w:rsidRPr="00A15BA9">
              <w:rPr>
                <w:rFonts w:ascii="Arial" w:hAnsi="Arial" w:cs="Arial"/>
                <w:noProof/>
                <w:webHidden/>
                <w:sz w:val="24"/>
                <w:szCs w:val="24"/>
              </w:rPr>
              <w:fldChar w:fldCharType="end"/>
            </w:r>
          </w:hyperlink>
        </w:p>
        <w:p w14:paraId="1B533524" w14:textId="06DADEFD"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2" w:history="1">
            <w:r w:rsidRPr="00A15BA9">
              <w:rPr>
                <w:rStyle w:val="Hyperlink"/>
                <w:rFonts w:ascii="Arial" w:hAnsi="Arial" w:cs="Arial"/>
                <w:noProof/>
                <w:sz w:val="24"/>
                <w:szCs w:val="24"/>
              </w:rPr>
              <w:t>3.1. Mid-19</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Industrial development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_Toc228434502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2</w:t>
            </w:r>
            <w:r w:rsidRPr="00A15BA9">
              <w:rPr>
                <w:rFonts w:ascii="Arial" w:hAnsi="Arial" w:cs="Arial"/>
                <w:noProof/>
                <w:webHidden/>
                <w:sz w:val="24"/>
                <w:szCs w:val="24"/>
              </w:rPr>
              <w:fldChar w:fldCharType="end"/>
            </w:r>
          </w:hyperlink>
        </w:p>
        <w:p w14:paraId="622A62D8" w14:textId="1AB31152"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3" w:history="1">
            <w:r w:rsidRPr="00A15BA9">
              <w:rPr>
                <w:rStyle w:val="Hyperlink"/>
                <w:rFonts w:ascii="Arial" w:hAnsi="Arial" w:cs="Arial"/>
                <w:noProof/>
                <w:sz w:val="24"/>
                <w:szCs w:val="24"/>
              </w:rPr>
              <w:t>3.2. Late 19</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dock expansion and land reclamation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_Toc228434503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2</w:t>
            </w:r>
            <w:r w:rsidRPr="00A15BA9">
              <w:rPr>
                <w:rFonts w:ascii="Arial" w:hAnsi="Arial" w:cs="Arial"/>
                <w:noProof/>
                <w:webHidden/>
                <w:sz w:val="24"/>
                <w:szCs w:val="24"/>
              </w:rPr>
              <w:fldChar w:fldCharType="end"/>
            </w:r>
          </w:hyperlink>
        </w:p>
        <w:p w14:paraId="0F1EDE3A" w14:textId="016E296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4" w:history="1">
            <w:r w:rsidRPr="00A15BA9">
              <w:rPr>
                <w:rStyle w:val="Hyperlink"/>
                <w:rFonts w:ascii="Arial" w:hAnsi="Arial" w:cs="Arial"/>
                <w:noProof/>
                <w:sz w:val="24"/>
                <w:szCs w:val="24"/>
              </w:rPr>
              <w:t>3.3. Early 20</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port and industrial escalation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_Toc228434504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3</w:t>
            </w:r>
            <w:r w:rsidRPr="00A15BA9">
              <w:rPr>
                <w:rFonts w:ascii="Arial" w:hAnsi="Arial" w:cs="Arial"/>
                <w:noProof/>
                <w:webHidden/>
                <w:sz w:val="24"/>
                <w:szCs w:val="24"/>
              </w:rPr>
              <w:fldChar w:fldCharType="end"/>
            </w:r>
          </w:hyperlink>
        </w:p>
        <w:p w14:paraId="2E3FFDCF" w14:textId="49FAF705"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5" w:history="1">
            <w:r w:rsidRPr="00A15BA9">
              <w:rPr>
                <w:rStyle w:val="Hyperlink"/>
                <w:rFonts w:ascii="Arial" w:hAnsi="Arial" w:cs="Arial"/>
                <w:noProof/>
                <w:sz w:val="24"/>
                <w:szCs w:val="24"/>
              </w:rPr>
              <w:t>3.4. Mid-20</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decline of industry and leisure transition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_Toc228434505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3</w:t>
            </w:r>
            <w:r w:rsidRPr="00A15BA9">
              <w:rPr>
                <w:rFonts w:ascii="Arial" w:hAnsi="Arial" w:cs="Arial"/>
                <w:noProof/>
                <w:webHidden/>
                <w:sz w:val="24"/>
                <w:szCs w:val="24"/>
              </w:rPr>
              <w:fldChar w:fldCharType="end"/>
            </w:r>
          </w:hyperlink>
        </w:p>
        <w:p w14:paraId="67F8C484" w14:textId="1E2A6090"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6" w:history="1">
            <w:r w:rsidRPr="00A15BA9">
              <w:rPr>
                <w:rStyle w:val="Hyperlink"/>
                <w:rFonts w:ascii="Arial" w:hAnsi="Arial" w:cs="Arial"/>
                <w:noProof/>
                <w:sz w:val="24"/>
                <w:szCs w:val="24"/>
              </w:rPr>
              <w:t>3.5. Late 20</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redevelopment of Swansea marina and foreshore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_Toc228434506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3</w:t>
            </w:r>
            <w:r w:rsidRPr="00A15BA9">
              <w:rPr>
                <w:rFonts w:ascii="Arial" w:hAnsi="Arial" w:cs="Arial"/>
                <w:noProof/>
                <w:webHidden/>
                <w:sz w:val="24"/>
                <w:szCs w:val="24"/>
              </w:rPr>
              <w:fldChar w:fldCharType="end"/>
            </w:r>
          </w:hyperlink>
        </w:p>
        <w:p w14:paraId="4D97DF62" w14:textId="28EBD86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7" w:history="1">
            <w:r w:rsidRPr="00A15BA9">
              <w:rPr>
                <w:rStyle w:val="Hyperlink"/>
                <w:rFonts w:ascii="Arial" w:hAnsi="Arial" w:cs="Arial"/>
                <w:noProof/>
                <w:sz w:val="24"/>
                <w:szCs w:val="24"/>
              </w:rPr>
              <w:t>3.6. Present day site condition and land use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_Toc228434507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4</w:t>
            </w:r>
            <w:r w:rsidRPr="00A15BA9">
              <w:rPr>
                <w:rFonts w:ascii="Arial" w:hAnsi="Arial" w:cs="Arial"/>
                <w:noProof/>
                <w:webHidden/>
                <w:sz w:val="24"/>
                <w:szCs w:val="24"/>
              </w:rPr>
              <w:fldChar w:fldCharType="end"/>
            </w:r>
          </w:hyperlink>
        </w:p>
        <w:p w14:paraId="56618DDD" w14:textId="1CA1B3D7"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8" w:history="1">
            <w:r w:rsidRPr="00A15BA9">
              <w:rPr>
                <w:rStyle w:val="Hyperlink"/>
                <w:rFonts w:ascii="Arial" w:hAnsi="Arial" w:cs="Arial"/>
                <w:noProof/>
                <w:sz w:val="24"/>
                <w:szCs w:val="24"/>
              </w:rPr>
              <w:t>3.7. Summary of Historical Impacts on Ground Conditions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4</w:t>
            </w:r>
            <w:r w:rsidRPr="00A15BA9">
              <w:rPr>
                <w:rFonts w:ascii="Arial" w:hAnsi="Arial" w:cs="Arial"/>
                <w:noProof/>
                <w:webHidden/>
                <w:sz w:val="24"/>
                <w:szCs w:val="24"/>
              </w:rPr>
              <w:fldChar w:fldCharType="end"/>
            </w:r>
          </w:hyperlink>
        </w:p>
        <w:p w14:paraId="778C3A43" w14:textId="0EE60AA2"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9" w:history="1">
            <w:r w:rsidRPr="00A15BA9">
              <w:rPr>
                <w:rStyle w:val="Hyperlink"/>
                <w:rFonts w:ascii="Arial" w:hAnsi="Arial" w:cs="Arial"/>
                <w:noProof/>
                <w:sz w:val="24"/>
                <w:szCs w:val="24"/>
              </w:rPr>
              <w:t>4.0. Identification of Geotechnical and environmental hazards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_Toc228434509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59A41A85" w14:textId="70DDFF9F"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0" w:history="1">
            <w:r w:rsidRPr="00A15BA9">
              <w:rPr>
                <w:rStyle w:val="Hyperlink"/>
                <w:rFonts w:ascii="Arial" w:hAnsi="Arial" w:cs="Arial"/>
                <w:noProof/>
                <w:sz w:val="24"/>
                <w:szCs w:val="24"/>
              </w:rPr>
              <w:t>4.1. Made Ground / Reclaimed Land</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_Toc228434510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079A35AA" w14:textId="31DF65C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1" w:history="1">
            <w:r w:rsidRPr="00A15BA9">
              <w:rPr>
                <w:rStyle w:val="Hyperlink"/>
                <w:rFonts w:ascii="Arial" w:hAnsi="Arial" w:cs="Arial"/>
                <w:noProof/>
                <w:sz w:val="24"/>
                <w:szCs w:val="24"/>
              </w:rPr>
              <w:t>4.2. Land Contamination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_Toc228434511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420969F6" w14:textId="4E6E2D9D"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2" w:history="1">
            <w:r w:rsidRPr="00A15BA9">
              <w:rPr>
                <w:rStyle w:val="Hyperlink"/>
                <w:rFonts w:ascii="Arial" w:hAnsi="Arial" w:cs="Arial"/>
                <w:noProof/>
                <w:sz w:val="24"/>
                <w:szCs w:val="24"/>
              </w:rPr>
              <w:t>4.3. Shallow Groundwater</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_Toc228434512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7E32ECD6" w14:textId="5FCC509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3" w:history="1">
            <w:r w:rsidRPr="00A15BA9">
              <w:rPr>
                <w:rStyle w:val="Hyperlink"/>
                <w:rFonts w:ascii="Arial" w:hAnsi="Arial" w:cs="Arial"/>
                <w:noProof/>
                <w:sz w:val="24"/>
                <w:szCs w:val="24"/>
              </w:rPr>
              <w:t>4.4. Liquefaction / Settlement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_Toc228434513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02B4D238" w14:textId="0C2E4AB1"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4" w:history="1">
            <w:r w:rsidRPr="00A15BA9">
              <w:rPr>
                <w:rStyle w:val="Hyperlink"/>
                <w:rFonts w:ascii="Arial" w:hAnsi="Arial" w:cs="Arial"/>
                <w:noProof/>
                <w:sz w:val="24"/>
                <w:szCs w:val="24"/>
              </w:rPr>
              <w:t>4.5. Ground gas risk (Methane and Carbon di oxide)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_Toc228434514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6DF16736" w14:textId="40E2900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5" w:history="1">
            <w:r w:rsidRPr="00A15BA9">
              <w:rPr>
                <w:rStyle w:val="Hyperlink"/>
                <w:rFonts w:ascii="Arial" w:hAnsi="Arial" w:cs="Arial"/>
                <w:noProof/>
                <w:sz w:val="24"/>
                <w:szCs w:val="24"/>
              </w:rPr>
              <w:t>4.6. Most risk significant ground conditions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_Toc228434515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61117DA6" w14:textId="4226D53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6" w:history="1">
            <w:r w:rsidRPr="00A15BA9">
              <w:rPr>
                <w:rStyle w:val="Hyperlink"/>
                <w:rFonts w:ascii="Arial" w:eastAsia="Times New Roman" w:hAnsi="Arial" w:cs="Arial"/>
                <w:noProof/>
                <w:sz w:val="24"/>
                <w:szCs w:val="24"/>
                <w:lang w:eastAsia="en-GB"/>
              </w:rPr>
              <w:t>5.0.  Engineering implications for proposed development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_Toc228434516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770E43F6" w14:textId="35DC60F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7" w:history="1">
            <w:r w:rsidRPr="00A15BA9">
              <w:rPr>
                <w:rStyle w:val="Hyperlink"/>
                <w:rFonts w:ascii="Arial" w:hAnsi="Arial" w:cs="Arial"/>
                <w:noProof/>
                <w:sz w:val="24"/>
                <w:szCs w:val="24"/>
              </w:rPr>
              <w:t>6.0. Recommendation for a detailed site investigation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_Toc228434517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79521B77" w14:textId="0D913EF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8" w:history="1">
            <w:r w:rsidRPr="00A15BA9">
              <w:rPr>
                <w:rStyle w:val="Hyperlink"/>
                <w:rFonts w:ascii="Arial" w:hAnsi="Arial" w:cs="Arial"/>
                <w:noProof/>
                <w:sz w:val="24"/>
                <w:szCs w:val="24"/>
              </w:rPr>
              <w:t>6.1 Objectives of ground Investigation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5DF4A209" w14:textId="0B6CB535"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9" w:history="1">
            <w:r w:rsidRPr="00A15BA9">
              <w:rPr>
                <w:rStyle w:val="Hyperlink"/>
                <w:rFonts w:ascii="Arial" w:hAnsi="Arial" w:cs="Arial"/>
                <w:noProof/>
                <w:sz w:val="24"/>
                <w:szCs w:val="24"/>
              </w:rPr>
              <w:t>6.2. Desk Study and Walkover Survey</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_Toc228434519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7</w:t>
            </w:r>
            <w:r w:rsidRPr="00A15BA9">
              <w:rPr>
                <w:rFonts w:ascii="Arial" w:hAnsi="Arial" w:cs="Arial"/>
                <w:noProof/>
                <w:webHidden/>
                <w:sz w:val="24"/>
                <w:szCs w:val="24"/>
              </w:rPr>
              <w:fldChar w:fldCharType="end"/>
            </w:r>
          </w:hyperlink>
        </w:p>
        <w:p w14:paraId="0CF90C36" w14:textId="49236FC6"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0" w:history="1">
            <w:r w:rsidRPr="00A15BA9">
              <w:rPr>
                <w:rStyle w:val="Hyperlink"/>
                <w:rFonts w:ascii="Arial" w:hAnsi="Arial" w:cs="Arial"/>
                <w:noProof/>
                <w:sz w:val="24"/>
                <w:szCs w:val="24"/>
              </w:rPr>
              <w:t>6.3 Intrusive Ground Investigation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_Toc228434520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7</w:t>
            </w:r>
            <w:r w:rsidRPr="00A15BA9">
              <w:rPr>
                <w:rFonts w:ascii="Arial" w:hAnsi="Arial" w:cs="Arial"/>
                <w:noProof/>
                <w:webHidden/>
                <w:sz w:val="24"/>
                <w:szCs w:val="24"/>
              </w:rPr>
              <w:fldChar w:fldCharType="end"/>
            </w:r>
          </w:hyperlink>
        </w:p>
        <w:p w14:paraId="49563E65" w14:textId="3236772F"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1" w:history="1">
            <w:r w:rsidRPr="00A15BA9">
              <w:rPr>
                <w:rStyle w:val="Hyperlink"/>
                <w:rFonts w:ascii="Arial" w:hAnsi="Arial" w:cs="Arial"/>
                <w:noProof/>
                <w:sz w:val="24"/>
                <w:szCs w:val="24"/>
              </w:rPr>
              <w:t>6.4 Investigation focus on key risk elements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_Toc228434521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0CA48D2C" w14:textId="50EBA52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2" w:history="1">
            <w:r w:rsidRPr="00A15BA9">
              <w:rPr>
                <w:rStyle w:val="Hyperlink"/>
                <w:rFonts w:ascii="Arial" w:hAnsi="Arial" w:cs="Arial"/>
                <w:noProof/>
                <w:sz w:val="24"/>
                <w:szCs w:val="24"/>
              </w:rPr>
              <w:t>6.5 Risk, Outcome and use of investigation data</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_Toc228434522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1FC89AB7" w14:textId="62D4ABB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3" w:history="1">
            <w:r w:rsidRPr="00A15BA9">
              <w:rPr>
                <w:rStyle w:val="Hyperlink"/>
                <w:rFonts w:ascii="Arial" w:hAnsi="Arial" w:cs="Arial"/>
                <w:noProof/>
                <w:sz w:val="24"/>
                <w:szCs w:val="24"/>
              </w:rPr>
              <w:t>7.0. Regulatory Framework and Statutory Consultation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_Toc228434523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6DE42E20" w14:textId="2F27C46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4" w:history="1">
            <w:r w:rsidRPr="00A15BA9">
              <w:rPr>
                <w:rStyle w:val="Hyperlink"/>
                <w:rFonts w:ascii="Arial" w:hAnsi="Arial" w:cs="Arial"/>
                <w:noProof/>
                <w:sz w:val="24"/>
                <w:szCs w:val="24"/>
              </w:rPr>
              <w:t>7.1 Applicable Regulations and British standards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_Toc228434524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65CA850C" w14:textId="5082DB83"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5" w:history="1">
            <w:r w:rsidRPr="00A15BA9">
              <w:rPr>
                <w:rStyle w:val="Hyperlink"/>
                <w:rFonts w:ascii="Arial" w:eastAsia="Times New Roman" w:hAnsi="Arial" w:cs="Arial"/>
                <w:noProof/>
                <w:sz w:val="24"/>
                <w:szCs w:val="24"/>
                <w:lang w:eastAsia="en-GB"/>
              </w:rPr>
              <w:t>7.2. Role of the British Geological Survey</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_Toc228434525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9</w:t>
            </w:r>
            <w:r w:rsidRPr="00A15BA9">
              <w:rPr>
                <w:rFonts w:ascii="Arial" w:hAnsi="Arial" w:cs="Arial"/>
                <w:noProof/>
                <w:webHidden/>
                <w:sz w:val="24"/>
                <w:szCs w:val="24"/>
              </w:rPr>
              <w:fldChar w:fldCharType="end"/>
            </w:r>
          </w:hyperlink>
        </w:p>
        <w:p w14:paraId="255F0E47" w14:textId="7FF4EB7E"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6" w:history="1">
            <w:r w:rsidRPr="00A15BA9">
              <w:rPr>
                <w:rStyle w:val="Hyperlink"/>
                <w:rFonts w:ascii="Arial" w:hAnsi="Arial" w:cs="Arial"/>
                <w:noProof/>
                <w:sz w:val="24"/>
                <w:szCs w:val="24"/>
              </w:rPr>
              <w:t>7.3. foundation recommendation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_Toc228434526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12</w:t>
            </w:r>
            <w:r w:rsidRPr="00A15BA9">
              <w:rPr>
                <w:rFonts w:ascii="Arial" w:hAnsi="Arial" w:cs="Arial"/>
                <w:noProof/>
                <w:webHidden/>
                <w:sz w:val="24"/>
                <w:szCs w:val="24"/>
              </w:rPr>
              <w:fldChar w:fldCharType="end"/>
            </w:r>
          </w:hyperlink>
        </w:p>
        <w:p w14:paraId="4AB3895E" w14:textId="4C636650"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7" w:history="1">
            <w:r w:rsidRPr="00A15BA9">
              <w:rPr>
                <w:rStyle w:val="Hyperlink"/>
                <w:rFonts w:ascii="Arial" w:hAnsi="Arial" w:cs="Arial"/>
                <w:noProof/>
                <w:sz w:val="24"/>
                <w:szCs w:val="24"/>
              </w:rPr>
              <w:t>8.0. Conclusion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_Toc228434527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13</w:t>
            </w:r>
            <w:r w:rsidRPr="00A15BA9">
              <w:rPr>
                <w:rFonts w:ascii="Arial" w:hAnsi="Arial" w:cs="Arial"/>
                <w:noProof/>
                <w:webHidden/>
                <w:sz w:val="24"/>
                <w:szCs w:val="24"/>
              </w:rPr>
              <w:fldChar w:fldCharType="end"/>
            </w:r>
          </w:hyperlink>
        </w:p>
        <w:p w14:paraId="64A9B13D" w14:textId="18A00B9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8" w:history="1">
            <w:r w:rsidRPr="00A15BA9">
              <w:rPr>
                <w:rStyle w:val="Hyperlink"/>
                <w:rFonts w:ascii="Arial" w:hAnsi="Arial" w:cs="Arial"/>
                <w:noProof/>
                <w:sz w:val="24"/>
                <w:szCs w:val="24"/>
              </w:rPr>
              <w:t>9.0. References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13</w:t>
            </w:r>
            <w:r w:rsidRPr="00A15BA9">
              <w:rPr>
                <w:rFonts w:ascii="Arial" w:hAnsi="Arial" w:cs="Arial"/>
                <w:noProof/>
                <w:webHidden/>
                <w:sz w:val="24"/>
                <w:szCs w:val="24"/>
              </w:rPr>
              <w:fldChar w:fldCharType="end"/>
            </w:r>
          </w:hyperlink>
        </w:p>
        <w:p w14:paraId="62B254B9" w14:textId="5D01660C" w:rsidR="001218AC" w:rsidRPr="00A15BA9" w:rsidRDefault="005C5D14" w:rsidP="00A15BA9">
          <w:pPr>
            <w:spacing w:line="360" w:lineRule="auto"/>
            <w:jc w:val="both"/>
            <w:rPr>
              <w:rFonts w:ascii="Arial" w:hAnsi="Arial" w:cs="Arial"/>
              <w:noProof/>
              <w:sz w:val="24"/>
              <w:szCs w:val="24"/>
            </w:rPr>
          </w:pPr>
          <w:r w:rsidRPr="00A15BA9">
            <w:rPr>
              <w:rFonts w:ascii="Arial" w:hAnsi="Arial" w:cs="Arial"/>
              <w:noProof/>
              <w:sz w:val="24"/>
              <w:szCs w:val="24"/>
            </w:rPr>
            <w:fldChar w:fldCharType="end"/>
          </w:r>
          <w:r w:rsidR="00B2196B" w:rsidRPr="00A15BA9">
            <w:rPr>
              <w:rFonts w:ascii="Arial" w:hAnsi="Arial" w:cs="Arial"/>
              <w:noProof/>
              <w:sz w:val="24"/>
              <w:szCs w:val="24"/>
            </w:rPr>
            <w:t>10</w:t>
          </w:r>
          <w:r w:rsidR="001218AC" w:rsidRPr="00A15BA9">
            <w:rPr>
              <w:rFonts w:ascii="Arial" w:hAnsi="Arial" w:cs="Arial"/>
              <w:noProof/>
              <w:sz w:val="24"/>
              <w:szCs w:val="24"/>
            </w:rPr>
            <w:t>.0. List of figure</w:t>
          </w:r>
          <w:r w:rsidR="00B2196B" w:rsidRPr="00A15BA9">
            <w:rPr>
              <w:rFonts w:ascii="Arial" w:hAnsi="Arial" w:cs="Arial"/>
              <w:noProof/>
              <w:sz w:val="24"/>
              <w:szCs w:val="24"/>
            </w:rPr>
            <w:t xml:space="preserve"> (Images and pdf)</w:t>
          </w:r>
        </w:p>
        <w:p w14:paraId="11ACD757" w14:textId="51B04A64" w:rsidR="001218AC" w:rsidRPr="00A15BA9" w:rsidRDefault="00B2196B" w:rsidP="00A15BA9">
          <w:pPr>
            <w:spacing w:line="360" w:lineRule="auto"/>
            <w:jc w:val="both"/>
            <w:rPr>
              <w:rFonts w:ascii="Arial" w:hAnsi="Arial" w:cs="Arial"/>
              <w:sz w:val="24"/>
              <w:szCs w:val="24"/>
            </w:rPr>
          </w:pPr>
          <w:r w:rsidRPr="00A15BA9">
            <w:rPr>
              <w:rFonts w:ascii="Arial" w:hAnsi="Arial" w:cs="Arial"/>
              <w:noProof/>
              <w:sz w:val="24"/>
              <w:szCs w:val="24"/>
            </w:rPr>
            <w:t>10</w:t>
          </w:r>
          <w:r w:rsidR="001218AC" w:rsidRPr="00A15BA9">
            <w:rPr>
              <w:rFonts w:ascii="Arial" w:hAnsi="Arial" w:cs="Arial"/>
              <w:noProof/>
              <w:sz w:val="24"/>
              <w:szCs w:val="24"/>
            </w:rPr>
            <w:t>.1.</w:t>
          </w:r>
          <w:r w:rsidR="001218AC" w:rsidRPr="00A15BA9">
            <w:rPr>
              <w:rFonts w:ascii="Arial" w:hAnsi="Arial" w:cs="Arial"/>
              <w:sz w:val="24"/>
              <w:szCs w:val="24"/>
            </w:rPr>
            <w:t xml:space="preserve"> Mid-19</w:t>
          </w:r>
          <w:r w:rsidR="001218AC" w:rsidRPr="00A15BA9">
            <w:rPr>
              <w:rFonts w:ascii="Arial" w:hAnsi="Arial" w:cs="Arial"/>
              <w:sz w:val="24"/>
              <w:szCs w:val="24"/>
              <w:vertAlign w:val="superscript"/>
            </w:rPr>
            <w:t>th</w:t>
          </w:r>
          <w:r w:rsidR="001218AC" w:rsidRPr="00A15BA9">
            <w:rPr>
              <w:rFonts w:ascii="Arial" w:hAnsi="Arial" w:cs="Arial"/>
              <w:sz w:val="24"/>
              <w:szCs w:val="24"/>
            </w:rPr>
            <w:t xml:space="preserve"> century Industrial development map ……………………………………2</w:t>
          </w:r>
        </w:p>
        <w:p w14:paraId="16CE9F66" w14:textId="76FA1F68" w:rsidR="00B373CD" w:rsidRPr="00A15BA9" w:rsidRDefault="00B2196B" w:rsidP="00A15BA9">
          <w:pPr>
            <w:spacing w:line="360" w:lineRule="auto"/>
            <w:jc w:val="both"/>
            <w:rPr>
              <w:rFonts w:ascii="Arial" w:hAnsi="Arial" w:cs="Arial"/>
              <w:noProof/>
              <w:sz w:val="24"/>
              <w:szCs w:val="24"/>
            </w:rPr>
          </w:pPr>
          <w:r w:rsidRPr="00A15BA9">
            <w:rPr>
              <w:rFonts w:ascii="Arial" w:hAnsi="Arial" w:cs="Arial"/>
              <w:sz w:val="24"/>
              <w:szCs w:val="24"/>
            </w:rPr>
            <w:t>10</w:t>
          </w:r>
          <w:r w:rsidR="00B373CD" w:rsidRPr="00A15BA9">
            <w:rPr>
              <w:rFonts w:ascii="Arial" w:hAnsi="Arial" w:cs="Arial"/>
              <w:sz w:val="24"/>
              <w:szCs w:val="24"/>
            </w:rPr>
            <w:t>.2. Mid-20</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decline of industry and leisure transition …………………</w:t>
          </w:r>
          <w:r w:rsidR="00AD1574" w:rsidRPr="00A15BA9">
            <w:rPr>
              <w:rFonts w:ascii="Arial" w:hAnsi="Arial" w:cs="Arial"/>
              <w:sz w:val="24"/>
              <w:szCs w:val="24"/>
            </w:rPr>
            <w:t>….</w:t>
          </w:r>
          <w:r w:rsidR="00B373CD" w:rsidRPr="00A15BA9">
            <w:rPr>
              <w:rFonts w:ascii="Arial" w:hAnsi="Arial" w:cs="Arial"/>
              <w:sz w:val="24"/>
              <w:szCs w:val="24"/>
            </w:rPr>
            <w:t>3</w:t>
          </w:r>
        </w:p>
        <w:p w14:paraId="14313773" w14:textId="1A9AFAD6" w:rsidR="001218AC" w:rsidRPr="00A15BA9" w:rsidRDefault="00B2196B" w:rsidP="00A15BA9">
          <w:pPr>
            <w:spacing w:line="360" w:lineRule="auto"/>
            <w:jc w:val="both"/>
            <w:rPr>
              <w:rFonts w:ascii="Arial" w:hAnsi="Arial" w:cs="Arial"/>
              <w:sz w:val="24"/>
              <w:szCs w:val="24"/>
            </w:rPr>
          </w:pPr>
          <w:r w:rsidRPr="00A15BA9">
            <w:rPr>
              <w:rFonts w:ascii="Arial" w:hAnsi="Arial" w:cs="Arial"/>
              <w:sz w:val="24"/>
              <w:szCs w:val="24"/>
            </w:rPr>
            <w:t>10</w:t>
          </w:r>
          <w:r w:rsidR="001218AC" w:rsidRPr="00A15BA9">
            <w:rPr>
              <w:rFonts w:ascii="Arial" w:hAnsi="Arial" w:cs="Arial"/>
              <w:sz w:val="24"/>
              <w:szCs w:val="24"/>
            </w:rPr>
            <w:t>.</w:t>
          </w:r>
          <w:r w:rsidR="00B373CD" w:rsidRPr="00A15BA9">
            <w:rPr>
              <w:rFonts w:ascii="Arial" w:hAnsi="Arial" w:cs="Arial"/>
              <w:sz w:val="24"/>
              <w:szCs w:val="24"/>
            </w:rPr>
            <w:t>3</w:t>
          </w:r>
          <w:r w:rsidR="001218AC" w:rsidRPr="00A15BA9">
            <w:rPr>
              <w:rFonts w:ascii="Arial" w:hAnsi="Arial" w:cs="Arial"/>
              <w:sz w:val="24"/>
              <w:szCs w:val="24"/>
            </w:rPr>
            <w:t>. Present day site condition and land use image …………………………………4</w:t>
          </w:r>
        </w:p>
        <w:p w14:paraId="6A0EAC62" w14:textId="1E9B83E9" w:rsidR="001218AC" w:rsidRPr="00A15BA9" w:rsidRDefault="00B2196B" w:rsidP="00A15BA9">
          <w:pPr>
            <w:spacing w:line="360" w:lineRule="auto"/>
            <w:jc w:val="both"/>
            <w:rPr>
              <w:rFonts w:ascii="Arial" w:hAnsi="Arial" w:cs="Arial"/>
              <w:sz w:val="24"/>
              <w:szCs w:val="24"/>
            </w:rPr>
          </w:pPr>
          <w:r w:rsidRPr="00A15BA9">
            <w:rPr>
              <w:rFonts w:ascii="Arial" w:hAnsi="Arial" w:cs="Arial"/>
              <w:sz w:val="24"/>
              <w:szCs w:val="24"/>
            </w:rPr>
            <w:t>10</w:t>
          </w:r>
          <w:r w:rsidR="001218AC" w:rsidRPr="00A15BA9">
            <w:rPr>
              <w:rFonts w:ascii="Arial" w:hAnsi="Arial" w:cs="Arial"/>
              <w:sz w:val="24"/>
              <w:szCs w:val="24"/>
            </w:rPr>
            <w:t>.</w:t>
          </w:r>
          <w:r w:rsidR="00B373CD" w:rsidRPr="00A15BA9">
            <w:rPr>
              <w:rFonts w:ascii="Arial" w:hAnsi="Arial" w:cs="Arial"/>
              <w:sz w:val="24"/>
              <w:szCs w:val="24"/>
            </w:rPr>
            <w:t>4</w:t>
          </w:r>
          <w:r w:rsidR="001218AC" w:rsidRPr="00A15BA9">
            <w:rPr>
              <w:rFonts w:ascii="Arial" w:hAnsi="Arial" w:cs="Arial"/>
              <w:sz w:val="24"/>
              <w:szCs w:val="24"/>
            </w:rPr>
            <w:t>. British Geological survey data …………………………………………………….10</w:t>
          </w:r>
        </w:p>
        <w:p w14:paraId="5DBC65E8" w14:textId="2D9DE65F" w:rsidR="001218AC" w:rsidRPr="00A15BA9" w:rsidRDefault="00B2196B" w:rsidP="00A15BA9">
          <w:pPr>
            <w:spacing w:line="360" w:lineRule="auto"/>
            <w:jc w:val="both"/>
            <w:rPr>
              <w:rFonts w:ascii="Arial" w:hAnsi="Arial" w:cs="Arial"/>
              <w:sz w:val="24"/>
              <w:szCs w:val="24"/>
            </w:rPr>
          </w:pPr>
          <w:r w:rsidRPr="00A15BA9">
            <w:rPr>
              <w:rFonts w:ascii="Arial" w:hAnsi="Arial" w:cs="Arial"/>
              <w:sz w:val="24"/>
              <w:szCs w:val="24"/>
            </w:rPr>
            <w:t>10</w:t>
          </w:r>
          <w:r w:rsidR="001218AC" w:rsidRPr="00A15BA9">
            <w:rPr>
              <w:rFonts w:ascii="Arial" w:hAnsi="Arial" w:cs="Arial"/>
              <w:sz w:val="24"/>
              <w:szCs w:val="24"/>
            </w:rPr>
            <w:t>.</w:t>
          </w:r>
          <w:r w:rsidR="00B373CD" w:rsidRPr="00A15BA9">
            <w:rPr>
              <w:rFonts w:ascii="Arial" w:hAnsi="Arial" w:cs="Arial"/>
              <w:sz w:val="24"/>
              <w:szCs w:val="24"/>
            </w:rPr>
            <w:t>5</w:t>
          </w:r>
          <w:r w:rsidR="001218AC" w:rsidRPr="00A15BA9">
            <w:rPr>
              <w:rFonts w:ascii="Arial" w:hAnsi="Arial" w:cs="Arial"/>
              <w:sz w:val="24"/>
              <w:szCs w:val="24"/>
            </w:rPr>
            <w:t xml:space="preserve">. Hand drawn manual </w:t>
          </w:r>
          <w:r w:rsidR="00B373CD" w:rsidRPr="00A15BA9">
            <w:rPr>
              <w:rFonts w:ascii="Arial" w:hAnsi="Arial" w:cs="Arial"/>
              <w:sz w:val="24"/>
              <w:szCs w:val="24"/>
            </w:rPr>
            <w:t xml:space="preserve">Pile </w:t>
          </w:r>
          <w:r w:rsidR="001218AC" w:rsidRPr="00A15BA9">
            <w:rPr>
              <w:rFonts w:ascii="Arial" w:hAnsi="Arial" w:cs="Arial"/>
              <w:sz w:val="24"/>
              <w:szCs w:val="24"/>
            </w:rPr>
            <w:t>foundation ………………………………………………12</w:t>
          </w:r>
        </w:p>
        <w:p w14:paraId="496DF633" w14:textId="7D0902C6" w:rsidR="000F2521" w:rsidRPr="00A15BA9" w:rsidRDefault="00E4000A" w:rsidP="00A15BA9">
          <w:pPr>
            <w:spacing w:line="360" w:lineRule="auto"/>
            <w:jc w:val="both"/>
            <w:rPr>
              <w:rFonts w:ascii="Arial" w:hAnsi="Arial" w:cs="Arial"/>
              <w:sz w:val="24"/>
              <w:szCs w:val="24"/>
            </w:rPr>
          </w:pPr>
        </w:p>
      </w:sdtContent>
    </w:sdt>
    <w:p w14:paraId="5E00BF20" w14:textId="77777777" w:rsidR="001218AC" w:rsidRPr="00A15BA9" w:rsidRDefault="001218AC" w:rsidP="00A15BA9">
      <w:pPr>
        <w:spacing w:line="360" w:lineRule="auto"/>
        <w:jc w:val="both"/>
        <w:rPr>
          <w:rFonts w:ascii="Arial" w:hAnsi="Arial" w:cs="Arial"/>
          <w:sz w:val="24"/>
          <w:szCs w:val="24"/>
        </w:rPr>
      </w:pPr>
    </w:p>
    <w:p w14:paraId="12665768" w14:textId="4A885CB7" w:rsidR="001218AC" w:rsidRPr="00A15BA9" w:rsidRDefault="001218AC" w:rsidP="00A15BA9">
      <w:pPr>
        <w:spacing w:line="360" w:lineRule="auto"/>
        <w:jc w:val="both"/>
        <w:rPr>
          <w:rFonts w:ascii="Arial" w:hAnsi="Arial" w:cs="Arial"/>
          <w:sz w:val="24"/>
          <w:szCs w:val="24"/>
        </w:rPr>
        <w:sectPr w:rsidR="001218AC" w:rsidRPr="00A15BA9" w:rsidSect="00DC29CD">
          <w:footerReference w:type="default" r:id="rId10"/>
          <w:pgSz w:w="11906" w:h="16838"/>
          <w:pgMar w:top="1440" w:right="1440" w:bottom="1440" w:left="1440" w:header="708" w:footer="708" w:gutter="0"/>
          <w:pgNumType w:start="1"/>
          <w:cols w:space="708"/>
          <w:docGrid w:linePitch="360"/>
        </w:sectPr>
      </w:pPr>
    </w:p>
    <w:p w14:paraId="34A95377" w14:textId="77777777" w:rsidR="005C5D14" w:rsidRPr="00A15BA9" w:rsidRDefault="005C5D14" w:rsidP="00A15BA9">
      <w:pPr>
        <w:spacing w:line="360" w:lineRule="auto"/>
        <w:jc w:val="both"/>
        <w:rPr>
          <w:rFonts w:ascii="Arial" w:hAnsi="Arial" w:cs="Arial"/>
          <w:sz w:val="24"/>
          <w:szCs w:val="24"/>
        </w:rPr>
      </w:pPr>
    </w:p>
    <w:p w14:paraId="1355D466" w14:textId="4ADBD16F" w:rsidR="00FC6932" w:rsidRPr="00A15BA9" w:rsidRDefault="006C6B48" w:rsidP="00A15BA9">
      <w:pPr>
        <w:pStyle w:val="Heading1"/>
        <w:spacing w:line="360" w:lineRule="auto"/>
        <w:jc w:val="both"/>
        <w:rPr>
          <w:rFonts w:ascii="Arial" w:hAnsi="Arial" w:cs="Arial"/>
          <w:sz w:val="24"/>
          <w:szCs w:val="24"/>
        </w:rPr>
      </w:pPr>
      <w:bookmarkStart w:id="0" w:name="_Toc228434497"/>
      <w:r w:rsidRPr="00A15BA9">
        <w:rPr>
          <w:rFonts w:ascii="Arial" w:hAnsi="Arial" w:cs="Arial"/>
          <w:sz w:val="24"/>
          <w:szCs w:val="24"/>
        </w:rPr>
        <w:t xml:space="preserve">1.0. </w:t>
      </w:r>
      <w:r w:rsidR="005D6DC5" w:rsidRPr="00A15BA9">
        <w:rPr>
          <w:rFonts w:ascii="Arial" w:hAnsi="Arial" w:cs="Arial"/>
          <w:sz w:val="24"/>
          <w:szCs w:val="24"/>
        </w:rPr>
        <w:t>Introduction and Purpose of Report</w:t>
      </w:r>
      <w:bookmarkEnd w:id="0"/>
    </w:p>
    <w:p w14:paraId="6C9ABCC3" w14:textId="1C7B71C1" w:rsidR="00B93F70" w:rsidRPr="00A15BA9" w:rsidRDefault="00312D4C" w:rsidP="00A15BA9">
      <w:pPr>
        <w:spacing w:line="360" w:lineRule="auto"/>
        <w:jc w:val="both"/>
        <w:rPr>
          <w:rFonts w:ascii="Arial" w:hAnsi="Arial" w:cs="Arial"/>
          <w:sz w:val="24"/>
          <w:szCs w:val="24"/>
        </w:rPr>
      </w:pPr>
      <w:r w:rsidRPr="00A15BA9">
        <w:rPr>
          <w:rFonts w:ascii="Arial" w:hAnsi="Arial" w:cs="Arial"/>
          <w:sz w:val="24"/>
          <w:szCs w:val="24"/>
        </w:rPr>
        <w:t xml:space="preserve">The report will provide about the planned construction of a restaurant, cafe bar, ice cream shop, manager's house and staff amenities on Swansea Foreshore. The area is great since it has been rebuilt along the </w:t>
      </w:r>
      <w:r w:rsidR="00C9744E" w:rsidRPr="00A15BA9">
        <w:rPr>
          <w:rFonts w:ascii="Arial" w:hAnsi="Arial" w:cs="Arial"/>
          <w:sz w:val="24"/>
          <w:szCs w:val="24"/>
        </w:rPr>
        <w:t>coastline</w:t>
      </w:r>
      <w:r w:rsidRPr="00A15BA9">
        <w:rPr>
          <w:rFonts w:ascii="Arial" w:hAnsi="Arial" w:cs="Arial"/>
          <w:sz w:val="24"/>
          <w:szCs w:val="24"/>
        </w:rPr>
        <w:t>, redeveloped on land, and had enterprises along the seaside for decades. It is in the space between County Hall and the Marriott Hotel. This desktop assessment expands on the prior one, which looked at the historic site's context, likely ground conditions, and any geotechnical problems that might come up. That evaluation was done during the feasibility stage. The report will talk about these things</w:t>
      </w:r>
      <w:r w:rsidR="001C5409" w:rsidRPr="00A15BA9">
        <w:rPr>
          <w:rFonts w:ascii="Arial" w:hAnsi="Arial" w:cs="Arial"/>
          <w:sz w:val="24"/>
          <w:szCs w:val="24"/>
        </w:rPr>
        <w:t>,</w:t>
      </w:r>
    </w:p>
    <w:p w14:paraId="56191550" w14:textId="3266CECA" w:rsidR="00B93F70" w:rsidRPr="00A15BA9" w:rsidRDefault="00B93F70" w:rsidP="00A15BA9">
      <w:pPr>
        <w:pStyle w:val="ListParagraph"/>
        <w:numPr>
          <w:ilvl w:val="0"/>
          <w:numId w:val="29"/>
        </w:numPr>
        <w:spacing w:line="360" w:lineRule="auto"/>
        <w:jc w:val="both"/>
        <w:rPr>
          <w:rFonts w:ascii="Arial" w:hAnsi="Arial" w:cs="Arial"/>
          <w:sz w:val="24"/>
          <w:szCs w:val="24"/>
        </w:rPr>
      </w:pPr>
      <w:r w:rsidRPr="00A15BA9">
        <w:rPr>
          <w:rFonts w:ascii="Arial" w:hAnsi="Arial" w:cs="Arial"/>
          <w:sz w:val="24"/>
          <w:szCs w:val="24"/>
        </w:rPr>
        <w:t>To find dangerous ground conditions and suggest how much of a full site analysis is needed.</w:t>
      </w:r>
    </w:p>
    <w:p w14:paraId="0BA6D632" w14:textId="0A92E312" w:rsidR="00B93F70" w:rsidRPr="00A15BA9" w:rsidRDefault="00B93F70" w:rsidP="00A15BA9">
      <w:pPr>
        <w:pStyle w:val="ListParagraph"/>
        <w:numPr>
          <w:ilvl w:val="0"/>
          <w:numId w:val="29"/>
        </w:numPr>
        <w:spacing w:line="360" w:lineRule="auto"/>
        <w:jc w:val="both"/>
        <w:rPr>
          <w:rFonts w:ascii="Arial" w:hAnsi="Arial" w:cs="Arial"/>
          <w:sz w:val="24"/>
          <w:szCs w:val="24"/>
        </w:rPr>
      </w:pPr>
      <w:r w:rsidRPr="00A15BA9">
        <w:rPr>
          <w:rFonts w:ascii="Arial" w:hAnsi="Arial" w:cs="Arial"/>
          <w:sz w:val="24"/>
          <w:szCs w:val="24"/>
        </w:rPr>
        <w:t>To find the rules, norms</w:t>
      </w:r>
      <w:r w:rsidR="00DC0E85" w:rsidRPr="00A15BA9">
        <w:rPr>
          <w:rFonts w:ascii="Arial" w:hAnsi="Arial" w:cs="Arial"/>
          <w:sz w:val="24"/>
          <w:szCs w:val="24"/>
        </w:rPr>
        <w:t xml:space="preserve"> for</w:t>
      </w:r>
      <w:r w:rsidRPr="00A15BA9">
        <w:rPr>
          <w:rFonts w:ascii="Arial" w:hAnsi="Arial" w:cs="Arial"/>
          <w:sz w:val="24"/>
          <w:szCs w:val="24"/>
        </w:rPr>
        <w:t xml:space="preserve"> ground investigations that are important.</w:t>
      </w:r>
    </w:p>
    <w:p w14:paraId="6BEAC67E" w14:textId="47AD0048" w:rsidR="00C47CC3" w:rsidRPr="00A15BA9" w:rsidRDefault="00B93F70" w:rsidP="00A15BA9">
      <w:pPr>
        <w:pStyle w:val="ListParagraph"/>
        <w:numPr>
          <w:ilvl w:val="0"/>
          <w:numId w:val="29"/>
        </w:numPr>
        <w:spacing w:line="360" w:lineRule="auto"/>
        <w:jc w:val="both"/>
        <w:rPr>
          <w:rFonts w:ascii="Arial" w:hAnsi="Arial" w:cs="Arial"/>
          <w:sz w:val="24"/>
          <w:szCs w:val="24"/>
        </w:rPr>
      </w:pPr>
      <w:r w:rsidRPr="00A15BA9">
        <w:rPr>
          <w:rFonts w:ascii="Arial" w:hAnsi="Arial" w:cs="Arial"/>
          <w:sz w:val="24"/>
          <w:szCs w:val="24"/>
        </w:rPr>
        <w:t>To give a</w:t>
      </w:r>
      <w:r w:rsidR="00DC0E85" w:rsidRPr="00A15BA9">
        <w:rPr>
          <w:rFonts w:ascii="Arial" w:hAnsi="Arial" w:cs="Arial"/>
          <w:sz w:val="24"/>
          <w:szCs w:val="24"/>
        </w:rPr>
        <w:t xml:space="preserve"> </w:t>
      </w:r>
      <w:r w:rsidRPr="00A15BA9">
        <w:rPr>
          <w:rFonts w:ascii="Arial" w:hAnsi="Arial" w:cs="Arial"/>
          <w:sz w:val="24"/>
          <w:szCs w:val="24"/>
        </w:rPr>
        <w:t>recommendation for a foundation based on geological facts and examples from the past.</w:t>
      </w:r>
    </w:p>
    <w:p w14:paraId="41B3A02F" w14:textId="06D4D351" w:rsidR="008F006D" w:rsidRPr="00A15BA9" w:rsidRDefault="007E1A82" w:rsidP="00A15BA9">
      <w:pPr>
        <w:pStyle w:val="Heading1"/>
        <w:spacing w:line="360" w:lineRule="auto"/>
        <w:jc w:val="both"/>
        <w:rPr>
          <w:rFonts w:ascii="Arial" w:hAnsi="Arial" w:cs="Arial"/>
          <w:sz w:val="24"/>
          <w:szCs w:val="24"/>
        </w:rPr>
      </w:pPr>
      <w:bookmarkStart w:id="1" w:name="_Toc228434498"/>
      <w:r w:rsidRPr="00A15BA9">
        <w:rPr>
          <w:rFonts w:ascii="Arial" w:hAnsi="Arial" w:cs="Arial"/>
          <w:sz w:val="24"/>
          <w:szCs w:val="24"/>
        </w:rPr>
        <w:t xml:space="preserve">2.0. </w:t>
      </w:r>
      <w:r w:rsidR="004E7A57" w:rsidRPr="00A15BA9">
        <w:rPr>
          <w:rFonts w:ascii="Arial" w:hAnsi="Arial" w:cs="Arial"/>
          <w:sz w:val="24"/>
          <w:szCs w:val="24"/>
        </w:rPr>
        <w:t xml:space="preserve">Site Description and </w:t>
      </w:r>
      <w:r w:rsidRPr="00A15BA9">
        <w:rPr>
          <w:rFonts w:ascii="Arial" w:hAnsi="Arial" w:cs="Arial"/>
          <w:sz w:val="24"/>
          <w:szCs w:val="24"/>
        </w:rPr>
        <w:t>Proposed development</w:t>
      </w:r>
      <w:bookmarkEnd w:id="1"/>
    </w:p>
    <w:p w14:paraId="33CE5043" w14:textId="35CAD755" w:rsidR="007E1A82" w:rsidRPr="00A15BA9" w:rsidRDefault="007E1A82" w:rsidP="00A15BA9">
      <w:pPr>
        <w:pStyle w:val="Heading1"/>
        <w:spacing w:line="360" w:lineRule="auto"/>
        <w:jc w:val="both"/>
        <w:rPr>
          <w:rFonts w:ascii="Arial" w:hAnsi="Arial" w:cs="Arial"/>
          <w:sz w:val="24"/>
          <w:szCs w:val="24"/>
        </w:rPr>
      </w:pPr>
      <w:bookmarkStart w:id="2" w:name="_Toc228434499"/>
      <w:r w:rsidRPr="00A15BA9">
        <w:rPr>
          <w:rFonts w:ascii="Arial" w:hAnsi="Arial" w:cs="Arial"/>
          <w:sz w:val="24"/>
          <w:szCs w:val="24"/>
        </w:rPr>
        <w:t>2.1 Site Location</w:t>
      </w:r>
      <w:bookmarkEnd w:id="2"/>
    </w:p>
    <w:p w14:paraId="01E17F02" w14:textId="75520F7A" w:rsidR="006208FA" w:rsidRPr="00A15BA9" w:rsidRDefault="006208FA" w:rsidP="00A15BA9">
      <w:pPr>
        <w:spacing w:line="360" w:lineRule="auto"/>
        <w:jc w:val="both"/>
        <w:rPr>
          <w:rFonts w:ascii="Arial" w:hAnsi="Arial" w:cs="Arial"/>
          <w:sz w:val="24"/>
          <w:szCs w:val="24"/>
        </w:rPr>
      </w:pPr>
      <w:r w:rsidRPr="00A15BA9">
        <w:rPr>
          <w:rFonts w:ascii="Arial" w:hAnsi="Arial" w:cs="Arial"/>
          <w:sz w:val="24"/>
          <w:szCs w:val="24"/>
        </w:rPr>
        <w:t>The place located on the Swansea seashore, between the Swansea County Hall and the Marriott Hotel. The area lies on the coast and has a lot of people living there. Over time, it has changed a lot because of urban regeneration, infrastructural development, and land reclamation. This is what the region around it looks like:</w:t>
      </w:r>
    </w:p>
    <w:p w14:paraId="7ECD90CF" w14:textId="77777777" w:rsidR="006208FA" w:rsidRPr="00A15BA9" w:rsidRDefault="006208FA"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Important buildings for the community</w:t>
      </w:r>
    </w:p>
    <w:p w14:paraId="19C4F304" w14:textId="77777777" w:rsidR="006208FA" w:rsidRPr="00A15BA9" w:rsidRDefault="006208FA"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Improvements in business</w:t>
      </w:r>
    </w:p>
    <w:p w14:paraId="5A886155" w14:textId="26E02BCC" w:rsidR="006208FA" w:rsidRPr="00A15BA9" w:rsidRDefault="006208FA"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 xml:space="preserve">The coastal promenade </w:t>
      </w:r>
    </w:p>
    <w:p w14:paraId="16AFB4E8" w14:textId="77777777" w:rsidR="00610492" w:rsidRPr="00A15BA9" w:rsidRDefault="00610492"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 xml:space="preserve">Facilities for shared parking </w:t>
      </w:r>
    </w:p>
    <w:p w14:paraId="226FD80C" w14:textId="6D7E8CB3" w:rsidR="00236C8C" w:rsidRPr="00A15BA9" w:rsidRDefault="00236C8C" w:rsidP="00A15BA9">
      <w:pPr>
        <w:pStyle w:val="Heading1"/>
        <w:spacing w:line="360" w:lineRule="auto"/>
        <w:jc w:val="both"/>
        <w:rPr>
          <w:rFonts w:ascii="Arial" w:hAnsi="Arial" w:cs="Arial"/>
          <w:sz w:val="24"/>
          <w:szCs w:val="24"/>
        </w:rPr>
      </w:pPr>
      <w:bookmarkStart w:id="3" w:name="_Toc228434500"/>
      <w:r w:rsidRPr="00A15BA9">
        <w:rPr>
          <w:rFonts w:ascii="Arial" w:hAnsi="Arial" w:cs="Arial"/>
          <w:sz w:val="24"/>
          <w:szCs w:val="24"/>
        </w:rPr>
        <w:t>2.2 Proposed Use</w:t>
      </w:r>
      <w:bookmarkEnd w:id="3"/>
    </w:p>
    <w:p w14:paraId="7ABE6ABB" w14:textId="77777777" w:rsidR="003018E0" w:rsidRPr="00A15BA9" w:rsidRDefault="003018E0" w:rsidP="00A15BA9">
      <w:pPr>
        <w:spacing w:line="360" w:lineRule="auto"/>
        <w:jc w:val="both"/>
        <w:rPr>
          <w:rFonts w:ascii="Arial" w:hAnsi="Arial" w:cs="Arial"/>
          <w:sz w:val="24"/>
          <w:szCs w:val="24"/>
        </w:rPr>
      </w:pPr>
      <w:r w:rsidRPr="00A15BA9">
        <w:rPr>
          <w:rFonts w:ascii="Arial" w:hAnsi="Arial" w:cs="Arial"/>
          <w:sz w:val="24"/>
          <w:szCs w:val="24"/>
        </w:rPr>
        <w:t xml:space="preserve">The proposed development would include: </w:t>
      </w:r>
    </w:p>
    <w:p w14:paraId="0A6C6247" w14:textId="3EF45BC9" w:rsidR="003018E0"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t xml:space="preserve">About 2,000 m² of </w:t>
      </w:r>
      <w:r w:rsidR="001C5409" w:rsidRPr="00A15BA9">
        <w:rPr>
          <w:rFonts w:ascii="Arial" w:hAnsi="Arial" w:cs="Arial"/>
          <w:sz w:val="24"/>
          <w:szCs w:val="24"/>
        </w:rPr>
        <w:t>Area</w:t>
      </w:r>
      <w:r w:rsidRPr="00A15BA9">
        <w:rPr>
          <w:rFonts w:ascii="Arial" w:hAnsi="Arial" w:cs="Arial"/>
          <w:sz w:val="24"/>
          <w:szCs w:val="24"/>
        </w:rPr>
        <w:t xml:space="preserve"> on the ground floor</w:t>
      </w:r>
    </w:p>
    <w:p w14:paraId="3D00EB91" w14:textId="7BDEC5EF" w:rsidR="003018E0"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lastRenderedPageBreak/>
        <w:t>On the ground floor, there is a public restaurant, caf</w:t>
      </w:r>
      <w:r w:rsidR="00021794" w:rsidRPr="00A15BA9">
        <w:rPr>
          <w:rFonts w:ascii="Arial" w:hAnsi="Arial" w:cs="Arial"/>
          <w:sz w:val="24"/>
          <w:szCs w:val="24"/>
        </w:rPr>
        <w:t>e</w:t>
      </w:r>
      <w:r w:rsidRPr="00A15BA9">
        <w:rPr>
          <w:rFonts w:ascii="Arial" w:hAnsi="Arial" w:cs="Arial"/>
          <w:sz w:val="24"/>
          <w:szCs w:val="24"/>
        </w:rPr>
        <w:t xml:space="preserve"> bar, ice cream shop, kitchens and food storage. </w:t>
      </w:r>
    </w:p>
    <w:p w14:paraId="7E62411D" w14:textId="6C4F5923" w:rsidR="00976A41"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t>Rooms on the upper floor, such as a manager's residence, conference rooms and facilities for staff well</w:t>
      </w:r>
      <w:r w:rsidR="00021794" w:rsidRPr="00A15BA9">
        <w:rPr>
          <w:rFonts w:ascii="Arial" w:hAnsi="Arial" w:cs="Arial"/>
          <w:sz w:val="24"/>
          <w:szCs w:val="24"/>
        </w:rPr>
        <w:t xml:space="preserve"> </w:t>
      </w:r>
      <w:r w:rsidRPr="00A15BA9">
        <w:rPr>
          <w:rFonts w:ascii="Arial" w:hAnsi="Arial" w:cs="Arial"/>
          <w:sz w:val="24"/>
          <w:szCs w:val="24"/>
        </w:rPr>
        <w:t xml:space="preserve">being </w:t>
      </w:r>
    </w:p>
    <w:p w14:paraId="4E6DB7AB" w14:textId="1A68E39C" w:rsidR="00976A41"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t>A glass front that opens up to the promenade</w:t>
      </w:r>
      <w:r w:rsidR="00976A41" w:rsidRPr="00A15BA9">
        <w:rPr>
          <w:rFonts w:ascii="Arial" w:hAnsi="Arial" w:cs="Arial"/>
          <w:sz w:val="24"/>
          <w:szCs w:val="24"/>
        </w:rPr>
        <w:t>.</w:t>
      </w:r>
    </w:p>
    <w:p w14:paraId="220149DF" w14:textId="122B61E6" w:rsidR="003018E0" w:rsidRPr="00A15BA9" w:rsidRDefault="003018E0" w:rsidP="00A15BA9">
      <w:pPr>
        <w:spacing w:line="360" w:lineRule="auto"/>
        <w:ind w:left="360"/>
        <w:jc w:val="both"/>
        <w:rPr>
          <w:rFonts w:ascii="Arial" w:hAnsi="Arial" w:cs="Arial"/>
          <w:sz w:val="24"/>
          <w:szCs w:val="24"/>
        </w:rPr>
      </w:pPr>
      <w:r w:rsidRPr="00A15BA9">
        <w:rPr>
          <w:rFonts w:ascii="Arial" w:hAnsi="Arial" w:cs="Arial"/>
          <w:sz w:val="24"/>
          <w:szCs w:val="24"/>
        </w:rPr>
        <w:t xml:space="preserve">The building is predicted to put moderate to high loads on its structure, especially as it will be used by the public and have residents on the top floors. </w:t>
      </w:r>
    </w:p>
    <w:p w14:paraId="59BE4685" w14:textId="049F81E8" w:rsidR="00B32C96" w:rsidRPr="00A15BA9" w:rsidRDefault="00DC75A0" w:rsidP="00A15BA9">
      <w:pPr>
        <w:pStyle w:val="Heading1"/>
        <w:spacing w:line="360" w:lineRule="auto"/>
        <w:jc w:val="both"/>
        <w:rPr>
          <w:rFonts w:ascii="Arial" w:hAnsi="Arial" w:cs="Arial"/>
          <w:sz w:val="24"/>
          <w:szCs w:val="24"/>
        </w:rPr>
      </w:pPr>
      <w:bookmarkStart w:id="4" w:name="_Toc228434501"/>
      <w:r w:rsidRPr="00A15BA9">
        <w:rPr>
          <w:rFonts w:ascii="Arial" w:hAnsi="Arial" w:cs="Arial"/>
          <w:sz w:val="24"/>
          <w:szCs w:val="24"/>
        </w:rPr>
        <w:t>3.0. Historical</w:t>
      </w:r>
      <w:r w:rsidR="00B32C96" w:rsidRPr="00A15BA9">
        <w:rPr>
          <w:rFonts w:ascii="Arial" w:hAnsi="Arial" w:cs="Arial"/>
          <w:sz w:val="24"/>
          <w:szCs w:val="24"/>
        </w:rPr>
        <w:t xml:space="preserve"> B</w:t>
      </w:r>
      <w:r w:rsidR="00742611" w:rsidRPr="00A15BA9">
        <w:rPr>
          <w:rFonts w:ascii="Arial" w:hAnsi="Arial" w:cs="Arial"/>
          <w:sz w:val="24"/>
          <w:szCs w:val="24"/>
        </w:rPr>
        <w:t>ackground (1850s to present)</w:t>
      </w:r>
      <w:bookmarkEnd w:id="4"/>
    </w:p>
    <w:p w14:paraId="71F211B7" w14:textId="4381C17E" w:rsidR="00BB098F" w:rsidRPr="00A15BA9" w:rsidRDefault="00DC75A0" w:rsidP="00A15BA9">
      <w:pPr>
        <w:pStyle w:val="Heading1"/>
        <w:spacing w:line="360" w:lineRule="auto"/>
        <w:jc w:val="both"/>
        <w:rPr>
          <w:rFonts w:ascii="Arial" w:hAnsi="Arial" w:cs="Arial"/>
          <w:sz w:val="24"/>
          <w:szCs w:val="24"/>
        </w:rPr>
      </w:pPr>
      <w:bookmarkStart w:id="5" w:name="_Toc228434502"/>
      <w:r w:rsidRPr="00A15BA9">
        <w:rPr>
          <w:rFonts w:ascii="Arial" w:hAnsi="Arial" w:cs="Arial"/>
          <w:sz w:val="24"/>
          <w:szCs w:val="24"/>
        </w:rPr>
        <w:t xml:space="preserve">3.1. </w:t>
      </w:r>
      <w:r w:rsidR="00435F36" w:rsidRPr="00A15BA9">
        <w:rPr>
          <w:rFonts w:ascii="Arial" w:hAnsi="Arial" w:cs="Arial"/>
          <w:sz w:val="24"/>
          <w:szCs w:val="24"/>
        </w:rPr>
        <w:t>Mid-19</w:t>
      </w:r>
      <w:r w:rsidR="00435F36" w:rsidRPr="00A15BA9">
        <w:rPr>
          <w:rFonts w:ascii="Arial" w:hAnsi="Arial" w:cs="Arial"/>
          <w:sz w:val="24"/>
          <w:szCs w:val="24"/>
          <w:vertAlign w:val="superscript"/>
        </w:rPr>
        <w:t>th</w:t>
      </w:r>
      <w:r w:rsidR="00435F36" w:rsidRPr="00A15BA9">
        <w:rPr>
          <w:rFonts w:ascii="Arial" w:hAnsi="Arial" w:cs="Arial"/>
          <w:sz w:val="24"/>
          <w:szCs w:val="24"/>
        </w:rPr>
        <w:t xml:space="preserve"> century</w:t>
      </w:r>
      <w:r w:rsidR="00ED731F" w:rsidRPr="00A15BA9">
        <w:rPr>
          <w:rFonts w:ascii="Arial" w:hAnsi="Arial" w:cs="Arial"/>
          <w:sz w:val="24"/>
          <w:szCs w:val="24"/>
        </w:rPr>
        <w:t xml:space="preserve"> Industrial development</w:t>
      </w:r>
      <w:bookmarkEnd w:id="5"/>
    </w:p>
    <w:p w14:paraId="1FCB0069" w14:textId="77777777" w:rsidR="00830FA2" w:rsidRPr="00A15BA9" w:rsidRDefault="00830FA2" w:rsidP="00A15BA9">
      <w:pPr>
        <w:spacing w:line="360" w:lineRule="auto"/>
        <w:jc w:val="both"/>
        <w:rPr>
          <w:rFonts w:ascii="Arial" w:hAnsi="Arial" w:cs="Arial"/>
          <w:sz w:val="24"/>
          <w:szCs w:val="24"/>
        </w:rPr>
      </w:pPr>
      <w:r w:rsidRPr="00A15BA9">
        <w:rPr>
          <w:rFonts w:ascii="Arial" w:hAnsi="Arial" w:cs="Arial"/>
          <w:sz w:val="24"/>
          <w:szCs w:val="24"/>
        </w:rPr>
        <w:t>The 1852 Swansea Board of Health sanitary map is the first precise picture of Swansea's foreshore. It shows a heavily industrial coastline with docks, stables, gas works, warehouses and early sewer systems. This image shows that industrial activity had already changed the coastline in this area a lot, long before modern redevelopment started (Catalogue of British Town Maps, 2026).</w:t>
      </w:r>
    </w:p>
    <w:p w14:paraId="53BA347F" w14:textId="4841EE94" w:rsidR="00BB098F" w:rsidRPr="00A15BA9" w:rsidRDefault="00AE4C08"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246A9044" wp14:editId="0FE00931">
            <wp:extent cx="6004560" cy="2918460"/>
            <wp:effectExtent l="0" t="0" r="0" b="0"/>
            <wp:docPr id="200891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14412" name=""/>
                    <pic:cNvPicPr/>
                  </pic:nvPicPr>
                  <pic:blipFill>
                    <a:blip r:embed="rId11"/>
                    <a:stretch>
                      <a:fillRect/>
                    </a:stretch>
                  </pic:blipFill>
                  <pic:spPr>
                    <a:xfrm>
                      <a:off x="0" y="0"/>
                      <a:ext cx="6005083" cy="2918714"/>
                    </a:xfrm>
                    <a:prstGeom prst="rect">
                      <a:avLst/>
                    </a:prstGeom>
                  </pic:spPr>
                </pic:pic>
              </a:graphicData>
            </a:graphic>
          </wp:inline>
        </w:drawing>
      </w:r>
    </w:p>
    <w:p w14:paraId="058DCA15" w14:textId="687B6DBD" w:rsidR="00652C04"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.1. Mid-19</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Industrial development map </w:t>
      </w:r>
      <w:r w:rsidR="00652C04" w:rsidRPr="00A15BA9">
        <w:rPr>
          <w:rFonts w:ascii="Arial" w:hAnsi="Arial" w:cs="Arial"/>
          <w:sz w:val="24"/>
          <w:szCs w:val="24"/>
        </w:rPr>
        <w:t>Town Maps, 2026).</w:t>
      </w:r>
    </w:p>
    <w:p w14:paraId="463D629B" w14:textId="679CB0AA" w:rsidR="00435F36" w:rsidRPr="00A15BA9" w:rsidRDefault="00DC75A0" w:rsidP="00A15BA9">
      <w:pPr>
        <w:pStyle w:val="Heading1"/>
        <w:spacing w:line="360" w:lineRule="auto"/>
        <w:jc w:val="both"/>
        <w:rPr>
          <w:rFonts w:ascii="Arial" w:hAnsi="Arial" w:cs="Arial"/>
          <w:sz w:val="24"/>
          <w:szCs w:val="24"/>
        </w:rPr>
      </w:pPr>
      <w:bookmarkStart w:id="6" w:name="_Toc228434503"/>
      <w:r w:rsidRPr="00A15BA9">
        <w:rPr>
          <w:rFonts w:ascii="Arial" w:hAnsi="Arial" w:cs="Arial"/>
          <w:sz w:val="24"/>
          <w:szCs w:val="24"/>
        </w:rPr>
        <w:t xml:space="preserve">3.2. </w:t>
      </w:r>
      <w:r w:rsidR="004D6470" w:rsidRPr="00A15BA9">
        <w:rPr>
          <w:rFonts w:ascii="Arial" w:hAnsi="Arial" w:cs="Arial"/>
          <w:sz w:val="24"/>
          <w:szCs w:val="24"/>
        </w:rPr>
        <w:t>Late 19</w:t>
      </w:r>
      <w:r w:rsidR="004D6470" w:rsidRPr="00A15BA9">
        <w:rPr>
          <w:rFonts w:ascii="Arial" w:hAnsi="Arial" w:cs="Arial"/>
          <w:sz w:val="24"/>
          <w:szCs w:val="24"/>
          <w:vertAlign w:val="superscript"/>
        </w:rPr>
        <w:t>th</w:t>
      </w:r>
      <w:r w:rsidR="004D6470" w:rsidRPr="00A15BA9">
        <w:rPr>
          <w:rFonts w:ascii="Arial" w:hAnsi="Arial" w:cs="Arial"/>
          <w:sz w:val="24"/>
          <w:szCs w:val="24"/>
        </w:rPr>
        <w:t xml:space="preserve"> century</w:t>
      </w:r>
      <w:r w:rsidR="00ED731F" w:rsidRPr="00A15BA9">
        <w:rPr>
          <w:rFonts w:ascii="Arial" w:hAnsi="Arial" w:cs="Arial"/>
          <w:sz w:val="24"/>
          <w:szCs w:val="24"/>
        </w:rPr>
        <w:t xml:space="preserve"> dock expansion and land reclamation</w:t>
      </w:r>
      <w:bookmarkEnd w:id="6"/>
    </w:p>
    <w:p w14:paraId="20DA28EE" w14:textId="36A00537" w:rsidR="00F57510" w:rsidRPr="00A15BA9" w:rsidRDefault="00F57510" w:rsidP="00A15BA9">
      <w:pPr>
        <w:spacing w:line="360" w:lineRule="auto"/>
        <w:jc w:val="both"/>
        <w:rPr>
          <w:rFonts w:ascii="Arial" w:hAnsi="Arial" w:cs="Arial"/>
          <w:sz w:val="24"/>
          <w:szCs w:val="24"/>
        </w:rPr>
      </w:pPr>
      <w:r w:rsidRPr="00A15BA9">
        <w:rPr>
          <w:rFonts w:ascii="Arial" w:hAnsi="Arial" w:cs="Arial"/>
          <w:sz w:val="24"/>
          <w:szCs w:val="24"/>
        </w:rPr>
        <w:t xml:space="preserve">Swansea had grown into a big industrial port by the end of the 1800s. The Victorian Maps from 1897 show a lot of docks, railway spurs, and quays along the shoreline, </w:t>
      </w:r>
      <w:r w:rsidRPr="00A15BA9">
        <w:rPr>
          <w:rFonts w:ascii="Arial" w:hAnsi="Arial" w:cs="Arial"/>
          <w:sz w:val="24"/>
          <w:szCs w:val="24"/>
        </w:rPr>
        <w:lastRenderedPageBreak/>
        <w:t>including the area between what is now County Hall and the Marriott Hotel. This shows that a lot of work went into reclaiming land and docks on a huge scale, covering the whole current site (Francisfrith.com, 2023).</w:t>
      </w:r>
    </w:p>
    <w:p w14:paraId="21F9D8BE" w14:textId="147D0F79" w:rsidR="00B924C8" w:rsidRPr="00A15BA9" w:rsidRDefault="00DC75A0" w:rsidP="00A15BA9">
      <w:pPr>
        <w:pStyle w:val="Heading1"/>
        <w:spacing w:line="360" w:lineRule="auto"/>
        <w:jc w:val="both"/>
        <w:rPr>
          <w:rFonts w:ascii="Arial" w:hAnsi="Arial" w:cs="Arial"/>
          <w:sz w:val="24"/>
          <w:szCs w:val="24"/>
        </w:rPr>
      </w:pPr>
      <w:bookmarkStart w:id="7" w:name="_Toc228434504"/>
      <w:r w:rsidRPr="00A15BA9">
        <w:rPr>
          <w:rFonts w:ascii="Arial" w:hAnsi="Arial" w:cs="Arial"/>
          <w:sz w:val="24"/>
          <w:szCs w:val="24"/>
        </w:rPr>
        <w:t xml:space="preserve">3.3. </w:t>
      </w:r>
      <w:r w:rsidR="004D6470" w:rsidRPr="00A15BA9">
        <w:rPr>
          <w:rFonts w:ascii="Arial" w:hAnsi="Arial" w:cs="Arial"/>
          <w:sz w:val="24"/>
          <w:szCs w:val="24"/>
        </w:rPr>
        <w:t>Early 20</w:t>
      </w:r>
      <w:r w:rsidR="004D6470" w:rsidRPr="00A15BA9">
        <w:rPr>
          <w:rFonts w:ascii="Arial" w:hAnsi="Arial" w:cs="Arial"/>
          <w:sz w:val="24"/>
          <w:szCs w:val="24"/>
          <w:vertAlign w:val="superscript"/>
        </w:rPr>
        <w:t>th</w:t>
      </w:r>
      <w:r w:rsidR="004D6470" w:rsidRPr="00A15BA9">
        <w:rPr>
          <w:rFonts w:ascii="Arial" w:hAnsi="Arial" w:cs="Arial"/>
          <w:sz w:val="24"/>
          <w:szCs w:val="24"/>
        </w:rPr>
        <w:t xml:space="preserve"> century</w:t>
      </w:r>
      <w:r w:rsidR="0058350B" w:rsidRPr="00A15BA9">
        <w:rPr>
          <w:rFonts w:ascii="Arial" w:hAnsi="Arial" w:cs="Arial"/>
          <w:sz w:val="24"/>
          <w:szCs w:val="24"/>
        </w:rPr>
        <w:t xml:space="preserve"> port and </w:t>
      </w:r>
      <w:r w:rsidR="004D56DC" w:rsidRPr="00A15BA9">
        <w:rPr>
          <w:rFonts w:ascii="Arial" w:hAnsi="Arial" w:cs="Arial"/>
          <w:sz w:val="24"/>
          <w:szCs w:val="24"/>
        </w:rPr>
        <w:t>industrial</w:t>
      </w:r>
      <w:r w:rsidR="0058350B" w:rsidRPr="00A15BA9">
        <w:rPr>
          <w:rFonts w:ascii="Arial" w:hAnsi="Arial" w:cs="Arial"/>
          <w:sz w:val="24"/>
          <w:szCs w:val="24"/>
        </w:rPr>
        <w:t xml:space="preserve"> escalation</w:t>
      </w:r>
      <w:bookmarkEnd w:id="7"/>
    </w:p>
    <w:p w14:paraId="5A4E080E" w14:textId="77777777" w:rsidR="00AC081A" w:rsidRPr="00A15BA9" w:rsidRDefault="00AC081A" w:rsidP="00A15BA9">
      <w:pPr>
        <w:spacing w:line="360" w:lineRule="auto"/>
        <w:jc w:val="both"/>
        <w:rPr>
          <w:rFonts w:ascii="Arial" w:hAnsi="Arial" w:cs="Arial"/>
          <w:sz w:val="24"/>
          <w:szCs w:val="24"/>
        </w:rPr>
      </w:pPr>
      <w:r w:rsidRPr="00A15BA9">
        <w:rPr>
          <w:rFonts w:ascii="Arial" w:hAnsi="Arial" w:cs="Arial"/>
          <w:sz w:val="24"/>
          <w:szCs w:val="24"/>
        </w:rPr>
        <w:t>Records of port growth also show that the docks got bigger and the industry was busier over the 19th century, which changed the coastline and the natural marine sediments (AECOM, 2024).</w:t>
      </w:r>
    </w:p>
    <w:p w14:paraId="615EDBBA" w14:textId="787BCE6F" w:rsidR="00B924C8" w:rsidRPr="00A15BA9" w:rsidRDefault="00DC75A0" w:rsidP="00A15BA9">
      <w:pPr>
        <w:pStyle w:val="Heading1"/>
        <w:spacing w:line="360" w:lineRule="auto"/>
        <w:jc w:val="both"/>
        <w:rPr>
          <w:rFonts w:ascii="Arial" w:hAnsi="Arial" w:cs="Arial"/>
          <w:sz w:val="24"/>
          <w:szCs w:val="24"/>
        </w:rPr>
      </w:pPr>
      <w:bookmarkStart w:id="8" w:name="_Toc228434505"/>
      <w:r w:rsidRPr="00A15BA9">
        <w:rPr>
          <w:rFonts w:ascii="Arial" w:hAnsi="Arial" w:cs="Arial"/>
          <w:sz w:val="24"/>
          <w:szCs w:val="24"/>
        </w:rPr>
        <w:t xml:space="preserve">3.4. </w:t>
      </w:r>
      <w:r w:rsidR="00F22489" w:rsidRPr="00A15BA9">
        <w:rPr>
          <w:rFonts w:ascii="Arial" w:hAnsi="Arial" w:cs="Arial"/>
          <w:sz w:val="24"/>
          <w:szCs w:val="24"/>
        </w:rPr>
        <w:t>Mid-20</w:t>
      </w:r>
      <w:r w:rsidR="00F22489" w:rsidRPr="00A15BA9">
        <w:rPr>
          <w:rFonts w:ascii="Arial" w:hAnsi="Arial" w:cs="Arial"/>
          <w:sz w:val="24"/>
          <w:szCs w:val="24"/>
          <w:vertAlign w:val="superscript"/>
        </w:rPr>
        <w:t>th</w:t>
      </w:r>
      <w:r w:rsidR="004D6470" w:rsidRPr="00A15BA9">
        <w:rPr>
          <w:rFonts w:ascii="Arial" w:hAnsi="Arial" w:cs="Arial"/>
          <w:sz w:val="24"/>
          <w:szCs w:val="24"/>
        </w:rPr>
        <w:t xml:space="preserve"> century</w:t>
      </w:r>
      <w:r w:rsidR="004D56DC" w:rsidRPr="00A15BA9">
        <w:rPr>
          <w:rFonts w:ascii="Arial" w:hAnsi="Arial" w:cs="Arial"/>
          <w:sz w:val="24"/>
          <w:szCs w:val="24"/>
        </w:rPr>
        <w:t xml:space="preserve"> decline of industry and leisure transition</w:t>
      </w:r>
      <w:bookmarkEnd w:id="8"/>
    </w:p>
    <w:p w14:paraId="6877A86C" w14:textId="4AE3C0B1" w:rsidR="00B924C8" w:rsidRPr="00A15BA9" w:rsidRDefault="009C3B1B" w:rsidP="00A15BA9">
      <w:pPr>
        <w:spacing w:line="360" w:lineRule="auto"/>
        <w:jc w:val="both"/>
        <w:rPr>
          <w:rFonts w:ascii="Arial" w:hAnsi="Arial" w:cs="Arial"/>
          <w:sz w:val="24"/>
          <w:szCs w:val="24"/>
        </w:rPr>
      </w:pPr>
      <w:r w:rsidRPr="00A15BA9">
        <w:rPr>
          <w:rFonts w:ascii="Arial" w:hAnsi="Arial" w:cs="Arial"/>
          <w:sz w:val="24"/>
          <w:szCs w:val="24"/>
        </w:rPr>
        <w:t>The beachfront started to change into a public recreation area when heavy industries fell off in the early 1900s. A 1910 snapshot of Swansea Sands depicts a crowded, popular beach, which illustrates that the shoreline was changing from being used for industry to being used for tourists and recreation (The, 2023).</w:t>
      </w:r>
    </w:p>
    <w:p w14:paraId="7A8DA4D2" w14:textId="6EDF2602" w:rsidR="00B924C8" w:rsidRPr="00A15BA9" w:rsidRDefault="00652C04"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2B702282" wp14:editId="3E2922EB">
            <wp:extent cx="5731510" cy="3596640"/>
            <wp:effectExtent l="0" t="0" r="2540" b="3810"/>
            <wp:docPr id="1151719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p>
    <w:p w14:paraId="37FFD686" w14:textId="359462E9" w:rsidR="00B924C8"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.2. Mid-20</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decline of industry and leisure transition </w:t>
      </w:r>
      <w:r w:rsidR="00652C04" w:rsidRPr="00A15BA9">
        <w:rPr>
          <w:rFonts w:ascii="Arial" w:hAnsi="Arial" w:cs="Arial"/>
          <w:sz w:val="24"/>
          <w:szCs w:val="24"/>
        </w:rPr>
        <w:t>(The, 2023)</w:t>
      </w:r>
    </w:p>
    <w:p w14:paraId="5A7970CF" w14:textId="4CF38A59" w:rsidR="00B924C8" w:rsidRPr="00A15BA9" w:rsidRDefault="008E00E9" w:rsidP="00A15BA9">
      <w:pPr>
        <w:pStyle w:val="Heading1"/>
        <w:spacing w:line="360" w:lineRule="auto"/>
        <w:jc w:val="both"/>
        <w:rPr>
          <w:rFonts w:ascii="Arial" w:hAnsi="Arial" w:cs="Arial"/>
          <w:sz w:val="24"/>
          <w:szCs w:val="24"/>
        </w:rPr>
      </w:pPr>
      <w:bookmarkStart w:id="9" w:name="_Toc228434506"/>
      <w:r w:rsidRPr="00A15BA9">
        <w:rPr>
          <w:rFonts w:ascii="Arial" w:hAnsi="Arial" w:cs="Arial"/>
          <w:sz w:val="24"/>
          <w:szCs w:val="24"/>
        </w:rPr>
        <w:t xml:space="preserve">3.5. </w:t>
      </w:r>
      <w:r w:rsidR="002D2A58" w:rsidRPr="00A15BA9">
        <w:rPr>
          <w:rFonts w:ascii="Arial" w:hAnsi="Arial" w:cs="Arial"/>
          <w:sz w:val="24"/>
          <w:szCs w:val="24"/>
        </w:rPr>
        <w:t>Late 20</w:t>
      </w:r>
      <w:r w:rsidR="002D2A58" w:rsidRPr="00A15BA9">
        <w:rPr>
          <w:rFonts w:ascii="Arial" w:hAnsi="Arial" w:cs="Arial"/>
          <w:sz w:val="24"/>
          <w:szCs w:val="24"/>
          <w:vertAlign w:val="superscript"/>
        </w:rPr>
        <w:t>th</w:t>
      </w:r>
      <w:r w:rsidR="002D2A58" w:rsidRPr="00A15BA9">
        <w:rPr>
          <w:rFonts w:ascii="Arial" w:hAnsi="Arial" w:cs="Arial"/>
          <w:sz w:val="24"/>
          <w:szCs w:val="24"/>
        </w:rPr>
        <w:t xml:space="preserve"> century</w:t>
      </w:r>
      <w:r w:rsidR="00DD01A2" w:rsidRPr="00A15BA9">
        <w:rPr>
          <w:rFonts w:ascii="Arial" w:hAnsi="Arial" w:cs="Arial"/>
          <w:sz w:val="24"/>
          <w:szCs w:val="24"/>
        </w:rPr>
        <w:t xml:space="preserve"> redevelopment of Swansea marina and foreshore</w:t>
      </w:r>
      <w:bookmarkEnd w:id="9"/>
    </w:p>
    <w:p w14:paraId="6E6CFD1A" w14:textId="2CE215FD" w:rsidR="005E1C3E" w:rsidRPr="00A15BA9" w:rsidRDefault="005E1C3E" w:rsidP="00A15BA9">
      <w:pPr>
        <w:spacing w:line="360" w:lineRule="auto"/>
        <w:jc w:val="both"/>
        <w:rPr>
          <w:rFonts w:ascii="Arial" w:hAnsi="Arial" w:cs="Arial"/>
          <w:sz w:val="24"/>
          <w:szCs w:val="24"/>
        </w:rPr>
      </w:pPr>
      <w:r w:rsidRPr="00A15BA9">
        <w:rPr>
          <w:rFonts w:ascii="Arial" w:hAnsi="Arial" w:cs="Arial"/>
          <w:sz w:val="24"/>
          <w:szCs w:val="24"/>
        </w:rPr>
        <w:t xml:space="preserve">To turn the old docklands into Swansea Marina, a lot of land had to be reclaimed, dredged, filled in, and new sea walls had to be built. Port records talk about this </w:t>
      </w:r>
      <w:r w:rsidRPr="00A15BA9">
        <w:rPr>
          <w:rFonts w:ascii="Arial" w:hAnsi="Arial" w:cs="Arial"/>
          <w:sz w:val="24"/>
          <w:szCs w:val="24"/>
        </w:rPr>
        <w:lastRenderedPageBreak/>
        <w:t>change, which shows the change from industrial land to current residential and leisure usage (Swanseahistoryweb.org.uk, 2026). The Marriott Hotel, County Hall, and the intended development site are all currently on this reclaimed land.</w:t>
      </w:r>
    </w:p>
    <w:p w14:paraId="36367592" w14:textId="51B02AF6" w:rsidR="00C155AA" w:rsidRPr="00A15BA9" w:rsidRDefault="008E00E9" w:rsidP="00A15BA9">
      <w:pPr>
        <w:pStyle w:val="Heading1"/>
        <w:spacing w:line="360" w:lineRule="auto"/>
        <w:jc w:val="both"/>
        <w:rPr>
          <w:rFonts w:ascii="Arial" w:hAnsi="Arial" w:cs="Arial"/>
          <w:sz w:val="24"/>
          <w:szCs w:val="24"/>
        </w:rPr>
      </w:pPr>
      <w:bookmarkStart w:id="10" w:name="_Toc228434507"/>
      <w:r w:rsidRPr="00A15BA9">
        <w:rPr>
          <w:rFonts w:ascii="Arial" w:hAnsi="Arial" w:cs="Arial"/>
          <w:sz w:val="24"/>
          <w:szCs w:val="24"/>
        </w:rPr>
        <w:t xml:space="preserve">3.6. </w:t>
      </w:r>
      <w:r w:rsidR="00572E1C" w:rsidRPr="00A15BA9">
        <w:rPr>
          <w:rFonts w:ascii="Arial" w:hAnsi="Arial" w:cs="Arial"/>
          <w:sz w:val="24"/>
          <w:szCs w:val="24"/>
        </w:rPr>
        <w:t>Present day</w:t>
      </w:r>
      <w:r w:rsidR="00DD01A2" w:rsidRPr="00A15BA9">
        <w:rPr>
          <w:rFonts w:ascii="Arial" w:hAnsi="Arial" w:cs="Arial"/>
          <w:sz w:val="24"/>
          <w:szCs w:val="24"/>
        </w:rPr>
        <w:t xml:space="preserve"> site condition and land use</w:t>
      </w:r>
      <w:bookmarkEnd w:id="10"/>
    </w:p>
    <w:p w14:paraId="37DD4AD3" w14:textId="543F040D" w:rsidR="005E1C3E" w:rsidRPr="00A15BA9" w:rsidRDefault="005E1C3E" w:rsidP="00A15BA9">
      <w:pPr>
        <w:spacing w:line="360" w:lineRule="auto"/>
        <w:jc w:val="both"/>
        <w:rPr>
          <w:rFonts w:ascii="Arial" w:hAnsi="Arial" w:cs="Arial"/>
          <w:sz w:val="24"/>
          <w:szCs w:val="24"/>
        </w:rPr>
      </w:pPr>
      <w:r w:rsidRPr="00A15BA9">
        <w:rPr>
          <w:rFonts w:ascii="Arial" w:hAnsi="Arial" w:cs="Arial"/>
          <w:sz w:val="24"/>
          <w:szCs w:val="24"/>
        </w:rPr>
        <w:t xml:space="preserve">Modern pictures of Swansea Bay show a developed promenade, coastal defences, and modern structures, which proves that it is a newly </w:t>
      </w:r>
      <w:r w:rsidR="004A037A" w:rsidRPr="00A15BA9">
        <w:rPr>
          <w:rFonts w:ascii="Arial" w:hAnsi="Arial" w:cs="Arial"/>
          <w:sz w:val="24"/>
          <w:szCs w:val="24"/>
        </w:rPr>
        <w:t>restored</w:t>
      </w:r>
      <w:r w:rsidRPr="00A15BA9">
        <w:rPr>
          <w:rFonts w:ascii="Arial" w:hAnsi="Arial" w:cs="Arial"/>
          <w:sz w:val="24"/>
          <w:szCs w:val="24"/>
        </w:rPr>
        <w:t xml:space="preserve"> area for tourists and recreation.</w:t>
      </w:r>
    </w:p>
    <w:p w14:paraId="40BFDDCC" w14:textId="2FCB976C" w:rsidR="00572E1C" w:rsidRPr="00A15BA9" w:rsidRDefault="00554187"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06320556" wp14:editId="394FFCDA">
            <wp:extent cx="5731510" cy="3063240"/>
            <wp:effectExtent l="0" t="0" r="2540" b="3810"/>
            <wp:docPr id="16993888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63240"/>
                    </a:xfrm>
                    <a:prstGeom prst="rect">
                      <a:avLst/>
                    </a:prstGeom>
                    <a:noFill/>
                    <a:ln>
                      <a:noFill/>
                    </a:ln>
                  </pic:spPr>
                </pic:pic>
              </a:graphicData>
            </a:graphic>
          </wp:inline>
        </w:drawing>
      </w:r>
    </w:p>
    <w:p w14:paraId="78C138F1" w14:textId="671B99C1" w:rsidR="009B6B17"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.3. Early 20</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port and industrial escalation picture </w:t>
      </w:r>
      <w:r w:rsidR="00BF3076" w:rsidRPr="00A15BA9">
        <w:rPr>
          <w:rFonts w:ascii="Arial" w:hAnsi="Arial" w:cs="Arial"/>
          <w:sz w:val="24"/>
          <w:szCs w:val="24"/>
        </w:rPr>
        <w:t>(indonesian-recipes, 2024)</w:t>
      </w:r>
    </w:p>
    <w:p w14:paraId="5B1565EE" w14:textId="054E8A8B" w:rsidR="000607CD" w:rsidRPr="00A15BA9" w:rsidRDefault="00FA6742" w:rsidP="00A15BA9">
      <w:pPr>
        <w:pStyle w:val="Heading1"/>
        <w:spacing w:line="360" w:lineRule="auto"/>
        <w:jc w:val="both"/>
        <w:rPr>
          <w:rFonts w:ascii="Arial" w:hAnsi="Arial" w:cs="Arial"/>
          <w:sz w:val="24"/>
          <w:szCs w:val="24"/>
        </w:rPr>
      </w:pPr>
      <w:bookmarkStart w:id="11" w:name="_Toc228434508"/>
      <w:r w:rsidRPr="00A15BA9">
        <w:rPr>
          <w:rFonts w:ascii="Arial" w:hAnsi="Arial" w:cs="Arial"/>
          <w:sz w:val="24"/>
          <w:szCs w:val="24"/>
        </w:rPr>
        <w:t>3.7. Summary of Historical Impacts on Ground Conditions</w:t>
      </w:r>
      <w:bookmarkEnd w:id="11"/>
    </w:p>
    <w:p w14:paraId="07EE89A5" w14:textId="77777777" w:rsidR="00114E82" w:rsidRPr="00A15BA9" w:rsidRDefault="00DE15BA" w:rsidP="00A15BA9">
      <w:pPr>
        <w:spacing w:line="360" w:lineRule="auto"/>
        <w:jc w:val="both"/>
        <w:rPr>
          <w:rFonts w:ascii="Arial" w:hAnsi="Arial" w:cs="Arial"/>
          <w:sz w:val="24"/>
          <w:szCs w:val="24"/>
        </w:rPr>
      </w:pPr>
      <w:r w:rsidRPr="00A15BA9">
        <w:rPr>
          <w:rFonts w:ascii="Arial" w:hAnsi="Arial" w:cs="Arial"/>
          <w:sz w:val="24"/>
          <w:szCs w:val="24"/>
        </w:rPr>
        <w:t xml:space="preserve">After looking at all the history, the site sits on a waterfront region that has been damaged by </w:t>
      </w:r>
    </w:p>
    <w:p w14:paraId="30166A72"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old industrial work </w:t>
      </w:r>
    </w:p>
    <w:p w14:paraId="18928DCC"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reclaiming land that has been used for a long time </w:t>
      </w:r>
    </w:p>
    <w:p w14:paraId="1D87639D"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close to marine sediments and docklands </w:t>
      </w:r>
    </w:p>
    <w:p w14:paraId="3F779F39"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possible buried structures and fill that changes Ground Conditions (Geology &amp; Stratigraphy)</w:t>
      </w:r>
    </w:p>
    <w:p w14:paraId="3B89A57B"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Boreholes with rotary and cable percussion </w:t>
      </w:r>
    </w:p>
    <w:p w14:paraId="0334B59F" w14:textId="77777777" w:rsidR="00114E82" w:rsidRPr="00A15BA9" w:rsidRDefault="00114E82"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lastRenderedPageBreak/>
        <w:t>T</w:t>
      </w:r>
      <w:r w:rsidR="00DE15BA" w:rsidRPr="00A15BA9">
        <w:rPr>
          <w:rFonts w:ascii="Arial" w:hAnsi="Arial" w:cs="Arial"/>
          <w:sz w:val="24"/>
          <w:szCs w:val="24"/>
        </w:rPr>
        <w:t xml:space="preserve">aking samples from 25 to 30 meters to match the depths of nearby Meridian Tower boreholes </w:t>
      </w:r>
    </w:p>
    <w:p w14:paraId="16C4B459" w14:textId="77777777" w:rsidR="002225D0"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Finding artificial fill, loose sands, soft estuary soils, and deeper glacial deposits</w:t>
      </w:r>
    </w:p>
    <w:p w14:paraId="3DFAD539" w14:textId="6836B915" w:rsidR="00DE15BA" w:rsidRPr="00A15BA9" w:rsidRDefault="00DE15BA" w:rsidP="00A15BA9">
      <w:pPr>
        <w:spacing w:line="360" w:lineRule="auto"/>
        <w:ind w:left="360"/>
        <w:jc w:val="both"/>
        <w:rPr>
          <w:rFonts w:ascii="Arial" w:hAnsi="Arial" w:cs="Arial"/>
          <w:sz w:val="24"/>
          <w:szCs w:val="24"/>
        </w:rPr>
      </w:pPr>
      <w:r w:rsidRPr="00A15BA9">
        <w:rPr>
          <w:rFonts w:ascii="Arial" w:hAnsi="Arial" w:cs="Arial"/>
          <w:sz w:val="24"/>
          <w:szCs w:val="24"/>
        </w:rPr>
        <w:t xml:space="preserve">According to the </w:t>
      </w:r>
      <w:r w:rsidR="00D85D33" w:rsidRPr="00A15BA9">
        <w:rPr>
          <w:rFonts w:ascii="Arial" w:hAnsi="Arial" w:cs="Arial"/>
          <w:sz w:val="24"/>
          <w:szCs w:val="24"/>
        </w:rPr>
        <w:t>(</w:t>
      </w:r>
      <w:r w:rsidRPr="00A15BA9">
        <w:rPr>
          <w:rFonts w:ascii="Arial" w:hAnsi="Arial" w:cs="Arial"/>
          <w:sz w:val="24"/>
          <w:szCs w:val="24"/>
        </w:rPr>
        <w:t>Model metadata report for Swansea-Neath-Port-Talbot</w:t>
      </w:r>
      <w:r w:rsidR="007A4D0F" w:rsidRPr="00A15BA9">
        <w:rPr>
          <w:rFonts w:ascii="Arial" w:hAnsi="Arial" w:cs="Arial"/>
          <w:sz w:val="24"/>
          <w:szCs w:val="24"/>
        </w:rPr>
        <w:t>, n.d.)</w:t>
      </w:r>
      <w:r w:rsidR="005D0E5E" w:rsidRPr="00A15BA9">
        <w:rPr>
          <w:rFonts w:ascii="Arial" w:hAnsi="Arial" w:cs="Arial"/>
          <w:sz w:val="24"/>
          <w:szCs w:val="24"/>
        </w:rPr>
        <w:t>.</w:t>
      </w:r>
    </w:p>
    <w:p w14:paraId="53852025" w14:textId="40A24BCA" w:rsidR="002E6283" w:rsidRPr="00A15BA9" w:rsidRDefault="002E6283" w:rsidP="00A15BA9">
      <w:pPr>
        <w:pStyle w:val="Heading1"/>
        <w:spacing w:line="360" w:lineRule="auto"/>
        <w:jc w:val="both"/>
        <w:rPr>
          <w:rFonts w:ascii="Arial" w:hAnsi="Arial" w:cs="Arial"/>
          <w:sz w:val="24"/>
          <w:szCs w:val="24"/>
        </w:rPr>
      </w:pPr>
      <w:bookmarkStart w:id="12" w:name="_Toc228434509"/>
      <w:r w:rsidRPr="00A15BA9">
        <w:rPr>
          <w:rFonts w:ascii="Arial" w:hAnsi="Arial" w:cs="Arial"/>
          <w:sz w:val="24"/>
          <w:szCs w:val="24"/>
        </w:rPr>
        <w:t>4.0. Identification of Geotechnical and environmental hazards</w:t>
      </w:r>
      <w:bookmarkEnd w:id="12"/>
    </w:p>
    <w:p w14:paraId="6716AB36" w14:textId="274139C0" w:rsidR="0050697C" w:rsidRPr="00A15BA9" w:rsidRDefault="00553C1B" w:rsidP="00A15BA9">
      <w:pPr>
        <w:pStyle w:val="Heading1"/>
        <w:spacing w:line="360" w:lineRule="auto"/>
        <w:jc w:val="both"/>
        <w:rPr>
          <w:rFonts w:ascii="Arial" w:hAnsi="Arial" w:cs="Arial"/>
          <w:sz w:val="24"/>
          <w:szCs w:val="24"/>
        </w:rPr>
      </w:pPr>
      <w:bookmarkStart w:id="13" w:name="_Toc228434510"/>
      <w:r w:rsidRPr="00A15BA9">
        <w:rPr>
          <w:rFonts w:ascii="Arial" w:hAnsi="Arial" w:cs="Arial"/>
          <w:sz w:val="24"/>
          <w:szCs w:val="24"/>
        </w:rPr>
        <w:t>4.1</w:t>
      </w:r>
      <w:r w:rsidR="0050697C" w:rsidRPr="00A15BA9">
        <w:rPr>
          <w:rFonts w:ascii="Arial" w:hAnsi="Arial" w:cs="Arial"/>
          <w:sz w:val="24"/>
          <w:szCs w:val="24"/>
        </w:rPr>
        <w:t>. Made Ground / Reclaimed Land</w:t>
      </w:r>
      <w:bookmarkEnd w:id="13"/>
    </w:p>
    <w:p w14:paraId="7C9B42DC" w14:textId="1E3A0644" w:rsidR="00EC38B0" w:rsidRPr="00A15BA9" w:rsidRDefault="00EC38B0" w:rsidP="00A15BA9">
      <w:pPr>
        <w:spacing w:line="360" w:lineRule="auto"/>
        <w:jc w:val="both"/>
        <w:rPr>
          <w:rFonts w:ascii="Arial" w:hAnsi="Arial" w:cs="Arial"/>
          <w:sz w:val="24"/>
          <w:szCs w:val="24"/>
        </w:rPr>
      </w:pPr>
      <w:r w:rsidRPr="00A15BA9">
        <w:rPr>
          <w:rFonts w:ascii="Arial" w:hAnsi="Arial" w:cs="Arial"/>
          <w:sz w:val="24"/>
          <w:szCs w:val="24"/>
        </w:rPr>
        <w:t xml:space="preserve">The site lies on reclaimed dockland created from dredged and filled </w:t>
      </w:r>
      <w:r w:rsidR="002225D0" w:rsidRPr="00A15BA9">
        <w:rPr>
          <w:rFonts w:ascii="Arial" w:hAnsi="Arial" w:cs="Arial"/>
          <w:sz w:val="24"/>
          <w:szCs w:val="24"/>
        </w:rPr>
        <w:t>materials;</w:t>
      </w:r>
      <w:r w:rsidRPr="00A15BA9">
        <w:rPr>
          <w:rFonts w:ascii="Arial" w:hAnsi="Arial" w:cs="Arial"/>
          <w:sz w:val="24"/>
          <w:szCs w:val="24"/>
        </w:rPr>
        <w:t xml:space="preserve"> </w:t>
      </w:r>
      <w:r w:rsidR="002225D0" w:rsidRPr="00A15BA9">
        <w:rPr>
          <w:rFonts w:ascii="Arial" w:hAnsi="Arial" w:cs="Arial"/>
          <w:sz w:val="24"/>
          <w:szCs w:val="24"/>
        </w:rPr>
        <w:t>therefore,</w:t>
      </w:r>
      <w:r w:rsidRPr="00A15BA9">
        <w:rPr>
          <w:rFonts w:ascii="Arial" w:hAnsi="Arial" w:cs="Arial"/>
          <w:sz w:val="24"/>
          <w:szCs w:val="24"/>
        </w:rPr>
        <w:t xml:space="preserve"> the ground is uneven and hard to forecast (Swanseahistoryweb.org.uk, 2026).</w:t>
      </w:r>
    </w:p>
    <w:p w14:paraId="7CA8A420" w14:textId="3687FA6D" w:rsidR="00683F0E" w:rsidRPr="00A15BA9" w:rsidRDefault="00207D73" w:rsidP="00A15BA9">
      <w:pPr>
        <w:pStyle w:val="Heading1"/>
        <w:spacing w:line="360" w:lineRule="auto"/>
        <w:jc w:val="both"/>
        <w:rPr>
          <w:rFonts w:ascii="Arial" w:hAnsi="Arial" w:cs="Arial"/>
          <w:sz w:val="24"/>
          <w:szCs w:val="24"/>
        </w:rPr>
      </w:pPr>
      <w:bookmarkStart w:id="14" w:name="_Toc228434511"/>
      <w:r w:rsidRPr="00A15BA9">
        <w:rPr>
          <w:rFonts w:ascii="Arial" w:hAnsi="Arial" w:cs="Arial"/>
          <w:sz w:val="24"/>
          <w:szCs w:val="24"/>
        </w:rPr>
        <w:t>4.</w:t>
      </w:r>
      <w:r w:rsidR="00683F0E" w:rsidRPr="00A15BA9">
        <w:rPr>
          <w:rFonts w:ascii="Arial" w:hAnsi="Arial" w:cs="Arial"/>
          <w:sz w:val="24"/>
          <w:szCs w:val="24"/>
        </w:rPr>
        <w:t>2.</w:t>
      </w:r>
      <w:r w:rsidR="00553C1B" w:rsidRPr="00A15BA9">
        <w:rPr>
          <w:rFonts w:ascii="Arial" w:hAnsi="Arial" w:cs="Arial"/>
          <w:sz w:val="24"/>
          <w:szCs w:val="24"/>
        </w:rPr>
        <w:t xml:space="preserve"> Land</w:t>
      </w:r>
      <w:r w:rsidR="00683F0E" w:rsidRPr="00A15BA9">
        <w:rPr>
          <w:rFonts w:ascii="Arial" w:hAnsi="Arial" w:cs="Arial"/>
          <w:sz w:val="24"/>
          <w:szCs w:val="24"/>
        </w:rPr>
        <w:t xml:space="preserve"> Contamination</w:t>
      </w:r>
      <w:bookmarkEnd w:id="14"/>
    </w:p>
    <w:p w14:paraId="655933E0" w14:textId="395B078C" w:rsidR="003D37FD" w:rsidRPr="00A15BA9" w:rsidRDefault="003D37FD" w:rsidP="00A15BA9">
      <w:pPr>
        <w:spacing w:line="360" w:lineRule="auto"/>
        <w:jc w:val="both"/>
        <w:rPr>
          <w:rFonts w:ascii="Arial" w:hAnsi="Arial" w:cs="Arial"/>
          <w:sz w:val="24"/>
          <w:szCs w:val="24"/>
        </w:rPr>
      </w:pPr>
      <w:r w:rsidRPr="00A15BA9">
        <w:rPr>
          <w:rFonts w:ascii="Arial" w:hAnsi="Arial" w:cs="Arial"/>
          <w:sz w:val="24"/>
          <w:szCs w:val="24"/>
        </w:rPr>
        <w:t xml:space="preserve">For more than 200 years, copper works, smelting sites, and industrial operations around Swansea spewed toxins into the air and water. This indicates that the soil might still have heavy metals, slag trash, and other industrial byproducts from the copper industry in it (Evading constraints? 200 years of unchecked contamination by the Swansea copper industry Student Dissertation, n.d.) </w:t>
      </w:r>
    </w:p>
    <w:p w14:paraId="0A7D937B" w14:textId="20AAFF98" w:rsidR="00956DAD" w:rsidRPr="00A15BA9" w:rsidRDefault="00207D73" w:rsidP="00A15BA9">
      <w:pPr>
        <w:pStyle w:val="Heading1"/>
        <w:spacing w:line="360" w:lineRule="auto"/>
        <w:jc w:val="both"/>
        <w:rPr>
          <w:rFonts w:ascii="Arial" w:hAnsi="Arial" w:cs="Arial"/>
          <w:sz w:val="24"/>
          <w:szCs w:val="24"/>
        </w:rPr>
      </w:pPr>
      <w:bookmarkStart w:id="15" w:name="_Toc228434512"/>
      <w:r w:rsidRPr="00A15BA9">
        <w:rPr>
          <w:rFonts w:ascii="Arial" w:hAnsi="Arial" w:cs="Arial"/>
          <w:sz w:val="24"/>
          <w:szCs w:val="24"/>
        </w:rPr>
        <w:t>4.</w:t>
      </w:r>
      <w:r w:rsidR="00956DAD" w:rsidRPr="00A15BA9">
        <w:rPr>
          <w:rFonts w:ascii="Arial" w:hAnsi="Arial" w:cs="Arial"/>
          <w:sz w:val="24"/>
          <w:szCs w:val="24"/>
        </w:rPr>
        <w:t>3. Shallow Groundwater</w:t>
      </w:r>
      <w:bookmarkEnd w:id="15"/>
    </w:p>
    <w:p w14:paraId="78CED0AC" w14:textId="77777777" w:rsidR="003D37FD" w:rsidRPr="00A15BA9" w:rsidRDefault="003D37FD" w:rsidP="00A15BA9">
      <w:pPr>
        <w:spacing w:line="360" w:lineRule="auto"/>
        <w:jc w:val="both"/>
        <w:rPr>
          <w:rFonts w:ascii="Arial" w:hAnsi="Arial" w:cs="Arial"/>
          <w:sz w:val="24"/>
          <w:szCs w:val="24"/>
        </w:rPr>
      </w:pPr>
      <w:r w:rsidRPr="00A15BA9">
        <w:rPr>
          <w:rFonts w:ascii="Arial" w:hAnsi="Arial" w:cs="Arial"/>
          <w:sz w:val="24"/>
          <w:szCs w:val="24"/>
        </w:rPr>
        <w:t>Swansea Bay has one of the biggest tidal ranges in the world (up to 10.4 m), which means that the groundwater near the coastline rises and falls with the tides. This makes the water table exceptionally shallow (Swansea, n.d.).</w:t>
      </w:r>
    </w:p>
    <w:p w14:paraId="018F1442" w14:textId="6585CF77" w:rsidR="009F7805" w:rsidRPr="00A15BA9" w:rsidRDefault="00207D73" w:rsidP="00A15BA9">
      <w:pPr>
        <w:pStyle w:val="Heading1"/>
        <w:spacing w:line="360" w:lineRule="auto"/>
        <w:jc w:val="both"/>
        <w:rPr>
          <w:rFonts w:ascii="Arial" w:hAnsi="Arial" w:cs="Arial"/>
          <w:sz w:val="24"/>
          <w:szCs w:val="24"/>
        </w:rPr>
      </w:pPr>
      <w:bookmarkStart w:id="16" w:name="_Toc228434513"/>
      <w:r w:rsidRPr="00A15BA9">
        <w:rPr>
          <w:rFonts w:ascii="Arial" w:hAnsi="Arial" w:cs="Arial"/>
          <w:sz w:val="24"/>
          <w:szCs w:val="24"/>
        </w:rPr>
        <w:t>4.</w:t>
      </w:r>
      <w:r w:rsidR="009F7805" w:rsidRPr="00A15BA9">
        <w:rPr>
          <w:rFonts w:ascii="Arial" w:hAnsi="Arial" w:cs="Arial"/>
          <w:sz w:val="24"/>
          <w:szCs w:val="24"/>
        </w:rPr>
        <w:t>4. Liquefaction / Settlement</w:t>
      </w:r>
      <w:bookmarkEnd w:id="16"/>
    </w:p>
    <w:p w14:paraId="3AF50A81" w14:textId="1E099ADF" w:rsidR="003E7E95" w:rsidRPr="00A15BA9" w:rsidRDefault="003E7E95" w:rsidP="00A15BA9">
      <w:pPr>
        <w:spacing w:line="360" w:lineRule="auto"/>
        <w:jc w:val="both"/>
        <w:rPr>
          <w:rFonts w:ascii="Arial" w:hAnsi="Arial" w:cs="Arial"/>
          <w:sz w:val="24"/>
          <w:szCs w:val="24"/>
        </w:rPr>
      </w:pPr>
      <w:r w:rsidRPr="00A15BA9">
        <w:rPr>
          <w:rFonts w:ascii="Arial" w:hAnsi="Arial" w:cs="Arial"/>
          <w:sz w:val="24"/>
          <w:szCs w:val="24"/>
        </w:rPr>
        <w:t>Holocene sands, gravels, and muds lie beneath Swansea Bay. These materials are loose and can be compressed, which means they pose a risk of settlement (Marine Character Areas MCA 26 SWANSEA BAY &amp; PORTHCAWL Location and bounds, n.d.)</w:t>
      </w:r>
    </w:p>
    <w:p w14:paraId="7F0B4BB8" w14:textId="255B9A54" w:rsidR="00B858AA" w:rsidRPr="00A15BA9" w:rsidRDefault="00710B06" w:rsidP="00A15BA9">
      <w:pPr>
        <w:pStyle w:val="Heading1"/>
        <w:spacing w:line="360" w:lineRule="auto"/>
        <w:jc w:val="both"/>
        <w:rPr>
          <w:rFonts w:ascii="Arial" w:hAnsi="Arial" w:cs="Arial"/>
          <w:sz w:val="24"/>
          <w:szCs w:val="24"/>
        </w:rPr>
      </w:pPr>
      <w:bookmarkStart w:id="17" w:name="_Toc228434514"/>
      <w:r w:rsidRPr="00A15BA9">
        <w:rPr>
          <w:rFonts w:ascii="Arial" w:hAnsi="Arial" w:cs="Arial"/>
          <w:sz w:val="24"/>
          <w:szCs w:val="24"/>
        </w:rPr>
        <w:t>4.</w:t>
      </w:r>
      <w:r w:rsidR="00B858AA" w:rsidRPr="00A15BA9">
        <w:rPr>
          <w:rFonts w:ascii="Arial" w:hAnsi="Arial" w:cs="Arial"/>
          <w:sz w:val="24"/>
          <w:szCs w:val="24"/>
        </w:rPr>
        <w:t xml:space="preserve">5. </w:t>
      </w:r>
      <w:r w:rsidRPr="00A15BA9">
        <w:rPr>
          <w:rFonts w:ascii="Arial" w:hAnsi="Arial" w:cs="Arial"/>
          <w:sz w:val="24"/>
          <w:szCs w:val="24"/>
        </w:rPr>
        <w:t>Ground gas risk (Methane and Carbon di oxide)</w:t>
      </w:r>
      <w:bookmarkEnd w:id="17"/>
    </w:p>
    <w:p w14:paraId="4593668F" w14:textId="77777777" w:rsidR="007520AB" w:rsidRPr="00A15BA9" w:rsidRDefault="007520AB" w:rsidP="00A15BA9">
      <w:pPr>
        <w:spacing w:line="360" w:lineRule="auto"/>
        <w:jc w:val="both"/>
        <w:rPr>
          <w:rFonts w:ascii="Arial" w:hAnsi="Arial" w:cs="Arial"/>
          <w:sz w:val="24"/>
          <w:szCs w:val="24"/>
        </w:rPr>
      </w:pPr>
      <w:r w:rsidRPr="00A15BA9">
        <w:rPr>
          <w:rFonts w:ascii="Arial" w:hAnsi="Arial" w:cs="Arial"/>
          <w:sz w:val="24"/>
          <w:szCs w:val="24"/>
        </w:rPr>
        <w:t xml:space="preserve">The reclaimed dockland soils near Swansea Marina and SA1 have organic matter, dredging sediments, and old fill. As these things break down, they naturally make methane and carbon dioxide. Studies of ground gas done in the SA1 development </w:t>
      </w:r>
      <w:r w:rsidRPr="00A15BA9">
        <w:rPr>
          <w:rFonts w:ascii="Arial" w:hAnsi="Arial" w:cs="Arial"/>
          <w:sz w:val="24"/>
          <w:szCs w:val="24"/>
        </w:rPr>
        <w:lastRenderedPageBreak/>
        <w:t>right adjacent to Swansea Marina found very high levels of CH</w:t>
      </w:r>
      <w:r w:rsidRPr="00A15BA9">
        <w:rPr>
          <w:rFonts w:ascii="Cambria Math" w:hAnsi="Cambria Math" w:cs="Cambria Math"/>
          <w:sz w:val="24"/>
          <w:szCs w:val="24"/>
        </w:rPr>
        <w:t>₄</w:t>
      </w:r>
      <w:r w:rsidRPr="00A15BA9">
        <w:rPr>
          <w:rFonts w:ascii="Arial" w:hAnsi="Arial" w:cs="Arial"/>
          <w:sz w:val="24"/>
          <w:szCs w:val="24"/>
        </w:rPr>
        <w:t xml:space="preserve"> and CO</w:t>
      </w:r>
      <w:r w:rsidRPr="00A15BA9">
        <w:rPr>
          <w:rFonts w:ascii="Cambria Math" w:hAnsi="Cambria Math" w:cs="Cambria Math"/>
          <w:sz w:val="24"/>
          <w:szCs w:val="24"/>
        </w:rPr>
        <w:t>₂</w:t>
      </w:r>
      <w:r w:rsidRPr="00A15BA9">
        <w:rPr>
          <w:rFonts w:ascii="Arial" w:hAnsi="Arial" w:cs="Arial"/>
          <w:sz w:val="24"/>
          <w:szCs w:val="24"/>
        </w:rPr>
        <w:t>. This shows that organic gas generation is a real issue in the Meridian Quay region (Earth Science Partnership, 2019).</w:t>
      </w:r>
    </w:p>
    <w:p w14:paraId="7790A999" w14:textId="2444FFE8" w:rsidR="00E37C4A" w:rsidRPr="00A15BA9" w:rsidRDefault="00710B06" w:rsidP="00A15BA9">
      <w:pPr>
        <w:pStyle w:val="Heading1"/>
        <w:spacing w:line="360" w:lineRule="auto"/>
        <w:jc w:val="both"/>
        <w:rPr>
          <w:rFonts w:ascii="Arial" w:hAnsi="Arial" w:cs="Arial"/>
          <w:sz w:val="24"/>
          <w:szCs w:val="24"/>
        </w:rPr>
      </w:pPr>
      <w:bookmarkStart w:id="18" w:name="_Toc228434515"/>
      <w:r w:rsidRPr="00A15BA9">
        <w:rPr>
          <w:rFonts w:ascii="Arial" w:hAnsi="Arial" w:cs="Arial"/>
          <w:sz w:val="24"/>
          <w:szCs w:val="24"/>
        </w:rPr>
        <w:t>4.6. Most risk significant ground conditions</w:t>
      </w:r>
      <w:bookmarkEnd w:id="18"/>
    </w:p>
    <w:p w14:paraId="7007A6E7" w14:textId="77777777" w:rsidR="00882790" w:rsidRPr="00A15BA9" w:rsidRDefault="00882790" w:rsidP="00A15BA9">
      <w:pPr>
        <w:spacing w:line="360" w:lineRule="auto"/>
        <w:jc w:val="both"/>
        <w:rPr>
          <w:rFonts w:ascii="Arial" w:hAnsi="Arial" w:cs="Arial"/>
          <w:sz w:val="24"/>
          <w:szCs w:val="24"/>
        </w:rPr>
      </w:pPr>
      <w:r w:rsidRPr="00A15BA9">
        <w:rPr>
          <w:rFonts w:ascii="Arial" w:hAnsi="Arial" w:cs="Arial"/>
          <w:sz w:val="24"/>
          <w:szCs w:val="24"/>
        </w:rPr>
        <w:t xml:space="preserve">The most danger comes from land reclamation that happened in the 19th and early 20th centuries when there was a lot of industrial and dockland activity. This has left the site with many types of Made Ground (Waters et al., n.d.). </w:t>
      </w:r>
    </w:p>
    <w:p w14:paraId="663DE326" w14:textId="72D4FD55" w:rsidR="00882790" w:rsidRPr="00A15BA9" w:rsidRDefault="00882790" w:rsidP="00A15BA9">
      <w:pPr>
        <w:spacing w:line="360" w:lineRule="auto"/>
        <w:jc w:val="both"/>
        <w:rPr>
          <w:rFonts w:ascii="Arial" w:hAnsi="Arial" w:cs="Arial"/>
          <w:sz w:val="24"/>
          <w:szCs w:val="24"/>
        </w:rPr>
      </w:pPr>
      <w:r w:rsidRPr="00A15BA9">
        <w:rPr>
          <w:rFonts w:ascii="Arial" w:hAnsi="Arial" w:cs="Arial"/>
          <w:sz w:val="24"/>
          <w:szCs w:val="24"/>
        </w:rPr>
        <w:t>During Swansea's time as Copperopolis, the shoreline was changed a lot to make room for ports, trains, smelting operations, and other waterfront infrastructure. People often put industrial waste, dredging sediments, and demolition rubble on land that had been reclaimed without any engineering oversight. Because of this, the ground is likely to be very varied in terms of composition and thickness, which makes differential settlement a big danger (Walsh, 2025).</w:t>
      </w:r>
    </w:p>
    <w:p w14:paraId="4895BBD0" w14:textId="25A06B75" w:rsidR="00072AFE" w:rsidRPr="00A15BA9" w:rsidRDefault="00710B06" w:rsidP="00A15BA9">
      <w:pPr>
        <w:pStyle w:val="Heading1"/>
        <w:spacing w:line="360" w:lineRule="auto"/>
        <w:jc w:val="both"/>
        <w:rPr>
          <w:rFonts w:ascii="Arial" w:eastAsia="Times New Roman" w:hAnsi="Arial" w:cs="Arial"/>
          <w:sz w:val="24"/>
          <w:szCs w:val="24"/>
          <w:lang w:eastAsia="en-GB"/>
        </w:rPr>
      </w:pPr>
      <w:bookmarkStart w:id="19" w:name="_Toc228434516"/>
      <w:r w:rsidRPr="00A15BA9">
        <w:rPr>
          <w:rFonts w:ascii="Arial" w:eastAsia="Times New Roman" w:hAnsi="Arial" w:cs="Arial"/>
          <w:sz w:val="24"/>
          <w:szCs w:val="24"/>
          <w:lang w:eastAsia="en-GB"/>
        </w:rPr>
        <w:t>5.0.</w:t>
      </w:r>
      <w:r w:rsidR="00072AFE" w:rsidRPr="00A15BA9">
        <w:rPr>
          <w:rFonts w:ascii="Arial" w:eastAsia="Times New Roman" w:hAnsi="Arial" w:cs="Arial"/>
          <w:sz w:val="24"/>
          <w:szCs w:val="24"/>
          <w:lang w:eastAsia="en-GB"/>
        </w:rPr>
        <w:t xml:space="preserve"> </w:t>
      </w:r>
      <w:r w:rsidR="00634225" w:rsidRPr="00A15BA9">
        <w:rPr>
          <w:rFonts w:ascii="Arial" w:eastAsia="Times New Roman" w:hAnsi="Arial" w:cs="Arial"/>
          <w:sz w:val="24"/>
          <w:szCs w:val="24"/>
          <w:lang w:eastAsia="en-GB"/>
        </w:rPr>
        <w:t xml:space="preserve"> Engineering implications</w:t>
      </w:r>
      <w:r w:rsidR="000262AC" w:rsidRPr="00A15BA9">
        <w:rPr>
          <w:rFonts w:ascii="Arial" w:eastAsia="Times New Roman" w:hAnsi="Arial" w:cs="Arial"/>
          <w:sz w:val="24"/>
          <w:szCs w:val="24"/>
          <w:lang w:eastAsia="en-GB"/>
        </w:rPr>
        <w:t xml:space="preserve"> for proposed development</w:t>
      </w:r>
      <w:bookmarkEnd w:id="19"/>
    </w:p>
    <w:p w14:paraId="2B1832D4" w14:textId="2D54FF0E" w:rsidR="00882790" w:rsidRPr="00A15BA9" w:rsidRDefault="001F3FF7" w:rsidP="00A15BA9">
      <w:pPr>
        <w:spacing w:line="360" w:lineRule="auto"/>
        <w:jc w:val="both"/>
        <w:rPr>
          <w:rFonts w:ascii="Arial" w:hAnsi="Arial" w:cs="Arial"/>
          <w:sz w:val="24"/>
          <w:szCs w:val="24"/>
          <w:lang w:eastAsia="en-GB"/>
        </w:rPr>
      </w:pPr>
      <w:r w:rsidRPr="00A15BA9">
        <w:rPr>
          <w:rFonts w:ascii="Arial" w:hAnsi="Arial" w:cs="Arial"/>
          <w:sz w:val="24"/>
          <w:szCs w:val="24"/>
          <w:lang w:eastAsia="en-GB"/>
        </w:rPr>
        <w:t>After looking at geotechnical and environmental hazards</w:t>
      </w:r>
      <w:r w:rsidR="008E0838" w:rsidRPr="00A15BA9">
        <w:rPr>
          <w:rFonts w:ascii="Arial" w:hAnsi="Arial" w:cs="Arial"/>
          <w:sz w:val="24"/>
          <w:szCs w:val="24"/>
          <w:lang w:eastAsia="en-GB"/>
        </w:rPr>
        <w:t xml:space="preserve"> and </w:t>
      </w:r>
      <w:r w:rsidRPr="00A15BA9">
        <w:rPr>
          <w:rFonts w:ascii="Arial" w:hAnsi="Arial" w:cs="Arial"/>
          <w:sz w:val="24"/>
          <w:szCs w:val="24"/>
          <w:lang w:eastAsia="en-GB"/>
        </w:rPr>
        <w:t xml:space="preserve">history </w:t>
      </w:r>
      <w:r w:rsidR="008E0838" w:rsidRPr="00A15BA9">
        <w:rPr>
          <w:rFonts w:ascii="Arial" w:hAnsi="Arial" w:cs="Arial"/>
          <w:sz w:val="24"/>
          <w:szCs w:val="24"/>
          <w:lang w:eastAsia="en-GB"/>
        </w:rPr>
        <w:t>the planned</w:t>
      </w:r>
      <w:r w:rsidR="00882790" w:rsidRPr="00A15BA9">
        <w:rPr>
          <w:rFonts w:ascii="Arial" w:hAnsi="Arial" w:cs="Arial"/>
          <w:sz w:val="24"/>
          <w:szCs w:val="24"/>
          <w:lang w:eastAsia="en-GB"/>
        </w:rPr>
        <w:t xml:space="preserve"> projected structure will be built on wet soils and heavy </w:t>
      </w:r>
      <w:r w:rsidR="008E0838" w:rsidRPr="00A15BA9">
        <w:rPr>
          <w:rFonts w:ascii="Arial" w:hAnsi="Arial" w:cs="Arial"/>
          <w:sz w:val="24"/>
          <w:szCs w:val="24"/>
          <w:lang w:eastAsia="en-GB"/>
        </w:rPr>
        <w:t>groundwater. Differential</w:t>
      </w:r>
      <w:r w:rsidR="00882790" w:rsidRPr="00A15BA9">
        <w:rPr>
          <w:rFonts w:ascii="Arial" w:hAnsi="Arial" w:cs="Arial"/>
          <w:sz w:val="24"/>
          <w:szCs w:val="24"/>
          <w:lang w:eastAsia="en-GB"/>
        </w:rPr>
        <w:t xml:space="preserve"> settlement is a major worry for this </w:t>
      </w:r>
      <w:r w:rsidR="007A5BEF" w:rsidRPr="00A15BA9">
        <w:rPr>
          <w:rFonts w:ascii="Arial" w:hAnsi="Arial" w:cs="Arial"/>
          <w:sz w:val="24"/>
          <w:szCs w:val="24"/>
          <w:lang w:eastAsia="en-GB"/>
        </w:rPr>
        <w:t>structure</w:t>
      </w:r>
      <w:r w:rsidR="007A5BEF">
        <w:rPr>
          <w:rFonts w:ascii="Arial" w:hAnsi="Arial" w:cs="Arial"/>
          <w:sz w:val="24"/>
          <w:szCs w:val="24"/>
          <w:lang w:eastAsia="en-GB"/>
        </w:rPr>
        <w:t>.</w:t>
      </w:r>
      <w:r w:rsidR="007A5BEF" w:rsidRPr="00A15BA9">
        <w:rPr>
          <w:rFonts w:ascii="Arial" w:hAnsi="Arial" w:cs="Arial"/>
          <w:sz w:val="24"/>
          <w:szCs w:val="24"/>
          <w:lang w:eastAsia="en-GB"/>
        </w:rPr>
        <w:t xml:space="preserve"> Based</w:t>
      </w:r>
      <w:r w:rsidR="00882790" w:rsidRPr="00A15BA9">
        <w:rPr>
          <w:rFonts w:ascii="Arial" w:hAnsi="Arial" w:cs="Arial"/>
          <w:sz w:val="24"/>
          <w:szCs w:val="24"/>
          <w:lang w:eastAsia="en-GB"/>
        </w:rPr>
        <w:t xml:space="preserve"> on historical and geological evidence, the biggest dangers at this site are </w:t>
      </w:r>
    </w:p>
    <w:p w14:paraId="0683F89A" w14:textId="77777777"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The thickness and composition of the formed ground can change. </w:t>
      </w:r>
    </w:p>
    <w:p w14:paraId="29C85202" w14:textId="2EFF38B0"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 Soils in </w:t>
      </w:r>
      <w:r w:rsidR="00A561CA" w:rsidRPr="00A15BA9">
        <w:rPr>
          <w:rFonts w:ascii="Arial" w:hAnsi="Arial" w:cs="Arial"/>
          <w:sz w:val="24"/>
          <w:szCs w:val="24"/>
          <w:lang w:eastAsia="en-GB"/>
        </w:rPr>
        <w:t>bays</w:t>
      </w:r>
      <w:r w:rsidRPr="00A15BA9">
        <w:rPr>
          <w:rFonts w:ascii="Arial" w:hAnsi="Arial" w:cs="Arial"/>
          <w:sz w:val="24"/>
          <w:szCs w:val="24"/>
          <w:lang w:eastAsia="en-GB"/>
        </w:rPr>
        <w:t xml:space="preserve"> that can be compressed </w:t>
      </w:r>
    </w:p>
    <w:p w14:paraId="0B3D4A5B" w14:textId="77777777"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 Pollution and rough ground conditions </w:t>
      </w:r>
    </w:p>
    <w:p w14:paraId="7071669F" w14:textId="586C615D"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High levels of groundwater </w:t>
      </w:r>
      <w:r w:rsidR="007A5BEF" w:rsidRPr="00A15BA9">
        <w:rPr>
          <w:rFonts w:ascii="Arial" w:hAnsi="Arial" w:cs="Arial"/>
          <w:sz w:val="24"/>
          <w:szCs w:val="24"/>
        </w:rPr>
        <w:t>(Slideshare.net, 2026)</w:t>
      </w:r>
      <w:r w:rsidR="007A5BEF" w:rsidRPr="00A15BA9">
        <w:rPr>
          <w:rFonts w:ascii="Arial" w:hAnsi="Arial" w:cs="Arial"/>
          <w:sz w:val="24"/>
          <w:szCs w:val="24"/>
          <w:lang w:eastAsia="en-GB"/>
        </w:rPr>
        <w:t>.</w:t>
      </w:r>
    </w:p>
    <w:p w14:paraId="78ABD3DB" w14:textId="57BC5E10" w:rsidR="00882790" w:rsidRPr="00A15BA9" w:rsidRDefault="00882790" w:rsidP="00A15BA9">
      <w:pPr>
        <w:spacing w:line="360" w:lineRule="auto"/>
        <w:ind w:left="404"/>
        <w:jc w:val="both"/>
        <w:rPr>
          <w:rFonts w:ascii="Arial" w:hAnsi="Arial" w:cs="Arial"/>
          <w:sz w:val="24"/>
          <w:szCs w:val="24"/>
          <w:lang w:eastAsia="en-GB"/>
        </w:rPr>
      </w:pPr>
      <w:r w:rsidRPr="00A15BA9">
        <w:rPr>
          <w:rFonts w:ascii="Arial" w:hAnsi="Arial" w:cs="Arial"/>
          <w:sz w:val="24"/>
          <w:szCs w:val="24"/>
          <w:lang w:eastAsia="en-GB"/>
        </w:rPr>
        <w:t>The investigation should pay special attention to these problems.</w:t>
      </w:r>
    </w:p>
    <w:p w14:paraId="058074FF" w14:textId="6AD4481B" w:rsidR="00A04ED8" w:rsidRPr="00A15BA9" w:rsidRDefault="00F939F9" w:rsidP="00A15BA9">
      <w:pPr>
        <w:pStyle w:val="Heading1"/>
        <w:spacing w:line="360" w:lineRule="auto"/>
        <w:jc w:val="both"/>
        <w:rPr>
          <w:rFonts w:ascii="Arial" w:hAnsi="Arial" w:cs="Arial"/>
          <w:sz w:val="24"/>
          <w:szCs w:val="24"/>
        </w:rPr>
      </w:pPr>
      <w:bookmarkStart w:id="20" w:name="_Toc228434517"/>
      <w:r w:rsidRPr="00A15BA9">
        <w:rPr>
          <w:rFonts w:ascii="Arial" w:hAnsi="Arial" w:cs="Arial"/>
          <w:sz w:val="24"/>
          <w:szCs w:val="24"/>
        </w:rPr>
        <w:t>6</w:t>
      </w:r>
      <w:r w:rsidR="00A04ED8" w:rsidRPr="00A15BA9">
        <w:rPr>
          <w:rFonts w:ascii="Arial" w:hAnsi="Arial" w:cs="Arial"/>
          <w:sz w:val="24"/>
          <w:szCs w:val="24"/>
        </w:rPr>
        <w:t>.0. Recommendation for a detailed site investigation</w:t>
      </w:r>
      <w:bookmarkEnd w:id="20"/>
    </w:p>
    <w:p w14:paraId="20C81BC8" w14:textId="47B061DF" w:rsidR="007607F1" w:rsidRPr="00A15BA9" w:rsidRDefault="00F939F9" w:rsidP="00A15BA9">
      <w:pPr>
        <w:pStyle w:val="Heading1"/>
        <w:spacing w:line="360" w:lineRule="auto"/>
        <w:jc w:val="both"/>
        <w:rPr>
          <w:rFonts w:ascii="Arial" w:hAnsi="Arial" w:cs="Arial"/>
          <w:sz w:val="24"/>
          <w:szCs w:val="24"/>
        </w:rPr>
      </w:pPr>
      <w:bookmarkStart w:id="21" w:name="_Toc228434518"/>
      <w:r w:rsidRPr="00A15BA9">
        <w:rPr>
          <w:rFonts w:ascii="Arial" w:hAnsi="Arial" w:cs="Arial"/>
          <w:sz w:val="24"/>
          <w:szCs w:val="24"/>
        </w:rPr>
        <w:t>6</w:t>
      </w:r>
      <w:r w:rsidR="007607F1" w:rsidRPr="00A15BA9">
        <w:rPr>
          <w:rFonts w:ascii="Arial" w:hAnsi="Arial" w:cs="Arial"/>
          <w:sz w:val="24"/>
          <w:szCs w:val="24"/>
        </w:rPr>
        <w:t xml:space="preserve">.1 Objectives of </w:t>
      </w:r>
      <w:r w:rsidRPr="00A15BA9">
        <w:rPr>
          <w:rFonts w:ascii="Arial" w:hAnsi="Arial" w:cs="Arial"/>
          <w:sz w:val="24"/>
          <w:szCs w:val="24"/>
        </w:rPr>
        <w:t>ground</w:t>
      </w:r>
      <w:r w:rsidR="007607F1" w:rsidRPr="00A15BA9">
        <w:rPr>
          <w:rFonts w:ascii="Arial" w:hAnsi="Arial" w:cs="Arial"/>
          <w:sz w:val="24"/>
          <w:szCs w:val="24"/>
        </w:rPr>
        <w:t xml:space="preserve"> Investigation</w:t>
      </w:r>
      <w:bookmarkEnd w:id="21"/>
    </w:p>
    <w:p w14:paraId="3580E5A1" w14:textId="77777777" w:rsidR="00C60F05" w:rsidRPr="00A15BA9" w:rsidRDefault="00C60F05" w:rsidP="00A15BA9">
      <w:pPr>
        <w:spacing w:line="360" w:lineRule="auto"/>
        <w:jc w:val="both"/>
        <w:rPr>
          <w:rFonts w:ascii="Arial" w:hAnsi="Arial" w:cs="Arial"/>
          <w:sz w:val="24"/>
          <w:szCs w:val="24"/>
        </w:rPr>
      </w:pPr>
      <w:r w:rsidRPr="00A15BA9">
        <w:rPr>
          <w:rFonts w:ascii="Arial" w:hAnsi="Arial" w:cs="Arial"/>
          <w:sz w:val="24"/>
          <w:szCs w:val="24"/>
        </w:rPr>
        <w:t xml:space="preserve">BS 5930:2015+A1:2020 says that the main goal of a site study is to find out, within reasonable and cost-effective constraints, the conditions of the ground and groundwater that are important to the planned development. These goals are: </w:t>
      </w:r>
    </w:p>
    <w:p w14:paraId="77FFD92B" w14:textId="77777777" w:rsidR="00C60F05"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lastRenderedPageBreak/>
        <w:t xml:space="preserve">Setting up ground stratification and differences </w:t>
      </w:r>
    </w:p>
    <w:p w14:paraId="15D33C6E" w14:textId="77777777" w:rsidR="00C60F05"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t xml:space="preserve">Finding out the engineering qualities of rocks and soils </w:t>
      </w:r>
    </w:p>
    <w:p w14:paraId="2A88D7E2" w14:textId="7AD8B95A" w:rsidR="00C60F05"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t>Finding out how</w:t>
      </w:r>
      <w:r w:rsidR="00906065" w:rsidRPr="00A15BA9">
        <w:rPr>
          <w:rFonts w:ascii="Arial" w:hAnsi="Arial" w:cs="Arial"/>
          <w:sz w:val="24"/>
          <w:szCs w:val="24"/>
        </w:rPr>
        <w:t xml:space="preserve"> and what</w:t>
      </w:r>
      <w:r w:rsidRPr="00A15BA9">
        <w:rPr>
          <w:rFonts w:ascii="Arial" w:hAnsi="Arial" w:cs="Arial"/>
          <w:sz w:val="24"/>
          <w:szCs w:val="24"/>
        </w:rPr>
        <w:t xml:space="preserve"> deep the groundwater and hydrogeological regime is</w:t>
      </w:r>
      <w:r w:rsidR="00906065" w:rsidRPr="00A15BA9">
        <w:rPr>
          <w:rFonts w:ascii="Arial" w:hAnsi="Arial" w:cs="Arial"/>
          <w:sz w:val="24"/>
          <w:szCs w:val="24"/>
        </w:rPr>
        <w:t>.</w:t>
      </w:r>
    </w:p>
    <w:p w14:paraId="1C3E13C7" w14:textId="10E90DDC" w:rsidR="0056526D"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t xml:space="preserve">Figuring out what geohazards and pollution threats might be </w:t>
      </w:r>
    </w:p>
    <w:p w14:paraId="17DA3A38" w14:textId="6252C435" w:rsidR="00C60F05" w:rsidRPr="00A15BA9" w:rsidRDefault="00C60F05" w:rsidP="00A15BA9">
      <w:pPr>
        <w:spacing w:line="360" w:lineRule="auto"/>
        <w:jc w:val="both"/>
        <w:rPr>
          <w:rFonts w:ascii="Arial" w:hAnsi="Arial" w:cs="Arial"/>
          <w:sz w:val="24"/>
          <w:szCs w:val="24"/>
        </w:rPr>
      </w:pPr>
      <w:r w:rsidRPr="00A15BA9">
        <w:rPr>
          <w:rFonts w:ascii="Arial" w:hAnsi="Arial" w:cs="Arial"/>
          <w:sz w:val="24"/>
          <w:szCs w:val="24"/>
        </w:rPr>
        <w:t>According to BS 5930, these factors are the most important starting point for safe foundation, earthworks, and environmental design (Slideshare.net, 2026).</w:t>
      </w:r>
    </w:p>
    <w:p w14:paraId="3A1C61B3" w14:textId="5B26CA4D" w:rsidR="00634225" w:rsidRPr="00A15BA9" w:rsidRDefault="00591082" w:rsidP="00A15BA9">
      <w:pPr>
        <w:pStyle w:val="Heading1"/>
        <w:spacing w:line="360" w:lineRule="auto"/>
        <w:jc w:val="both"/>
        <w:rPr>
          <w:rFonts w:ascii="Arial" w:hAnsi="Arial" w:cs="Arial"/>
          <w:sz w:val="24"/>
          <w:szCs w:val="24"/>
        </w:rPr>
      </w:pPr>
      <w:bookmarkStart w:id="22" w:name="_Toc228434519"/>
      <w:r w:rsidRPr="00A15BA9">
        <w:rPr>
          <w:rFonts w:ascii="Arial" w:hAnsi="Arial" w:cs="Arial"/>
          <w:sz w:val="24"/>
          <w:szCs w:val="24"/>
        </w:rPr>
        <w:t>6</w:t>
      </w:r>
      <w:r w:rsidR="001239CA" w:rsidRPr="00A15BA9">
        <w:rPr>
          <w:rFonts w:ascii="Arial" w:hAnsi="Arial" w:cs="Arial"/>
          <w:sz w:val="24"/>
          <w:szCs w:val="24"/>
        </w:rPr>
        <w:t>.2</w:t>
      </w:r>
      <w:r w:rsidR="00410E5D" w:rsidRPr="00A15BA9">
        <w:rPr>
          <w:rFonts w:ascii="Arial" w:hAnsi="Arial" w:cs="Arial"/>
          <w:sz w:val="24"/>
          <w:szCs w:val="24"/>
        </w:rPr>
        <w:t xml:space="preserve">. </w:t>
      </w:r>
      <w:r w:rsidR="001239CA" w:rsidRPr="00A15BA9">
        <w:rPr>
          <w:rFonts w:ascii="Arial" w:hAnsi="Arial" w:cs="Arial"/>
          <w:sz w:val="24"/>
          <w:szCs w:val="24"/>
        </w:rPr>
        <w:t>Desk Study and Walkover Survey</w:t>
      </w:r>
      <w:bookmarkEnd w:id="22"/>
    </w:p>
    <w:p w14:paraId="40CA1BDE" w14:textId="3B3C1AB7" w:rsidR="00A15BA9" w:rsidRPr="00A15BA9" w:rsidRDefault="00A15BA9" w:rsidP="00A15BA9">
      <w:pPr>
        <w:spacing w:line="360" w:lineRule="auto"/>
        <w:jc w:val="both"/>
        <w:rPr>
          <w:rFonts w:ascii="Arial" w:hAnsi="Arial" w:cs="Arial"/>
          <w:sz w:val="24"/>
          <w:szCs w:val="24"/>
        </w:rPr>
      </w:pPr>
      <w:r w:rsidRPr="00A15BA9">
        <w:rPr>
          <w:rFonts w:ascii="Arial" w:hAnsi="Arial" w:cs="Arial"/>
          <w:sz w:val="24"/>
          <w:szCs w:val="24"/>
        </w:rPr>
        <w:t>The first requirements for potentially polluting sites are a desk study and a walkover survey, as stated in BS 10175:2026. They help to determine how a place has been used in the past and if there are dangerous compounds or ground dangers there. Maps, records and geological information can help in the identification of potential sources of contamination. A walkover can help you identify obvious problems such as Made Ground, discolouration, settlement or drainage problems. Together, these processes produce a Conceptual Ground Model (CGM), ensuring that future investigations are focused, defensible and cost-effective, whilst still complying with UK planning and regulatory controls (Bsigroup.com, 2026).</w:t>
      </w:r>
    </w:p>
    <w:p w14:paraId="74DB6396" w14:textId="2C520CA3" w:rsidR="00C869FA" w:rsidRPr="00A15BA9" w:rsidRDefault="00591082" w:rsidP="00A15BA9">
      <w:pPr>
        <w:pStyle w:val="Heading1"/>
        <w:spacing w:line="360" w:lineRule="auto"/>
        <w:jc w:val="both"/>
        <w:rPr>
          <w:rFonts w:ascii="Arial" w:hAnsi="Arial" w:cs="Arial"/>
          <w:sz w:val="24"/>
          <w:szCs w:val="24"/>
        </w:rPr>
      </w:pPr>
      <w:bookmarkStart w:id="23" w:name="_Toc228434520"/>
      <w:r w:rsidRPr="00A15BA9">
        <w:rPr>
          <w:rFonts w:ascii="Arial" w:hAnsi="Arial" w:cs="Arial"/>
          <w:sz w:val="24"/>
          <w:szCs w:val="24"/>
        </w:rPr>
        <w:t>6</w:t>
      </w:r>
      <w:r w:rsidR="00C869FA" w:rsidRPr="00A15BA9">
        <w:rPr>
          <w:rFonts w:ascii="Arial" w:hAnsi="Arial" w:cs="Arial"/>
          <w:sz w:val="24"/>
          <w:szCs w:val="24"/>
        </w:rPr>
        <w:t>.3 Intrusive Ground Investigation</w:t>
      </w:r>
      <w:bookmarkEnd w:id="23"/>
    </w:p>
    <w:p w14:paraId="45DA88E7" w14:textId="3094ECBD" w:rsidR="00A15BA9" w:rsidRPr="00A15BA9" w:rsidRDefault="00A15BA9" w:rsidP="00A15BA9">
      <w:pPr>
        <w:spacing w:line="360" w:lineRule="auto"/>
        <w:jc w:val="both"/>
        <w:rPr>
          <w:rFonts w:ascii="Arial" w:hAnsi="Arial" w:cs="Arial"/>
          <w:sz w:val="24"/>
          <w:szCs w:val="24"/>
        </w:rPr>
      </w:pPr>
      <w:r w:rsidRPr="00A15BA9">
        <w:rPr>
          <w:rFonts w:ascii="Arial" w:hAnsi="Arial" w:cs="Arial"/>
          <w:sz w:val="24"/>
          <w:szCs w:val="24"/>
        </w:rPr>
        <w:t>Because the project is located near the beach, intrusive ground investigation is required. Coastal locations are often variable, and ground conditions cannot be proven by desk studies alone. Historic land use, made ground, groundwater and contamination are all common issues that have a direct bearing on how foundations are designed and built. That’s what the article “Site Investigations Explained: Scope, Methods, and Risk Reduction” says. Groundwater levels are often high along the beach and fluctuate with the tides, increasing the risk of digging and settling. Boreholes, sampling and groundwater monitoring give us measured data to use rather than guessing. This allows us to make safe, buildable and cost-effective design decisions (Alan Wood &amp; Partners, 2026).</w:t>
      </w:r>
    </w:p>
    <w:p w14:paraId="62FBE88A" w14:textId="4B059D9C" w:rsidR="003F2B52" w:rsidRPr="00A15BA9" w:rsidRDefault="00591082" w:rsidP="00A15BA9">
      <w:pPr>
        <w:pStyle w:val="Heading1"/>
        <w:spacing w:line="360" w:lineRule="auto"/>
        <w:jc w:val="both"/>
        <w:rPr>
          <w:rFonts w:ascii="Arial" w:hAnsi="Arial" w:cs="Arial"/>
          <w:sz w:val="24"/>
          <w:szCs w:val="24"/>
        </w:rPr>
      </w:pPr>
      <w:bookmarkStart w:id="24" w:name="_Toc228434521"/>
      <w:r w:rsidRPr="00A15BA9">
        <w:rPr>
          <w:rFonts w:ascii="Arial" w:hAnsi="Arial" w:cs="Arial"/>
          <w:sz w:val="24"/>
          <w:szCs w:val="24"/>
        </w:rPr>
        <w:lastRenderedPageBreak/>
        <w:t>6</w:t>
      </w:r>
      <w:r w:rsidR="003F2B52" w:rsidRPr="00A15BA9">
        <w:rPr>
          <w:rFonts w:ascii="Arial" w:hAnsi="Arial" w:cs="Arial"/>
          <w:sz w:val="24"/>
          <w:szCs w:val="24"/>
        </w:rPr>
        <w:t>.</w:t>
      </w:r>
      <w:r w:rsidR="00410E5D" w:rsidRPr="00A15BA9">
        <w:rPr>
          <w:rFonts w:ascii="Arial" w:hAnsi="Arial" w:cs="Arial"/>
          <w:sz w:val="24"/>
          <w:szCs w:val="24"/>
        </w:rPr>
        <w:t>4</w:t>
      </w:r>
      <w:r w:rsidR="003F2B52" w:rsidRPr="00A15BA9">
        <w:rPr>
          <w:rFonts w:ascii="Arial" w:hAnsi="Arial" w:cs="Arial"/>
          <w:sz w:val="24"/>
          <w:szCs w:val="24"/>
        </w:rPr>
        <w:t xml:space="preserve"> </w:t>
      </w:r>
      <w:r w:rsidR="008E1BF7" w:rsidRPr="00A15BA9">
        <w:rPr>
          <w:rFonts w:ascii="Arial" w:hAnsi="Arial" w:cs="Arial"/>
          <w:sz w:val="24"/>
          <w:szCs w:val="24"/>
        </w:rPr>
        <w:t>Investigation focus on key risk elements</w:t>
      </w:r>
      <w:bookmarkEnd w:id="24"/>
    </w:p>
    <w:p w14:paraId="013B34D7" w14:textId="09D11028" w:rsidR="002862D0" w:rsidRPr="00A15BA9" w:rsidRDefault="00C41335" w:rsidP="00A15BA9">
      <w:pPr>
        <w:spacing w:line="360" w:lineRule="auto"/>
        <w:jc w:val="both"/>
        <w:rPr>
          <w:rFonts w:ascii="Arial" w:hAnsi="Arial" w:cs="Arial"/>
          <w:sz w:val="24"/>
          <w:szCs w:val="24"/>
        </w:rPr>
      </w:pPr>
      <w:r w:rsidRPr="00A15BA9">
        <w:rPr>
          <w:rFonts w:ascii="Arial" w:hAnsi="Arial" w:cs="Arial"/>
          <w:sz w:val="24"/>
          <w:szCs w:val="24"/>
        </w:rPr>
        <w:t>The main worries are coastal and near-shore hazards, such as erosion, s</w:t>
      </w:r>
      <w:r w:rsidR="0062608A" w:rsidRPr="00A15BA9">
        <w:rPr>
          <w:rFonts w:ascii="Arial" w:hAnsi="Arial" w:cs="Arial"/>
          <w:sz w:val="24"/>
          <w:szCs w:val="24"/>
        </w:rPr>
        <w:t>edimentation</w:t>
      </w:r>
      <w:r w:rsidRPr="00A15BA9">
        <w:rPr>
          <w:rFonts w:ascii="Arial" w:hAnsi="Arial" w:cs="Arial"/>
          <w:sz w:val="24"/>
          <w:szCs w:val="24"/>
        </w:rPr>
        <w:t>, seabed instability, and groundwater that is affected by marine processes. Poorly defined ground conditions raise the chances of settlement, lower bearing capacity, and long-term instability. Intrusive investigations should concentrate on soil stratigraphy, strength, and groundwater conditions (Zhu, Peng &amp; Jia, 2023).</w:t>
      </w:r>
    </w:p>
    <w:p w14:paraId="0AB769C5" w14:textId="68E82B43" w:rsidR="00634225" w:rsidRPr="00A15BA9" w:rsidRDefault="008E1BF7" w:rsidP="00A15BA9">
      <w:pPr>
        <w:pStyle w:val="Heading1"/>
        <w:spacing w:line="360" w:lineRule="auto"/>
        <w:jc w:val="both"/>
        <w:rPr>
          <w:rFonts w:ascii="Arial" w:hAnsi="Arial" w:cs="Arial"/>
          <w:sz w:val="24"/>
          <w:szCs w:val="24"/>
        </w:rPr>
      </w:pPr>
      <w:bookmarkStart w:id="25" w:name="_Toc228434522"/>
      <w:r w:rsidRPr="00A15BA9">
        <w:rPr>
          <w:rFonts w:ascii="Arial" w:hAnsi="Arial" w:cs="Arial"/>
          <w:sz w:val="24"/>
          <w:szCs w:val="24"/>
        </w:rPr>
        <w:t>6</w:t>
      </w:r>
      <w:r w:rsidR="000F4E62" w:rsidRPr="00A15BA9">
        <w:rPr>
          <w:rFonts w:ascii="Arial" w:hAnsi="Arial" w:cs="Arial"/>
          <w:sz w:val="24"/>
          <w:szCs w:val="24"/>
        </w:rPr>
        <w:t>.5 Risk, Outcome and use of investigation data</w:t>
      </w:r>
      <w:bookmarkEnd w:id="25"/>
      <w:r w:rsidR="000F4E62" w:rsidRPr="00A15BA9">
        <w:rPr>
          <w:rFonts w:ascii="Arial" w:hAnsi="Arial" w:cs="Arial"/>
          <w:sz w:val="24"/>
          <w:szCs w:val="24"/>
        </w:rPr>
        <w:t xml:space="preserve"> </w:t>
      </w:r>
    </w:p>
    <w:p w14:paraId="69199C9A" w14:textId="3ABFD68D" w:rsidR="00E41E75" w:rsidRPr="00A15BA9" w:rsidRDefault="00E10813" w:rsidP="00A15BA9">
      <w:pPr>
        <w:spacing w:line="360" w:lineRule="auto"/>
        <w:jc w:val="both"/>
        <w:rPr>
          <w:rFonts w:ascii="Arial" w:hAnsi="Arial" w:cs="Arial"/>
          <w:b/>
          <w:bCs/>
          <w:sz w:val="24"/>
          <w:szCs w:val="24"/>
        </w:rPr>
      </w:pPr>
      <w:r w:rsidRPr="00A15BA9">
        <w:rPr>
          <w:rFonts w:ascii="Arial" w:hAnsi="Arial" w:cs="Arial"/>
          <w:b/>
          <w:bCs/>
          <w:sz w:val="24"/>
          <w:szCs w:val="24"/>
        </w:rPr>
        <w:t>Risk</w:t>
      </w:r>
      <w:r w:rsidRPr="00A15BA9">
        <w:rPr>
          <w:rFonts w:ascii="Arial" w:hAnsi="Arial" w:cs="Arial"/>
          <w:sz w:val="24"/>
          <w:szCs w:val="24"/>
        </w:rPr>
        <w:br/>
        <w:t>High tides, erosion, rising sea levels, and flooding are all coastal dangers that can make the ground less stable and make it harder to build on the shore. When hazards interact, they can greatly raise the overall risk. Ground-related problems, like soils that change, rising groundwater levels, and saltwater intrusion, make designing and</w:t>
      </w:r>
      <w:r w:rsidR="00E41E75" w:rsidRPr="00A15BA9">
        <w:rPr>
          <w:rFonts w:ascii="Arial" w:hAnsi="Arial" w:cs="Arial"/>
          <w:sz w:val="24"/>
          <w:szCs w:val="24"/>
        </w:rPr>
        <w:t xml:space="preserve"> building foundations even harder (Lee,2025).</w:t>
      </w:r>
    </w:p>
    <w:p w14:paraId="13630853" w14:textId="0E6FD99A" w:rsidR="00E41E75" w:rsidRPr="00A15BA9" w:rsidRDefault="00E10813" w:rsidP="00A15BA9">
      <w:pPr>
        <w:spacing w:line="360" w:lineRule="auto"/>
        <w:jc w:val="both"/>
        <w:rPr>
          <w:rFonts w:ascii="Arial" w:hAnsi="Arial" w:cs="Arial"/>
          <w:sz w:val="24"/>
          <w:szCs w:val="24"/>
        </w:rPr>
      </w:pPr>
      <w:r w:rsidRPr="00A15BA9">
        <w:rPr>
          <w:rFonts w:ascii="Arial" w:hAnsi="Arial" w:cs="Arial"/>
          <w:b/>
          <w:bCs/>
          <w:sz w:val="24"/>
          <w:szCs w:val="24"/>
        </w:rPr>
        <w:t>Finding</w:t>
      </w:r>
      <w:r w:rsidRPr="00A15BA9">
        <w:rPr>
          <w:rFonts w:ascii="Arial" w:hAnsi="Arial" w:cs="Arial"/>
          <w:sz w:val="24"/>
          <w:szCs w:val="24"/>
        </w:rPr>
        <w:br/>
        <w:t xml:space="preserve">Risk assessments find regions that are at high risk, which helps people make smart judgements about development. Assessing the probability and impact of hazards enhances comprehension of threats to infrastructure and safety, while prompt recognition of limitations facilitates hazard-resistant design and development </w:t>
      </w:r>
      <w:r w:rsidR="00E41E75" w:rsidRPr="00A15BA9">
        <w:rPr>
          <w:rFonts w:ascii="Arial" w:hAnsi="Arial" w:cs="Arial"/>
          <w:sz w:val="24"/>
          <w:szCs w:val="24"/>
        </w:rPr>
        <w:t>regulations (Lee,2025).</w:t>
      </w:r>
    </w:p>
    <w:p w14:paraId="612AA4E9" w14:textId="072C4BA4" w:rsidR="002F652E" w:rsidRPr="00A15BA9" w:rsidRDefault="002F652E" w:rsidP="00A15BA9">
      <w:pPr>
        <w:spacing w:line="360" w:lineRule="auto"/>
        <w:jc w:val="both"/>
        <w:rPr>
          <w:rFonts w:ascii="Arial" w:hAnsi="Arial" w:cs="Arial"/>
          <w:b/>
          <w:bCs/>
          <w:sz w:val="24"/>
          <w:szCs w:val="24"/>
        </w:rPr>
      </w:pPr>
      <w:r w:rsidRPr="00A15BA9">
        <w:rPr>
          <w:rFonts w:ascii="Arial" w:hAnsi="Arial" w:cs="Arial"/>
          <w:b/>
          <w:bCs/>
          <w:sz w:val="24"/>
          <w:szCs w:val="24"/>
        </w:rPr>
        <w:t>Use of Data</w:t>
      </w:r>
    </w:p>
    <w:p w14:paraId="692AF64D" w14:textId="4DA9EF39" w:rsidR="002E7984" w:rsidRPr="00A15BA9" w:rsidRDefault="00E10813" w:rsidP="00A15BA9">
      <w:pPr>
        <w:spacing w:line="360" w:lineRule="auto"/>
        <w:jc w:val="both"/>
        <w:rPr>
          <w:rFonts w:ascii="Arial" w:hAnsi="Arial" w:cs="Arial"/>
          <w:sz w:val="24"/>
          <w:szCs w:val="24"/>
        </w:rPr>
      </w:pPr>
      <w:r w:rsidRPr="00A15BA9">
        <w:rPr>
          <w:rFonts w:ascii="Arial" w:hAnsi="Arial" w:cs="Arial"/>
          <w:sz w:val="24"/>
          <w:szCs w:val="24"/>
        </w:rPr>
        <w:t>Site investigation data helps choose the right foundation and elevation, guides planning controls, and lets you use data to lower risk, which lowers costs and long-term harm to the coast (Lee, 2025).</w:t>
      </w:r>
    </w:p>
    <w:p w14:paraId="4E6A11B5" w14:textId="5AC873A0" w:rsidR="00F25F1C" w:rsidRPr="00A15BA9" w:rsidRDefault="008E1BF7" w:rsidP="00A15BA9">
      <w:pPr>
        <w:pStyle w:val="Heading1"/>
        <w:spacing w:line="360" w:lineRule="auto"/>
        <w:jc w:val="both"/>
        <w:rPr>
          <w:rFonts w:ascii="Arial" w:hAnsi="Arial" w:cs="Arial"/>
          <w:sz w:val="24"/>
          <w:szCs w:val="24"/>
        </w:rPr>
      </w:pPr>
      <w:bookmarkStart w:id="26" w:name="_Toc228434523"/>
      <w:r w:rsidRPr="00A15BA9">
        <w:rPr>
          <w:rFonts w:ascii="Arial" w:hAnsi="Arial" w:cs="Arial"/>
          <w:sz w:val="24"/>
          <w:szCs w:val="24"/>
        </w:rPr>
        <w:t>7</w:t>
      </w:r>
      <w:r w:rsidR="00F25F1C" w:rsidRPr="00A15BA9">
        <w:rPr>
          <w:rFonts w:ascii="Arial" w:hAnsi="Arial" w:cs="Arial"/>
          <w:sz w:val="24"/>
          <w:szCs w:val="24"/>
        </w:rPr>
        <w:t>.</w:t>
      </w:r>
      <w:r w:rsidR="00E45FFD" w:rsidRPr="00A15BA9">
        <w:rPr>
          <w:rFonts w:ascii="Arial" w:hAnsi="Arial" w:cs="Arial"/>
          <w:sz w:val="24"/>
          <w:szCs w:val="24"/>
        </w:rPr>
        <w:t>0.</w:t>
      </w:r>
      <w:r w:rsidR="00F25F1C" w:rsidRPr="00A15BA9">
        <w:rPr>
          <w:rFonts w:ascii="Arial" w:hAnsi="Arial" w:cs="Arial"/>
          <w:sz w:val="24"/>
          <w:szCs w:val="24"/>
        </w:rPr>
        <w:t xml:space="preserve"> Regulatory Framework and Statutory Consultation</w:t>
      </w:r>
      <w:bookmarkEnd w:id="26"/>
    </w:p>
    <w:p w14:paraId="56362EC2" w14:textId="1E0A55A2" w:rsidR="00F25F1C" w:rsidRPr="00A15BA9" w:rsidRDefault="00F021C4" w:rsidP="00A15BA9">
      <w:pPr>
        <w:pStyle w:val="Heading1"/>
        <w:spacing w:line="360" w:lineRule="auto"/>
        <w:jc w:val="both"/>
        <w:rPr>
          <w:rFonts w:ascii="Arial" w:hAnsi="Arial" w:cs="Arial"/>
          <w:sz w:val="24"/>
          <w:szCs w:val="24"/>
        </w:rPr>
      </w:pPr>
      <w:bookmarkStart w:id="27" w:name="_Toc228434524"/>
      <w:r w:rsidRPr="00A15BA9">
        <w:rPr>
          <w:rFonts w:ascii="Arial" w:hAnsi="Arial" w:cs="Arial"/>
          <w:sz w:val="24"/>
          <w:szCs w:val="24"/>
        </w:rPr>
        <w:t>7</w:t>
      </w:r>
      <w:r w:rsidR="00F25F1C" w:rsidRPr="00A15BA9">
        <w:rPr>
          <w:rFonts w:ascii="Arial" w:hAnsi="Arial" w:cs="Arial"/>
          <w:sz w:val="24"/>
          <w:szCs w:val="24"/>
        </w:rPr>
        <w:t>.1 Applicable Regulations</w:t>
      </w:r>
      <w:r w:rsidRPr="00A15BA9">
        <w:rPr>
          <w:rFonts w:ascii="Arial" w:hAnsi="Arial" w:cs="Arial"/>
          <w:sz w:val="24"/>
          <w:szCs w:val="24"/>
        </w:rPr>
        <w:t xml:space="preserve"> and British standard</w:t>
      </w:r>
      <w:r w:rsidR="00F25F1C" w:rsidRPr="00A15BA9">
        <w:rPr>
          <w:rFonts w:ascii="Arial" w:hAnsi="Arial" w:cs="Arial"/>
          <w:sz w:val="24"/>
          <w:szCs w:val="24"/>
        </w:rPr>
        <w:t>s</w:t>
      </w:r>
      <w:bookmarkEnd w:id="27"/>
    </w:p>
    <w:p w14:paraId="77ACB8CA" w14:textId="0D8AB7AA" w:rsidR="00F25F1C"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t>Building Regulations 2010 (England &amp; Wales) – Approved Document A (Structure)</w:t>
      </w:r>
      <w:r w:rsidR="008B2FA3" w:rsidRPr="00A15BA9">
        <w:rPr>
          <w:rFonts w:ascii="Arial" w:hAnsi="Arial" w:cs="Arial"/>
          <w:sz w:val="24"/>
          <w:szCs w:val="24"/>
        </w:rPr>
        <w:t xml:space="preserve"> (Approved Document A, 2010)</w:t>
      </w:r>
    </w:p>
    <w:p w14:paraId="383A284D" w14:textId="7601E391" w:rsidR="00F25F1C"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t>BS 5930:2015 – Code of practice for ground investigations</w:t>
      </w:r>
      <w:r w:rsidR="00806F6E" w:rsidRPr="00A15BA9">
        <w:rPr>
          <w:rFonts w:ascii="Arial" w:hAnsi="Arial" w:cs="Arial"/>
          <w:sz w:val="24"/>
          <w:szCs w:val="24"/>
        </w:rPr>
        <w:t xml:space="preserve"> (Bsigroup.com, 2015)</w:t>
      </w:r>
    </w:p>
    <w:p w14:paraId="2A28E2D2" w14:textId="49EF8A65" w:rsidR="00F25F1C"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lastRenderedPageBreak/>
        <w:t>BS</w:t>
      </w:r>
      <w:r w:rsidR="008D3BEF" w:rsidRPr="00A15BA9">
        <w:rPr>
          <w:rFonts w:ascii="Arial" w:hAnsi="Arial" w:cs="Arial"/>
          <w:sz w:val="24"/>
          <w:szCs w:val="24"/>
        </w:rPr>
        <w:t xml:space="preserve"> </w:t>
      </w:r>
      <w:r w:rsidRPr="00A15BA9">
        <w:rPr>
          <w:rFonts w:ascii="Arial" w:hAnsi="Arial" w:cs="Arial"/>
          <w:sz w:val="24"/>
          <w:szCs w:val="24"/>
        </w:rPr>
        <w:t>EN 1997</w:t>
      </w:r>
      <w:r w:rsidRPr="00A15BA9">
        <w:rPr>
          <w:rFonts w:ascii="Arial" w:hAnsi="Arial" w:cs="Arial"/>
          <w:sz w:val="24"/>
          <w:szCs w:val="24"/>
        </w:rPr>
        <w:noBreakHyphen/>
        <w:t>1 &amp; 2 (Eurocode 7) – Geotechnical design</w:t>
      </w:r>
      <w:r w:rsidR="002A3A6A" w:rsidRPr="00A15BA9">
        <w:rPr>
          <w:rFonts w:ascii="Arial" w:hAnsi="Arial" w:cs="Arial"/>
          <w:sz w:val="24"/>
          <w:szCs w:val="24"/>
        </w:rPr>
        <w:t xml:space="preserve"> (eurocodes.jrc.ec.europa.eu, n.d.)</w:t>
      </w:r>
    </w:p>
    <w:p w14:paraId="1C9A548E" w14:textId="34EED8F5" w:rsidR="00906513"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t>EA / NRW Guidance on coastal and groundwater protection</w:t>
      </w:r>
      <w:r w:rsidR="00980559" w:rsidRPr="00A15BA9">
        <w:rPr>
          <w:rFonts w:ascii="Arial" w:hAnsi="Arial" w:cs="Arial"/>
          <w:sz w:val="24"/>
          <w:szCs w:val="24"/>
        </w:rPr>
        <w:t xml:space="preserve"> (Environment Agency, 2017)</w:t>
      </w:r>
    </w:p>
    <w:p w14:paraId="1B55FF94" w14:textId="7A53F1B7" w:rsidR="00F021C4" w:rsidRPr="00A15BA9" w:rsidRDefault="00401CD4" w:rsidP="00A15BA9">
      <w:pPr>
        <w:pStyle w:val="Heading1"/>
        <w:spacing w:line="360" w:lineRule="auto"/>
        <w:jc w:val="both"/>
        <w:rPr>
          <w:rFonts w:ascii="Arial" w:eastAsia="Times New Roman" w:hAnsi="Arial" w:cs="Arial"/>
          <w:sz w:val="24"/>
          <w:szCs w:val="24"/>
          <w:lang w:eastAsia="en-GB"/>
        </w:rPr>
      </w:pPr>
      <w:bookmarkStart w:id="28" w:name="_Toc228434525"/>
      <w:r w:rsidRPr="00A15BA9">
        <w:rPr>
          <w:rFonts w:ascii="Arial" w:eastAsia="Times New Roman" w:hAnsi="Arial" w:cs="Arial"/>
          <w:sz w:val="24"/>
          <w:szCs w:val="24"/>
          <w:lang w:eastAsia="en-GB"/>
        </w:rPr>
        <w:t>7.2. Role of the British Geological Survey</w:t>
      </w:r>
      <w:bookmarkEnd w:id="28"/>
    </w:p>
    <w:p w14:paraId="7CBA6561" w14:textId="77777777" w:rsidR="00C70341" w:rsidRPr="00A15BA9" w:rsidRDefault="00C70341" w:rsidP="00A15BA9">
      <w:pPr>
        <w:spacing w:line="360" w:lineRule="auto"/>
        <w:jc w:val="both"/>
        <w:rPr>
          <w:rFonts w:ascii="Arial" w:hAnsi="Arial" w:cs="Arial"/>
          <w:sz w:val="24"/>
          <w:szCs w:val="24"/>
        </w:rPr>
      </w:pPr>
      <w:r w:rsidRPr="00A15BA9">
        <w:rPr>
          <w:rFonts w:ascii="Arial" w:hAnsi="Arial" w:cs="Arial"/>
          <w:sz w:val="24"/>
          <w:szCs w:val="24"/>
        </w:rPr>
        <w:t>The British Geological Survey (BGS) is the UK's official geological authority. It gives impartial geoscience data, analysis, and advice to:</w:t>
      </w:r>
    </w:p>
    <w:p w14:paraId="697F1968" w14:textId="77777777" w:rsidR="00C70341" w:rsidRPr="00A15BA9" w:rsidRDefault="00C70341" w:rsidP="00A15BA9">
      <w:pPr>
        <w:pStyle w:val="ListParagraph"/>
        <w:numPr>
          <w:ilvl w:val="0"/>
          <w:numId w:val="27"/>
        </w:numPr>
        <w:spacing w:line="360" w:lineRule="auto"/>
        <w:jc w:val="both"/>
        <w:rPr>
          <w:rFonts w:ascii="Arial" w:hAnsi="Arial" w:cs="Arial"/>
          <w:sz w:val="24"/>
          <w:szCs w:val="24"/>
        </w:rPr>
      </w:pPr>
      <w:r w:rsidRPr="00A15BA9">
        <w:rPr>
          <w:rFonts w:ascii="Arial" w:hAnsi="Arial" w:cs="Arial"/>
          <w:sz w:val="24"/>
          <w:szCs w:val="24"/>
        </w:rPr>
        <w:t xml:space="preserve">The UK Government </w:t>
      </w:r>
    </w:p>
    <w:p w14:paraId="0D99FE5A" w14:textId="77777777" w:rsidR="0066010F" w:rsidRPr="00A15BA9" w:rsidRDefault="00C70341" w:rsidP="00A15BA9">
      <w:pPr>
        <w:pStyle w:val="ListParagraph"/>
        <w:numPr>
          <w:ilvl w:val="0"/>
          <w:numId w:val="27"/>
        </w:numPr>
        <w:spacing w:line="360" w:lineRule="auto"/>
        <w:jc w:val="both"/>
        <w:rPr>
          <w:rFonts w:ascii="Arial" w:hAnsi="Arial" w:cs="Arial"/>
          <w:sz w:val="24"/>
          <w:szCs w:val="24"/>
        </w:rPr>
      </w:pPr>
      <w:r w:rsidRPr="00A15BA9">
        <w:rPr>
          <w:rFonts w:ascii="Arial" w:hAnsi="Arial" w:cs="Arial"/>
          <w:sz w:val="24"/>
          <w:szCs w:val="24"/>
        </w:rPr>
        <w:t xml:space="preserve">Devolved governments, like those in Wales </w:t>
      </w:r>
    </w:p>
    <w:p w14:paraId="3E806173" w14:textId="77777777" w:rsidR="0066010F" w:rsidRPr="00A15BA9" w:rsidRDefault="0066010F" w:rsidP="00A15BA9">
      <w:pPr>
        <w:pStyle w:val="ListParagraph"/>
        <w:numPr>
          <w:ilvl w:val="0"/>
          <w:numId w:val="27"/>
        </w:numPr>
        <w:spacing w:line="360" w:lineRule="auto"/>
        <w:jc w:val="both"/>
        <w:rPr>
          <w:rFonts w:ascii="Arial" w:hAnsi="Arial" w:cs="Arial"/>
          <w:sz w:val="24"/>
          <w:szCs w:val="24"/>
        </w:rPr>
      </w:pPr>
      <w:r w:rsidRPr="00A15BA9">
        <w:rPr>
          <w:rFonts w:ascii="Arial" w:hAnsi="Arial" w:cs="Arial"/>
          <w:sz w:val="24"/>
          <w:szCs w:val="24"/>
        </w:rPr>
        <w:t>Local governments all throughout the Uk</w:t>
      </w:r>
    </w:p>
    <w:p w14:paraId="0A68BB9D" w14:textId="5DCEB491" w:rsidR="00BF5364"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BGS says that it "interacts with local authorities across the UK" and gives them data and technical assistance to help them make decisions based on evidence. This includes planning, contaminated land, minerals, groundwater, and geohazards. BGS does not take the place of local governments. It backs them up with reliable geological data (British Geological Survey, 2024). Here is how to get in touch with the local government</w:t>
      </w:r>
      <w:r w:rsidR="00BF5364" w:rsidRPr="00A15BA9">
        <w:rPr>
          <w:rFonts w:ascii="Arial" w:hAnsi="Arial" w:cs="Arial"/>
          <w:sz w:val="24"/>
          <w:szCs w:val="24"/>
        </w:rPr>
        <w:t xml:space="preserve"> for this particular planned building between county</w:t>
      </w:r>
      <w:r w:rsidR="001522C0" w:rsidRPr="00A15BA9">
        <w:rPr>
          <w:rFonts w:ascii="Arial" w:hAnsi="Arial" w:cs="Arial"/>
          <w:sz w:val="24"/>
          <w:szCs w:val="24"/>
        </w:rPr>
        <w:t xml:space="preserve"> hall</w:t>
      </w:r>
      <w:r w:rsidR="00BF5364" w:rsidRPr="00A15BA9">
        <w:rPr>
          <w:rFonts w:ascii="Arial" w:hAnsi="Arial" w:cs="Arial"/>
          <w:sz w:val="24"/>
          <w:szCs w:val="24"/>
        </w:rPr>
        <w:t xml:space="preserve"> and </w:t>
      </w:r>
      <w:r w:rsidR="001522C0" w:rsidRPr="00A15BA9">
        <w:rPr>
          <w:rFonts w:ascii="Arial" w:hAnsi="Arial" w:cs="Arial"/>
          <w:sz w:val="24"/>
          <w:szCs w:val="24"/>
        </w:rPr>
        <w:t>Marriot</w:t>
      </w:r>
      <w:r w:rsidR="00BF5364" w:rsidRPr="00A15BA9">
        <w:rPr>
          <w:rFonts w:ascii="Arial" w:hAnsi="Arial" w:cs="Arial"/>
          <w:sz w:val="24"/>
          <w:szCs w:val="24"/>
        </w:rPr>
        <w:t xml:space="preserve"> hotel.</w:t>
      </w:r>
    </w:p>
    <w:p w14:paraId="5816DC8D" w14:textId="1665B0D3"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 xml:space="preserve">public service, and civic </w:t>
      </w:r>
      <w:r w:rsidR="0066010F" w:rsidRPr="00A15BA9">
        <w:rPr>
          <w:rFonts w:ascii="Arial" w:hAnsi="Arial" w:cs="Arial"/>
          <w:sz w:val="24"/>
          <w:szCs w:val="24"/>
        </w:rPr>
        <w:t>centre</w:t>
      </w:r>
      <w:r w:rsidRPr="00A15BA9">
        <w:rPr>
          <w:rFonts w:ascii="Arial" w:hAnsi="Arial" w:cs="Arial"/>
          <w:sz w:val="24"/>
          <w:szCs w:val="24"/>
        </w:rPr>
        <w:t xml:space="preserve"> in Swansea: </w:t>
      </w:r>
    </w:p>
    <w:p w14:paraId="305B7EBC" w14:textId="77777777"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 xml:space="preserve">Civic Centre Oyster Mouth Rd, Swansea SA1 3SN. </w:t>
      </w:r>
    </w:p>
    <w:p w14:paraId="14FE626F" w14:textId="77777777"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 xml:space="preserve">It is open till 5:00 PM and has more hours. </w:t>
      </w:r>
    </w:p>
    <w:p w14:paraId="1DAABC3A" w14:textId="4119C744"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The phone number is 01792636000.</w:t>
      </w:r>
    </w:p>
    <w:p w14:paraId="5AD71C4D" w14:textId="77777777" w:rsidR="00163C49" w:rsidRPr="00A15BA9" w:rsidRDefault="00163C49" w:rsidP="00A15BA9">
      <w:pPr>
        <w:spacing w:line="360" w:lineRule="auto"/>
        <w:jc w:val="both"/>
        <w:rPr>
          <w:rFonts w:ascii="Arial" w:hAnsi="Arial" w:cs="Arial"/>
          <w:sz w:val="24"/>
          <w:szCs w:val="24"/>
        </w:rPr>
      </w:pPr>
      <w:r w:rsidRPr="00A15BA9">
        <w:rPr>
          <w:rFonts w:ascii="Arial" w:hAnsi="Arial" w:cs="Arial"/>
          <w:sz w:val="24"/>
          <w:szCs w:val="24"/>
        </w:rPr>
        <w:t xml:space="preserve">For the purpose of a preliminary study, the area around County Hall, Paxton Street, Swansea is used as a model for the ground conditions in the local waterfront zone. A British Geological Survey (BGS) borehole record (SS69SE345) nearby shows that there is around 5 m of constructed ground above loose light sands, brick ashes, sand, and clay. The thickness and diversity of created ground suggest that shallow foundations would not work because they could settle too much or too unevenly. </w:t>
      </w:r>
      <w:r w:rsidRPr="00A15BA9">
        <w:rPr>
          <w:rFonts w:ascii="Arial" w:hAnsi="Arial" w:cs="Arial"/>
          <w:sz w:val="24"/>
          <w:szCs w:val="24"/>
        </w:rPr>
        <w:br/>
        <w:t>Under the created ground, there was very dense sand and sandy gravel and very stiff boulder clay between 5 and 15 m deep. This made for good bearing strata.</w:t>
      </w:r>
      <w:r w:rsidRPr="00A15BA9">
        <w:rPr>
          <w:rFonts w:ascii="Arial" w:hAnsi="Arial" w:cs="Arial"/>
          <w:sz w:val="24"/>
          <w:szCs w:val="24"/>
        </w:rPr>
        <w:br/>
      </w:r>
      <w:r w:rsidRPr="00A15BA9">
        <w:rPr>
          <w:rFonts w:ascii="Arial" w:hAnsi="Arial" w:cs="Arial"/>
          <w:sz w:val="24"/>
          <w:szCs w:val="24"/>
        </w:rPr>
        <w:lastRenderedPageBreak/>
        <w:t xml:space="preserve">Mudstone bedrock was found at a depth of 18.6 m or more, which means it can hold a lot of weight if needed. </w:t>
      </w:r>
    </w:p>
    <w:p w14:paraId="12520DE5" w14:textId="564C2EE6" w:rsidR="0090201C" w:rsidRPr="00A15BA9" w:rsidRDefault="00163C49" w:rsidP="00A15BA9">
      <w:pPr>
        <w:spacing w:line="360" w:lineRule="auto"/>
        <w:jc w:val="both"/>
        <w:rPr>
          <w:rFonts w:ascii="Arial" w:hAnsi="Arial" w:cs="Arial"/>
          <w:sz w:val="24"/>
          <w:szCs w:val="24"/>
        </w:rPr>
      </w:pPr>
      <w:r w:rsidRPr="00A15BA9">
        <w:rPr>
          <w:rFonts w:ascii="Arial" w:hAnsi="Arial" w:cs="Arial"/>
          <w:sz w:val="24"/>
          <w:szCs w:val="24"/>
        </w:rPr>
        <w:t xml:space="preserve">The proposed site is around 350 to 450 meters from the drilling site and is in the same geological context as reclaimed docks and coastal sand. This means that the borehole data can be useful as a desk research reference for this area. The British Geological Survey website has a report that has all of this </w:t>
      </w:r>
      <w:r w:rsidR="002F652E" w:rsidRPr="00A15BA9">
        <w:rPr>
          <w:rFonts w:ascii="Arial" w:hAnsi="Arial" w:cs="Arial"/>
          <w:sz w:val="24"/>
          <w:szCs w:val="24"/>
        </w:rPr>
        <w:t>information (</w:t>
      </w:r>
      <w:r w:rsidRPr="00A15BA9">
        <w:rPr>
          <w:rFonts w:ascii="Arial" w:hAnsi="Arial" w:cs="Arial"/>
          <w:sz w:val="24"/>
          <w:szCs w:val="24"/>
        </w:rPr>
        <w:t>British Geological</w:t>
      </w:r>
      <w:r w:rsidR="002F652E" w:rsidRPr="00A15BA9">
        <w:rPr>
          <w:rFonts w:ascii="Arial" w:hAnsi="Arial" w:cs="Arial"/>
          <w:sz w:val="24"/>
          <w:szCs w:val="24"/>
        </w:rPr>
        <w:t xml:space="preserve"> </w:t>
      </w:r>
      <w:r w:rsidRPr="00A15BA9">
        <w:rPr>
          <w:rFonts w:ascii="Arial" w:hAnsi="Arial" w:cs="Arial"/>
          <w:sz w:val="24"/>
          <w:szCs w:val="24"/>
        </w:rPr>
        <w:t>Survey,2023).</w:t>
      </w:r>
      <w:r w:rsidR="002F652E" w:rsidRPr="00A15BA9">
        <w:rPr>
          <w:rFonts w:ascii="Arial" w:hAnsi="Arial" w:cs="Arial"/>
          <w:sz w:val="24"/>
          <w:szCs w:val="24"/>
        </w:rPr>
        <w:t xml:space="preserve"> </w:t>
      </w:r>
      <w:r w:rsidR="008E7317" w:rsidRPr="00A15BA9">
        <w:rPr>
          <w:rFonts w:ascii="Arial" w:hAnsi="Arial" w:cs="Arial"/>
          <w:noProof/>
          <w:sz w:val="24"/>
          <w:szCs w:val="24"/>
        </w:rPr>
        <w:drawing>
          <wp:inline distT="0" distB="0" distL="0" distR="0" wp14:anchorId="21E66DDD" wp14:editId="46EDCC49">
            <wp:extent cx="5730875" cy="3803073"/>
            <wp:effectExtent l="0" t="0" r="3175" b="6985"/>
            <wp:docPr id="11092007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8734" cy="3808288"/>
                    </a:xfrm>
                    <a:prstGeom prst="rect">
                      <a:avLst/>
                    </a:prstGeom>
                    <a:noFill/>
                    <a:ln>
                      <a:noFill/>
                    </a:ln>
                  </pic:spPr>
                </pic:pic>
              </a:graphicData>
            </a:graphic>
          </wp:inline>
        </w:drawing>
      </w:r>
    </w:p>
    <w:p w14:paraId="2376305F" w14:textId="55AA6F88" w:rsidR="00495C21" w:rsidRPr="00A15BA9" w:rsidRDefault="008B348C" w:rsidP="00A15BA9">
      <w:pPr>
        <w:spacing w:line="360" w:lineRule="auto"/>
        <w:jc w:val="both"/>
        <w:rPr>
          <w:rFonts w:ascii="Arial" w:hAnsi="Arial" w:cs="Arial"/>
          <w:sz w:val="24"/>
          <w:szCs w:val="24"/>
        </w:rPr>
      </w:pPr>
      <w:r w:rsidRPr="00A15BA9">
        <w:rPr>
          <w:rFonts w:ascii="Arial" w:hAnsi="Arial" w:cs="Arial"/>
          <w:noProof/>
          <w:sz w:val="24"/>
          <w:szCs w:val="24"/>
        </w:rPr>
        <w:lastRenderedPageBreak/>
        <w:drawing>
          <wp:inline distT="0" distB="0" distL="0" distR="0" wp14:anchorId="1B838ECE" wp14:editId="3E1494D2">
            <wp:extent cx="6123709" cy="4696460"/>
            <wp:effectExtent l="0" t="0" r="0" b="8890"/>
            <wp:docPr id="15101118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44351" cy="4712291"/>
                    </a:xfrm>
                    <a:prstGeom prst="rect">
                      <a:avLst/>
                    </a:prstGeom>
                    <a:noFill/>
                    <a:ln>
                      <a:noFill/>
                    </a:ln>
                  </pic:spPr>
                </pic:pic>
              </a:graphicData>
            </a:graphic>
          </wp:inline>
        </w:drawing>
      </w:r>
    </w:p>
    <w:p w14:paraId="6EAE13AC" w14:textId="0B194373" w:rsidR="008B348C" w:rsidRPr="00A15BA9" w:rsidRDefault="008E7317"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430B2E31" wp14:editId="26E697EC">
            <wp:extent cx="5730687" cy="3068782"/>
            <wp:effectExtent l="0" t="0" r="3810" b="0"/>
            <wp:docPr id="6020386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6439" cy="3071862"/>
                    </a:xfrm>
                    <a:prstGeom prst="rect">
                      <a:avLst/>
                    </a:prstGeom>
                    <a:noFill/>
                    <a:ln>
                      <a:noFill/>
                    </a:ln>
                  </pic:spPr>
                </pic:pic>
              </a:graphicData>
            </a:graphic>
          </wp:inline>
        </w:drawing>
      </w:r>
    </w:p>
    <w:p w14:paraId="6126D26B" w14:textId="7E6AED0F" w:rsidR="00B66F37"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 xml:space="preserve">.4. British Geological survey data </w:t>
      </w:r>
      <w:r w:rsidR="00B66F37" w:rsidRPr="00A15BA9">
        <w:rPr>
          <w:rFonts w:ascii="Arial" w:hAnsi="Arial" w:cs="Arial"/>
          <w:sz w:val="24"/>
          <w:szCs w:val="24"/>
        </w:rPr>
        <w:t>(British Geological Survey, 2023)</w:t>
      </w:r>
    </w:p>
    <w:p w14:paraId="1DD0805B" w14:textId="2FD3F1C1" w:rsidR="00E45FFD" w:rsidRPr="00A15BA9" w:rsidRDefault="00401CD4" w:rsidP="00A15BA9">
      <w:pPr>
        <w:pStyle w:val="Heading1"/>
        <w:spacing w:line="360" w:lineRule="auto"/>
        <w:jc w:val="both"/>
        <w:rPr>
          <w:rFonts w:ascii="Arial" w:hAnsi="Arial" w:cs="Arial"/>
          <w:sz w:val="24"/>
          <w:szCs w:val="24"/>
        </w:rPr>
      </w:pPr>
      <w:bookmarkStart w:id="29" w:name="_Toc228434526"/>
      <w:r w:rsidRPr="00A15BA9">
        <w:rPr>
          <w:rFonts w:ascii="Arial" w:hAnsi="Arial" w:cs="Arial"/>
          <w:sz w:val="24"/>
          <w:szCs w:val="24"/>
        </w:rPr>
        <w:lastRenderedPageBreak/>
        <w:t>7.3</w:t>
      </w:r>
      <w:r w:rsidR="00E45FFD" w:rsidRPr="00A15BA9">
        <w:rPr>
          <w:rFonts w:ascii="Arial" w:hAnsi="Arial" w:cs="Arial"/>
          <w:sz w:val="24"/>
          <w:szCs w:val="24"/>
        </w:rPr>
        <w:t xml:space="preserve">. </w:t>
      </w:r>
      <w:r w:rsidR="00262BAE" w:rsidRPr="00A15BA9">
        <w:rPr>
          <w:rFonts w:ascii="Arial" w:hAnsi="Arial" w:cs="Arial"/>
          <w:sz w:val="24"/>
          <w:szCs w:val="24"/>
        </w:rPr>
        <w:t xml:space="preserve">foundation </w:t>
      </w:r>
      <w:r w:rsidR="00313B0A" w:rsidRPr="00A15BA9">
        <w:rPr>
          <w:rFonts w:ascii="Arial" w:hAnsi="Arial" w:cs="Arial"/>
          <w:sz w:val="24"/>
          <w:szCs w:val="24"/>
        </w:rPr>
        <w:t>recommendation</w:t>
      </w:r>
      <w:bookmarkEnd w:id="29"/>
    </w:p>
    <w:p w14:paraId="020E06EA" w14:textId="69D7A4AF" w:rsidR="003B630A" w:rsidRPr="00A15BA9" w:rsidRDefault="00E20C61" w:rsidP="00A15BA9">
      <w:pPr>
        <w:spacing w:line="360" w:lineRule="auto"/>
        <w:jc w:val="both"/>
        <w:rPr>
          <w:rFonts w:ascii="Arial" w:hAnsi="Arial" w:cs="Arial"/>
          <w:sz w:val="24"/>
          <w:szCs w:val="24"/>
        </w:rPr>
      </w:pPr>
      <w:r w:rsidRPr="00A15BA9">
        <w:rPr>
          <w:rFonts w:ascii="Arial" w:hAnsi="Arial" w:cs="Arial"/>
          <w:sz w:val="24"/>
          <w:szCs w:val="24"/>
        </w:rPr>
        <w:t xml:space="preserve">Using Paxton Street Swansea as an example, which is adjacent to the planned site and has similar conditions of reclaimed land, soft coastal sediments, and a shallow groundwater table, drilled piles are the ideal approach to make deep foundations. Bored piles enable loads go to deeper, stronger layers of soil while reducing noise and vibration to a </w:t>
      </w:r>
      <w:r w:rsidR="0075014A" w:rsidRPr="00A15BA9">
        <w:rPr>
          <w:rFonts w:ascii="Arial" w:hAnsi="Arial" w:cs="Arial"/>
          <w:sz w:val="24"/>
          <w:szCs w:val="24"/>
        </w:rPr>
        <w:t>minimum (</w:t>
      </w:r>
      <w:r w:rsidR="00021794" w:rsidRPr="00A15BA9">
        <w:rPr>
          <w:rFonts w:ascii="Arial" w:hAnsi="Arial" w:cs="Arial"/>
          <w:sz w:val="24"/>
          <w:szCs w:val="24"/>
        </w:rPr>
        <w:t>Patel, 2025</w:t>
      </w:r>
      <w:r w:rsidR="00AA4C1D" w:rsidRPr="00A15BA9">
        <w:rPr>
          <w:rFonts w:ascii="Arial" w:hAnsi="Arial" w:cs="Arial"/>
          <w:sz w:val="24"/>
          <w:szCs w:val="24"/>
        </w:rPr>
        <w:t>). The</w:t>
      </w:r>
      <w:r w:rsidR="00BF1DEB" w:rsidRPr="00A15BA9">
        <w:rPr>
          <w:rFonts w:ascii="Arial" w:hAnsi="Arial" w:cs="Arial"/>
          <w:sz w:val="24"/>
          <w:szCs w:val="24"/>
        </w:rPr>
        <w:t xml:space="preserve"> picture below </w:t>
      </w:r>
      <w:r w:rsidR="00A0722C" w:rsidRPr="00A15BA9">
        <w:rPr>
          <w:rFonts w:ascii="Arial" w:hAnsi="Arial" w:cs="Arial"/>
          <w:sz w:val="24"/>
          <w:szCs w:val="24"/>
        </w:rPr>
        <w:t>shows</w:t>
      </w:r>
      <w:r w:rsidR="00BF1DEB" w:rsidRPr="00A15BA9">
        <w:rPr>
          <w:rFonts w:ascii="Arial" w:hAnsi="Arial" w:cs="Arial"/>
          <w:sz w:val="24"/>
          <w:szCs w:val="24"/>
        </w:rPr>
        <w:t xml:space="preserve"> the appropriate pile foundation for this site.</w:t>
      </w:r>
    </w:p>
    <w:p w14:paraId="7EFC7C4B" w14:textId="77777777" w:rsidR="00A0722C" w:rsidRPr="00A15BA9" w:rsidRDefault="00831EAC"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1DAE0BDF" wp14:editId="2FD7B071">
            <wp:extent cx="5731510" cy="5426529"/>
            <wp:effectExtent l="0" t="0" r="2540" b="3175"/>
            <wp:docPr id="492986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342" cy="5429210"/>
                    </a:xfrm>
                    <a:prstGeom prst="rect">
                      <a:avLst/>
                    </a:prstGeom>
                    <a:noFill/>
                    <a:ln>
                      <a:noFill/>
                    </a:ln>
                  </pic:spPr>
                </pic:pic>
              </a:graphicData>
            </a:graphic>
          </wp:inline>
        </w:drawing>
      </w:r>
    </w:p>
    <w:p w14:paraId="738F309F" w14:textId="6FA652DD" w:rsidR="00A0722C"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 xml:space="preserve">.5. Hand drawn manual Pile foundation </w:t>
      </w:r>
      <w:r w:rsidR="00A0722C" w:rsidRPr="00A15BA9">
        <w:rPr>
          <w:rFonts w:ascii="Arial" w:hAnsi="Arial" w:cs="Arial"/>
          <w:sz w:val="24"/>
          <w:szCs w:val="24"/>
        </w:rPr>
        <w:t>(www.designingbuildings.co.uk, n.d.)</w:t>
      </w:r>
    </w:p>
    <w:p w14:paraId="7C1F5A9E" w14:textId="090832E2" w:rsidR="003530E0" w:rsidRPr="00A15BA9" w:rsidRDefault="00B87DA4" w:rsidP="00A15BA9">
      <w:pPr>
        <w:spacing w:line="360" w:lineRule="auto"/>
        <w:jc w:val="both"/>
        <w:rPr>
          <w:rFonts w:ascii="Arial" w:hAnsi="Arial" w:cs="Arial"/>
          <w:b/>
          <w:bCs/>
          <w:sz w:val="24"/>
          <w:szCs w:val="24"/>
        </w:rPr>
      </w:pPr>
      <w:r w:rsidRPr="00A15BA9">
        <w:rPr>
          <w:rFonts w:ascii="Arial" w:hAnsi="Arial" w:cs="Arial"/>
          <w:sz w:val="24"/>
          <w:szCs w:val="24"/>
        </w:rPr>
        <w:t xml:space="preserve">The </w:t>
      </w:r>
      <w:r w:rsidR="00AA4C1D" w:rsidRPr="00A15BA9">
        <w:rPr>
          <w:rFonts w:ascii="Arial" w:hAnsi="Arial" w:cs="Arial"/>
          <w:sz w:val="24"/>
          <w:szCs w:val="24"/>
        </w:rPr>
        <w:t>above</w:t>
      </w:r>
      <w:r w:rsidRPr="00A15BA9">
        <w:rPr>
          <w:rFonts w:ascii="Arial" w:hAnsi="Arial" w:cs="Arial"/>
          <w:sz w:val="24"/>
          <w:szCs w:val="24"/>
        </w:rPr>
        <w:t xml:space="preserve"> shows how structural loads are transferred through reinforced concrete pile cap and piles to deeper, less </w:t>
      </w:r>
      <w:r w:rsidR="008817D2" w:rsidRPr="00A15BA9">
        <w:rPr>
          <w:rFonts w:ascii="Arial" w:hAnsi="Arial" w:cs="Arial"/>
          <w:sz w:val="24"/>
          <w:szCs w:val="24"/>
        </w:rPr>
        <w:t xml:space="preserve">compressible strata </w:t>
      </w:r>
      <w:r w:rsidR="00E02F86" w:rsidRPr="00A15BA9">
        <w:rPr>
          <w:rFonts w:ascii="Arial" w:hAnsi="Arial" w:cs="Arial"/>
          <w:sz w:val="24"/>
          <w:szCs w:val="24"/>
        </w:rPr>
        <w:t>bypassing</w:t>
      </w:r>
      <w:r w:rsidR="008817D2" w:rsidRPr="00A15BA9">
        <w:rPr>
          <w:rFonts w:ascii="Arial" w:hAnsi="Arial" w:cs="Arial"/>
          <w:sz w:val="24"/>
          <w:szCs w:val="24"/>
        </w:rPr>
        <w:t xml:space="preserve"> made ground, weak </w:t>
      </w:r>
      <w:r w:rsidR="008817D2" w:rsidRPr="00A15BA9">
        <w:rPr>
          <w:rFonts w:ascii="Arial" w:hAnsi="Arial" w:cs="Arial"/>
          <w:sz w:val="24"/>
          <w:szCs w:val="24"/>
        </w:rPr>
        <w:lastRenderedPageBreak/>
        <w:t>marine sediments and shallow groundwater</w:t>
      </w:r>
      <w:r w:rsidR="00E02F86" w:rsidRPr="00A15BA9">
        <w:rPr>
          <w:rFonts w:ascii="Arial" w:hAnsi="Arial" w:cs="Arial"/>
          <w:sz w:val="24"/>
          <w:szCs w:val="24"/>
        </w:rPr>
        <w:t xml:space="preserve"> all of which are key ground risks identified in the desk </w:t>
      </w:r>
      <w:r w:rsidR="00B373CD" w:rsidRPr="00A15BA9">
        <w:rPr>
          <w:rFonts w:ascii="Arial" w:hAnsi="Arial" w:cs="Arial"/>
          <w:sz w:val="24"/>
          <w:szCs w:val="24"/>
        </w:rPr>
        <w:t>study (</w:t>
      </w:r>
      <w:r w:rsidR="00A0722C" w:rsidRPr="00A15BA9">
        <w:rPr>
          <w:rFonts w:ascii="Arial" w:hAnsi="Arial" w:cs="Arial"/>
          <w:sz w:val="24"/>
          <w:szCs w:val="24"/>
        </w:rPr>
        <w:t>www.designingbuildings.co.uk, n.d.)</w:t>
      </w:r>
      <w:r w:rsidR="00EC6FB5" w:rsidRPr="00A15BA9">
        <w:rPr>
          <w:rFonts w:ascii="Arial" w:hAnsi="Arial" w:cs="Arial"/>
          <w:sz w:val="24"/>
          <w:szCs w:val="24"/>
        </w:rPr>
        <w:t>.</w:t>
      </w:r>
    </w:p>
    <w:p w14:paraId="034A5900" w14:textId="5B0E0A4E" w:rsidR="003B630A" w:rsidRPr="00A15BA9" w:rsidRDefault="003B630A" w:rsidP="00A15BA9">
      <w:pPr>
        <w:pStyle w:val="Heading1"/>
        <w:spacing w:line="360" w:lineRule="auto"/>
        <w:jc w:val="both"/>
        <w:rPr>
          <w:rFonts w:ascii="Arial" w:hAnsi="Arial" w:cs="Arial"/>
          <w:sz w:val="24"/>
          <w:szCs w:val="24"/>
        </w:rPr>
      </w:pPr>
      <w:bookmarkStart w:id="30" w:name="_Toc228434527"/>
      <w:r w:rsidRPr="00A15BA9">
        <w:rPr>
          <w:rFonts w:ascii="Arial" w:hAnsi="Arial" w:cs="Arial"/>
          <w:sz w:val="24"/>
          <w:szCs w:val="24"/>
        </w:rPr>
        <w:t>8.0. Conclusion</w:t>
      </w:r>
      <w:bookmarkEnd w:id="30"/>
      <w:r w:rsidRPr="00A15BA9">
        <w:rPr>
          <w:rFonts w:ascii="Arial" w:hAnsi="Arial" w:cs="Arial"/>
          <w:sz w:val="24"/>
          <w:szCs w:val="24"/>
        </w:rPr>
        <w:t xml:space="preserve"> </w:t>
      </w:r>
    </w:p>
    <w:p w14:paraId="6E012095" w14:textId="45033C19" w:rsidR="00E71D2B" w:rsidRPr="00A15BA9" w:rsidRDefault="00DC7539" w:rsidP="00A15BA9">
      <w:pPr>
        <w:spacing w:line="360" w:lineRule="auto"/>
        <w:jc w:val="both"/>
        <w:rPr>
          <w:rFonts w:ascii="Arial" w:hAnsi="Arial" w:cs="Arial"/>
          <w:sz w:val="24"/>
          <w:szCs w:val="24"/>
        </w:rPr>
      </w:pPr>
      <w:r w:rsidRPr="00A15BA9">
        <w:rPr>
          <w:rFonts w:ascii="Arial" w:hAnsi="Arial" w:cs="Arial"/>
          <w:sz w:val="24"/>
          <w:szCs w:val="24"/>
        </w:rPr>
        <w:t xml:space="preserve">The planned construction of a restaurant, cafe bar, ice cream shop, manager's house and staff amenities restaurant </w:t>
      </w:r>
      <w:r w:rsidR="00E71D2B" w:rsidRPr="00A15BA9">
        <w:rPr>
          <w:rFonts w:ascii="Arial" w:hAnsi="Arial" w:cs="Arial"/>
          <w:sz w:val="24"/>
          <w:szCs w:val="24"/>
        </w:rPr>
        <w:t>at the location shows that Swansea Foreshore is on land that has been reclaimed and includes created ground that varies, flexible marine sediments, and shallow groundwater that is affected by tidal changes. Reclamation and industrial activities from the past make settlement, pollution, and ground gas production more likely. These limitations make shallow foundations inappropriate. To validate the conditions below the surface, a full intrusive ground investigation is needed. Based on the facts we have and similar projects in the area, deep foundation solutions like bored piles are seen to be the best way to make sure that this coastal area stays stable and lasts for a long time.</w:t>
      </w:r>
    </w:p>
    <w:p w14:paraId="1AF41222" w14:textId="43010F8B" w:rsidR="00B924C8" w:rsidRPr="00A15BA9" w:rsidRDefault="003B630A" w:rsidP="00A15BA9">
      <w:pPr>
        <w:pStyle w:val="Heading1"/>
        <w:spacing w:line="360" w:lineRule="auto"/>
        <w:rPr>
          <w:rFonts w:ascii="Arial" w:hAnsi="Arial" w:cs="Arial"/>
          <w:sz w:val="24"/>
          <w:szCs w:val="24"/>
        </w:rPr>
      </w:pPr>
      <w:bookmarkStart w:id="31" w:name="_Toc228434528"/>
      <w:r w:rsidRPr="00A15BA9">
        <w:rPr>
          <w:rFonts w:ascii="Arial" w:hAnsi="Arial" w:cs="Arial"/>
          <w:sz w:val="24"/>
          <w:szCs w:val="24"/>
        </w:rPr>
        <w:t>9</w:t>
      </w:r>
      <w:r w:rsidR="00313B0A" w:rsidRPr="00A15BA9">
        <w:rPr>
          <w:rFonts w:ascii="Arial" w:hAnsi="Arial" w:cs="Arial"/>
          <w:sz w:val="24"/>
          <w:szCs w:val="24"/>
        </w:rPr>
        <w:t>.</w:t>
      </w:r>
      <w:r w:rsidRPr="00A15BA9">
        <w:rPr>
          <w:rFonts w:ascii="Arial" w:hAnsi="Arial" w:cs="Arial"/>
          <w:sz w:val="24"/>
          <w:szCs w:val="24"/>
        </w:rPr>
        <w:t xml:space="preserve">0. </w:t>
      </w:r>
      <w:r w:rsidR="00B924C8" w:rsidRPr="00A15BA9">
        <w:rPr>
          <w:rFonts w:ascii="Arial" w:hAnsi="Arial" w:cs="Arial"/>
          <w:sz w:val="24"/>
          <w:szCs w:val="24"/>
        </w:rPr>
        <w:t>References</w:t>
      </w:r>
      <w:bookmarkEnd w:id="31"/>
      <w:r w:rsidR="00A54588" w:rsidRPr="00A15BA9">
        <w:rPr>
          <w:rFonts w:ascii="Arial" w:hAnsi="Arial" w:cs="Arial"/>
          <w:sz w:val="24"/>
          <w:szCs w:val="24"/>
        </w:rPr>
        <w:tab/>
      </w:r>
    </w:p>
    <w:p w14:paraId="16508E3C" w14:textId="2A06CC31"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AECOM (2024). </w:t>
      </w:r>
      <w:r w:rsidRPr="00A15BA9">
        <w:rPr>
          <w:rFonts w:ascii="Arial" w:hAnsi="Arial" w:cs="Arial"/>
          <w:i/>
          <w:iCs/>
          <w:sz w:val="24"/>
          <w:szCs w:val="24"/>
        </w:rPr>
        <w:t>Reimagining what’s possible – Swansea Bay Tidal Lagoon</w:t>
      </w:r>
      <w:r w:rsidRPr="00A15BA9">
        <w:rPr>
          <w:rFonts w:ascii="Arial" w:hAnsi="Arial" w:cs="Arial"/>
          <w:sz w:val="24"/>
          <w:szCs w:val="24"/>
        </w:rPr>
        <w:t xml:space="preserve">. [online] Reimagining what’s possible. Available at: </w:t>
      </w:r>
      <w:hyperlink r:id="rId18" w:history="1">
        <w:r w:rsidRPr="00A15BA9">
          <w:rPr>
            <w:rStyle w:val="Hyperlink"/>
            <w:rFonts w:ascii="Arial" w:hAnsi="Arial" w:cs="Arial"/>
            <w:sz w:val="24"/>
            <w:szCs w:val="24"/>
          </w:rPr>
          <w:t>https://publications.aecom.com/water/managing-flood-risk/projects/swansea-bay-tidal-lagoon</w:t>
        </w:r>
      </w:hyperlink>
    </w:p>
    <w:p w14:paraId="62C3CDD2" w14:textId="5472FB54"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Alan Wood and Partners (2026). </w:t>
      </w:r>
      <w:r w:rsidRPr="00A15BA9">
        <w:rPr>
          <w:rFonts w:ascii="Arial" w:hAnsi="Arial" w:cs="Arial"/>
          <w:i/>
          <w:iCs/>
          <w:sz w:val="24"/>
          <w:szCs w:val="24"/>
        </w:rPr>
        <w:t>Site Investigations Explained: Scope, Methods, and Risk Reduction</w:t>
      </w:r>
      <w:r w:rsidRPr="00A15BA9">
        <w:rPr>
          <w:rFonts w:ascii="Arial" w:hAnsi="Arial" w:cs="Arial"/>
          <w:sz w:val="24"/>
          <w:szCs w:val="24"/>
        </w:rPr>
        <w:t xml:space="preserve">. [online] Available at: </w:t>
      </w:r>
      <w:hyperlink r:id="rId19" w:history="1">
        <w:r w:rsidRPr="00A15BA9">
          <w:rPr>
            <w:rStyle w:val="Hyperlink"/>
            <w:rFonts w:ascii="Arial" w:hAnsi="Arial" w:cs="Arial"/>
            <w:sz w:val="24"/>
            <w:szCs w:val="24"/>
          </w:rPr>
          <w:t>https://www.alanwood.co.uk/resources/site-investigations-explained-scope-methods-and-risk-reduction</w:t>
        </w:r>
      </w:hyperlink>
    </w:p>
    <w:p w14:paraId="23B1D79D" w14:textId="5707F9B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Approved Document A (2010). </w:t>
      </w:r>
      <w:r w:rsidRPr="00A15BA9">
        <w:rPr>
          <w:rFonts w:ascii="Arial" w:hAnsi="Arial" w:cs="Arial"/>
          <w:i/>
          <w:iCs/>
          <w:sz w:val="24"/>
          <w:szCs w:val="24"/>
        </w:rPr>
        <w:t>The Building Regulations 2010 A1 Loading A2 Ground Movement A3 Disproportionate Collapse for Use in England</w:t>
      </w:r>
      <w:r w:rsidRPr="00A15BA9">
        <w:rPr>
          <w:rFonts w:ascii="Arial" w:hAnsi="Arial" w:cs="Arial"/>
          <w:sz w:val="24"/>
          <w:szCs w:val="24"/>
        </w:rPr>
        <w:t xml:space="preserve">. [online] p.37. Available at: </w:t>
      </w:r>
      <w:hyperlink r:id="rId20" w:history="1">
        <w:r w:rsidRPr="00A15BA9">
          <w:rPr>
            <w:rStyle w:val="Hyperlink"/>
            <w:rFonts w:ascii="Arial" w:hAnsi="Arial" w:cs="Arial"/>
            <w:sz w:val="24"/>
            <w:szCs w:val="24"/>
          </w:rPr>
          <w:t>https://assets.publishing.service.gov.uk/media/5a80437640f0b623026927b2/BR_PDF_AD_A_2013.pdf</w:t>
        </w:r>
      </w:hyperlink>
    </w:p>
    <w:p w14:paraId="379A101B" w14:textId="3EC33695"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British Geological Survey (2023). </w:t>
      </w:r>
      <w:r w:rsidRPr="00A15BA9">
        <w:rPr>
          <w:rFonts w:ascii="Arial" w:hAnsi="Arial" w:cs="Arial"/>
          <w:i/>
          <w:iCs/>
          <w:sz w:val="24"/>
          <w:szCs w:val="24"/>
        </w:rPr>
        <w:t>GeoIndex – British Geological Survey</w:t>
      </w:r>
      <w:r w:rsidRPr="00A15BA9">
        <w:rPr>
          <w:rFonts w:ascii="Arial" w:hAnsi="Arial" w:cs="Arial"/>
          <w:sz w:val="24"/>
          <w:szCs w:val="24"/>
        </w:rPr>
        <w:t xml:space="preserve">. [online] Available at: </w:t>
      </w:r>
      <w:hyperlink r:id="rId21" w:history="1">
        <w:r w:rsidRPr="00A15BA9">
          <w:rPr>
            <w:rStyle w:val="Hyperlink"/>
            <w:rFonts w:ascii="Arial" w:hAnsi="Arial" w:cs="Arial"/>
            <w:sz w:val="24"/>
            <w:szCs w:val="24"/>
          </w:rPr>
          <w:t>https://mapapps2.bgs.ac.uk/geoindex/home.html</w:t>
        </w:r>
      </w:hyperlink>
    </w:p>
    <w:p w14:paraId="13783BE0" w14:textId="7646D56A"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lastRenderedPageBreak/>
        <w:t xml:space="preserve">British Geological Survey (2024). </w:t>
      </w:r>
      <w:r w:rsidRPr="00A15BA9">
        <w:rPr>
          <w:rFonts w:ascii="Arial" w:hAnsi="Arial" w:cs="Arial"/>
          <w:i/>
          <w:iCs/>
          <w:sz w:val="24"/>
          <w:szCs w:val="24"/>
        </w:rPr>
        <w:t>Government and agencies – British Geological Survey</w:t>
      </w:r>
      <w:r w:rsidRPr="00A15BA9">
        <w:rPr>
          <w:rFonts w:ascii="Arial" w:hAnsi="Arial" w:cs="Arial"/>
          <w:sz w:val="24"/>
          <w:szCs w:val="24"/>
        </w:rPr>
        <w:t xml:space="preserve">. [online] Available at: </w:t>
      </w:r>
      <w:hyperlink r:id="rId22" w:history="1">
        <w:r w:rsidRPr="00A15BA9">
          <w:rPr>
            <w:rStyle w:val="Hyperlink"/>
            <w:rFonts w:ascii="Arial" w:hAnsi="Arial" w:cs="Arial"/>
            <w:sz w:val="24"/>
            <w:szCs w:val="24"/>
          </w:rPr>
          <w:t>https://www.bgs.ac.uk/about-bgs/services/government/</w:t>
        </w:r>
      </w:hyperlink>
    </w:p>
    <w:p w14:paraId="7AD91CF0" w14:textId="524391E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Bsigroup.com (2026). </w:t>
      </w:r>
      <w:r w:rsidRPr="00A15BA9">
        <w:rPr>
          <w:rFonts w:ascii="Arial" w:hAnsi="Arial" w:cs="Arial"/>
          <w:i/>
          <w:iCs/>
          <w:sz w:val="24"/>
          <w:szCs w:val="24"/>
        </w:rPr>
        <w:t>BS 10175:2026 – Investigation of potentially contaminated sites (Code of practice)</w:t>
      </w:r>
      <w:r w:rsidRPr="00A15BA9">
        <w:rPr>
          <w:rFonts w:ascii="Arial" w:hAnsi="Arial" w:cs="Arial"/>
          <w:sz w:val="24"/>
          <w:szCs w:val="24"/>
        </w:rPr>
        <w:t xml:space="preserve">. [online] Available at: </w:t>
      </w:r>
      <w:hyperlink r:id="rId23" w:history="1">
        <w:r w:rsidRPr="00A15BA9">
          <w:rPr>
            <w:rStyle w:val="Hyperlink"/>
            <w:rFonts w:ascii="Arial" w:hAnsi="Arial" w:cs="Arial"/>
            <w:sz w:val="24"/>
            <w:szCs w:val="24"/>
          </w:rPr>
          <w:t>https://knowledge.bsigroup.com/products/investigation-of-potentially-contaminated-sites-code-of-practice-1</w:t>
        </w:r>
      </w:hyperlink>
    </w:p>
    <w:p w14:paraId="2D495AEE" w14:textId="016EBBEB"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Catalogue of British Town Maps (2026). </w:t>
      </w:r>
      <w:r w:rsidRPr="00A15BA9">
        <w:rPr>
          <w:rFonts w:ascii="Arial" w:hAnsi="Arial" w:cs="Arial"/>
          <w:i/>
          <w:iCs/>
          <w:sz w:val="24"/>
          <w:szCs w:val="24"/>
        </w:rPr>
        <w:t>Glamorganshire–Swansea–1852</w:t>
      </w:r>
      <w:r w:rsidRPr="00A15BA9">
        <w:rPr>
          <w:rFonts w:ascii="Arial" w:hAnsi="Arial" w:cs="Arial"/>
          <w:sz w:val="24"/>
          <w:szCs w:val="24"/>
        </w:rPr>
        <w:t xml:space="preserve">. [online] Available at: </w:t>
      </w:r>
      <w:hyperlink r:id="rId24" w:history="1">
        <w:r w:rsidRPr="00A15BA9">
          <w:rPr>
            <w:rStyle w:val="Hyperlink"/>
            <w:rFonts w:ascii="Arial" w:hAnsi="Arial" w:cs="Arial"/>
            <w:sz w:val="24"/>
            <w:szCs w:val="24"/>
          </w:rPr>
          <w:t>https://townmaps.history.ac.uk/townmap/glamorganshire-swansea-1852/</w:t>
        </w:r>
      </w:hyperlink>
      <w:r w:rsidRPr="00A15BA9">
        <w:rPr>
          <w:rFonts w:ascii="Arial" w:hAnsi="Arial" w:cs="Arial"/>
          <w:sz w:val="24"/>
          <w:szCs w:val="24"/>
        </w:rPr>
        <w:t xml:space="preserve">  [Accessed 31 Mar. 2026].</w:t>
      </w:r>
    </w:p>
    <w:p w14:paraId="667E8F40" w14:textId="423E6BAE"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Earth Science Partnership (2019). </w:t>
      </w:r>
      <w:r w:rsidRPr="00A15BA9">
        <w:rPr>
          <w:rFonts w:ascii="Arial" w:hAnsi="Arial" w:cs="Arial"/>
          <w:i/>
          <w:iCs/>
          <w:sz w:val="24"/>
          <w:szCs w:val="24"/>
        </w:rPr>
        <w:t>Benefits of new ground gas monitoring methods</w:t>
      </w:r>
      <w:r w:rsidRPr="00A15BA9">
        <w:rPr>
          <w:rFonts w:ascii="Arial" w:hAnsi="Arial" w:cs="Arial"/>
          <w:sz w:val="24"/>
          <w:szCs w:val="24"/>
        </w:rPr>
        <w:t xml:space="preserve">. [online]Available at:  </w:t>
      </w:r>
      <w:hyperlink r:id="rId25" w:history="1">
        <w:r w:rsidRPr="00A15BA9">
          <w:rPr>
            <w:rStyle w:val="Hyperlink"/>
            <w:rFonts w:ascii="Arial" w:hAnsi="Arial" w:cs="Arial"/>
            <w:sz w:val="24"/>
            <w:szCs w:val="24"/>
          </w:rPr>
          <w:t>https://www.earthsciencepartnership.co.uk/projects/ground-gas-monitoring-methods/</w:t>
        </w:r>
      </w:hyperlink>
      <w:r w:rsidRPr="00A15BA9">
        <w:rPr>
          <w:rFonts w:ascii="Arial" w:hAnsi="Arial" w:cs="Arial"/>
          <w:sz w:val="24"/>
          <w:szCs w:val="24"/>
        </w:rPr>
        <w:t xml:space="preserve"> [Accessed 31 Mar. 2026]. </w:t>
      </w:r>
    </w:p>
    <w:p w14:paraId="1104B9BA"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Environment Agency (2017). </w:t>
      </w:r>
      <w:r w:rsidRPr="00A15BA9">
        <w:rPr>
          <w:rFonts w:ascii="Arial" w:hAnsi="Arial" w:cs="Arial"/>
          <w:i/>
          <w:iCs/>
          <w:sz w:val="24"/>
          <w:szCs w:val="24"/>
        </w:rPr>
        <w:t>Groundwater protection position statements</w:t>
      </w:r>
      <w:r w:rsidRPr="00A15BA9">
        <w:rPr>
          <w:rFonts w:ascii="Arial" w:hAnsi="Arial" w:cs="Arial"/>
          <w:sz w:val="24"/>
          <w:szCs w:val="24"/>
        </w:rPr>
        <w:t xml:space="preserve">. [online] GOV.UK. Available at: </w:t>
      </w:r>
      <w:hyperlink r:id="rId26" w:history="1">
        <w:r w:rsidRPr="00A15BA9">
          <w:rPr>
            <w:rStyle w:val="Hyperlink"/>
            <w:rFonts w:ascii="Arial" w:hAnsi="Arial" w:cs="Arial"/>
            <w:sz w:val="24"/>
            <w:szCs w:val="24"/>
          </w:rPr>
          <w:t>https://www.gov.uk/government/publications/groundwater-protection-position-statements</w:t>
        </w:r>
      </w:hyperlink>
      <w:r w:rsidRPr="00A15BA9">
        <w:rPr>
          <w:rFonts w:ascii="Arial" w:hAnsi="Arial" w:cs="Arial"/>
          <w:sz w:val="24"/>
          <w:szCs w:val="24"/>
        </w:rPr>
        <w:t xml:space="preserve"> </w:t>
      </w:r>
    </w:p>
    <w:p w14:paraId="6DC36278"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Evading constraints? 200 years of uncontrolled pollution by the Swansea copper industry – Student Dissertation (n.d.). Available at: </w:t>
      </w:r>
      <w:hyperlink r:id="rId27" w:history="1">
        <w:r w:rsidRPr="00A15BA9">
          <w:rPr>
            <w:rStyle w:val="Hyperlink"/>
            <w:rFonts w:ascii="Arial" w:hAnsi="Arial" w:cs="Arial"/>
            <w:sz w:val="24"/>
            <w:szCs w:val="24"/>
          </w:rPr>
          <w:t>https://oro.open.ac.uk/66167/3/GILBERT_A329_RVOR.pdf</w:t>
        </w:r>
      </w:hyperlink>
      <w:r w:rsidRPr="00A15BA9">
        <w:rPr>
          <w:rFonts w:ascii="Arial" w:hAnsi="Arial" w:cs="Arial"/>
          <w:sz w:val="24"/>
          <w:szCs w:val="24"/>
        </w:rPr>
        <w:t xml:space="preserve">  [Accessed 6 Feb. 2024]. </w:t>
      </w:r>
    </w:p>
    <w:p w14:paraId="20F35EEF" w14:textId="19153049"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eurocodes.jrc.ec.europa.eu (n.d.). </w:t>
      </w:r>
      <w:r w:rsidRPr="00A15BA9">
        <w:rPr>
          <w:rFonts w:ascii="Arial" w:hAnsi="Arial" w:cs="Arial"/>
          <w:i/>
          <w:iCs/>
          <w:sz w:val="24"/>
          <w:szCs w:val="24"/>
        </w:rPr>
        <w:t>Eurocode 7: Geotechnical design</w:t>
      </w:r>
      <w:r w:rsidRPr="00A15BA9">
        <w:rPr>
          <w:rFonts w:ascii="Arial" w:hAnsi="Arial" w:cs="Arial"/>
          <w:sz w:val="24"/>
          <w:szCs w:val="24"/>
        </w:rPr>
        <w:t xml:space="preserve">. [online] Available at: </w:t>
      </w:r>
      <w:hyperlink r:id="rId28" w:history="1">
        <w:r w:rsidRPr="00A15BA9">
          <w:rPr>
            <w:rStyle w:val="Hyperlink"/>
            <w:rFonts w:ascii="Arial" w:hAnsi="Arial" w:cs="Arial"/>
            <w:sz w:val="24"/>
            <w:szCs w:val="24"/>
          </w:rPr>
          <w:t>https://eurocodes.jrc.ec.europa.eu/EN-Eurocodes/eurocode-7-geotechnical-design</w:t>
        </w:r>
      </w:hyperlink>
    </w:p>
    <w:p w14:paraId="1A7805A4"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Francisfrith.com (2023). </w:t>
      </w:r>
      <w:r w:rsidRPr="00A15BA9">
        <w:rPr>
          <w:rFonts w:ascii="Arial" w:hAnsi="Arial" w:cs="Arial"/>
          <w:i/>
          <w:iCs/>
          <w:sz w:val="24"/>
          <w:szCs w:val="24"/>
        </w:rPr>
        <w:t>Old Maps of Swansea, West Glamorgan</w:t>
      </w:r>
      <w:r w:rsidRPr="00A15BA9">
        <w:rPr>
          <w:rFonts w:ascii="Arial" w:hAnsi="Arial" w:cs="Arial"/>
          <w:sz w:val="24"/>
          <w:szCs w:val="24"/>
        </w:rPr>
        <w:t>. [online] Available at: https://www.francisfrith.com/swansea/maps [Accessed 31 Mar. 2026].</w:t>
      </w:r>
    </w:p>
    <w:p w14:paraId="49EFE109" w14:textId="45523BAD"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indonesian-recipes.com (2024). </w:t>
      </w:r>
      <w:r w:rsidRPr="00A15BA9">
        <w:rPr>
          <w:rFonts w:ascii="Arial" w:hAnsi="Arial" w:cs="Arial"/>
          <w:i/>
          <w:iCs/>
          <w:sz w:val="24"/>
          <w:szCs w:val="24"/>
        </w:rPr>
        <w:t>Resize image, Download, Crop pics, Add Instagram effect</w:t>
      </w:r>
      <w:r w:rsidRPr="00A15BA9">
        <w:rPr>
          <w:rFonts w:ascii="Arial" w:hAnsi="Arial" w:cs="Arial"/>
          <w:sz w:val="24"/>
          <w:szCs w:val="24"/>
        </w:rPr>
        <w:t xml:space="preserve">. [online] Available at: </w:t>
      </w:r>
      <w:hyperlink r:id="rId29" w:history="1">
        <w:r w:rsidRPr="00A15BA9">
          <w:rPr>
            <w:rStyle w:val="Hyperlink"/>
            <w:rFonts w:ascii="Arial" w:hAnsi="Arial" w:cs="Arial"/>
            <w:sz w:val="24"/>
            <w:szCs w:val="24"/>
          </w:rPr>
          <w:t>https://indonesian-recipes.com/download/2030-version.html</w:t>
        </w:r>
      </w:hyperlink>
    </w:p>
    <w:p w14:paraId="11FF2EB5" w14:textId="782683B1"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Lee, S. (2025). </w:t>
      </w:r>
      <w:r w:rsidRPr="00A15BA9">
        <w:rPr>
          <w:rFonts w:ascii="Arial" w:hAnsi="Arial" w:cs="Arial"/>
          <w:i/>
          <w:iCs/>
          <w:sz w:val="24"/>
          <w:szCs w:val="24"/>
        </w:rPr>
        <w:t>Risk Assessment for Coastal Development</w:t>
      </w:r>
      <w:r w:rsidRPr="00A15BA9">
        <w:rPr>
          <w:rFonts w:ascii="Arial" w:hAnsi="Arial" w:cs="Arial"/>
          <w:sz w:val="24"/>
          <w:szCs w:val="24"/>
        </w:rPr>
        <w:t xml:space="preserve">. [online] Numberanalytics.com. Available at: </w:t>
      </w:r>
      <w:hyperlink r:id="rId30" w:history="1">
        <w:r w:rsidRPr="00A15BA9">
          <w:rPr>
            <w:rStyle w:val="Hyperlink"/>
            <w:rFonts w:ascii="Arial" w:hAnsi="Arial" w:cs="Arial"/>
            <w:sz w:val="24"/>
            <w:szCs w:val="24"/>
          </w:rPr>
          <w:t>https://www.numberanalytics.com/blog/risk-assessment-coastal-development</w:t>
        </w:r>
      </w:hyperlink>
      <w:r w:rsidRPr="00A15BA9">
        <w:rPr>
          <w:rFonts w:ascii="Arial" w:hAnsi="Arial" w:cs="Arial"/>
          <w:sz w:val="24"/>
          <w:szCs w:val="24"/>
        </w:rPr>
        <w:t xml:space="preserve">  [Accessed 9 Apr. 2026].</w:t>
      </w:r>
    </w:p>
    <w:p w14:paraId="251D00A7" w14:textId="2B9CB644"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Model metadata report for Swansea–Neath–Port Talbot (n.d.). Available at: </w:t>
      </w:r>
      <w:hyperlink r:id="rId31" w:history="1">
        <w:r w:rsidRPr="00A15BA9">
          <w:rPr>
            <w:rStyle w:val="Hyperlink"/>
            <w:rFonts w:ascii="Arial" w:hAnsi="Arial" w:cs="Arial"/>
            <w:sz w:val="24"/>
            <w:szCs w:val="24"/>
          </w:rPr>
          <w:t>https://nora.nerc.ac.uk/id/eprint/508445/1/OR14045.pdf</w:t>
        </w:r>
      </w:hyperlink>
    </w:p>
    <w:p w14:paraId="0B899ECF" w14:textId="01A1ACBA"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New Build Inspections (2024). </w:t>
      </w:r>
      <w:r w:rsidRPr="00A15BA9">
        <w:rPr>
          <w:rFonts w:ascii="Arial" w:hAnsi="Arial" w:cs="Arial"/>
          <w:i/>
          <w:iCs/>
          <w:sz w:val="24"/>
          <w:szCs w:val="24"/>
        </w:rPr>
        <w:t>NHBC Standards Chapter 4.4 – Raft, pile, pier and beam foundations</w:t>
      </w:r>
      <w:r w:rsidRPr="00A15BA9">
        <w:rPr>
          <w:rFonts w:ascii="Arial" w:hAnsi="Arial" w:cs="Arial"/>
          <w:sz w:val="24"/>
          <w:szCs w:val="24"/>
        </w:rPr>
        <w:t xml:space="preserve">. [online] Available at: </w:t>
      </w:r>
      <w:hyperlink r:id="rId32" w:history="1">
        <w:r w:rsidRPr="00A15BA9">
          <w:rPr>
            <w:rStyle w:val="Hyperlink"/>
            <w:rFonts w:ascii="Arial" w:hAnsi="Arial" w:cs="Arial"/>
            <w:sz w:val="24"/>
            <w:szCs w:val="24"/>
          </w:rPr>
          <w:t>https://www.newbuildinspections.com/knowledgebase/nhbc-standards-chapter-4-4-raft-pile-pier-and-beam-foundations/</w:t>
        </w:r>
      </w:hyperlink>
    </w:p>
    <w:p w14:paraId="5A3C18D1" w14:textId="29389E38"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Patel, H. (2025). </w:t>
      </w:r>
      <w:r w:rsidRPr="00A15BA9">
        <w:rPr>
          <w:rFonts w:ascii="Arial" w:hAnsi="Arial" w:cs="Arial"/>
          <w:i/>
          <w:iCs/>
          <w:sz w:val="24"/>
          <w:szCs w:val="24"/>
        </w:rPr>
        <w:t>Bored Piles – Types, Applications &amp; Benefits Explained</w:t>
      </w:r>
      <w:r w:rsidRPr="00A15BA9">
        <w:rPr>
          <w:rFonts w:ascii="Arial" w:hAnsi="Arial" w:cs="Arial"/>
          <w:sz w:val="24"/>
          <w:szCs w:val="24"/>
        </w:rPr>
        <w:t xml:space="preserve">. [online] blogs-and-articles. Available at: </w:t>
      </w:r>
      <w:hyperlink r:id="rId33" w:history="1">
        <w:r w:rsidRPr="00A15BA9">
          <w:rPr>
            <w:rStyle w:val="Hyperlink"/>
            <w:rFonts w:ascii="Arial" w:hAnsi="Arial" w:cs="Arial"/>
            <w:sz w:val="24"/>
            <w:szCs w:val="24"/>
          </w:rPr>
          <w:t>https://www.bricknbolt.com/blogs-and-articles/construction-guide/bored-piles</w:t>
        </w:r>
      </w:hyperlink>
    </w:p>
    <w:p w14:paraId="57E17ED2" w14:textId="1D182D98"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Slideshare.net (2026). </w:t>
      </w:r>
      <w:r w:rsidRPr="00A15BA9">
        <w:rPr>
          <w:rFonts w:ascii="Arial" w:hAnsi="Arial" w:cs="Arial"/>
          <w:i/>
          <w:iCs/>
          <w:sz w:val="24"/>
          <w:szCs w:val="24"/>
        </w:rPr>
        <w:t>Client Challenge</w:t>
      </w:r>
      <w:r w:rsidRPr="00A15BA9">
        <w:rPr>
          <w:rFonts w:ascii="Arial" w:hAnsi="Arial" w:cs="Arial"/>
          <w:sz w:val="24"/>
          <w:szCs w:val="24"/>
        </w:rPr>
        <w:t xml:space="preserve">. [online] Available at: </w:t>
      </w:r>
      <w:hyperlink r:id="rId34" w:history="1">
        <w:r w:rsidRPr="00A15BA9">
          <w:rPr>
            <w:rStyle w:val="Hyperlink"/>
            <w:rFonts w:ascii="Arial" w:hAnsi="Arial" w:cs="Arial"/>
            <w:sz w:val="24"/>
            <w:szCs w:val="24"/>
          </w:rPr>
          <w:t>https://www.slideshare.net/slideshow/the-benefits-of-ggbs-cement-in-concrete-2011-engineers-amp-architects/6992654</w:t>
        </w:r>
      </w:hyperlink>
    </w:p>
    <w:p w14:paraId="426E62DE" w14:textId="1156B84C"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 (n.d.). </w:t>
      </w:r>
      <w:r w:rsidRPr="00A15BA9">
        <w:rPr>
          <w:rFonts w:ascii="Arial" w:hAnsi="Arial" w:cs="Arial"/>
          <w:i/>
          <w:iCs/>
          <w:sz w:val="24"/>
          <w:szCs w:val="24"/>
        </w:rPr>
        <w:t>Swansea Bay</w:t>
      </w:r>
      <w:r w:rsidRPr="00A15BA9">
        <w:rPr>
          <w:rFonts w:ascii="Arial" w:hAnsi="Arial" w:cs="Arial"/>
          <w:sz w:val="24"/>
          <w:szCs w:val="24"/>
        </w:rPr>
        <w:t xml:space="preserve">. [online] Available at: </w:t>
      </w:r>
      <w:hyperlink r:id="rId35" w:history="1">
        <w:r w:rsidRPr="00A15BA9">
          <w:rPr>
            <w:rStyle w:val="Hyperlink"/>
            <w:rFonts w:ascii="Arial" w:hAnsi="Arial" w:cs="Arial"/>
            <w:sz w:val="24"/>
            <w:szCs w:val="24"/>
          </w:rPr>
          <w:t>https://www.swansea.gov.uk/swanseabay?lang=en</w:t>
        </w:r>
      </w:hyperlink>
      <w:r w:rsidRPr="00A15BA9">
        <w:rPr>
          <w:rFonts w:ascii="Arial" w:hAnsi="Arial" w:cs="Arial"/>
          <w:sz w:val="24"/>
          <w:szCs w:val="24"/>
        </w:rPr>
        <w:t xml:space="preserve">  [Accessed 17 Nov. 2023].</w:t>
      </w:r>
    </w:p>
    <w:p w14:paraId="39E498BB"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 (2021). </w:t>
      </w:r>
      <w:r w:rsidRPr="00A15BA9">
        <w:rPr>
          <w:rFonts w:ascii="Arial" w:hAnsi="Arial" w:cs="Arial"/>
          <w:i/>
          <w:iCs/>
          <w:sz w:val="24"/>
          <w:szCs w:val="24"/>
        </w:rPr>
        <w:t>Local flood risk management strategy</w:t>
      </w:r>
      <w:r w:rsidRPr="00A15BA9">
        <w:rPr>
          <w:rFonts w:ascii="Arial" w:hAnsi="Arial" w:cs="Arial"/>
          <w:sz w:val="24"/>
          <w:szCs w:val="24"/>
        </w:rPr>
        <w:t>. [online] Available at: https://www.swansea.gov.uk/floodstrategy?lang=en [Accessed 9 Apr. 2026].</w:t>
      </w:r>
    </w:p>
    <w:p w14:paraId="52AC0E21" w14:textId="5B662E03"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 (2024). </w:t>
      </w:r>
      <w:r w:rsidRPr="00A15BA9">
        <w:rPr>
          <w:rFonts w:ascii="Arial" w:hAnsi="Arial" w:cs="Arial"/>
          <w:i/>
          <w:iCs/>
          <w:sz w:val="24"/>
          <w:szCs w:val="24"/>
        </w:rPr>
        <w:t>Contact us</w:t>
      </w:r>
      <w:r w:rsidRPr="00A15BA9">
        <w:rPr>
          <w:rFonts w:ascii="Arial" w:hAnsi="Arial" w:cs="Arial"/>
          <w:sz w:val="24"/>
          <w:szCs w:val="24"/>
        </w:rPr>
        <w:t xml:space="preserve">. [online] Available at: </w:t>
      </w:r>
      <w:hyperlink r:id="rId36" w:history="1">
        <w:r w:rsidRPr="00A15BA9">
          <w:rPr>
            <w:rStyle w:val="Hyperlink"/>
            <w:rFonts w:ascii="Arial" w:hAnsi="Arial" w:cs="Arial"/>
            <w:sz w:val="24"/>
            <w:szCs w:val="24"/>
          </w:rPr>
          <w:t>https://www.swansea.gov.uk/contactus</w:t>
        </w:r>
      </w:hyperlink>
    </w:p>
    <w:p w14:paraId="2F41BBC0" w14:textId="784D346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Swanseahistoryweb.org.uk (2026). </w:t>
      </w:r>
      <w:r w:rsidRPr="00A15BA9">
        <w:rPr>
          <w:rFonts w:ascii="Arial" w:hAnsi="Arial" w:cs="Arial"/>
          <w:i/>
          <w:iCs/>
          <w:sz w:val="24"/>
          <w:szCs w:val="24"/>
        </w:rPr>
        <w:t>Port Development: A Chronology</w:t>
      </w:r>
      <w:r w:rsidRPr="00A15BA9">
        <w:rPr>
          <w:rFonts w:ascii="Arial" w:hAnsi="Arial" w:cs="Arial"/>
          <w:sz w:val="24"/>
          <w:szCs w:val="24"/>
        </w:rPr>
        <w:t xml:space="preserve">. [online] Available at: </w:t>
      </w:r>
      <w:hyperlink r:id="rId37" w:history="1">
        <w:r w:rsidRPr="00A15BA9">
          <w:rPr>
            <w:rStyle w:val="Hyperlink"/>
            <w:rFonts w:ascii="Arial" w:hAnsi="Arial" w:cs="Arial"/>
            <w:sz w:val="24"/>
            <w:szCs w:val="24"/>
          </w:rPr>
          <w:t>https://www.swanseahistoryweb.org.uk/swanseahistoryweb/history/port/chrono.html</w:t>
        </w:r>
      </w:hyperlink>
    </w:p>
    <w:p w14:paraId="68F50AF1" w14:textId="34B4A17E"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The Francis Frith Collection (2023). </w:t>
      </w:r>
      <w:r w:rsidRPr="00A15BA9">
        <w:rPr>
          <w:rFonts w:ascii="Arial" w:hAnsi="Arial" w:cs="Arial"/>
          <w:i/>
          <w:iCs/>
          <w:sz w:val="24"/>
          <w:szCs w:val="24"/>
        </w:rPr>
        <w:t>Swansea, the Sands 1910</w:t>
      </w:r>
      <w:r w:rsidRPr="00A15BA9">
        <w:rPr>
          <w:rFonts w:ascii="Arial" w:hAnsi="Arial" w:cs="Arial"/>
          <w:sz w:val="24"/>
          <w:szCs w:val="24"/>
        </w:rPr>
        <w:t xml:space="preserve">. [online] Available at: </w:t>
      </w:r>
      <w:hyperlink r:id="rId38" w:history="1">
        <w:r w:rsidRPr="00A15BA9">
          <w:rPr>
            <w:rStyle w:val="Hyperlink"/>
            <w:rFonts w:ascii="Arial" w:hAnsi="Arial" w:cs="Arial"/>
            <w:sz w:val="24"/>
            <w:szCs w:val="24"/>
          </w:rPr>
          <w:t>https://www.francisfrith.com/swansea/swansea-the-sands-1910_62573</w:t>
        </w:r>
      </w:hyperlink>
      <w:r w:rsidRPr="00A15BA9">
        <w:rPr>
          <w:rFonts w:ascii="Arial" w:hAnsi="Arial" w:cs="Arial"/>
          <w:sz w:val="24"/>
          <w:szCs w:val="24"/>
        </w:rPr>
        <w:t xml:space="preserve">  [Accessed 31 Mar. 2026].</w:t>
      </w:r>
    </w:p>
    <w:p w14:paraId="0A9894CF" w14:textId="75B68399"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Walsh, R. (2025). </w:t>
      </w:r>
      <w:r w:rsidRPr="00A15BA9">
        <w:rPr>
          <w:rFonts w:ascii="Arial" w:hAnsi="Arial" w:cs="Arial"/>
          <w:i/>
          <w:iCs/>
          <w:sz w:val="24"/>
          <w:szCs w:val="24"/>
        </w:rPr>
        <w:t>Discovering Britain: Swansea, the “Copperopolis” of Wales</w:t>
      </w:r>
      <w:r w:rsidRPr="00A15BA9">
        <w:rPr>
          <w:rFonts w:ascii="Arial" w:hAnsi="Arial" w:cs="Arial"/>
          <w:sz w:val="24"/>
          <w:szCs w:val="24"/>
        </w:rPr>
        <w:t xml:space="preserve">. [online] </w:t>
      </w:r>
      <w:r w:rsidRPr="00A15BA9">
        <w:rPr>
          <w:rFonts w:ascii="Arial" w:hAnsi="Arial" w:cs="Arial"/>
          <w:i/>
          <w:iCs/>
          <w:sz w:val="24"/>
          <w:szCs w:val="24"/>
        </w:rPr>
        <w:t>Geographical</w:t>
      </w:r>
      <w:r w:rsidRPr="00A15BA9">
        <w:rPr>
          <w:rFonts w:ascii="Arial" w:hAnsi="Arial" w:cs="Arial"/>
          <w:sz w:val="24"/>
          <w:szCs w:val="24"/>
        </w:rPr>
        <w:t xml:space="preserve">. Available at: </w:t>
      </w:r>
      <w:hyperlink r:id="rId39" w:history="1">
        <w:r w:rsidRPr="00A15BA9">
          <w:rPr>
            <w:rStyle w:val="Hyperlink"/>
            <w:rFonts w:ascii="Arial" w:hAnsi="Arial" w:cs="Arial"/>
            <w:sz w:val="24"/>
            <w:szCs w:val="24"/>
          </w:rPr>
          <w:t>https://geographical.co.uk/news/discovering-britain-swansea-the-copperopolis-of-wales</w:t>
        </w:r>
      </w:hyperlink>
    </w:p>
    <w:p w14:paraId="35BBCD1F" w14:textId="5B7B46E3"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lastRenderedPageBreak/>
        <w:t xml:space="preserve">Waters, C., Tye, A., Brown, S. and Schofield (n.d.). </w:t>
      </w:r>
      <w:r w:rsidRPr="00A15BA9">
        <w:rPr>
          <w:rFonts w:ascii="Arial" w:hAnsi="Arial" w:cs="Arial"/>
          <w:i/>
          <w:iCs/>
          <w:sz w:val="24"/>
          <w:szCs w:val="24"/>
        </w:rPr>
        <w:t>Urban geology of Swansea and Port Talbot</w:t>
      </w:r>
      <w:r w:rsidRPr="00A15BA9">
        <w:rPr>
          <w:rFonts w:ascii="Arial" w:hAnsi="Arial" w:cs="Arial"/>
          <w:sz w:val="24"/>
          <w:szCs w:val="24"/>
        </w:rPr>
        <w:t xml:space="preserve">. [online] Available at: </w:t>
      </w:r>
      <w:hyperlink r:id="rId40" w:history="1">
        <w:r w:rsidRPr="00A15BA9">
          <w:rPr>
            <w:rStyle w:val="Hyperlink"/>
            <w:rFonts w:ascii="Arial" w:hAnsi="Arial" w:cs="Arial"/>
            <w:sz w:val="24"/>
            <w:szCs w:val="24"/>
          </w:rPr>
          <w:t>https://nora.nerc.ac.uk/id/eprint/504837/1/Swansea%20NORA%20entry.pdf</w:t>
        </w:r>
      </w:hyperlink>
    </w:p>
    <w:p w14:paraId="0E27812A" w14:textId="737EC614"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www.designingbuildings.co.uk (n.d.). </w:t>
      </w:r>
      <w:r w:rsidRPr="00A15BA9">
        <w:rPr>
          <w:rFonts w:ascii="Arial" w:hAnsi="Arial" w:cs="Arial"/>
          <w:i/>
          <w:iCs/>
          <w:sz w:val="24"/>
          <w:szCs w:val="24"/>
        </w:rPr>
        <w:t>Pile cap.jpg</w:t>
      </w:r>
      <w:r w:rsidRPr="00A15BA9">
        <w:rPr>
          <w:rFonts w:ascii="Arial" w:hAnsi="Arial" w:cs="Arial"/>
          <w:sz w:val="24"/>
          <w:szCs w:val="24"/>
        </w:rPr>
        <w:t xml:space="preserve">. [online] Available at: </w:t>
      </w:r>
      <w:hyperlink r:id="rId41" w:history="1">
        <w:r w:rsidRPr="00A15BA9">
          <w:rPr>
            <w:rStyle w:val="Hyperlink"/>
            <w:rFonts w:ascii="Arial" w:hAnsi="Arial" w:cs="Arial"/>
            <w:sz w:val="24"/>
            <w:szCs w:val="24"/>
          </w:rPr>
          <w:t>https://www.designingbuildings.co.uk/wiki/File:Pile_cap.jpg</w:t>
        </w:r>
      </w:hyperlink>
    </w:p>
    <w:p w14:paraId="489E1BBB" w14:textId="086F7BCA"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 Zhu, C., Peng, J. and Jia, Y. (2023). </w:t>
      </w:r>
      <w:r w:rsidRPr="00A15BA9">
        <w:rPr>
          <w:rFonts w:ascii="Arial" w:hAnsi="Arial" w:cs="Arial"/>
          <w:i/>
          <w:iCs/>
          <w:sz w:val="24"/>
          <w:szCs w:val="24"/>
        </w:rPr>
        <w:t>Marine geohazards: Past, present, and future</w:t>
      </w:r>
      <w:r w:rsidRPr="00A15BA9">
        <w:rPr>
          <w:rFonts w:ascii="Arial" w:hAnsi="Arial" w:cs="Arial"/>
          <w:sz w:val="24"/>
          <w:szCs w:val="24"/>
        </w:rPr>
        <w:t xml:space="preserve">. </w:t>
      </w:r>
      <w:r w:rsidRPr="00A15BA9">
        <w:rPr>
          <w:rFonts w:ascii="Arial" w:hAnsi="Arial" w:cs="Arial"/>
          <w:i/>
          <w:iCs/>
          <w:sz w:val="24"/>
          <w:szCs w:val="24"/>
        </w:rPr>
        <w:t>Engineering Geology</w:t>
      </w:r>
      <w:r w:rsidRPr="00A15BA9">
        <w:rPr>
          <w:rFonts w:ascii="Arial" w:hAnsi="Arial" w:cs="Arial"/>
          <w:sz w:val="24"/>
          <w:szCs w:val="24"/>
        </w:rPr>
        <w:t xml:space="preserve">, 323, 107230. </w:t>
      </w:r>
      <w:hyperlink r:id="rId42" w:history="1">
        <w:r w:rsidRPr="00A15BA9">
          <w:rPr>
            <w:rStyle w:val="Hyperlink"/>
            <w:rFonts w:ascii="Arial" w:hAnsi="Arial" w:cs="Arial"/>
            <w:sz w:val="24"/>
            <w:szCs w:val="24"/>
          </w:rPr>
          <w:t>https://doi.org/10.1016/j.enggeo.2023.107230</w:t>
        </w:r>
      </w:hyperlink>
      <w:r w:rsidRPr="00A15BA9">
        <w:rPr>
          <w:rFonts w:ascii="Arial" w:hAnsi="Arial" w:cs="Arial"/>
          <w:sz w:val="24"/>
          <w:szCs w:val="24"/>
        </w:rPr>
        <w:t xml:space="preserve"> </w:t>
      </w:r>
    </w:p>
    <w:p w14:paraId="606EE8F7" w14:textId="77777777" w:rsidR="00835775" w:rsidRPr="00A15BA9" w:rsidRDefault="00835775" w:rsidP="00A15BA9">
      <w:pPr>
        <w:tabs>
          <w:tab w:val="left" w:pos="1000"/>
        </w:tabs>
        <w:spacing w:line="360" w:lineRule="auto"/>
        <w:rPr>
          <w:rFonts w:ascii="Arial" w:hAnsi="Arial" w:cs="Arial"/>
          <w:sz w:val="24"/>
          <w:szCs w:val="24"/>
        </w:rPr>
      </w:pPr>
      <w:r w:rsidRPr="00A15BA9">
        <w:rPr>
          <w:rFonts w:ascii="Arial" w:hAnsi="Arial" w:cs="Arial"/>
          <w:sz w:val="24"/>
          <w:szCs w:val="24"/>
        </w:rPr>
        <w:t>‌</w:t>
      </w:r>
    </w:p>
    <w:p w14:paraId="2CD45D0A" w14:textId="19EC2C51" w:rsidR="00835775" w:rsidRPr="00A15BA9" w:rsidRDefault="00835775" w:rsidP="00A15BA9">
      <w:pPr>
        <w:tabs>
          <w:tab w:val="left" w:pos="1000"/>
        </w:tabs>
        <w:spacing w:line="360" w:lineRule="auto"/>
        <w:rPr>
          <w:rFonts w:ascii="Arial" w:hAnsi="Arial" w:cs="Arial"/>
          <w:sz w:val="24"/>
          <w:szCs w:val="24"/>
        </w:rPr>
      </w:pPr>
    </w:p>
    <w:sectPr w:rsidR="00835775" w:rsidRPr="00A15BA9" w:rsidSect="00DC29CD">
      <w:footerReference w:type="default" r:id="rId4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0C1F" w14:textId="77777777" w:rsidR="00E4000A" w:rsidRDefault="00E4000A" w:rsidP="003B630A">
      <w:pPr>
        <w:spacing w:after="0" w:line="240" w:lineRule="auto"/>
      </w:pPr>
      <w:r>
        <w:separator/>
      </w:r>
    </w:p>
  </w:endnote>
  <w:endnote w:type="continuationSeparator" w:id="0">
    <w:p w14:paraId="15710AEC" w14:textId="77777777" w:rsidR="00E4000A" w:rsidRDefault="00E4000A" w:rsidP="003B6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58273" w14:textId="52502FA5" w:rsidR="00DC29CD" w:rsidRDefault="00DC29CD">
    <w:pPr>
      <w:pStyle w:val="Footer"/>
    </w:pPr>
  </w:p>
  <w:p w14:paraId="7E19DDCC" w14:textId="77777777" w:rsidR="00DC29CD" w:rsidRDefault="00DC29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072834"/>
      <w:docPartObj>
        <w:docPartGallery w:val="Page Numbers (Bottom of Page)"/>
        <w:docPartUnique/>
      </w:docPartObj>
    </w:sdtPr>
    <w:sdtEndPr>
      <w:rPr>
        <w:noProof/>
      </w:rPr>
    </w:sdtEndPr>
    <w:sdtContent>
      <w:p w14:paraId="6F875983" w14:textId="37BE68DC" w:rsidR="000F2521" w:rsidRDefault="000F2521" w:rsidP="000F25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BDAB02" w14:textId="77777777" w:rsidR="000F2521" w:rsidRDefault="000F2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760EE" w14:textId="77777777" w:rsidR="00E4000A" w:rsidRDefault="00E4000A" w:rsidP="003B630A">
      <w:pPr>
        <w:spacing w:after="0" w:line="240" w:lineRule="auto"/>
      </w:pPr>
      <w:r>
        <w:separator/>
      </w:r>
    </w:p>
  </w:footnote>
  <w:footnote w:type="continuationSeparator" w:id="0">
    <w:p w14:paraId="51EFCABB" w14:textId="77777777" w:rsidR="00E4000A" w:rsidRDefault="00E4000A" w:rsidP="003B63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251E5"/>
    <w:multiLevelType w:val="multilevel"/>
    <w:tmpl w:val="0F74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4864F3"/>
    <w:multiLevelType w:val="multilevel"/>
    <w:tmpl w:val="9484F45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400AD"/>
    <w:multiLevelType w:val="hybridMultilevel"/>
    <w:tmpl w:val="C67AD49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 w15:restartNumberingAfterBreak="0">
    <w:nsid w:val="14872CB2"/>
    <w:multiLevelType w:val="multilevel"/>
    <w:tmpl w:val="D1E8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556A0"/>
    <w:multiLevelType w:val="multilevel"/>
    <w:tmpl w:val="12E4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D7013"/>
    <w:multiLevelType w:val="multilevel"/>
    <w:tmpl w:val="9AC04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D83F84"/>
    <w:multiLevelType w:val="multilevel"/>
    <w:tmpl w:val="B9BCF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F115F3"/>
    <w:multiLevelType w:val="multilevel"/>
    <w:tmpl w:val="8DB00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5A015C"/>
    <w:multiLevelType w:val="multilevel"/>
    <w:tmpl w:val="C2CA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9D667E"/>
    <w:multiLevelType w:val="multilevel"/>
    <w:tmpl w:val="8C8C4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8D418B"/>
    <w:multiLevelType w:val="hybridMultilevel"/>
    <w:tmpl w:val="7CB0C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100140"/>
    <w:multiLevelType w:val="multilevel"/>
    <w:tmpl w:val="9484F4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C232B3"/>
    <w:multiLevelType w:val="hybridMultilevel"/>
    <w:tmpl w:val="58D43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080394"/>
    <w:multiLevelType w:val="hybridMultilevel"/>
    <w:tmpl w:val="D4C64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85B9C"/>
    <w:multiLevelType w:val="multilevel"/>
    <w:tmpl w:val="9576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773E67"/>
    <w:multiLevelType w:val="hybridMultilevel"/>
    <w:tmpl w:val="62C8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D51CC8"/>
    <w:multiLevelType w:val="hybridMultilevel"/>
    <w:tmpl w:val="05866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76FF1"/>
    <w:multiLevelType w:val="multilevel"/>
    <w:tmpl w:val="9484F4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021D2C"/>
    <w:multiLevelType w:val="hybridMultilevel"/>
    <w:tmpl w:val="B39E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7A1FEA"/>
    <w:multiLevelType w:val="multilevel"/>
    <w:tmpl w:val="F41E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0D6000"/>
    <w:multiLevelType w:val="multilevel"/>
    <w:tmpl w:val="6F42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319BF"/>
    <w:multiLevelType w:val="hybridMultilevel"/>
    <w:tmpl w:val="B2588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CB4400"/>
    <w:multiLevelType w:val="hybridMultilevel"/>
    <w:tmpl w:val="E2B4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487665"/>
    <w:multiLevelType w:val="hybridMultilevel"/>
    <w:tmpl w:val="B71E8662"/>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4" w15:restartNumberingAfterBreak="0">
    <w:nsid w:val="65413C5F"/>
    <w:multiLevelType w:val="hybridMultilevel"/>
    <w:tmpl w:val="7822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BD215F"/>
    <w:multiLevelType w:val="multilevel"/>
    <w:tmpl w:val="D27EB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161A38"/>
    <w:multiLevelType w:val="hybridMultilevel"/>
    <w:tmpl w:val="058AC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86349E"/>
    <w:multiLevelType w:val="hybridMultilevel"/>
    <w:tmpl w:val="ED98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954D0A"/>
    <w:multiLevelType w:val="hybridMultilevel"/>
    <w:tmpl w:val="ACACE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BA3CC8"/>
    <w:multiLevelType w:val="hybridMultilevel"/>
    <w:tmpl w:val="EE84D4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DCB2E4A"/>
    <w:multiLevelType w:val="hybridMultilevel"/>
    <w:tmpl w:val="24542300"/>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num w:numId="1" w16cid:durableId="2094888076">
    <w:abstractNumId w:val="27"/>
  </w:num>
  <w:num w:numId="2" w16cid:durableId="211354121">
    <w:abstractNumId w:val="7"/>
  </w:num>
  <w:num w:numId="3" w16cid:durableId="1426802552">
    <w:abstractNumId w:val="25"/>
  </w:num>
  <w:num w:numId="4" w16cid:durableId="1633167682">
    <w:abstractNumId w:val="17"/>
  </w:num>
  <w:num w:numId="5" w16cid:durableId="1456482435">
    <w:abstractNumId w:val="20"/>
  </w:num>
  <w:num w:numId="6" w16cid:durableId="1469468183">
    <w:abstractNumId w:val="9"/>
  </w:num>
  <w:num w:numId="7" w16cid:durableId="1883053017">
    <w:abstractNumId w:val="1"/>
  </w:num>
  <w:num w:numId="8" w16cid:durableId="1566841571">
    <w:abstractNumId w:val="11"/>
  </w:num>
  <w:num w:numId="9" w16cid:durableId="393890108">
    <w:abstractNumId w:val="0"/>
  </w:num>
  <w:num w:numId="10" w16cid:durableId="673143624">
    <w:abstractNumId w:val="8"/>
  </w:num>
  <w:num w:numId="11" w16cid:durableId="496120484">
    <w:abstractNumId w:val="3"/>
  </w:num>
  <w:num w:numId="12" w16cid:durableId="1576672106">
    <w:abstractNumId w:val="4"/>
  </w:num>
  <w:num w:numId="13" w16cid:durableId="889145305">
    <w:abstractNumId w:val="5"/>
  </w:num>
  <w:num w:numId="14" w16cid:durableId="699626260">
    <w:abstractNumId w:val="19"/>
  </w:num>
  <w:num w:numId="15" w16cid:durableId="2145854531">
    <w:abstractNumId w:val="6"/>
  </w:num>
  <w:num w:numId="16" w16cid:durableId="543298540">
    <w:abstractNumId w:val="28"/>
  </w:num>
  <w:num w:numId="17" w16cid:durableId="1845901752">
    <w:abstractNumId w:val="14"/>
  </w:num>
  <w:num w:numId="18" w16cid:durableId="1425033894">
    <w:abstractNumId w:val="2"/>
  </w:num>
  <w:num w:numId="19" w16cid:durableId="526794811">
    <w:abstractNumId w:val="15"/>
  </w:num>
  <w:num w:numId="20" w16cid:durableId="1437559767">
    <w:abstractNumId w:val="21"/>
  </w:num>
  <w:num w:numId="21" w16cid:durableId="359210391">
    <w:abstractNumId w:val="16"/>
  </w:num>
  <w:num w:numId="22" w16cid:durableId="846793370">
    <w:abstractNumId w:val="22"/>
  </w:num>
  <w:num w:numId="23" w16cid:durableId="1822892664">
    <w:abstractNumId w:val="30"/>
  </w:num>
  <w:num w:numId="24" w16cid:durableId="1182862692">
    <w:abstractNumId w:val="23"/>
  </w:num>
  <w:num w:numId="25" w16cid:durableId="1023942993">
    <w:abstractNumId w:val="18"/>
  </w:num>
  <w:num w:numId="26" w16cid:durableId="2107726793">
    <w:abstractNumId w:val="29"/>
  </w:num>
  <w:num w:numId="27" w16cid:durableId="2131896910">
    <w:abstractNumId w:val="10"/>
  </w:num>
  <w:num w:numId="28" w16cid:durableId="2046638482">
    <w:abstractNumId w:val="13"/>
  </w:num>
  <w:num w:numId="29" w16cid:durableId="457574783">
    <w:abstractNumId w:val="26"/>
  </w:num>
  <w:num w:numId="30" w16cid:durableId="479856271">
    <w:abstractNumId w:val="12"/>
  </w:num>
  <w:num w:numId="31" w16cid:durableId="9084601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666"/>
    <w:rsid w:val="00021794"/>
    <w:rsid w:val="000262AC"/>
    <w:rsid w:val="00037EC5"/>
    <w:rsid w:val="000408D9"/>
    <w:rsid w:val="0006063B"/>
    <w:rsid w:val="000607CD"/>
    <w:rsid w:val="0006126A"/>
    <w:rsid w:val="00064789"/>
    <w:rsid w:val="00072AFE"/>
    <w:rsid w:val="000949B1"/>
    <w:rsid w:val="000A5EA6"/>
    <w:rsid w:val="000B6C10"/>
    <w:rsid w:val="000C4BEC"/>
    <w:rsid w:val="000C5020"/>
    <w:rsid w:val="000E3276"/>
    <w:rsid w:val="000F2521"/>
    <w:rsid w:val="000F4E62"/>
    <w:rsid w:val="00103231"/>
    <w:rsid w:val="00110682"/>
    <w:rsid w:val="00114E82"/>
    <w:rsid w:val="001152B0"/>
    <w:rsid w:val="001218AC"/>
    <w:rsid w:val="001239CA"/>
    <w:rsid w:val="00125463"/>
    <w:rsid w:val="00130CF1"/>
    <w:rsid w:val="00145CA0"/>
    <w:rsid w:val="001469AA"/>
    <w:rsid w:val="001522C0"/>
    <w:rsid w:val="00163485"/>
    <w:rsid w:val="00163C49"/>
    <w:rsid w:val="001859D4"/>
    <w:rsid w:val="00190B42"/>
    <w:rsid w:val="001A25CB"/>
    <w:rsid w:val="001A3780"/>
    <w:rsid w:val="001C5409"/>
    <w:rsid w:val="001D18AF"/>
    <w:rsid w:val="001D2190"/>
    <w:rsid w:val="001E16E4"/>
    <w:rsid w:val="001E358E"/>
    <w:rsid w:val="001E38D4"/>
    <w:rsid w:val="001F1B85"/>
    <w:rsid w:val="001F3FF7"/>
    <w:rsid w:val="001F4BA2"/>
    <w:rsid w:val="001F5ABF"/>
    <w:rsid w:val="00200AD5"/>
    <w:rsid w:val="00207D73"/>
    <w:rsid w:val="00214584"/>
    <w:rsid w:val="002177AC"/>
    <w:rsid w:val="002225D0"/>
    <w:rsid w:val="002256AA"/>
    <w:rsid w:val="00236C8C"/>
    <w:rsid w:val="00240BF2"/>
    <w:rsid w:val="00244A9D"/>
    <w:rsid w:val="0025530B"/>
    <w:rsid w:val="00256DA6"/>
    <w:rsid w:val="0025707F"/>
    <w:rsid w:val="002612AE"/>
    <w:rsid w:val="00262BAE"/>
    <w:rsid w:val="002660A5"/>
    <w:rsid w:val="00266127"/>
    <w:rsid w:val="00285878"/>
    <w:rsid w:val="002862D0"/>
    <w:rsid w:val="00292559"/>
    <w:rsid w:val="002A3666"/>
    <w:rsid w:val="002A3A6A"/>
    <w:rsid w:val="002A7C9E"/>
    <w:rsid w:val="002C2C6B"/>
    <w:rsid w:val="002D2A58"/>
    <w:rsid w:val="002D7C1C"/>
    <w:rsid w:val="002E4AD2"/>
    <w:rsid w:val="002E6229"/>
    <w:rsid w:val="002E6283"/>
    <w:rsid w:val="002E7984"/>
    <w:rsid w:val="002F1ED5"/>
    <w:rsid w:val="002F468C"/>
    <w:rsid w:val="002F4DF9"/>
    <w:rsid w:val="002F652E"/>
    <w:rsid w:val="003018E0"/>
    <w:rsid w:val="003068C7"/>
    <w:rsid w:val="00312D4C"/>
    <w:rsid w:val="00313B0A"/>
    <w:rsid w:val="00325F9A"/>
    <w:rsid w:val="00343BFD"/>
    <w:rsid w:val="003530E0"/>
    <w:rsid w:val="00356DCB"/>
    <w:rsid w:val="003648B9"/>
    <w:rsid w:val="003648F2"/>
    <w:rsid w:val="00384CC5"/>
    <w:rsid w:val="003922C9"/>
    <w:rsid w:val="003B1412"/>
    <w:rsid w:val="003B630A"/>
    <w:rsid w:val="003C6734"/>
    <w:rsid w:val="003D37FD"/>
    <w:rsid w:val="003D3B22"/>
    <w:rsid w:val="003D7BA9"/>
    <w:rsid w:val="003E38B8"/>
    <w:rsid w:val="003E3E50"/>
    <w:rsid w:val="003E7E95"/>
    <w:rsid w:val="003F2B52"/>
    <w:rsid w:val="00401CD4"/>
    <w:rsid w:val="00407E58"/>
    <w:rsid w:val="00410E5D"/>
    <w:rsid w:val="00415185"/>
    <w:rsid w:val="004200BB"/>
    <w:rsid w:val="00422951"/>
    <w:rsid w:val="004257AC"/>
    <w:rsid w:val="00426955"/>
    <w:rsid w:val="00427323"/>
    <w:rsid w:val="00431CFD"/>
    <w:rsid w:val="00433850"/>
    <w:rsid w:val="00435F36"/>
    <w:rsid w:val="0045289A"/>
    <w:rsid w:val="00474515"/>
    <w:rsid w:val="00492E04"/>
    <w:rsid w:val="00493C82"/>
    <w:rsid w:val="00495C21"/>
    <w:rsid w:val="004A037A"/>
    <w:rsid w:val="004A16A3"/>
    <w:rsid w:val="004C7275"/>
    <w:rsid w:val="004D3F1B"/>
    <w:rsid w:val="004D46D7"/>
    <w:rsid w:val="004D56DC"/>
    <w:rsid w:val="004D6470"/>
    <w:rsid w:val="004E01D5"/>
    <w:rsid w:val="004E1118"/>
    <w:rsid w:val="004E4040"/>
    <w:rsid w:val="004E57CF"/>
    <w:rsid w:val="004E7A57"/>
    <w:rsid w:val="004F38EC"/>
    <w:rsid w:val="004F6B4D"/>
    <w:rsid w:val="005001A3"/>
    <w:rsid w:val="005058FD"/>
    <w:rsid w:val="0050697C"/>
    <w:rsid w:val="00517847"/>
    <w:rsid w:val="005255D6"/>
    <w:rsid w:val="005327CE"/>
    <w:rsid w:val="00553C1B"/>
    <w:rsid w:val="00554187"/>
    <w:rsid w:val="005547BE"/>
    <w:rsid w:val="00564C43"/>
    <w:rsid w:val="0056526D"/>
    <w:rsid w:val="00572E1C"/>
    <w:rsid w:val="00573CE3"/>
    <w:rsid w:val="0058350B"/>
    <w:rsid w:val="00591082"/>
    <w:rsid w:val="005C5D14"/>
    <w:rsid w:val="005C7415"/>
    <w:rsid w:val="005D0E5E"/>
    <w:rsid w:val="005D6DC5"/>
    <w:rsid w:val="005E1C3E"/>
    <w:rsid w:val="005E2C23"/>
    <w:rsid w:val="005E2E2A"/>
    <w:rsid w:val="005F3154"/>
    <w:rsid w:val="005F4CDA"/>
    <w:rsid w:val="005F57B2"/>
    <w:rsid w:val="00610492"/>
    <w:rsid w:val="00612137"/>
    <w:rsid w:val="006208FA"/>
    <w:rsid w:val="0062608A"/>
    <w:rsid w:val="00633299"/>
    <w:rsid w:val="00634225"/>
    <w:rsid w:val="00637D7B"/>
    <w:rsid w:val="00646702"/>
    <w:rsid w:val="00652C04"/>
    <w:rsid w:val="0066010F"/>
    <w:rsid w:val="00673A82"/>
    <w:rsid w:val="00677D83"/>
    <w:rsid w:val="006803C0"/>
    <w:rsid w:val="00683F0E"/>
    <w:rsid w:val="00693198"/>
    <w:rsid w:val="0069470A"/>
    <w:rsid w:val="006A1741"/>
    <w:rsid w:val="006C3215"/>
    <w:rsid w:val="006C5267"/>
    <w:rsid w:val="006C6B48"/>
    <w:rsid w:val="006E4EFC"/>
    <w:rsid w:val="006E6FB9"/>
    <w:rsid w:val="00703B49"/>
    <w:rsid w:val="00710B06"/>
    <w:rsid w:val="00724347"/>
    <w:rsid w:val="0074191F"/>
    <w:rsid w:val="00742611"/>
    <w:rsid w:val="00744853"/>
    <w:rsid w:val="0075014A"/>
    <w:rsid w:val="007520AB"/>
    <w:rsid w:val="007607F1"/>
    <w:rsid w:val="007906A9"/>
    <w:rsid w:val="007A1803"/>
    <w:rsid w:val="007A4956"/>
    <w:rsid w:val="007A4D0F"/>
    <w:rsid w:val="007A5BEF"/>
    <w:rsid w:val="007A665E"/>
    <w:rsid w:val="007B49B1"/>
    <w:rsid w:val="007B6C23"/>
    <w:rsid w:val="007C56DA"/>
    <w:rsid w:val="007D5D55"/>
    <w:rsid w:val="007E0918"/>
    <w:rsid w:val="007E1A82"/>
    <w:rsid w:val="007F0F22"/>
    <w:rsid w:val="007F315E"/>
    <w:rsid w:val="007F4CE7"/>
    <w:rsid w:val="007F57BA"/>
    <w:rsid w:val="00802C11"/>
    <w:rsid w:val="00806F6E"/>
    <w:rsid w:val="00820D3C"/>
    <w:rsid w:val="0083011B"/>
    <w:rsid w:val="00830FA2"/>
    <w:rsid w:val="00831EAC"/>
    <w:rsid w:val="00835775"/>
    <w:rsid w:val="0083725E"/>
    <w:rsid w:val="008379AF"/>
    <w:rsid w:val="00841CEE"/>
    <w:rsid w:val="00850E6E"/>
    <w:rsid w:val="00862500"/>
    <w:rsid w:val="008804FB"/>
    <w:rsid w:val="008817D2"/>
    <w:rsid w:val="00882790"/>
    <w:rsid w:val="00882F78"/>
    <w:rsid w:val="008A343A"/>
    <w:rsid w:val="008B2FA3"/>
    <w:rsid w:val="008B348C"/>
    <w:rsid w:val="008B5922"/>
    <w:rsid w:val="008B735C"/>
    <w:rsid w:val="008C0E11"/>
    <w:rsid w:val="008C10F0"/>
    <w:rsid w:val="008C4792"/>
    <w:rsid w:val="008D3BEF"/>
    <w:rsid w:val="008D50CE"/>
    <w:rsid w:val="008E00E9"/>
    <w:rsid w:val="008E0838"/>
    <w:rsid w:val="008E1459"/>
    <w:rsid w:val="008E185B"/>
    <w:rsid w:val="008E1BF7"/>
    <w:rsid w:val="008E7317"/>
    <w:rsid w:val="008F006D"/>
    <w:rsid w:val="008F2E2B"/>
    <w:rsid w:val="0090201C"/>
    <w:rsid w:val="00905CE4"/>
    <w:rsid w:val="00906065"/>
    <w:rsid w:val="00906513"/>
    <w:rsid w:val="00910CED"/>
    <w:rsid w:val="00946B85"/>
    <w:rsid w:val="00956DAD"/>
    <w:rsid w:val="00961032"/>
    <w:rsid w:val="0096143A"/>
    <w:rsid w:val="00976A41"/>
    <w:rsid w:val="00980559"/>
    <w:rsid w:val="009A0298"/>
    <w:rsid w:val="009B1292"/>
    <w:rsid w:val="009B438C"/>
    <w:rsid w:val="009B6B17"/>
    <w:rsid w:val="009C3B1B"/>
    <w:rsid w:val="009E2FF2"/>
    <w:rsid w:val="009F7805"/>
    <w:rsid w:val="00A04ED8"/>
    <w:rsid w:val="00A0722C"/>
    <w:rsid w:val="00A10D68"/>
    <w:rsid w:val="00A15BA9"/>
    <w:rsid w:val="00A466D4"/>
    <w:rsid w:val="00A528BB"/>
    <w:rsid w:val="00A54588"/>
    <w:rsid w:val="00A561CA"/>
    <w:rsid w:val="00A6463B"/>
    <w:rsid w:val="00A8614D"/>
    <w:rsid w:val="00A87549"/>
    <w:rsid w:val="00A955A0"/>
    <w:rsid w:val="00AA24CB"/>
    <w:rsid w:val="00AA4C1D"/>
    <w:rsid w:val="00AA55F3"/>
    <w:rsid w:val="00AC0303"/>
    <w:rsid w:val="00AC081A"/>
    <w:rsid w:val="00AD1574"/>
    <w:rsid w:val="00AD5080"/>
    <w:rsid w:val="00AE4C08"/>
    <w:rsid w:val="00B02848"/>
    <w:rsid w:val="00B0410B"/>
    <w:rsid w:val="00B17015"/>
    <w:rsid w:val="00B2166F"/>
    <w:rsid w:val="00B2196B"/>
    <w:rsid w:val="00B32C96"/>
    <w:rsid w:val="00B373CD"/>
    <w:rsid w:val="00B62DD8"/>
    <w:rsid w:val="00B66F37"/>
    <w:rsid w:val="00B765CB"/>
    <w:rsid w:val="00B84AF9"/>
    <w:rsid w:val="00B858AA"/>
    <w:rsid w:val="00B85F02"/>
    <w:rsid w:val="00B87DA4"/>
    <w:rsid w:val="00B924C8"/>
    <w:rsid w:val="00B93F70"/>
    <w:rsid w:val="00BB098F"/>
    <w:rsid w:val="00BB59F4"/>
    <w:rsid w:val="00BC2748"/>
    <w:rsid w:val="00BE57E0"/>
    <w:rsid w:val="00BE77E0"/>
    <w:rsid w:val="00BF1DEB"/>
    <w:rsid w:val="00BF3076"/>
    <w:rsid w:val="00BF5364"/>
    <w:rsid w:val="00BF5675"/>
    <w:rsid w:val="00BF76BB"/>
    <w:rsid w:val="00C046F6"/>
    <w:rsid w:val="00C155AA"/>
    <w:rsid w:val="00C214E3"/>
    <w:rsid w:val="00C24F98"/>
    <w:rsid w:val="00C41335"/>
    <w:rsid w:val="00C443BB"/>
    <w:rsid w:val="00C47CC3"/>
    <w:rsid w:val="00C56EA0"/>
    <w:rsid w:val="00C60F05"/>
    <w:rsid w:val="00C70341"/>
    <w:rsid w:val="00C71C38"/>
    <w:rsid w:val="00C73447"/>
    <w:rsid w:val="00C7720A"/>
    <w:rsid w:val="00C81B60"/>
    <w:rsid w:val="00C869FA"/>
    <w:rsid w:val="00C90D67"/>
    <w:rsid w:val="00C9744E"/>
    <w:rsid w:val="00CA5F2A"/>
    <w:rsid w:val="00CB1F59"/>
    <w:rsid w:val="00CC1FAD"/>
    <w:rsid w:val="00CC5A26"/>
    <w:rsid w:val="00CC7BC1"/>
    <w:rsid w:val="00CD69C3"/>
    <w:rsid w:val="00CF47DD"/>
    <w:rsid w:val="00D00F98"/>
    <w:rsid w:val="00D0598A"/>
    <w:rsid w:val="00D1336F"/>
    <w:rsid w:val="00D337EB"/>
    <w:rsid w:val="00D56F3F"/>
    <w:rsid w:val="00D66B6D"/>
    <w:rsid w:val="00D769DE"/>
    <w:rsid w:val="00D7715B"/>
    <w:rsid w:val="00D82C80"/>
    <w:rsid w:val="00D82FBB"/>
    <w:rsid w:val="00D85D33"/>
    <w:rsid w:val="00D9183C"/>
    <w:rsid w:val="00DB302D"/>
    <w:rsid w:val="00DC0E85"/>
    <w:rsid w:val="00DC1348"/>
    <w:rsid w:val="00DC27D0"/>
    <w:rsid w:val="00DC29CD"/>
    <w:rsid w:val="00DC4139"/>
    <w:rsid w:val="00DC7539"/>
    <w:rsid w:val="00DC75A0"/>
    <w:rsid w:val="00DD01A2"/>
    <w:rsid w:val="00DE15BA"/>
    <w:rsid w:val="00DE58DA"/>
    <w:rsid w:val="00DF1331"/>
    <w:rsid w:val="00E01DE2"/>
    <w:rsid w:val="00E02F86"/>
    <w:rsid w:val="00E10813"/>
    <w:rsid w:val="00E1657D"/>
    <w:rsid w:val="00E2041A"/>
    <w:rsid w:val="00E20C61"/>
    <w:rsid w:val="00E37C4A"/>
    <w:rsid w:val="00E4000A"/>
    <w:rsid w:val="00E41E75"/>
    <w:rsid w:val="00E44FA1"/>
    <w:rsid w:val="00E45FFD"/>
    <w:rsid w:val="00E706B7"/>
    <w:rsid w:val="00E71D2B"/>
    <w:rsid w:val="00E722E8"/>
    <w:rsid w:val="00E770EF"/>
    <w:rsid w:val="00E77DAF"/>
    <w:rsid w:val="00E82EF8"/>
    <w:rsid w:val="00E91EA8"/>
    <w:rsid w:val="00E9236E"/>
    <w:rsid w:val="00E968F2"/>
    <w:rsid w:val="00EA158E"/>
    <w:rsid w:val="00EC38B0"/>
    <w:rsid w:val="00EC6FB5"/>
    <w:rsid w:val="00ED731F"/>
    <w:rsid w:val="00EE4FCE"/>
    <w:rsid w:val="00EF197B"/>
    <w:rsid w:val="00F021C4"/>
    <w:rsid w:val="00F125F7"/>
    <w:rsid w:val="00F200EE"/>
    <w:rsid w:val="00F2081B"/>
    <w:rsid w:val="00F22489"/>
    <w:rsid w:val="00F22DA4"/>
    <w:rsid w:val="00F24F48"/>
    <w:rsid w:val="00F25F1C"/>
    <w:rsid w:val="00F57510"/>
    <w:rsid w:val="00F63270"/>
    <w:rsid w:val="00F711C2"/>
    <w:rsid w:val="00F73BFC"/>
    <w:rsid w:val="00F75BAC"/>
    <w:rsid w:val="00F83850"/>
    <w:rsid w:val="00F855BD"/>
    <w:rsid w:val="00F87A6A"/>
    <w:rsid w:val="00F939F9"/>
    <w:rsid w:val="00FA6742"/>
    <w:rsid w:val="00FB1DBF"/>
    <w:rsid w:val="00FB259F"/>
    <w:rsid w:val="00FC44ED"/>
    <w:rsid w:val="00FC6932"/>
    <w:rsid w:val="00FE0898"/>
    <w:rsid w:val="00FF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91178"/>
  <w15:chartTrackingRefBased/>
  <w15:docId w15:val="{29F566DD-F6C0-450B-B503-E95A98884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6A9"/>
  </w:style>
  <w:style w:type="paragraph" w:styleId="Heading1">
    <w:name w:val="heading 1"/>
    <w:basedOn w:val="Normal"/>
    <w:next w:val="Normal"/>
    <w:link w:val="Heading1Char"/>
    <w:uiPriority w:val="9"/>
    <w:qFormat/>
    <w:rsid w:val="002A36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6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6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6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6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6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6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6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6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6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6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6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6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6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6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6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6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666"/>
    <w:rPr>
      <w:rFonts w:eastAsiaTheme="majorEastAsia" w:cstheme="majorBidi"/>
      <w:color w:val="272727" w:themeColor="text1" w:themeTint="D8"/>
    </w:rPr>
  </w:style>
  <w:style w:type="paragraph" w:styleId="Title">
    <w:name w:val="Title"/>
    <w:basedOn w:val="Normal"/>
    <w:next w:val="Normal"/>
    <w:link w:val="TitleChar"/>
    <w:uiPriority w:val="10"/>
    <w:qFormat/>
    <w:rsid w:val="002A36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6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6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6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666"/>
    <w:pPr>
      <w:spacing w:before="160"/>
      <w:jc w:val="center"/>
    </w:pPr>
    <w:rPr>
      <w:i/>
      <w:iCs/>
      <w:color w:val="404040" w:themeColor="text1" w:themeTint="BF"/>
    </w:rPr>
  </w:style>
  <w:style w:type="character" w:customStyle="1" w:styleId="QuoteChar">
    <w:name w:val="Quote Char"/>
    <w:basedOn w:val="DefaultParagraphFont"/>
    <w:link w:val="Quote"/>
    <w:uiPriority w:val="29"/>
    <w:rsid w:val="002A3666"/>
    <w:rPr>
      <w:i/>
      <w:iCs/>
      <w:color w:val="404040" w:themeColor="text1" w:themeTint="BF"/>
    </w:rPr>
  </w:style>
  <w:style w:type="paragraph" w:styleId="ListParagraph">
    <w:name w:val="List Paragraph"/>
    <w:basedOn w:val="Normal"/>
    <w:uiPriority w:val="34"/>
    <w:qFormat/>
    <w:rsid w:val="002A3666"/>
    <w:pPr>
      <w:ind w:left="720"/>
      <w:contextualSpacing/>
    </w:pPr>
  </w:style>
  <w:style w:type="character" w:styleId="IntenseEmphasis">
    <w:name w:val="Intense Emphasis"/>
    <w:basedOn w:val="DefaultParagraphFont"/>
    <w:uiPriority w:val="21"/>
    <w:qFormat/>
    <w:rsid w:val="002A3666"/>
    <w:rPr>
      <w:i/>
      <w:iCs/>
      <w:color w:val="0F4761" w:themeColor="accent1" w:themeShade="BF"/>
    </w:rPr>
  </w:style>
  <w:style w:type="paragraph" w:styleId="IntenseQuote">
    <w:name w:val="Intense Quote"/>
    <w:basedOn w:val="Normal"/>
    <w:next w:val="Normal"/>
    <w:link w:val="IntenseQuoteChar"/>
    <w:uiPriority w:val="30"/>
    <w:qFormat/>
    <w:rsid w:val="002A36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666"/>
    <w:rPr>
      <w:i/>
      <w:iCs/>
      <w:color w:val="0F4761" w:themeColor="accent1" w:themeShade="BF"/>
    </w:rPr>
  </w:style>
  <w:style w:type="character" w:styleId="IntenseReference">
    <w:name w:val="Intense Reference"/>
    <w:basedOn w:val="DefaultParagraphFont"/>
    <w:uiPriority w:val="32"/>
    <w:qFormat/>
    <w:rsid w:val="002A3666"/>
    <w:rPr>
      <w:b/>
      <w:bCs/>
      <w:smallCaps/>
      <w:color w:val="0F4761" w:themeColor="accent1" w:themeShade="BF"/>
      <w:spacing w:val="5"/>
    </w:rPr>
  </w:style>
  <w:style w:type="character" w:styleId="Hyperlink">
    <w:name w:val="Hyperlink"/>
    <w:basedOn w:val="DefaultParagraphFont"/>
    <w:uiPriority w:val="99"/>
    <w:unhideWhenUsed/>
    <w:rsid w:val="00B924C8"/>
    <w:rPr>
      <w:color w:val="467886" w:themeColor="hyperlink"/>
      <w:u w:val="single"/>
    </w:rPr>
  </w:style>
  <w:style w:type="character" w:styleId="UnresolvedMention">
    <w:name w:val="Unresolved Mention"/>
    <w:basedOn w:val="DefaultParagraphFont"/>
    <w:uiPriority w:val="99"/>
    <w:semiHidden/>
    <w:unhideWhenUsed/>
    <w:rsid w:val="00B924C8"/>
    <w:rPr>
      <w:color w:val="605E5C"/>
      <w:shd w:val="clear" w:color="auto" w:fill="E1DFDD"/>
    </w:rPr>
  </w:style>
  <w:style w:type="character" w:styleId="FollowedHyperlink">
    <w:name w:val="FollowedHyperlink"/>
    <w:basedOn w:val="DefaultParagraphFont"/>
    <w:uiPriority w:val="99"/>
    <w:semiHidden/>
    <w:unhideWhenUsed/>
    <w:rsid w:val="00356DCB"/>
    <w:rPr>
      <w:color w:val="96607D" w:themeColor="followedHyperlink"/>
      <w:u w:val="single"/>
    </w:rPr>
  </w:style>
  <w:style w:type="paragraph" w:styleId="NormalWeb">
    <w:name w:val="Normal (Web)"/>
    <w:basedOn w:val="Normal"/>
    <w:uiPriority w:val="99"/>
    <w:semiHidden/>
    <w:unhideWhenUsed/>
    <w:rsid w:val="004E7A57"/>
    <w:rPr>
      <w:rFonts w:ascii="Times New Roman" w:hAnsi="Times New Roman" w:cs="Times New Roman"/>
      <w:sz w:val="24"/>
      <w:szCs w:val="24"/>
    </w:rPr>
  </w:style>
  <w:style w:type="character" w:styleId="Strong">
    <w:name w:val="Strong"/>
    <w:basedOn w:val="DefaultParagraphFont"/>
    <w:uiPriority w:val="22"/>
    <w:qFormat/>
    <w:rsid w:val="00D56F3F"/>
    <w:rPr>
      <w:b/>
      <w:bCs/>
    </w:rPr>
  </w:style>
  <w:style w:type="paragraph" w:styleId="Header">
    <w:name w:val="header"/>
    <w:basedOn w:val="Normal"/>
    <w:link w:val="HeaderChar"/>
    <w:uiPriority w:val="99"/>
    <w:unhideWhenUsed/>
    <w:rsid w:val="003B6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0A"/>
  </w:style>
  <w:style w:type="paragraph" w:styleId="Footer">
    <w:name w:val="footer"/>
    <w:basedOn w:val="Normal"/>
    <w:link w:val="FooterChar"/>
    <w:uiPriority w:val="99"/>
    <w:unhideWhenUsed/>
    <w:rsid w:val="003B6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0A"/>
  </w:style>
  <w:style w:type="paragraph" w:styleId="TOCHeading">
    <w:name w:val="TOC Heading"/>
    <w:basedOn w:val="Heading1"/>
    <w:next w:val="Normal"/>
    <w:uiPriority w:val="39"/>
    <w:unhideWhenUsed/>
    <w:qFormat/>
    <w:rsid w:val="005C5D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C5D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publications.aecom.com/water/managing-flood-risk/projects/swansea-bay-tidal-lagoon" TargetMode="External"/><Relationship Id="rId26" Type="http://schemas.openxmlformats.org/officeDocument/2006/relationships/hyperlink" Target="https://www.gov.uk/government/publications/groundwater-protection-position-statements" TargetMode="External"/><Relationship Id="rId39" Type="http://schemas.openxmlformats.org/officeDocument/2006/relationships/hyperlink" Target="https://geographical.co.uk/news/discovering-britain-swansea-the-copperopolis-of-wales" TargetMode="External"/><Relationship Id="rId21" Type="http://schemas.openxmlformats.org/officeDocument/2006/relationships/hyperlink" Target="https://mapapps2.bgs.ac.uk/geoindex/home.html" TargetMode="External"/><Relationship Id="rId34" Type="http://schemas.openxmlformats.org/officeDocument/2006/relationships/hyperlink" Target="https://www.slideshare.net/slideshow/the-benefits-of-ggbs-cement-in-concrete-2011-engineers-amp-architects/6992654" TargetMode="External"/><Relationship Id="rId42" Type="http://schemas.openxmlformats.org/officeDocument/2006/relationships/hyperlink" Target="https://doi.org/10.1016/j.enggeo.2023.10723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hyperlink" Target="https://indonesian-recipes.com/download/2030-vers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townmaps.history.ac.uk/townmap/glamorganshire-swansea-1852/" TargetMode="External"/><Relationship Id="rId32" Type="http://schemas.openxmlformats.org/officeDocument/2006/relationships/hyperlink" Target="https://www.newbuildinspections.com/knowledgebase/nhbc-standards-chapter-4-4-raft-pile-pier-and-beam-foundations/" TargetMode="External"/><Relationship Id="rId37" Type="http://schemas.openxmlformats.org/officeDocument/2006/relationships/hyperlink" Target="https://www.swanseahistoryweb.org.uk/swanseahistoryweb/history/port/chrono.html" TargetMode="External"/><Relationship Id="rId40" Type="http://schemas.openxmlformats.org/officeDocument/2006/relationships/hyperlink" Target="https://nora.nerc.ac.uk/id/eprint/504837/1/Swansea%20NORA%20entry.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yperlink" Target="https://knowledge.bsigroup.com/products/investigation-of-potentially-contaminated-sites-code-of-practice-1" TargetMode="External"/><Relationship Id="rId28" Type="http://schemas.openxmlformats.org/officeDocument/2006/relationships/hyperlink" Target="https://eurocodes.jrc.ec.europa.eu/EN-Eurocodes/eurocode-7-geotechnical-design" TargetMode="External"/><Relationship Id="rId36" Type="http://schemas.openxmlformats.org/officeDocument/2006/relationships/hyperlink" Target="https://www.swansea.gov.uk/contactus" TargetMode="External"/><Relationship Id="rId10" Type="http://schemas.openxmlformats.org/officeDocument/2006/relationships/footer" Target="footer1.xml"/><Relationship Id="rId19" Type="http://schemas.openxmlformats.org/officeDocument/2006/relationships/hyperlink" Target="https://www.alanwood.co.uk/resources/site-investigations-explained-scope-methods-and-risk-reduction" TargetMode="External"/><Relationship Id="rId31" Type="http://schemas.openxmlformats.org/officeDocument/2006/relationships/hyperlink" Target="https://nora.nerc.ac.uk/id/eprint/508445/1/OR14045.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emf"/><Relationship Id="rId22" Type="http://schemas.openxmlformats.org/officeDocument/2006/relationships/hyperlink" Target="https://www.bgs.ac.uk/about-bgs/services/government/" TargetMode="External"/><Relationship Id="rId27" Type="http://schemas.openxmlformats.org/officeDocument/2006/relationships/hyperlink" Target="https://oro.open.ac.uk/66167/3/GILBERT_A329_RVOR.pdf" TargetMode="External"/><Relationship Id="rId30" Type="http://schemas.openxmlformats.org/officeDocument/2006/relationships/hyperlink" Target="https://www.numberanalytics.com/blog/risk-assessment-coastal-development" TargetMode="External"/><Relationship Id="rId35" Type="http://schemas.openxmlformats.org/officeDocument/2006/relationships/hyperlink" Target="https://www.swansea.gov.uk/swanseabay?lang=en"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emf"/><Relationship Id="rId25" Type="http://schemas.openxmlformats.org/officeDocument/2006/relationships/hyperlink" Target="https://www.earthsciencepartnership.co.uk/projects/ground-gas-monitoring-methods/" TargetMode="External"/><Relationship Id="rId33" Type="http://schemas.openxmlformats.org/officeDocument/2006/relationships/hyperlink" Target="https://www.bricknbolt.com/blogs-and-articles/construction-guide/bored-piles" TargetMode="External"/><Relationship Id="rId38" Type="http://schemas.openxmlformats.org/officeDocument/2006/relationships/hyperlink" Target="https://www.francisfrith.com/swansea/swansea-the-sands-1910_62573" TargetMode="External"/><Relationship Id="rId20" Type="http://schemas.openxmlformats.org/officeDocument/2006/relationships/hyperlink" Target="https://assets.publishing.service.gov.uk/media/5a80437640f0b623026927b2/BR_PDF_AD_A_2013.pdf" TargetMode="External"/><Relationship Id="rId41" Type="http://schemas.openxmlformats.org/officeDocument/2006/relationships/hyperlink" Target="https://www.designingbuildings.co.uk/wiki/File:Pile_cap.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446C8-0E9A-4A1F-8C54-38DD7DCB7BA5}">
  <ds:schemaRefs>
    <ds:schemaRef ds:uri="http://schemas.openxmlformats.org/officeDocument/2006/bibliography"/>
  </ds:schemaRefs>
</ds:datastoreItem>
</file>

<file path=docMetadata/LabelInfo.xml><?xml version="1.0" encoding="utf-8"?>
<clbl:labelList xmlns:clbl="http://schemas.microsoft.com/office/2020/mipLabelMetadata">
  <clbl:label id="{33de13fb-1d18-40bc-9677-d14788ccf24a}" enabled="0" method="" siteId="{33de13fb-1d18-40bc-9677-d14788ccf24a}" removed="1"/>
</clbl:labelList>
</file>

<file path=docProps/app.xml><?xml version="1.0" encoding="utf-8"?>
<Properties xmlns="http://schemas.openxmlformats.org/officeDocument/2006/extended-properties" xmlns:vt="http://schemas.openxmlformats.org/officeDocument/2006/docPropsVTypes">
  <Template>Normal</Template>
  <TotalTime>629</TotalTime>
  <Pages>19</Pages>
  <Words>3745</Words>
  <Characters>23295</Characters>
  <Application>Microsoft Office Word</Application>
  <DocSecurity>0</DocSecurity>
  <Lines>495</Lines>
  <Paragraphs>243</Paragraphs>
  <ScaleCrop>false</ScaleCrop>
  <Company/>
  <LinksUpToDate>false</LinksUpToDate>
  <CharactersWithSpaces>26797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Bibek Khatri</dc:creator>
  <cp:keywords/>
  <dc:description/>
  <cp:lastModifiedBy>Bibek Khatri</cp:lastModifiedBy>
  <cp:revision>375</cp:revision>
  <cp:lastPrinted>2026-04-09T14:03:00Z</cp:lastPrinted>
  <dcterms:created xsi:type="dcterms:W3CDTF">2026-03-31T08:46:00Z</dcterms:created>
  <dcterms:modified xsi:type="dcterms:W3CDTF">2026-04-30T09:00:00Z</dcterms:modified>
</cp:coreProperties>
</file>