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4488D" w14:textId="26CB03D5" w:rsidR="006467BC" w:rsidRPr="006467BC" w:rsidRDefault="006467BC" w:rsidP="006467BC">
      <w:pPr>
        <w:spacing w:line="360" w:lineRule="auto"/>
        <w:jc w:val="center"/>
        <w:rPr>
          <w:rFonts w:ascii="Arial" w:hAnsi="Arial" w:cs="Arial"/>
          <w:sz w:val="22"/>
          <w:szCs w:val="22"/>
        </w:rPr>
      </w:pPr>
      <w:r w:rsidRPr="006467BC">
        <w:rPr>
          <w:rFonts w:ascii="Arial" w:hAnsi="Arial" w:cs="Arial"/>
          <w:sz w:val="22"/>
          <w:szCs w:val="22"/>
        </w:rPr>
        <w:t>Student Name: Nadia Akther</w:t>
      </w:r>
    </w:p>
    <w:p w14:paraId="6789274D" w14:textId="1F29B113" w:rsidR="006467BC" w:rsidRPr="006467BC" w:rsidRDefault="006467BC" w:rsidP="006467BC">
      <w:pPr>
        <w:spacing w:line="360" w:lineRule="auto"/>
        <w:jc w:val="center"/>
        <w:rPr>
          <w:rFonts w:ascii="Arial" w:hAnsi="Arial" w:cs="Arial"/>
          <w:sz w:val="22"/>
          <w:szCs w:val="22"/>
        </w:rPr>
      </w:pPr>
      <w:r w:rsidRPr="006467BC">
        <w:rPr>
          <w:rFonts w:ascii="Arial" w:hAnsi="Arial" w:cs="Arial"/>
          <w:sz w:val="22"/>
          <w:szCs w:val="22"/>
        </w:rPr>
        <w:t>Student Number: 1914510</w:t>
      </w:r>
    </w:p>
    <w:p w14:paraId="46DA89B2" w14:textId="1557B6FE" w:rsidR="006467BC" w:rsidRPr="006467BC" w:rsidRDefault="006467BC" w:rsidP="006467BC">
      <w:pPr>
        <w:spacing w:line="360" w:lineRule="auto"/>
        <w:jc w:val="center"/>
        <w:rPr>
          <w:rFonts w:ascii="Arial" w:hAnsi="Arial" w:cs="Arial"/>
          <w:sz w:val="22"/>
          <w:szCs w:val="22"/>
        </w:rPr>
      </w:pPr>
      <w:r w:rsidRPr="006467BC">
        <w:rPr>
          <w:rFonts w:ascii="Arial" w:hAnsi="Arial" w:cs="Arial"/>
          <w:sz w:val="22"/>
          <w:szCs w:val="22"/>
        </w:rPr>
        <w:t>Teacher Name: Zakiyyah Ahmed</w:t>
      </w:r>
    </w:p>
    <w:p w14:paraId="0176E832" w14:textId="6782A0A4" w:rsidR="006467BC" w:rsidRPr="006467BC" w:rsidRDefault="006467BC" w:rsidP="006467BC">
      <w:pPr>
        <w:spacing w:line="360" w:lineRule="auto"/>
        <w:jc w:val="center"/>
        <w:rPr>
          <w:rFonts w:ascii="Arial" w:hAnsi="Arial" w:cs="Arial"/>
          <w:sz w:val="22"/>
          <w:szCs w:val="22"/>
        </w:rPr>
      </w:pPr>
      <w:r w:rsidRPr="006467BC">
        <w:rPr>
          <w:rFonts w:ascii="Arial" w:hAnsi="Arial" w:cs="Arial"/>
          <w:sz w:val="22"/>
          <w:szCs w:val="22"/>
        </w:rPr>
        <w:t xml:space="preserve">Moodle Code: </w:t>
      </w:r>
      <w:r w:rsidRPr="006467BC">
        <w:rPr>
          <w:rFonts w:ascii="Arial" w:hAnsi="Arial" w:cs="Arial"/>
          <w:sz w:val="22"/>
          <w:szCs w:val="22"/>
        </w:rPr>
        <w:t>(BMHP6026_BIRM)</w:t>
      </w:r>
    </w:p>
    <w:p w14:paraId="6CE100F1" w14:textId="627D62D5" w:rsidR="006467BC" w:rsidRPr="006467BC" w:rsidRDefault="006467BC" w:rsidP="006467BC">
      <w:pPr>
        <w:spacing w:line="360" w:lineRule="auto"/>
        <w:jc w:val="center"/>
        <w:rPr>
          <w:rFonts w:ascii="Arial" w:hAnsi="Arial" w:cs="Arial"/>
          <w:sz w:val="22"/>
          <w:szCs w:val="22"/>
        </w:rPr>
      </w:pPr>
      <w:r w:rsidRPr="006467BC">
        <w:rPr>
          <w:rFonts w:ascii="Arial" w:hAnsi="Arial" w:cs="Arial"/>
          <w:sz w:val="22"/>
          <w:szCs w:val="22"/>
        </w:rPr>
        <w:t xml:space="preserve">Moodle Name: </w:t>
      </w:r>
      <w:r w:rsidRPr="006467BC">
        <w:rPr>
          <w:rFonts w:ascii="Arial" w:hAnsi="Arial" w:cs="Arial"/>
          <w:sz w:val="22"/>
          <w:szCs w:val="22"/>
        </w:rPr>
        <w:t>Digital Transformation in the Health and Care Professions</w:t>
      </w:r>
    </w:p>
    <w:p w14:paraId="06D74621" w14:textId="77777777" w:rsidR="006467BC" w:rsidRPr="006467BC" w:rsidRDefault="006467BC" w:rsidP="006467BC">
      <w:pPr>
        <w:spacing w:line="360" w:lineRule="auto"/>
        <w:jc w:val="center"/>
        <w:rPr>
          <w:rFonts w:ascii="Arial" w:hAnsi="Arial" w:cs="Arial"/>
          <w:sz w:val="22"/>
          <w:szCs w:val="22"/>
        </w:rPr>
      </w:pPr>
    </w:p>
    <w:p w14:paraId="191532BF" w14:textId="77777777" w:rsidR="006467BC" w:rsidRPr="006467BC" w:rsidRDefault="006467BC" w:rsidP="006467BC">
      <w:pPr>
        <w:spacing w:line="360" w:lineRule="auto"/>
        <w:rPr>
          <w:rFonts w:ascii="Arial" w:hAnsi="Arial" w:cs="Arial"/>
          <w:sz w:val="22"/>
          <w:szCs w:val="22"/>
        </w:rPr>
      </w:pPr>
      <w:r w:rsidRPr="006467BC">
        <w:rPr>
          <w:rFonts w:ascii="Arial" w:hAnsi="Arial" w:cs="Arial"/>
          <w:sz w:val="22"/>
          <w:szCs w:val="22"/>
        </w:rPr>
        <w:br w:type="page"/>
      </w:r>
    </w:p>
    <w:sdt>
      <w:sdtPr>
        <w:id w:val="-1174563820"/>
        <w:docPartObj>
          <w:docPartGallery w:val="Table of Contents"/>
          <w:docPartUnique/>
        </w:docPartObj>
      </w:sdtPr>
      <w:sdtEndPr>
        <w:rPr>
          <w:rFonts w:ascii="Aptos" w:eastAsia="Aptos" w:hAnsi="Aptos" w:cs="Aptos"/>
          <w:b/>
          <w:bCs/>
          <w:noProof/>
          <w:color w:val="auto"/>
          <w:sz w:val="24"/>
          <w:szCs w:val="24"/>
          <w:lang w:val="en-GB" w:eastAsia="en-GB"/>
        </w:rPr>
      </w:sdtEndPr>
      <w:sdtContent>
        <w:p w14:paraId="109ADC40" w14:textId="607E0128" w:rsidR="006467BC" w:rsidRPr="000152F3" w:rsidRDefault="006467BC" w:rsidP="000152F3">
          <w:pPr>
            <w:pStyle w:val="TOCHeading"/>
            <w:spacing w:line="360" w:lineRule="auto"/>
            <w:rPr>
              <w:rFonts w:ascii="Arial" w:hAnsi="Arial" w:cs="Arial"/>
              <w:color w:val="auto"/>
              <w:sz w:val="22"/>
              <w:szCs w:val="22"/>
            </w:rPr>
          </w:pPr>
          <w:r w:rsidRPr="000152F3">
            <w:rPr>
              <w:rFonts w:ascii="Arial" w:hAnsi="Arial" w:cs="Arial"/>
              <w:color w:val="auto"/>
              <w:sz w:val="22"/>
              <w:szCs w:val="22"/>
            </w:rPr>
            <w:t>Contents</w:t>
          </w:r>
        </w:p>
        <w:p w14:paraId="5BBEF716" w14:textId="18B027E6" w:rsidR="006467BC" w:rsidRPr="000152F3" w:rsidRDefault="006467BC" w:rsidP="000152F3">
          <w:pPr>
            <w:pStyle w:val="TOC1"/>
            <w:tabs>
              <w:tab w:val="right" w:leader="dot" w:pos="9016"/>
            </w:tabs>
            <w:spacing w:line="360" w:lineRule="auto"/>
            <w:rPr>
              <w:rFonts w:ascii="Arial" w:hAnsi="Arial" w:cs="Arial"/>
              <w:noProof/>
              <w:sz w:val="22"/>
              <w:szCs w:val="22"/>
            </w:rPr>
          </w:pPr>
          <w:r w:rsidRPr="000152F3">
            <w:rPr>
              <w:rFonts w:ascii="Arial" w:hAnsi="Arial" w:cs="Arial"/>
              <w:sz w:val="22"/>
              <w:szCs w:val="22"/>
            </w:rPr>
            <w:fldChar w:fldCharType="begin"/>
          </w:r>
          <w:r w:rsidRPr="000152F3">
            <w:rPr>
              <w:rFonts w:ascii="Arial" w:hAnsi="Arial" w:cs="Arial"/>
              <w:sz w:val="22"/>
              <w:szCs w:val="22"/>
            </w:rPr>
            <w:instrText xml:space="preserve"> TOC \o "1-3" \h \z \u </w:instrText>
          </w:r>
          <w:r w:rsidRPr="000152F3">
            <w:rPr>
              <w:rFonts w:ascii="Arial" w:hAnsi="Arial" w:cs="Arial"/>
              <w:sz w:val="22"/>
              <w:szCs w:val="22"/>
            </w:rPr>
            <w:fldChar w:fldCharType="separate"/>
          </w:r>
          <w:hyperlink w:anchor="_Toc212152046" w:history="1">
            <w:r w:rsidRPr="000152F3">
              <w:rPr>
                <w:rStyle w:val="Hyperlink"/>
                <w:rFonts w:ascii="Arial" w:hAnsi="Arial" w:cs="Arial"/>
                <w:noProof/>
                <w:sz w:val="22"/>
                <w:szCs w:val="22"/>
              </w:rPr>
              <w:t>Introduction</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_Toc212152046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3</w:t>
            </w:r>
            <w:r w:rsidRPr="000152F3">
              <w:rPr>
                <w:rFonts w:ascii="Arial" w:hAnsi="Arial" w:cs="Arial"/>
                <w:noProof/>
                <w:webHidden/>
                <w:sz w:val="22"/>
                <w:szCs w:val="22"/>
              </w:rPr>
              <w:fldChar w:fldCharType="end"/>
            </w:r>
          </w:hyperlink>
        </w:p>
        <w:p w14:paraId="4819DE49" w14:textId="04DCF4E0" w:rsidR="006467BC" w:rsidRPr="000152F3" w:rsidRDefault="006467BC" w:rsidP="000152F3">
          <w:pPr>
            <w:pStyle w:val="TOC1"/>
            <w:tabs>
              <w:tab w:val="right" w:leader="dot" w:pos="9016"/>
            </w:tabs>
            <w:spacing w:line="360" w:lineRule="auto"/>
            <w:rPr>
              <w:rFonts w:ascii="Arial" w:hAnsi="Arial" w:cs="Arial"/>
              <w:noProof/>
              <w:sz w:val="22"/>
              <w:szCs w:val="22"/>
            </w:rPr>
          </w:pPr>
          <w:hyperlink w:anchor="_Toc212152047" w:history="1">
            <w:r w:rsidRPr="000152F3">
              <w:rPr>
                <w:rStyle w:val="Hyperlink"/>
                <w:rFonts w:ascii="Arial" w:hAnsi="Arial" w:cs="Arial"/>
                <w:noProof/>
                <w:sz w:val="22"/>
                <w:szCs w:val="22"/>
              </w:rPr>
              <w:t>Service Delivery Impact</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_Toc212152047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3</w:t>
            </w:r>
            <w:r w:rsidRPr="000152F3">
              <w:rPr>
                <w:rFonts w:ascii="Arial" w:hAnsi="Arial" w:cs="Arial"/>
                <w:noProof/>
                <w:webHidden/>
                <w:sz w:val="22"/>
                <w:szCs w:val="22"/>
              </w:rPr>
              <w:fldChar w:fldCharType="end"/>
            </w:r>
          </w:hyperlink>
        </w:p>
        <w:p w14:paraId="23716173" w14:textId="54695F40" w:rsidR="006467BC" w:rsidRPr="000152F3" w:rsidRDefault="006467BC" w:rsidP="000152F3">
          <w:pPr>
            <w:pStyle w:val="TOC2"/>
            <w:tabs>
              <w:tab w:val="right" w:leader="dot" w:pos="9016"/>
            </w:tabs>
            <w:spacing w:line="360" w:lineRule="auto"/>
            <w:rPr>
              <w:rFonts w:ascii="Arial" w:hAnsi="Arial" w:cs="Arial"/>
              <w:noProof/>
              <w:sz w:val="22"/>
              <w:szCs w:val="22"/>
            </w:rPr>
          </w:pPr>
          <w:hyperlink w:anchor="_Toc212152048" w:history="1">
            <w:r w:rsidRPr="000152F3">
              <w:rPr>
                <w:rStyle w:val="Hyperlink"/>
                <w:rFonts w:ascii="Arial" w:hAnsi="Arial" w:cs="Arial"/>
                <w:noProof/>
                <w:sz w:val="22"/>
                <w:szCs w:val="22"/>
              </w:rPr>
              <w:t>Service Delivery Impact – case study</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_Toc212152048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4</w:t>
            </w:r>
            <w:r w:rsidRPr="000152F3">
              <w:rPr>
                <w:rFonts w:ascii="Arial" w:hAnsi="Arial" w:cs="Arial"/>
                <w:noProof/>
                <w:webHidden/>
                <w:sz w:val="22"/>
                <w:szCs w:val="22"/>
              </w:rPr>
              <w:fldChar w:fldCharType="end"/>
            </w:r>
          </w:hyperlink>
        </w:p>
        <w:p w14:paraId="4FB444D4" w14:textId="394C2E7F" w:rsidR="006467BC" w:rsidRPr="000152F3" w:rsidRDefault="006467BC" w:rsidP="000152F3">
          <w:pPr>
            <w:pStyle w:val="TOC1"/>
            <w:tabs>
              <w:tab w:val="right" w:leader="dot" w:pos="9016"/>
            </w:tabs>
            <w:spacing w:line="360" w:lineRule="auto"/>
            <w:rPr>
              <w:rFonts w:ascii="Arial" w:hAnsi="Arial" w:cs="Arial"/>
              <w:noProof/>
              <w:sz w:val="22"/>
              <w:szCs w:val="22"/>
            </w:rPr>
          </w:pPr>
          <w:hyperlink w:anchor="_Toc212152049" w:history="1">
            <w:r w:rsidRPr="000152F3">
              <w:rPr>
                <w:rStyle w:val="Hyperlink"/>
                <w:rFonts w:ascii="Arial" w:hAnsi="Arial" w:cs="Arial"/>
                <w:noProof/>
                <w:sz w:val="22"/>
                <w:szCs w:val="22"/>
              </w:rPr>
              <w:t>Impact on Patients/Service Users</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_Toc212152049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5</w:t>
            </w:r>
            <w:r w:rsidRPr="000152F3">
              <w:rPr>
                <w:rFonts w:ascii="Arial" w:hAnsi="Arial" w:cs="Arial"/>
                <w:noProof/>
                <w:webHidden/>
                <w:sz w:val="22"/>
                <w:szCs w:val="22"/>
              </w:rPr>
              <w:fldChar w:fldCharType="end"/>
            </w:r>
          </w:hyperlink>
        </w:p>
        <w:p w14:paraId="51C160DE" w14:textId="3A444DE9" w:rsidR="006467BC" w:rsidRPr="000152F3" w:rsidRDefault="006467BC" w:rsidP="000152F3">
          <w:pPr>
            <w:pStyle w:val="TOC2"/>
            <w:tabs>
              <w:tab w:val="right" w:leader="dot" w:pos="9016"/>
            </w:tabs>
            <w:spacing w:line="360" w:lineRule="auto"/>
            <w:rPr>
              <w:rFonts w:ascii="Arial" w:hAnsi="Arial" w:cs="Arial"/>
              <w:noProof/>
              <w:sz w:val="22"/>
              <w:szCs w:val="22"/>
            </w:rPr>
          </w:pPr>
          <w:hyperlink w:anchor="_Toc212152050" w:history="1">
            <w:r w:rsidRPr="000152F3">
              <w:rPr>
                <w:rStyle w:val="Hyperlink"/>
                <w:rFonts w:ascii="Arial" w:hAnsi="Arial" w:cs="Arial"/>
                <w:noProof/>
                <w:sz w:val="22"/>
                <w:szCs w:val="22"/>
              </w:rPr>
              <w:t>Benefits to patients</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_Toc212152050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5</w:t>
            </w:r>
            <w:r w:rsidRPr="000152F3">
              <w:rPr>
                <w:rFonts w:ascii="Arial" w:hAnsi="Arial" w:cs="Arial"/>
                <w:noProof/>
                <w:webHidden/>
                <w:sz w:val="22"/>
                <w:szCs w:val="22"/>
              </w:rPr>
              <w:fldChar w:fldCharType="end"/>
            </w:r>
          </w:hyperlink>
        </w:p>
        <w:p w14:paraId="02ADF50D" w14:textId="3352C0FA" w:rsidR="006467BC" w:rsidRPr="000152F3" w:rsidRDefault="006467BC" w:rsidP="000152F3">
          <w:pPr>
            <w:pStyle w:val="TOC2"/>
            <w:tabs>
              <w:tab w:val="right" w:leader="dot" w:pos="9016"/>
            </w:tabs>
            <w:spacing w:line="360" w:lineRule="auto"/>
            <w:rPr>
              <w:rFonts w:ascii="Arial" w:hAnsi="Arial" w:cs="Arial"/>
              <w:noProof/>
              <w:sz w:val="22"/>
              <w:szCs w:val="22"/>
            </w:rPr>
          </w:pPr>
          <w:hyperlink w:anchor="_Toc212152051" w:history="1">
            <w:r w:rsidRPr="000152F3">
              <w:rPr>
                <w:rStyle w:val="Hyperlink"/>
                <w:rFonts w:ascii="Arial" w:hAnsi="Arial" w:cs="Arial"/>
                <w:noProof/>
                <w:sz w:val="22"/>
                <w:szCs w:val="22"/>
              </w:rPr>
              <w:t>Barriers and Inequality in Access</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_Toc212152051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5</w:t>
            </w:r>
            <w:r w:rsidRPr="000152F3">
              <w:rPr>
                <w:rFonts w:ascii="Arial" w:hAnsi="Arial" w:cs="Arial"/>
                <w:noProof/>
                <w:webHidden/>
                <w:sz w:val="22"/>
                <w:szCs w:val="22"/>
              </w:rPr>
              <w:fldChar w:fldCharType="end"/>
            </w:r>
          </w:hyperlink>
        </w:p>
        <w:p w14:paraId="669EA360" w14:textId="168A8624" w:rsidR="006467BC" w:rsidRPr="000152F3" w:rsidRDefault="006467BC" w:rsidP="000152F3">
          <w:pPr>
            <w:pStyle w:val="TOC2"/>
            <w:tabs>
              <w:tab w:val="right" w:leader="dot" w:pos="9016"/>
            </w:tabs>
            <w:spacing w:line="360" w:lineRule="auto"/>
            <w:rPr>
              <w:rFonts w:ascii="Arial" w:hAnsi="Arial" w:cs="Arial"/>
              <w:noProof/>
              <w:sz w:val="22"/>
              <w:szCs w:val="22"/>
            </w:rPr>
          </w:pPr>
          <w:hyperlink w:anchor="_Toc212152052" w:history="1">
            <w:r w:rsidRPr="000152F3">
              <w:rPr>
                <w:rStyle w:val="Hyperlink"/>
                <w:rFonts w:ascii="Arial" w:hAnsi="Arial" w:cs="Arial"/>
                <w:noProof/>
                <w:sz w:val="22"/>
                <w:szCs w:val="22"/>
              </w:rPr>
              <w:t>Accessibility and legal obligations</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_Toc212152052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6</w:t>
            </w:r>
            <w:r w:rsidRPr="000152F3">
              <w:rPr>
                <w:rFonts w:ascii="Arial" w:hAnsi="Arial" w:cs="Arial"/>
                <w:noProof/>
                <w:webHidden/>
                <w:sz w:val="22"/>
                <w:szCs w:val="22"/>
              </w:rPr>
              <w:fldChar w:fldCharType="end"/>
            </w:r>
          </w:hyperlink>
        </w:p>
        <w:p w14:paraId="6EEE87CB" w14:textId="12ED3C24" w:rsidR="006467BC" w:rsidRPr="000152F3" w:rsidRDefault="006467BC" w:rsidP="000152F3">
          <w:pPr>
            <w:pStyle w:val="TOC2"/>
            <w:tabs>
              <w:tab w:val="right" w:leader="dot" w:pos="9016"/>
            </w:tabs>
            <w:spacing w:line="360" w:lineRule="auto"/>
            <w:rPr>
              <w:rFonts w:ascii="Arial" w:hAnsi="Arial" w:cs="Arial"/>
              <w:noProof/>
              <w:sz w:val="22"/>
              <w:szCs w:val="22"/>
            </w:rPr>
          </w:pPr>
          <w:hyperlink w:anchor="_Toc212152053" w:history="1">
            <w:r w:rsidRPr="000152F3">
              <w:rPr>
                <w:rStyle w:val="Hyperlink"/>
                <w:rFonts w:ascii="Arial" w:hAnsi="Arial" w:cs="Arial"/>
                <w:noProof/>
                <w:sz w:val="22"/>
                <w:szCs w:val="22"/>
              </w:rPr>
              <w:t>Privacy, Trust, and GDPR</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_Toc212152053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6</w:t>
            </w:r>
            <w:r w:rsidRPr="000152F3">
              <w:rPr>
                <w:rFonts w:ascii="Arial" w:hAnsi="Arial" w:cs="Arial"/>
                <w:noProof/>
                <w:webHidden/>
                <w:sz w:val="22"/>
                <w:szCs w:val="22"/>
              </w:rPr>
              <w:fldChar w:fldCharType="end"/>
            </w:r>
          </w:hyperlink>
        </w:p>
        <w:p w14:paraId="4FDC797F" w14:textId="6464FDCF" w:rsidR="006467BC" w:rsidRPr="000152F3" w:rsidRDefault="006467BC" w:rsidP="000152F3">
          <w:pPr>
            <w:pStyle w:val="TOC2"/>
            <w:tabs>
              <w:tab w:val="right" w:leader="dot" w:pos="9016"/>
            </w:tabs>
            <w:spacing w:line="360" w:lineRule="auto"/>
            <w:rPr>
              <w:rFonts w:ascii="Arial" w:hAnsi="Arial" w:cs="Arial"/>
              <w:noProof/>
              <w:sz w:val="22"/>
              <w:szCs w:val="22"/>
            </w:rPr>
          </w:pPr>
          <w:hyperlink w:anchor="_Toc212152054" w:history="1">
            <w:r w:rsidRPr="000152F3">
              <w:rPr>
                <w:rStyle w:val="Hyperlink"/>
                <w:rFonts w:ascii="Arial" w:hAnsi="Arial" w:cs="Arial"/>
                <w:noProof/>
                <w:sz w:val="22"/>
                <w:szCs w:val="22"/>
              </w:rPr>
              <w:t>Summary</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_Toc212152054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7</w:t>
            </w:r>
            <w:r w:rsidRPr="000152F3">
              <w:rPr>
                <w:rFonts w:ascii="Arial" w:hAnsi="Arial" w:cs="Arial"/>
                <w:noProof/>
                <w:webHidden/>
                <w:sz w:val="22"/>
                <w:szCs w:val="22"/>
              </w:rPr>
              <w:fldChar w:fldCharType="end"/>
            </w:r>
          </w:hyperlink>
        </w:p>
        <w:p w14:paraId="582DD5A0" w14:textId="266A886C" w:rsidR="006467BC" w:rsidRPr="000152F3" w:rsidRDefault="006467BC" w:rsidP="000152F3">
          <w:pPr>
            <w:pStyle w:val="TOC1"/>
            <w:tabs>
              <w:tab w:val="right" w:leader="dot" w:pos="9016"/>
            </w:tabs>
            <w:spacing w:line="360" w:lineRule="auto"/>
            <w:rPr>
              <w:rFonts w:ascii="Arial" w:hAnsi="Arial" w:cs="Arial"/>
              <w:noProof/>
              <w:sz w:val="22"/>
              <w:szCs w:val="22"/>
            </w:rPr>
          </w:pPr>
          <w:hyperlink w:anchor="_Toc212152055" w:history="1">
            <w:r w:rsidRPr="000152F3">
              <w:rPr>
                <w:rStyle w:val="Hyperlink"/>
                <w:rFonts w:ascii="Arial" w:hAnsi="Arial" w:cs="Arial"/>
                <w:noProof/>
                <w:sz w:val="22"/>
                <w:szCs w:val="22"/>
              </w:rPr>
              <w:t>Conclusion</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_Toc212152055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7</w:t>
            </w:r>
            <w:r w:rsidRPr="000152F3">
              <w:rPr>
                <w:rFonts w:ascii="Arial" w:hAnsi="Arial" w:cs="Arial"/>
                <w:noProof/>
                <w:webHidden/>
                <w:sz w:val="22"/>
                <w:szCs w:val="22"/>
              </w:rPr>
              <w:fldChar w:fldCharType="end"/>
            </w:r>
          </w:hyperlink>
        </w:p>
        <w:p w14:paraId="716948D1" w14:textId="08726072" w:rsidR="006467BC" w:rsidRPr="000152F3" w:rsidRDefault="006467BC" w:rsidP="000152F3">
          <w:pPr>
            <w:pStyle w:val="TOC1"/>
            <w:tabs>
              <w:tab w:val="right" w:leader="dot" w:pos="9016"/>
            </w:tabs>
            <w:spacing w:line="360" w:lineRule="auto"/>
            <w:rPr>
              <w:rFonts w:ascii="Arial" w:hAnsi="Arial" w:cs="Arial"/>
              <w:noProof/>
              <w:sz w:val="22"/>
              <w:szCs w:val="22"/>
            </w:rPr>
          </w:pPr>
          <w:hyperlink w:anchor="_Toc212152056" w:history="1">
            <w:r w:rsidRPr="000152F3">
              <w:rPr>
                <w:rStyle w:val="Hyperlink"/>
                <w:rFonts w:ascii="Arial" w:hAnsi="Arial" w:cs="Arial"/>
                <w:noProof/>
                <w:sz w:val="22"/>
                <w:szCs w:val="22"/>
              </w:rPr>
              <w:t>Recommendations</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_Toc212152056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7</w:t>
            </w:r>
            <w:r w:rsidRPr="000152F3">
              <w:rPr>
                <w:rFonts w:ascii="Arial" w:hAnsi="Arial" w:cs="Arial"/>
                <w:noProof/>
                <w:webHidden/>
                <w:sz w:val="22"/>
                <w:szCs w:val="22"/>
              </w:rPr>
              <w:fldChar w:fldCharType="end"/>
            </w:r>
          </w:hyperlink>
        </w:p>
        <w:p w14:paraId="6F1B7721" w14:textId="12FC48E6" w:rsidR="006467BC" w:rsidRPr="000152F3" w:rsidRDefault="006467BC" w:rsidP="000152F3">
          <w:pPr>
            <w:pStyle w:val="TOC1"/>
            <w:tabs>
              <w:tab w:val="right" w:leader="dot" w:pos="9016"/>
            </w:tabs>
            <w:spacing w:line="360" w:lineRule="auto"/>
            <w:rPr>
              <w:rFonts w:ascii="Arial" w:hAnsi="Arial" w:cs="Arial"/>
              <w:noProof/>
              <w:sz w:val="22"/>
              <w:szCs w:val="22"/>
            </w:rPr>
          </w:pPr>
          <w:hyperlink w:anchor="_Toc212152057" w:history="1">
            <w:r w:rsidRPr="000152F3">
              <w:rPr>
                <w:rStyle w:val="Hyperlink"/>
                <w:rFonts w:ascii="Arial" w:hAnsi="Arial" w:cs="Arial"/>
                <w:noProof/>
                <w:sz w:val="22"/>
                <w:szCs w:val="22"/>
              </w:rPr>
              <w:t>Referenc</w:t>
            </w:r>
            <w:r w:rsidRPr="000152F3">
              <w:rPr>
                <w:rStyle w:val="Hyperlink"/>
                <w:rFonts w:ascii="Arial" w:hAnsi="Arial" w:cs="Arial"/>
                <w:noProof/>
                <w:sz w:val="22"/>
                <w:szCs w:val="22"/>
              </w:rPr>
              <w:t>e</w:t>
            </w:r>
            <w:r w:rsidRPr="000152F3">
              <w:rPr>
                <w:rStyle w:val="Hyperlink"/>
                <w:rFonts w:ascii="Arial" w:hAnsi="Arial" w:cs="Arial"/>
                <w:noProof/>
                <w:sz w:val="22"/>
                <w:szCs w:val="22"/>
              </w:rPr>
              <w:t xml:space="preserve"> list</w:t>
            </w:r>
            <w:r w:rsidRPr="000152F3">
              <w:rPr>
                <w:rFonts w:ascii="Arial" w:hAnsi="Arial" w:cs="Arial"/>
                <w:noProof/>
                <w:webHidden/>
                <w:sz w:val="22"/>
                <w:szCs w:val="22"/>
              </w:rPr>
              <w:tab/>
            </w:r>
            <w:r w:rsidRPr="000152F3">
              <w:rPr>
                <w:rFonts w:ascii="Arial" w:hAnsi="Arial" w:cs="Arial"/>
                <w:noProof/>
                <w:webHidden/>
                <w:sz w:val="22"/>
                <w:szCs w:val="22"/>
              </w:rPr>
              <w:fldChar w:fldCharType="begin"/>
            </w:r>
            <w:r w:rsidRPr="000152F3">
              <w:rPr>
                <w:rFonts w:ascii="Arial" w:hAnsi="Arial" w:cs="Arial"/>
                <w:noProof/>
                <w:webHidden/>
                <w:sz w:val="22"/>
                <w:szCs w:val="22"/>
              </w:rPr>
              <w:instrText xml:space="preserve"> PAGEREF _Toc212152057 \h </w:instrText>
            </w:r>
            <w:r w:rsidRPr="000152F3">
              <w:rPr>
                <w:rFonts w:ascii="Arial" w:hAnsi="Arial" w:cs="Arial"/>
                <w:noProof/>
                <w:webHidden/>
                <w:sz w:val="22"/>
                <w:szCs w:val="22"/>
              </w:rPr>
            </w:r>
            <w:r w:rsidRPr="000152F3">
              <w:rPr>
                <w:rFonts w:ascii="Arial" w:hAnsi="Arial" w:cs="Arial"/>
                <w:noProof/>
                <w:webHidden/>
                <w:sz w:val="22"/>
                <w:szCs w:val="22"/>
              </w:rPr>
              <w:fldChar w:fldCharType="separate"/>
            </w:r>
            <w:r w:rsidRPr="000152F3">
              <w:rPr>
                <w:rFonts w:ascii="Arial" w:hAnsi="Arial" w:cs="Arial"/>
                <w:noProof/>
                <w:webHidden/>
                <w:sz w:val="22"/>
                <w:szCs w:val="22"/>
              </w:rPr>
              <w:t>8</w:t>
            </w:r>
            <w:r w:rsidRPr="000152F3">
              <w:rPr>
                <w:rFonts w:ascii="Arial" w:hAnsi="Arial" w:cs="Arial"/>
                <w:noProof/>
                <w:webHidden/>
                <w:sz w:val="22"/>
                <w:szCs w:val="22"/>
              </w:rPr>
              <w:fldChar w:fldCharType="end"/>
            </w:r>
          </w:hyperlink>
        </w:p>
        <w:p w14:paraId="2000377A" w14:textId="73856B9B" w:rsidR="006467BC" w:rsidRDefault="006467BC" w:rsidP="000152F3">
          <w:pPr>
            <w:spacing w:line="360" w:lineRule="auto"/>
          </w:pPr>
          <w:r w:rsidRPr="000152F3">
            <w:rPr>
              <w:rFonts w:ascii="Arial" w:hAnsi="Arial" w:cs="Arial"/>
              <w:b/>
              <w:bCs/>
              <w:noProof/>
              <w:sz w:val="22"/>
              <w:szCs w:val="22"/>
            </w:rPr>
            <w:fldChar w:fldCharType="end"/>
          </w:r>
        </w:p>
      </w:sdtContent>
    </w:sdt>
    <w:p w14:paraId="36731D0B" w14:textId="0BAA2334" w:rsidR="006467BC" w:rsidRPr="006467BC" w:rsidRDefault="006467BC" w:rsidP="006467BC">
      <w:pPr>
        <w:spacing w:line="360" w:lineRule="auto"/>
        <w:jc w:val="center"/>
        <w:rPr>
          <w:rFonts w:ascii="Arial" w:hAnsi="Arial" w:cs="Arial"/>
          <w:sz w:val="22"/>
          <w:szCs w:val="22"/>
        </w:rPr>
      </w:pPr>
      <w:r w:rsidRPr="006467BC">
        <w:rPr>
          <w:rFonts w:ascii="Arial" w:hAnsi="Arial" w:cs="Arial"/>
          <w:sz w:val="22"/>
          <w:szCs w:val="22"/>
        </w:rPr>
        <w:br w:type="page"/>
      </w:r>
    </w:p>
    <w:p w14:paraId="00000001" w14:textId="7FF00815" w:rsidR="00652BC1" w:rsidRPr="006467BC" w:rsidRDefault="00000000" w:rsidP="006467BC">
      <w:pPr>
        <w:pStyle w:val="Heading1"/>
        <w:spacing w:line="360" w:lineRule="auto"/>
        <w:rPr>
          <w:rFonts w:ascii="Arial" w:hAnsi="Arial" w:cs="Arial"/>
          <w:color w:val="auto"/>
          <w:sz w:val="22"/>
          <w:szCs w:val="22"/>
        </w:rPr>
      </w:pPr>
      <w:bookmarkStart w:id="0" w:name="_Toc212152046"/>
      <w:r w:rsidRPr="006467BC">
        <w:rPr>
          <w:rFonts w:ascii="Arial" w:hAnsi="Arial" w:cs="Arial"/>
          <w:color w:val="auto"/>
          <w:sz w:val="22"/>
          <w:szCs w:val="22"/>
        </w:rPr>
        <w:lastRenderedPageBreak/>
        <w:t>Introduction</w:t>
      </w:r>
      <w:bookmarkEnd w:id="0"/>
    </w:p>
    <w:p w14:paraId="00000002" w14:textId="77777777"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In recent years, digital innovations have become the forefront to the NHS goal of providing an efficient and streamlined access to care in the UK. As the healthcare systems face more pressure due to factors such as aging population and the rising cases of chronic illness, digitals solutions have been recognised as a cost effective and essential tool. As recognised in the NHS long term plan, which outlines a goal for “digital-first primary care” (NHS, 2025). This shift to a more scalable digital solution reduces clinical pressure on staff.</w:t>
      </w:r>
    </w:p>
    <w:p w14:paraId="00000003" w14:textId="77777777" w:rsidR="00652BC1" w:rsidRPr="006467BC" w:rsidRDefault="00000000" w:rsidP="006467BC">
      <w:pPr>
        <w:pStyle w:val="Heading1"/>
        <w:spacing w:line="360" w:lineRule="auto"/>
        <w:rPr>
          <w:rFonts w:ascii="Arial" w:hAnsi="Arial" w:cs="Arial"/>
          <w:color w:val="auto"/>
          <w:sz w:val="22"/>
          <w:szCs w:val="22"/>
        </w:rPr>
      </w:pPr>
      <w:bookmarkStart w:id="1" w:name="_Toc212152047"/>
      <w:r w:rsidRPr="006467BC">
        <w:rPr>
          <w:rFonts w:ascii="Arial" w:hAnsi="Arial" w:cs="Arial"/>
          <w:color w:val="auto"/>
          <w:sz w:val="22"/>
          <w:szCs w:val="22"/>
        </w:rPr>
        <w:t>Service Delivery Impact</w:t>
      </w:r>
      <w:bookmarkEnd w:id="1"/>
    </w:p>
    <w:p w14:paraId="00000004" w14:textId="6F00A368"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The introduction of the NHS App represents a significant shift in healthcare service delivery, aiming to digitise and centralise patients' access to care. This includes tasks ranging from booking appointments to repeat prescriptions. This aligns with the Modern General Practice Access Model, which promotes "optimising contact channels" through digital first options</w:t>
      </w:r>
      <w:r w:rsidR="00EF6238" w:rsidRPr="006467BC">
        <w:rPr>
          <w:rFonts w:ascii="Arial" w:hAnsi="Arial" w:cs="Arial"/>
          <w:sz w:val="22"/>
          <w:szCs w:val="22"/>
        </w:rPr>
        <w:t xml:space="preserve"> </w:t>
      </w:r>
      <w:r w:rsidR="00EF6238" w:rsidRPr="006467BC">
        <w:rPr>
          <w:rFonts w:ascii="Arial" w:hAnsi="Arial" w:cs="Arial"/>
          <w:sz w:val="22"/>
          <w:szCs w:val="22"/>
        </w:rPr>
        <w:t>(NHS, 2024)</w:t>
      </w:r>
      <w:r w:rsidRPr="006467BC">
        <w:rPr>
          <w:rFonts w:ascii="Arial" w:hAnsi="Arial" w:cs="Arial"/>
          <w:sz w:val="22"/>
          <w:szCs w:val="22"/>
        </w:rPr>
        <w:t>. By enabling patients to manage health needs via a single hub, the app is designed to reduce administrative strain to allow improved overall responsiveness. This analysis examines the impact on the structure, speed and reliability of NHS services.</w:t>
      </w:r>
    </w:p>
    <w:p w14:paraId="00000005" w14:textId="64A84692"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 xml:space="preserve">In theory, the app has shown significant time and cost saving benefits. According to NHS England </w:t>
      </w:r>
      <w:r w:rsidR="00EF6238" w:rsidRPr="006467BC">
        <w:rPr>
          <w:rFonts w:ascii="Arial" w:hAnsi="Arial" w:cs="Arial"/>
          <w:sz w:val="22"/>
          <w:szCs w:val="22"/>
        </w:rPr>
        <w:t xml:space="preserve">(2024) </w:t>
      </w:r>
      <w:r w:rsidRPr="006467BC">
        <w:rPr>
          <w:rFonts w:ascii="Arial" w:hAnsi="Arial" w:cs="Arial"/>
          <w:sz w:val="22"/>
          <w:szCs w:val="22"/>
        </w:rPr>
        <w:t>the app has saved "the equivalent of £622 million as of July 2024." This figure is due to potential cost savings from the prevention of 1.5 million missed appointments, therefore saving 5.7 million staff hours and 1.26 million clinical hours. The app’s repeat prescription service has also shown effect as it processed "66.1 million repeat prescriptions between 2018 – 2023." NHS Digital estimates that each digital prescription request saves 3 minutes for administrative staff and 18 minutes for patients as they do not need to wait in call, accumulating significant time saving nationwide. (NHS</w:t>
      </w:r>
      <w:r w:rsidR="00EF6238" w:rsidRPr="006467BC">
        <w:rPr>
          <w:rFonts w:ascii="Arial" w:hAnsi="Arial" w:cs="Arial"/>
          <w:sz w:val="22"/>
          <w:szCs w:val="22"/>
        </w:rPr>
        <w:t xml:space="preserve"> England</w:t>
      </w:r>
      <w:r w:rsidRPr="006467BC">
        <w:rPr>
          <w:rFonts w:ascii="Arial" w:hAnsi="Arial" w:cs="Arial"/>
          <w:sz w:val="22"/>
          <w:szCs w:val="22"/>
        </w:rPr>
        <w:t>, 2024)</w:t>
      </w:r>
    </w:p>
    <w:p w14:paraId="00000006" w14:textId="33A6661E"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However, these figures have faced scepticism. The Tony Blair Institute for Global Change</w:t>
      </w:r>
      <w:r w:rsidR="00EF6238" w:rsidRPr="006467BC">
        <w:rPr>
          <w:rFonts w:ascii="Arial" w:hAnsi="Arial" w:cs="Arial"/>
          <w:sz w:val="22"/>
          <w:szCs w:val="22"/>
        </w:rPr>
        <w:t xml:space="preserve"> (2025)</w:t>
      </w:r>
      <w:r w:rsidRPr="006467BC">
        <w:rPr>
          <w:rFonts w:ascii="Arial" w:hAnsi="Arial" w:cs="Arial"/>
          <w:sz w:val="22"/>
          <w:szCs w:val="22"/>
        </w:rPr>
        <w:t xml:space="preserve"> warns of a "Productivity paradox," this is where technology is used to automate existing inefficiencies rather than improving the system. This criticism is due to the app running on existing infrastructure that is outdated and fragmented, therefore "at worst it layers complexity over already complex systems” (Tony Blair Institute, 2025). This concern is reiterated in academic evaluations, which show the transition creating new workloads for staff, such as supporting less digitally confident patients to ensure they can access the service. Resulting in workload shifting rather than a reduction.</w:t>
      </w:r>
    </w:p>
    <w:p w14:paraId="00000007" w14:textId="589143B0"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This paradigm shift has altered workflows that can burden clinical and administrative staff. A study in the British Journal of General Practice (</w:t>
      </w:r>
      <w:r w:rsidR="00FF4DCD" w:rsidRPr="006467BC">
        <w:rPr>
          <w:rFonts w:ascii="Arial" w:hAnsi="Arial" w:cs="Arial"/>
          <w:sz w:val="22"/>
          <w:szCs w:val="22"/>
        </w:rPr>
        <w:t>2023</w:t>
      </w:r>
      <w:r w:rsidRPr="006467BC">
        <w:rPr>
          <w:rFonts w:ascii="Arial" w:hAnsi="Arial" w:cs="Arial"/>
          <w:sz w:val="22"/>
          <w:szCs w:val="22"/>
        </w:rPr>
        <w:t xml:space="preserve">), highlights that while the app may improve patient engagement it creates time pressure, especially when complex or unclear </w:t>
      </w:r>
      <w:r w:rsidRPr="006467BC">
        <w:rPr>
          <w:rFonts w:ascii="Arial" w:hAnsi="Arial" w:cs="Arial"/>
          <w:sz w:val="22"/>
          <w:szCs w:val="22"/>
        </w:rPr>
        <w:lastRenderedPageBreak/>
        <w:t>queries are raised</w:t>
      </w:r>
      <w:r w:rsidR="00FF4DCD" w:rsidRPr="006467BC">
        <w:rPr>
          <w:rFonts w:ascii="Arial" w:hAnsi="Arial" w:cs="Arial"/>
          <w:sz w:val="22"/>
          <w:szCs w:val="22"/>
        </w:rPr>
        <w:t>.</w:t>
      </w:r>
      <w:r w:rsidRPr="006467BC">
        <w:rPr>
          <w:rFonts w:ascii="Arial" w:hAnsi="Arial" w:cs="Arial"/>
          <w:sz w:val="22"/>
          <w:szCs w:val="22"/>
        </w:rPr>
        <w:t xml:space="preserve"> The study also commented on a lack of training and clear protocols, leading to uncertainty</w:t>
      </w:r>
      <w:r w:rsidR="00FF4DCD" w:rsidRPr="006467BC">
        <w:rPr>
          <w:rFonts w:ascii="Arial" w:hAnsi="Arial" w:cs="Arial"/>
          <w:sz w:val="22"/>
          <w:szCs w:val="22"/>
        </w:rPr>
        <w:t xml:space="preserve"> </w:t>
      </w:r>
      <w:r w:rsidR="00FF4DCD" w:rsidRPr="006467BC">
        <w:rPr>
          <w:rFonts w:ascii="Arial" w:hAnsi="Arial" w:cs="Arial"/>
          <w:sz w:val="22"/>
          <w:szCs w:val="22"/>
        </w:rPr>
        <w:t xml:space="preserve">(BJGP, 2023). </w:t>
      </w:r>
      <w:r w:rsidRPr="006467BC">
        <w:rPr>
          <w:rFonts w:ascii="Arial" w:hAnsi="Arial" w:cs="Arial"/>
          <w:sz w:val="22"/>
          <w:szCs w:val="22"/>
        </w:rPr>
        <w:t xml:space="preserve"> Staff now face new administrative workloads such as redacting sensitive information from records to clinical workloads, </w:t>
      </w:r>
      <w:r w:rsidR="00FF4DCD" w:rsidRPr="006467BC">
        <w:rPr>
          <w:rFonts w:ascii="Arial" w:hAnsi="Arial" w:cs="Arial"/>
          <w:sz w:val="22"/>
          <w:szCs w:val="22"/>
        </w:rPr>
        <w:t>to</w:t>
      </w:r>
      <w:r w:rsidRPr="006467BC">
        <w:rPr>
          <w:rFonts w:ascii="Arial" w:hAnsi="Arial" w:cs="Arial"/>
          <w:sz w:val="22"/>
          <w:szCs w:val="22"/>
        </w:rPr>
        <w:t xml:space="preserve"> managing patient anxiety from the increased access to data. This impacts the patient-clinical dynamic as patients may arrive to appointments with misunderstandings which the clinician must bridge. These challenges raise concern over if the digital-first model is reducing pressure or redistributing new workloads.</w:t>
      </w:r>
    </w:p>
    <w:p w14:paraId="00000008" w14:textId="4988C76D"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Furthermore, the app’s effectiveness is undermined by inconsistent implementation caused by a “postcode lottery” in digital access. While the app interface is standardised, the functionality is dependent on the local practice, leading to confusion as some features are available in some areas while in other areas it is not. This is supported by a survey conducted by the Digital Coalition</w:t>
      </w:r>
      <w:r w:rsidR="00FF4DCD" w:rsidRPr="006467BC">
        <w:rPr>
          <w:rFonts w:ascii="Arial" w:hAnsi="Arial" w:cs="Arial"/>
          <w:sz w:val="22"/>
          <w:szCs w:val="22"/>
        </w:rPr>
        <w:t xml:space="preserve"> (2025)</w:t>
      </w:r>
      <w:r w:rsidRPr="006467BC">
        <w:rPr>
          <w:rFonts w:ascii="Arial" w:hAnsi="Arial" w:cs="Arial"/>
          <w:sz w:val="22"/>
          <w:szCs w:val="22"/>
        </w:rPr>
        <w:t xml:space="preserve"> that found 70% of users found the app useful, 39% were unable to access test results while 36% could not access health records (Digital Coalition, 2025). This discrepancy in access was not a technical failure but a result of the practice not enabling these functions. This erodes trust as the NHS app is branded as a national app but has missing key features based on a patient’s local practice, undermining the NHS vision of a unified "digital front door." For the NHS App to succeed, it requires a consistent and standardised experience and feature set for all patients. This requires well-supported local implementation</w:t>
      </w:r>
      <w:r w:rsidR="00FF4DCD" w:rsidRPr="006467BC">
        <w:rPr>
          <w:rFonts w:ascii="Arial" w:hAnsi="Arial" w:cs="Arial"/>
          <w:sz w:val="22"/>
          <w:szCs w:val="22"/>
        </w:rPr>
        <w:t xml:space="preserve"> </w:t>
      </w:r>
      <w:r w:rsidR="00FF4DCD" w:rsidRPr="006467BC">
        <w:rPr>
          <w:rFonts w:ascii="Arial" w:hAnsi="Arial" w:cs="Arial"/>
          <w:sz w:val="22"/>
          <w:szCs w:val="22"/>
        </w:rPr>
        <w:t>(NHS England, 2025).</w:t>
      </w:r>
    </w:p>
    <w:p w14:paraId="00000017" w14:textId="77777777" w:rsidR="00652BC1" w:rsidRPr="006467BC" w:rsidRDefault="00000000" w:rsidP="006467BC">
      <w:pPr>
        <w:pStyle w:val="Heading2"/>
        <w:spacing w:line="360" w:lineRule="auto"/>
        <w:rPr>
          <w:rFonts w:ascii="Arial" w:hAnsi="Arial" w:cs="Arial"/>
          <w:color w:val="auto"/>
          <w:sz w:val="22"/>
          <w:szCs w:val="22"/>
        </w:rPr>
      </w:pPr>
      <w:bookmarkStart w:id="2" w:name="_Toc212152048"/>
      <w:r w:rsidRPr="006467BC">
        <w:rPr>
          <w:rFonts w:ascii="Arial" w:hAnsi="Arial" w:cs="Arial"/>
          <w:color w:val="auto"/>
          <w:sz w:val="22"/>
          <w:szCs w:val="22"/>
        </w:rPr>
        <w:t>Service Delivery Impact – case study</w:t>
      </w:r>
      <w:bookmarkEnd w:id="2"/>
    </w:p>
    <w:p w14:paraId="00000018" w14:textId="0C563755"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The NHS app has also enabled new models of care that reduce face to face demand while improving access and efficiency with limited resources. At Barking, Havering and Redbridge University Hospitals NHS Trust, the digital triage model resulted in 99% of referrals to be assessed within 2 days, with 79% of patients being seen virtually and 82% being discharged without needing to attend a physical appointment</w:t>
      </w:r>
      <w:r w:rsidR="00FF4DCD" w:rsidRPr="006467BC">
        <w:rPr>
          <w:rFonts w:ascii="Arial" w:hAnsi="Arial" w:cs="Arial"/>
          <w:sz w:val="22"/>
          <w:szCs w:val="22"/>
        </w:rPr>
        <w:t xml:space="preserve"> </w:t>
      </w:r>
      <w:r w:rsidR="00FF4DCD" w:rsidRPr="006467BC">
        <w:rPr>
          <w:rFonts w:ascii="Arial" w:hAnsi="Arial" w:cs="Arial"/>
          <w:sz w:val="22"/>
          <w:szCs w:val="22"/>
        </w:rPr>
        <w:t>(NHS England, 2025).</w:t>
      </w:r>
      <w:r w:rsidRPr="006467BC">
        <w:rPr>
          <w:rFonts w:ascii="Arial" w:hAnsi="Arial" w:cs="Arial"/>
          <w:sz w:val="22"/>
          <w:szCs w:val="22"/>
        </w:rPr>
        <w:t xml:space="preserve"> This approach reduced pressure on clinics as limited appointment slots can be better utilised.</w:t>
      </w:r>
    </w:p>
    <w:p w14:paraId="00000019" w14:textId="77777777"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In another study, Moorfields Eye Hospital introduced a digital referral system that allowed the clinic to more effectively prioritise patients based on clinical needs, improving speeds and ensuring patients are referred to the most appropriate form of care, this also reduced anxiety caused by delays (NHS England, 2025).</w:t>
      </w:r>
    </w:p>
    <w:p w14:paraId="0000001A" w14:textId="77777777"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These examples show that the app has had real world impact in transforming care pathways and helping the NHS to deliver faster care, while optimising the service with better resource use.</w:t>
      </w:r>
    </w:p>
    <w:p w14:paraId="0000001D" w14:textId="77777777" w:rsidR="00652BC1" w:rsidRPr="006467BC" w:rsidRDefault="00000000" w:rsidP="006467BC">
      <w:pPr>
        <w:pStyle w:val="Heading1"/>
        <w:spacing w:line="360" w:lineRule="auto"/>
        <w:rPr>
          <w:rFonts w:ascii="Arial" w:hAnsi="Arial" w:cs="Arial"/>
          <w:color w:val="auto"/>
          <w:sz w:val="22"/>
          <w:szCs w:val="22"/>
        </w:rPr>
      </w:pPr>
      <w:bookmarkStart w:id="3" w:name="_Toc212152049"/>
      <w:r w:rsidRPr="006467BC">
        <w:rPr>
          <w:rFonts w:ascii="Arial" w:hAnsi="Arial" w:cs="Arial"/>
          <w:color w:val="auto"/>
          <w:sz w:val="22"/>
          <w:szCs w:val="22"/>
        </w:rPr>
        <w:lastRenderedPageBreak/>
        <w:t>Impact on Patients/Service Users</w:t>
      </w:r>
      <w:bookmarkEnd w:id="3"/>
    </w:p>
    <w:p w14:paraId="0000001E" w14:textId="13293DB4"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 xml:space="preserve">The NHS app offers patients a unified hub to manage key aspects of their care independently, as mentioned earlier key features such as booking appointments. Additional, patient forward features are the simplified access to the NHS 111 service which can act as a proxy for carers to further support patient self-management. The app also allows patients to take control of certain decisions such as opting-in to programs such as organ </w:t>
      </w:r>
      <w:proofErr w:type="gramStart"/>
      <w:r w:rsidR="00EF6238" w:rsidRPr="006467BC">
        <w:rPr>
          <w:rFonts w:ascii="Arial" w:hAnsi="Arial" w:cs="Arial"/>
          <w:sz w:val="22"/>
          <w:szCs w:val="22"/>
        </w:rPr>
        <w:t>donation;</w:t>
      </w:r>
      <w:proofErr w:type="gramEnd"/>
      <w:r w:rsidRPr="006467BC">
        <w:rPr>
          <w:rFonts w:ascii="Arial" w:hAnsi="Arial" w:cs="Arial"/>
          <w:sz w:val="22"/>
          <w:szCs w:val="22"/>
        </w:rPr>
        <w:t xml:space="preserve"> while not impacting patients immediate care it can greatly simplify tasks. These features are collectively designed to enhance convenience and support patient anatomy in self-management. However, later sections explore patient’s real-world experiences of these tools and how it can vary based on technical, institutional and personal factors like digital divide (Reidy et al., 2025).</w:t>
      </w:r>
    </w:p>
    <w:p w14:paraId="00000021" w14:textId="77777777" w:rsidR="00652BC1" w:rsidRPr="006467BC" w:rsidRDefault="00000000" w:rsidP="006467BC">
      <w:pPr>
        <w:pStyle w:val="Heading2"/>
        <w:spacing w:line="360" w:lineRule="auto"/>
        <w:rPr>
          <w:rFonts w:ascii="Arial" w:hAnsi="Arial" w:cs="Arial"/>
          <w:color w:val="auto"/>
          <w:sz w:val="22"/>
          <w:szCs w:val="22"/>
        </w:rPr>
      </w:pPr>
      <w:bookmarkStart w:id="4" w:name="_Toc212152050"/>
      <w:r w:rsidRPr="006467BC">
        <w:rPr>
          <w:rFonts w:ascii="Arial" w:hAnsi="Arial" w:cs="Arial"/>
          <w:color w:val="auto"/>
          <w:sz w:val="22"/>
          <w:szCs w:val="22"/>
        </w:rPr>
        <w:t>Benefits to patients</w:t>
      </w:r>
      <w:bookmarkEnd w:id="4"/>
    </w:p>
    <w:p w14:paraId="00000022" w14:textId="77777777"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 xml:space="preserve">Many patients report a clear benefit from the NHS App as it is more convenient, improves autonomy and engagement with their care. Features like online repeat prescription ordering has positively impacted patients who are unable to order during the 8am rush due to commitments like work, reducing reliance on needing to call in or visit in person saving time and effort.  In a national survey, 81% of users found it easy to use, with 70% feeling it provided tangible value in their care (Patient Coalition, 2024). </w:t>
      </w:r>
    </w:p>
    <w:p w14:paraId="00000023" w14:textId="77777777"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For patients managing long-term conditions, the ability to view test results over time and access notes made during consultation lead to a greater sense of control over their care. Reidy noted that some patients felt more prepared for appointments as they could better articulate their health needs after viewing their records in advance (Reidy et al., 2025). The app’s functions also align with a broader shift to patient-centred care which promotes self-management outside traditional clinical settings.</w:t>
      </w:r>
    </w:p>
    <w:p w14:paraId="00000028" w14:textId="23C8A0E5"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 xml:space="preserve">Accessing records and services at the convenience of the patient adds further value as </w:t>
      </w:r>
      <w:proofErr w:type="spellStart"/>
      <w:r w:rsidRPr="006467BC">
        <w:rPr>
          <w:rFonts w:ascii="Arial" w:hAnsi="Arial" w:cs="Arial"/>
          <w:sz w:val="22"/>
          <w:szCs w:val="22"/>
        </w:rPr>
        <w:t>Kuppanda</w:t>
      </w:r>
      <w:proofErr w:type="spellEnd"/>
      <w:r w:rsidR="00D4195B" w:rsidRPr="006467BC">
        <w:rPr>
          <w:rFonts w:ascii="Arial" w:hAnsi="Arial" w:cs="Arial"/>
          <w:sz w:val="22"/>
          <w:szCs w:val="22"/>
        </w:rPr>
        <w:t xml:space="preserve"> (2023)</w:t>
      </w:r>
      <w:r w:rsidRPr="006467BC">
        <w:rPr>
          <w:rFonts w:ascii="Arial" w:hAnsi="Arial" w:cs="Arial"/>
          <w:sz w:val="22"/>
          <w:szCs w:val="22"/>
        </w:rPr>
        <w:t xml:space="preserve"> found that many users appreciated the flexibility and independence offered by the app as its “a better deal than waiting on the phone for an hour.” (</w:t>
      </w:r>
      <w:proofErr w:type="spellStart"/>
      <w:r w:rsidRPr="006467BC">
        <w:rPr>
          <w:rFonts w:ascii="Arial" w:hAnsi="Arial" w:cs="Arial"/>
          <w:sz w:val="22"/>
          <w:szCs w:val="22"/>
        </w:rPr>
        <w:t>Kuppanda</w:t>
      </w:r>
      <w:proofErr w:type="spellEnd"/>
      <w:r w:rsidRPr="006467BC">
        <w:rPr>
          <w:rFonts w:ascii="Arial" w:hAnsi="Arial" w:cs="Arial"/>
          <w:sz w:val="22"/>
          <w:szCs w:val="22"/>
        </w:rPr>
        <w:t xml:space="preserve"> and Jenkins, 2023)</w:t>
      </w:r>
    </w:p>
    <w:p w14:paraId="00000029" w14:textId="77777777" w:rsidR="00652BC1" w:rsidRPr="006467BC" w:rsidRDefault="00000000" w:rsidP="006467BC">
      <w:pPr>
        <w:pStyle w:val="Heading2"/>
        <w:spacing w:line="360" w:lineRule="auto"/>
        <w:rPr>
          <w:rFonts w:ascii="Arial" w:hAnsi="Arial" w:cs="Arial"/>
          <w:color w:val="auto"/>
          <w:sz w:val="22"/>
          <w:szCs w:val="22"/>
        </w:rPr>
      </w:pPr>
      <w:bookmarkStart w:id="5" w:name="_Toc212152051"/>
      <w:r w:rsidRPr="006467BC">
        <w:rPr>
          <w:rFonts w:ascii="Arial" w:hAnsi="Arial" w:cs="Arial"/>
          <w:color w:val="auto"/>
          <w:sz w:val="22"/>
          <w:szCs w:val="22"/>
        </w:rPr>
        <w:t>Barriers and Inequality in Access</w:t>
      </w:r>
      <w:bookmarkEnd w:id="5"/>
    </w:p>
    <w:p w14:paraId="0000002A" w14:textId="42CBEAD8" w:rsidR="00652BC1" w:rsidRPr="006467BC" w:rsidRDefault="00000000" w:rsidP="006467BC">
      <w:pPr>
        <w:spacing w:line="360" w:lineRule="auto"/>
        <w:rPr>
          <w:rFonts w:ascii="Arial" w:hAnsi="Arial" w:cs="Arial"/>
          <w:sz w:val="22"/>
          <w:szCs w:val="22"/>
        </w:rPr>
      </w:pPr>
      <w:r w:rsidRPr="006467BC">
        <w:rPr>
          <w:rFonts w:ascii="Arial" w:hAnsi="Arial" w:cs="Arial"/>
          <w:sz w:val="22"/>
          <w:szCs w:val="22"/>
        </w:rPr>
        <w:t xml:space="preserve">Despite </w:t>
      </w:r>
      <w:r w:rsidR="007B0E79" w:rsidRPr="006467BC">
        <w:rPr>
          <w:rFonts w:ascii="Arial" w:hAnsi="Arial" w:cs="Arial"/>
          <w:sz w:val="22"/>
          <w:szCs w:val="22"/>
        </w:rPr>
        <w:t>the NHS Apps nationwide implementation, i</w:t>
      </w:r>
      <w:r w:rsidR="00691444" w:rsidRPr="006467BC">
        <w:rPr>
          <w:rFonts w:ascii="Arial" w:hAnsi="Arial" w:cs="Arial"/>
          <w:sz w:val="22"/>
          <w:szCs w:val="22"/>
        </w:rPr>
        <w:t xml:space="preserve">ts benefits are not distributed equally. </w:t>
      </w:r>
      <w:r w:rsidR="00325D0F" w:rsidRPr="006467BC">
        <w:rPr>
          <w:rFonts w:ascii="Arial" w:hAnsi="Arial" w:cs="Arial"/>
          <w:sz w:val="22"/>
          <w:szCs w:val="22"/>
        </w:rPr>
        <w:t xml:space="preserve">Adoption of the service is lower for patients facing socioeconomic factors. A study found that digital inequality led to </w:t>
      </w:r>
      <w:r w:rsidR="00325D0F" w:rsidRPr="006467BC">
        <w:rPr>
          <w:rFonts w:ascii="Arial" w:hAnsi="Arial" w:cs="Arial"/>
          <w:sz w:val="22"/>
          <w:szCs w:val="22"/>
        </w:rPr>
        <w:t>“approximately 4.3 million fewer downloads” of the NHS App</w:t>
      </w:r>
      <w:r w:rsidR="00325D0F" w:rsidRPr="006467BC">
        <w:rPr>
          <w:rFonts w:ascii="Arial" w:hAnsi="Arial" w:cs="Arial"/>
          <w:sz w:val="22"/>
          <w:szCs w:val="22"/>
        </w:rPr>
        <w:t xml:space="preserve"> by patients in disadvantaged areas. Warning this tread </w:t>
      </w:r>
      <w:r w:rsidR="00325D0F" w:rsidRPr="006467BC">
        <w:rPr>
          <w:rFonts w:ascii="Arial" w:hAnsi="Arial" w:cs="Arial"/>
          <w:sz w:val="22"/>
          <w:szCs w:val="22"/>
        </w:rPr>
        <w:t xml:space="preserve">“risks entrenching a digital divide within </w:t>
      </w:r>
      <w:r w:rsidR="00325D0F" w:rsidRPr="006467BC">
        <w:rPr>
          <w:rFonts w:ascii="Arial" w:hAnsi="Arial" w:cs="Arial"/>
          <w:sz w:val="22"/>
          <w:szCs w:val="22"/>
        </w:rPr>
        <w:lastRenderedPageBreak/>
        <w:t>the NHS,”</w:t>
      </w:r>
      <w:r w:rsidR="00325D0F" w:rsidRPr="006467BC">
        <w:rPr>
          <w:rFonts w:ascii="Arial" w:hAnsi="Arial" w:cs="Arial"/>
          <w:sz w:val="22"/>
          <w:szCs w:val="22"/>
        </w:rPr>
        <w:t xml:space="preserve"> as more services rely on digital services reinforcing the health inequality (</w:t>
      </w:r>
      <w:r w:rsidR="00325D0F" w:rsidRPr="006467BC">
        <w:rPr>
          <w:rFonts w:ascii="Arial" w:hAnsi="Arial" w:cs="Arial"/>
          <w:sz w:val="22"/>
          <w:szCs w:val="22"/>
        </w:rPr>
        <w:t>Zhang et al.</w:t>
      </w:r>
      <w:r w:rsidR="00325D0F" w:rsidRPr="006467BC">
        <w:rPr>
          <w:rFonts w:ascii="Arial" w:hAnsi="Arial" w:cs="Arial"/>
          <w:sz w:val="22"/>
          <w:szCs w:val="22"/>
        </w:rPr>
        <w:t>,</w:t>
      </w:r>
      <w:r w:rsidR="00325D0F" w:rsidRPr="006467BC">
        <w:rPr>
          <w:rFonts w:ascii="Arial" w:hAnsi="Arial" w:cs="Arial"/>
          <w:sz w:val="22"/>
          <w:szCs w:val="22"/>
        </w:rPr>
        <w:t xml:space="preserve"> 2023</w:t>
      </w:r>
      <w:r w:rsidR="00325D0F" w:rsidRPr="006467BC">
        <w:rPr>
          <w:rFonts w:ascii="Arial" w:hAnsi="Arial" w:cs="Arial"/>
          <w:sz w:val="22"/>
          <w:szCs w:val="22"/>
        </w:rPr>
        <w:t>).</w:t>
      </w:r>
    </w:p>
    <w:p w14:paraId="0000002B" w14:textId="1F150EC4" w:rsidR="00652BC1" w:rsidRPr="006467BC" w:rsidRDefault="00325D0F" w:rsidP="006467BC">
      <w:pPr>
        <w:spacing w:line="360" w:lineRule="auto"/>
        <w:rPr>
          <w:rFonts w:ascii="Arial" w:hAnsi="Arial" w:cs="Arial"/>
          <w:sz w:val="22"/>
          <w:szCs w:val="22"/>
        </w:rPr>
      </w:pPr>
      <w:r w:rsidRPr="006467BC">
        <w:rPr>
          <w:rFonts w:ascii="Arial" w:hAnsi="Arial" w:cs="Arial"/>
          <w:sz w:val="22"/>
          <w:szCs w:val="22"/>
        </w:rPr>
        <w:t xml:space="preserve">Demographic differences compound on this issue as another study found that patients from Black, South Asian and other ethnic minorities often had </w:t>
      </w:r>
      <w:r w:rsidRPr="006467BC">
        <w:rPr>
          <w:rFonts w:ascii="Arial" w:hAnsi="Arial" w:cs="Arial"/>
          <w:sz w:val="22"/>
          <w:szCs w:val="22"/>
        </w:rPr>
        <w:t>“digital precarity”</w:t>
      </w:r>
      <w:r w:rsidRPr="006467BC">
        <w:rPr>
          <w:rFonts w:ascii="Arial" w:hAnsi="Arial" w:cs="Arial"/>
          <w:sz w:val="22"/>
          <w:szCs w:val="22"/>
        </w:rPr>
        <w:t>, which is a combination of poor access to devices, weak internet connection or low digital literacy. (</w:t>
      </w:r>
      <w:r w:rsidRPr="006467BC">
        <w:rPr>
          <w:rFonts w:ascii="Arial" w:hAnsi="Arial" w:cs="Arial"/>
          <w:sz w:val="22"/>
          <w:szCs w:val="22"/>
        </w:rPr>
        <w:t>Islam et al.</w:t>
      </w:r>
      <w:r w:rsidRPr="006467BC">
        <w:rPr>
          <w:rFonts w:ascii="Arial" w:hAnsi="Arial" w:cs="Arial"/>
          <w:sz w:val="22"/>
          <w:szCs w:val="22"/>
        </w:rPr>
        <w:t xml:space="preserve">, </w:t>
      </w:r>
      <w:r w:rsidRPr="006467BC">
        <w:rPr>
          <w:rFonts w:ascii="Arial" w:hAnsi="Arial" w:cs="Arial"/>
          <w:sz w:val="22"/>
          <w:szCs w:val="22"/>
        </w:rPr>
        <w:t>2024)</w:t>
      </w:r>
      <w:r w:rsidRPr="006467BC">
        <w:rPr>
          <w:rFonts w:ascii="Arial" w:hAnsi="Arial" w:cs="Arial"/>
          <w:sz w:val="22"/>
          <w:szCs w:val="22"/>
        </w:rPr>
        <w:t>. This is mostly impacting elderly patients who are most affected by low digital literacy. Another concern is n</w:t>
      </w:r>
      <w:r w:rsidRPr="006467BC">
        <w:rPr>
          <w:rFonts w:ascii="Arial" w:hAnsi="Arial" w:cs="Arial"/>
          <w:sz w:val="22"/>
          <w:szCs w:val="22"/>
        </w:rPr>
        <w:t>on-native English speaker</w:t>
      </w:r>
      <w:r w:rsidRPr="006467BC">
        <w:rPr>
          <w:rFonts w:ascii="Arial" w:hAnsi="Arial" w:cs="Arial"/>
          <w:sz w:val="22"/>
          <w:szCs w:val="22"/>
        </w:rPr>
        <w:t xml:space="preserve">s as another study looking specifically at </w:t>
      </w:r>
      <w:r w:rsidR="00B55E9C" w:rsidRPr="006467BC">
        <w:rPr>
          <w:rFonts w:ascii="Arial" w:hAnsi="Arial" w:cs="Arial"/>
          <w:sz w:val="22"/>
          <w:szCs w:val="22"/>
        </w:rPr>
        <w:t>older South Asian patients</w:t>
      </w:r>
      <w:r w:rsidR="00B55E9C" w:rsidRPr="006467BC">
        <w:rPr>
          <w:rFonts w:ascii="Arial" w:hAnsi="Arial" w:cs="Arial"/>
          <w:sz w:val="22"/>
          <w:szCs w:val="22"/>
        </w:rPr>
        <w:t xml:space="preserve"> found patients faced critical barriers like </w:t>
      </w:r>
      <w:r w:rsidR="00B55E9C" w:rsidRPr="006467BC">
        <w:rPr>
          <w:rFonts w:ascii="Arial" w:hAnsi="Arial" w:cs="Arial"/>
          <w:sz w:val="22"/>
          <w:szCs w:val="22"/>
        </w:rPr>
        <w:t>“limited English proficiency, reduced health literacy, and physical impairments,”</w:t>
      </w:r>
      <w:r w:rsidR="00B55E9C" w:rsidRPr="006467BC">
        <w:rPr>
          <w:rFonts w:ascii="Arial" w:hAnsi="Arial" w:cs="Arial"/>
          <w:sz w:val="22"/>
          <w:szCs w:val="22"/>
        </w:rPr>
        <w:t xml:space="preserve"> which severely impeded their ability to use digital tools independently, often relying on younger relatives to help, which is a security risk as the app contains access to medical records. Misinformation has also created fear with one patient stating the concern that the app is tracking them, highlighting the importance of trust and cultural perception </w:t>
      </w:r>
      <w:r w:rsidR="00B55E9C" w:rsidRPr="006467BC">
        <w:rPr>
          <w:rFonts w:ascii="Arial" w:hAnsi="Arial" w:cs="Arial"/>
          <w:sz w:val="22"/>
          <w:szCs w:val="22"/>
        </w:rPr>
        <w:t>(Ramasawmy et al., 2024).</w:t>
      </w:r>
    </w:p>
    <w:p w14:paraId="1E46DDE2" w14:textId="34526D2D" w:rsidR="00B55E9C" w:rsidRPr="006467BC" w:rsidRDefault="00B55E9C" w:rsidP="006467BC">
      <w:pPr>
        <w:spacing w:line="360" w:lineRule="auto"/>
        <w:rPr>
          <w:rFonts w:ascii="Arial" w:hAnsi="Arial" w:cs="Arial"/>
          <w:sz w:val="22"/>
          <w:szCs w:val="22"/>
        </w:rPr>
      </w:pPr>
      <w:r w:rsidRPr="006467BC">
        <w:rPr>
          <w:rFonts w:ascii="Arial" w:hAnsi="Arial" w:cs="Arial"/>
          <w:sz w:val="22"/>
          <w:szCs w:val="22"/>
        </w:rPr>
        <w:t>As addressed in earlier, access is further limited at a system-level as the features available are dependent on the practice, with more deprived areas tending to have less access to features compared to other areas reinforcing the “Postcode lottery” which results in frustration, disengagement and loss in authority (</w:t>
      </w:r>
      <w:r w:rsidRPr="006467BC">
        <w:rPr>
          <w:rFonts w:ascii="Arial" w:hAnsi="Arial" w:cs="Arial"/>
          <w:sz w:val="22"/>
          <w:szCs w:val="22"/>
        </w:rPr>
        <w:t>Khan et al.</w:t>
      </w:r>
      <w:r w:rsidRPr="006467BC">
        <w:rPr>
          <w:rFonts w:ascii="Arial" w:hAnsi="Arial" w:cs="Arial"/>
          <w:sz w:val="22"/>
          <w:szCs w:val="22"/>
        </w:rPr>
        <w:t>,</w:t>
      </w:r>
      <w:r w:rsidRPr="006467BC">
        <w:rPr>
          <w:rFonts w:ascii="Arial" w:hAnsi="Arial" w:cs="Arial"/>
          <w:sz w:val="22"/>
          <w:szCs w:val="22"/>
        </w:rPr>
        <w:t xml:space="preserve"> 2024)</w:t>
      </w:r>
      <w:r w:rsidRPr="006467BC">
        <w:rPr>
          <w:rFonts w:ascii="Arial" w:hAnsi="Arial" w:cs="Arial"/>
          <w:sz w:val="22"/>
          <w:szCs w:val="22"/>
        </w:rPr>
        <w:t>.</w:t>
      </w:r>
    </w:p>
    <w:p w14:paraId="3125E738" w14:textId="4F052C16" w:rsidR="00B55E9C" w:rsidRPr="006467BC" w:rsidRDefault="003E7C54" w:rsidP="006467BC">
      <w:pPr>
        <w:pStyle w:val="Heading2"/>
        <w:spacing w:line="360" w:lineRule="auto"/>
        <w:rPr>
          <w:rFonts w:ascii="Arial" w:hAnsi="Arial" w:cs="Arial"/>
          <w:color w:val="auto"/>
          <w:sz w:val="22"/>
          <w:szCs w:val="22"/>
        </w:rPr>
      </w:pPr>
      <w:bookmarkStart w:id="6" w:name="_Toc212152052"/>
      <w:r w:rsidRPr="006467BC">
        <w:rPr>
          <w:rFonts w:ascii="Arial" w:hAnsi="Arial" w:cs="Arial"/>
          <w:color w:val="auto"/>
          <w:sz w:val="22"/>
          <w:szCs w:val="22"/>
        </w:rPr>
        <w:t>Accessibility and legal obligations</w:t>
      </w:r>
      <w:bookmarkEnd w:id="6"/>
    </w:p>
    <w:p w14:paraId="1DB8ED96" w14:textId="03EE2CC3" w:rsidR="00897917" w:rsidRPr="006467BC" w:rsidRDefault="003E7C54" w:rsidP="006467BC">
      <w:pPr>
        <w:spacing w:line="360" w:lineRule="auto"/>
        <w:rPr>
          <w:rFonts w:ascii="Arial" w:hAnsi="Arial" w:cs="Arial"/>
          <w:sz w:val="22"/>
          <w:szCs w:val="22"/>
        </w:rPr>
      </w:pPr>
      <w:r w:rsidRPr="006467BC">
        <w:rPr>
          <w:rFonts w:ascii="Arial" w:hAnsi="Arial" w:cs="Arial"/>
          <w:sz w:val="22"/>
          <w:szCs w:val="22"/>
        </w:rPr>
        <w:t xml:space="preserve">As a public digital health service, the NHS app is required to be accessible under the Equality Act 2010, which requires organisations </w:t>
      </w:r>
      <w:proofErr w:type="gramStart"/>
      <w:r w:rsidRPr="006467BC">
        <w:rPr>
          <w:rFonts w:ascii="Arial" w:hAnsi="Arial" w:cs="Arial"/>
          <w:sz w:val="22"/>
          <w:szCs w:val="22"/>
        </w:rPr>
        <w:t>make adjustments to</w:t>
      </w:r>
      <w:proofErr w:type="gramEnd"/>
      <w:r w:rsidRPr="006467BC">
        <w:rPr>
          <w:rFonts w:ascii="Arial" w:hAnsi="Arial" w:cs="Arial"/>
          <w:sz w:val="22"/>
          <w:szCs w:val="22"/>
        </w:rPr>
        <w:t xml:space="preserve"> avoid disadvantaging disabled users. </w:t>
      </w:r>
      <w:r w:rsidRPr="006467BC">
        <w:rPr>
          <w:rFonts w:ascii="Arial" w:hAnsi="Arial" w:cs="Arial"/>
          <w:sz w:val="22"/>
          <w:szCs w:val="22"/>
        </w:rPr>
        <w:t>Additionally, the Public Sector Bodies (Websites and Mobile Applications) Accessibility Regulations 2018 require compliance with WCAG 2.1 standards.</w:t>
      </w:r>
      <w:r w:rsidRPr="006467BC">
        <w:rPr>
          <w:rFonts w:ascii="Arial" w:hAnsi="Arial" w:cs="Arial"/>
          <w:sz w:val="22"/>
          <w:szCs w:val="22"/>
        </w:rPr>
        <w:br/>
        <w:t xml:space="preserve">While the app does address some disabilities </w:t>
      </w:r>
      <w:r w:rsidR="00897917" w:rsidRPr="006467BC">
        <w:rPr>
          <w:rFonts w:ascii="Arial" w:hAnsi="Arial" w:cs="Arial"/>
          <w:sz w:val="22"/>
          <w:szCs w:val="22"/>
        </w:rPr>
        <w:t xml:space="preserve">such as hearing loss, others still face design limitation. </w:t>
      </w:r>
      <w:r w:rsidR="00897917" w:rsidRPr="006467BC">
        <w:rPr>
          <w:rFonts w:ascii="Arial" w:hAnsi="Arial" w:cs="Arial"/>
          <w:sz w:val="22"/>
          <w:szCs w:val="22"/>
        </w:rPr>
        <w:t>Ramasawmy</w:t>
      </w:r>
      <w:r w:rsidR="00897917" w:rsidRPr="006467BC">
        <w:rPr>
          <w:rFonts w:ascii="Arial" w:hAnsi="Arial" w:cs="Arial"/>
          <w:sz w:val="22"/>
          <w:szCs w:val="22"/>
        </w:rPr>
        <w:t xml:space="preserve"> </w:t>
      </w:r>
      <w:r w:rsidR="00D4195B" w:rsidRPr="006467BC">
        <w:rPr>
          <w:rFonts w:ascii="Arial" w:hAnsi="Arial" w:cs="Arial"/>
          <w:sz w:val="22"/>
          <w:szCs w:val="22"/>
        </w:rPr>
        <w:t xml:space="preserve">(2024) </w:t>
      </w:r>
      <w:r w:rsidR="00897917" w:rsidRPr="006467BC">
        <w:rPr>
          <w:rFonts w:ascii="Arial" w:hAnsi="Arial" w:cs="Arial"/>
          <w:sz w:val="22"/>
          <w:szCs w:val="22"/>
        </w:rPr>
        <w:t xml:space="preserve">reported that patients with visual </w:t>
      </w:r>
      <w:r w:rsidR="00D4195B" w:rsidRPr="006467BC">
        <w:rPr>
          <w:rFonts w:ascii="Arial" w:hAnsi="Arial" w:cs="Arial"/>
          <w:sz w:val="22"/>
          <w:szCs w:val="22"/>
        </w:rPr>
        <w:t>impairment</w:t>
      </w:r>
      <w:r w:rsidR="00897917" w:rsidRPr="006467BC">
        <w:rPr>
          <w:rFonts w:ascii="Arial" w:hAnsi="Arial" w:cs="Arial"/>
          <w:sz w:val="22"/>
          <w:szCs w:val="22"/>
        </w:rPr>
        <w:t xml:space="preserve"> or mobility problems found it difficult to use the interface, citing difficulties with touch navigation and small text size on mobile devices. This undermines digital equity and access to healthcare.</w:t>
      </w:r>
    </w:p>
    <w:p w14:paraId="39B7F80A" w14:textId="3A14E8AD" w:rsidR="00897917" w:rsidRPr="006467BC" w:rsidRDefault="00897917" w:rsidP="006467BC">
      <w:pPr>
        <w:pStyle w:val="Heading2"/>
        <w:spacing w:line="360" w:lineRule="auto"/>
        <w:rPr>
          <w:rFonts w:ascii="Arial" w:hAnsi="Arial" w:cs="Arial"/>
          <w:color w:val="auto"/>
          <w:sz w:val="22"/>
          <w:szCs w:val="22"/>
        </w:rPr>
      </w:pPr>
      <w:bookmarkStart w:id="7" w:name="_Toc212152053"/>
      <w:r w:rsidRPr="006467BC">
        <w:rPr>
          <w:rFonts w:ascii="Arial" w:hAnsi="Arial" w:cs="Arial"/>
          <w:color w:val="auto"/>
          <w:sz w:val="22"/>
          <w:szCs w:val="22"/>
        </w:rPr>
        <w:t>Privacy, Trust, and GDPR</w:t>
      </w:r>
      <w:bookmarkEnd w:id="7"/>
    </w:p>
    <w:p w14:paraId="6A12346C" w14:textId="19354CC0" w:rsidR="00897917" w:rsidRPr="006467BC" w:rsidRDefault="00897917" w:rsidP="006467BC">
      <w:pPr>
        <w:spacing w:line="360" w:lineRule="auto"/>
        <w:rPr>
          <w:rFonts w:ascii="Arial" w:hAnsi="Arial" w:cs="Arial"/>
          <w:sz w:val="22"/>
          <w:szCs w:val="22"/>
        </w:rPr>
      </w:pPr>
      <w:r w:rsidRPr="006467BC">
        <w:rPr>
          <w:rFonts w:ascii="Arial" w:hAnsi="Arial" w:cs="Arial"/>
          <w:sz w:val="22"/>
          <w:szCs w:val="22"/>
        </w:rPr>
        <w:t xml:space="preserve">As the NHS handles with UK patient </w:t>
      </w:r>
      <w:r w:rsidR="00D76EF1" w:rsidRPr="006467BC">
        <w:rPr>
          <w:rFonts w:ascii="Arial" w:hAnsi="Arial" w:cs="Arial"/>
          <w:sz w:val="22"/>
          <w:szCs w:val="22"/>
        </w:rPr>
        <w:t>data,</w:t>
      </w:r>
      <w:r w:rsidRPr="006467BC">
        <w:rPr>
          <w:rFonts w:ascii="Arial" w:hAnsi="Arial" w:cs="Arial"/>
          <w:sz w:val="22"/>
          <w:szCs w:val="22"/>
        </w:rPr>
        <w:t xml:space="preserve"> it is subject to the GDPR and Data Protection Act 2018, requiring clear consent, transparency and secure handling of patient data. These frameworks are designed to protect</w:t>
      </w:r>
      <w:r w:rsidR="00D76EF1" w:rsidRPr="006467BC">
        <w:rPr>
          <w:rFonts w:ascii="Arial" w:hAnsi="Arial" w:cs="Arial"/>
          <w:sz w:val="22"/>
          <w:szCs w:val="22"/>
        </w:rPr>
        <w:t xml:space="preserve"> privacy and user trust.</w:t>
      </w:r>
    </w:p>
    <w:p w14:paraId="7B4D2A01" w14:textId="27AE7A56" w:rsidR="00D76EF1" w:rsidRPr="006467BC" w:rsidRDefault="00D76EF1" w:rsidP="006467BC">
      <w:pPr>
        <w:spacing w:line="360" w:lineRule="auto"/>
        <w:rPr>
          <w:rFonts w:ascii="Arial" w:hAnsi="Arial" w:cs="Arial"/>
          <w:sz w:val="22"/>
          <w:szCs w:val="22"/>
        </w:rPr>
      </w:pPr>
      <w:r w:rsidRPr="006467BC">
        <w:rPr>
          <w:rFonts w:ascii="Arial" w:hAnsi="Arial" w:cs="Arial"/>
          <w:sz w:val="22"/>
          <w:szCs w:val="22"/>
        </w:rPr>
        <w:t xml:space="preserve">Trust in the app is relatively high, primarily due to the NHS branding. This led to </w:t>
      </w:r>
      <w:r w:rsidRPr="006467BC">
        <w:rPr>
          <w:rFonts w:ascii="Arial" w:hAnsi="Arial" w:cs="Arial"/>
          <w:sz w:val="22"/>
          <w:szCs w:val="22"/>
        </w:rPr>
        <w:t>data privacy was one of the least expressed concerns</w:t>
      </w:r>
      <w:r w:rsidRPr="006467BC">
        <w:rPr>
          <w:rFonts w:ascii="Arial" w:hAnsi="Arial" w:cs="Arial"/>
          <w:sz w:val="22"/>
          <w:szCs w:val="22"/>
        </w:rPr>
        <w:t xml:space="preserve"> which was accredited to the NHS branding reassuring patients their data is safe (</w:t>
      </w:r>
      <w:r w:rsidRPr="006467BC">
        <w:rPr>
          <w:rFonts w:ascii="Arial" w:hAnsi="Arial" w:cs="Arial"/>
          <w:sz w:val="22"/>
          <w:szCs w:val="22"/>
        </w:rPr>
        <w:t>Reidy et al.</w:t>
      </w:r>
      <w:r w:rsidRPr="006467BC">
        <w:rPr>
          <w:rFonts w:ascii="Arial" w:hAnsi="Arial" w:cs="Arial"/>
          <w:sz w:val="22"/>
          <w:szCs w:val="22"/>
        </w:rPr>
        <w:t xml:space="preserve">, </w:t>
      </w:r>
      <w:r w:rsidRPr="006467BC">
        <w:rPr>
          <w:rFonts w:ascii="Arial" w:hAnsi="Arial" w:cs="Arial"/>
          <w:sz w:val="22"/>
          <w:szCs w:val="22"/>
        </w:rPr>
        <w:t>2025)</w:t>
      </w:r>
      <w:r w:rsidRPr="006467BC">
        <w:rPr>
          <w:rFonts w:ascii="Arial" w:hAnsi="Arial" w:cs="Arial"/>
          <w:sz w:val="22"/>
          <w:szCs w:val="22"/>
        </w:rPr>
        <w:t>.</w:t>
      </w:r>
    </w:p>
    <w:p w14:paraId="3E09C98B" w14:textId="48D17851" w:rsidR="00D76EF1" w:rsidRPr="006467BC" w:rsidRDefault="00D76EF1" w:rsidP="006467BC">
      <w:pPr>
        <w:spacing w:line="360" w:lineRule="auto"/>
        <w:rPr>
          <w:rFonts w:ascii="Arial" w:hAnsi="Arial" w:cs="Arial"/>
          <w:sz w:val="22"/>
          <w:szCs w:val="22"/>
        </w:rPr>
      </w:pPr>
      <w:r w:rsidRPr="006467BC">
        <w:rPr>
          <w:rFonts w:ascii="Arial" w:hAnsi="Arial" w:cs="Arial"/>
          <w:sz w:val="22"/>
          <w:szCs w:val="22"/>
        </w:rPr>
        <w:lastRenderedPageBreak/>
        <w:t xml:space="preserve">However, some concerns were highlighted as when the app integrated the COVID Pass, which lead to </w:t>
      </w:r>
      <w:r w:rsidRPr="006467BC">
        <w:rPr>
          <w:rFonts w:ascii="Arial" w:hAnsi="Arial" w:cs="Arial"/>
          <w:sz w:val="22"/>
          <w:szCs w:val="22"/>
        </w:rPr>
        <w:t>minoritised</w:t>
      </w:r>
      <w:r w:rsidRPr="006467BC">
        <w:rPr>
          <w:rFonts w:ascii="Arial" w:hAnsi="Arial" w:cs="Arial"/>
          <w:sz w:val="22"/>
          <w:szCs w:val="22"/>
        </w:rPr>
        <w:t xml:space="preserve"> groups, expressing concern over tracking and surveillance </w:t>
      </w:r>
      <w:r w:rsidRPr="006467BC">
        <w:rPr>
          <w:rFonts w:ascii="Arial" w:hAnsi="Arial" w:cs="Arial"/>
          <w:sz w:val="22"/>
          <w:szCs w:val="22"/>
        </w:rPr>
        <w:t>(Ramasawmy et al., 2024).</w:t>
      </w:r>
      <w:r w:rsidRPr="006467BC">
        <w:rPr>
          <w:rFonts w:ascii="Arial" w:hAnsi="Arial" w:cs="Arial"/>
          <w:sz w:val="22"/>
          <w:szCs w:val="22"/>
        </w:rPr>
        <w:t xml:space="preserve"> With </w:t>
      </w:r>
      <w:r w:rsidR="00D4195B" w:rsidRPr="006467BC">
        <w:rPr>
          <w:rFonts w:ascii="Arial" w:hAnsi="Arial" w:cs="Arial"/>
          <w:sz w:val="22"/>
          <w:szCs w:val="22"/>
        </w:rPr>
        <w:t>Best (2024)</w:t>
      </w:r>
      <w:r w:rsidRPr="006467BC">
        <w:rPr>
          <w:rFonts w:ascii="Arial" w:hAnsi="Arial" w:cs="Arial"/>
          <w:sz w:val="22"/>
          <w:szCs w:val="22"/>
        </w:rPr>
        <w:t xml:space="preserve"> raising concern over the private sectors involvement could </w:t>
      </w:r>
      <w:r w:rsidR="003057D4" w:rsidRPr="006467BC">
        <w:rPr>
          <w:rFonts w:ascii="Arial" w:hAnsi="Arial" w:cs="Arial"/>
          <w:sz w:val="22"/>
          <w:szCs w:val="22"/>
        </w:rPr>
        <w:t>impact the confidence within the app if transparency is not maintained.</w:t>
      </w:r>
      <w:r w:rsidR="00D4195B" w:rsidRPr="006467BC">
        <w:rPr>
          <w:rFonts w:ascii="Arial" w:hAnsi="Arial" w:cs="Arial"/>
          <w:sz w:val="22"/>
          <w:szCs w:val="22"/>
        </w:rPr>
        <w:t xml:space="preserve"> (Best, 2024)</w:t>
      </w:r>
    </w:p>
    <w:p w14:paraId="5199CB2F" w14:textId="77777777" w:rsidR="006467BC" w:rsidRPr="006467BC" w:rsidRDefault="003057D4" w:rsidP="006467BC">
      <w:pPr>
        <w:pStyle w:val="Heading2"/>
        <w:spacing w:line="360" w:lineRule="auto"/>
        <w:rPr>
          <w:rFonts w:ascii="Arial" w:hAnsi="Arial" w:cs="Arial"/>
          <w:color w:val="auto"/>
          <w:sz w:val="22"/>
          <w:szCs w:val="22"/>
        </w:rPr>
      </w:pPr>
      <w:r w:rsidRPr="006467BC">
        <w:rPr>
          <w:rFonts w:ascii="Arial" w:hAnsi="Arial" w:cs="Arial"/>
          <w:color w:val="auto"/>
          <w:sz w:val="22"/>
          <w:szCs w:val="22"/>
        </w:rPr>
        <w:br/>
      </w:r>
      <w:bookmarkStart w:id="8" w:name="_Toc212152054"/>
      <w:r w:rsidR="00D13E8E" w:rsidRPr="006467BC">
        <w:rPr>
          <w:rFonts w:ascii="Arial" w:hAnsi="Arial" w:cs="Arial"/>
          <w:color w:val="auto"/>
          <w:sz w:val="22"/>
          <w:szCs w:val="22"/>
        </w:rPr>
        <w:t>Summary</w:t>
      </w:r>
      <w:bookmarkEnd w:id="8"/>
    </w:p>
    <w:p w14:paraId="1CA4453E" w14:textId="3E5B5A08" w:rsidR="00D13E8E" w:rsidRPr="006467BC" w:rsidRDefault="00D13E8E" w:rsidP="006467BC">
      <w:pPr>
        <w:spacing w:line="360" w:lineRule="auto"/>
        <w:rPr>
          <w:rFonts w:ascii="Arial" w:hAnsi="Arial" w:cs="Arial"/>
          <w:sz w:val="22"/>
          <w:szCs w:val="22"/>
        </w:rPr>
      </w:pPr>
      <w:r w:rsidRPr="006467BC">
        <w:rPr>
          <w:rFonts w:ascii="Arial" w:hAnsi="Arial" w:cs="Arial"/>
          <w:sz w:val="22"/>
          <w:szCs w:val="22"/>
        </w:rPr>
        <w:t>The NHS App has improved access and empowe</w:t>
      </w:r>
      <w:r w:rsidR="00D4195B" w:rsidRPr="006467BC">
        <w:rPr>
          <w:rFonts w:ascii="Arial" w:hAnsi="Arial" w:cs="Arial"/>
          <w:sz w:val="22"/>
          <w:szCs w:val="22"/>
        </w:rPr>
        <w:t>red</w:t>
      </w:r>
      <w:r w:rsidRPr="006467BC">
        <w:rPr>
          <w:rFonts w:ascii="Arial" w:hAnsi="Arial" w:cs="Arial"/>
          <w:sz w:val="22"/>
          <w:szCs w:val="22"/>
        </w:rPr>
        <w:t xml:space="preserve"> many patients, especially those who are able to utilise the platform. However, existing barriers such as deprivation, disabilities and digital literacy prevents the system being accessed equally. To fully utilise the app’s potential </w:t>
      </w:r>
      <w:r w:rsidR="00D4195B" w:rsidRPr="006467BC">
        <w:rPr>
          <w:rFonts w:ascii="Arial" w:hAnsi="Arial" w:cs="Arial"/>
          <w:sz w:val="22"/>
          <w:szCs w:val="22"/>
        </w:rPr>
        <w:t xml:space="preserve">it </w:t>
      </w:r>
      <w:r w:rsidRPr="006467BC">
        <w:rPr>
          <w:rFonts w:ascii="Arial" w:hAnsi="Arial" w:cs="Arial"/>
          <w:sz w:val="22"/>
          <w:szCs w:val="22"/>
        </w:rPr>
        <w:t>requires accessibility, legal compliance and targeted support for under-served minorities.</w:t>
      </w:r>
    </w:p>
    <w:p w14:paraId="37E39249" w14:textId="39001F7E" w:rsidR="00AB61DA" w:rsidRPr="006467BC" w:rsidRDefault="00AB61DA" w:rsidP="006467BC">
      <w:pPr>
        <w:pStyle w:val="Heading1"/>
        <w:spacing w:line="360" w:lineRule="auto"/>
        <w:rPr>
          <w:rFonts w:ascii="Arial" w:hAnsi="Arial" w:cs="Arial"/>
          <w:color w:val="auto"/>
          <w:sz w:val="22"/>
          <w:szCs w:val="22"/>
        </w:rPr>
      </w:pPr>
      <w:bookmarkStart w:id="9" w:name="_Toc212152055"/>
      <w:r w:rsidRPr="006467BC">
        <w:rPr>
          <w:rFonts w:ascii="Arial" w:hAnsi="Arial" w:cs="Arial"/>
          <w:color w:val="auto"/>
          <w:sz w:val="22"/>
          <w:szCs w:val="22"/>
        </w:rPr>
        <w:t>Conclusion</w:t>
      </w:r>
      <w:bookmarkEnd w:id="9"/>
    </w:p>
    <w:p w14:paraId="1185C337" w14:textId="319EF368" w:rsidR="00AB61DA" w:rsidRPr="006467BC" w:rsidRDefault="00AB61DA" w:rsidP="006467BC">
      <w:pPr>
        <w:spacing w:line="360" w:lineRule="auto"/>
        <w:rPr>
          <w:rFonts w:ascii="Arial" w:hAnsi="Arial" w:cs="Arial"/>
          <w:sz w:val="22"/>
          <w:szCs w:val="22"/>
        </w:rPr>
      </w:pPr>
      <w:r w:rsidRPr="006467BC">
        <w:rPr>
          <w:rFonts w:ascii="Arial" w:hAnsi="Arial" w:cs="Arial"/>
          <w:sz w:val="22"/>
          <w:szCs w:val="22"/>
        </w:rPr>
        <w:t xml:space="preserve">The NHS App represents a significant </w:t>
      </w:r>
      <w:r w:rsidR="001C161F" w:rsidRPr="006467BC">
        <w:rPr>
          <w:rFonts w:ascii="Arial" w:hAnsi="Arial" w:cs="Arial"/>
          <w:sz w:val="22"/>
          <w:szCs w:val="22"/>
        </w:rPr>
        <w:t>move</w:t>
      </w:r>
      <w:r w:rsidRPr="006467BC">
        <w:rPr>
          <w:rFonts w:ascii="Arial" w:hAnsi="Arial" w:cs="Arial"/>
          <w:sz w:val="22"/>
          <w:szCs w:val="22"/>
        </w:rPr>
        <w:t xml:space="preserve"> </w:t>
      </w:r>
      <w:r w:rsidR="001C161F" w:rsidRPr="006467BC">
        <w:rPr>
          <w:rFonts w:ascii="Arial" w:hAnsi="Arial" w:cs="Arial"/>
          <w:sz w:val="22"/>
          <w:szCs w:val="22"/>
        </w:rPr>
        <w:t>towards the</w:t>
      </w:r>
      <w:r w:rsidRPr="006467BC">
        <w:rPr>
          <w:rFonts w:ascii="Arial" w:hAnsi="Arial" w:cs="Arial"/>
          <w:sz w:val="22"/>
          <w:szCs w:val="22"/>
        </w:rPr>
        <w:t xml:space="preserve"> NHS goal to </w:t>
      </w:r>
      <w:r w:rsidR="00D4195B" w:rsidRPr="006467BC">
        <w:rPr>
          <w:rFonts w:ascii="Arial" w:hAnsi="Arial" w:cs="Arial"/>
          <w:sz w:val="22"/>
          <w:szCs w:val="22"/>
        </w:rPr>
        <w:t>optimise</w:t>
      </w:r>
      <w:r w:rsidRPr="006467BC">
        <w:rPr>
          <w:rFonts w:ascii="Arial" w:hAnsi="Arial" w:cs="Arial"/>
          <w:sz w:val="22"/>
          <w:szCs w:val="22"/>
        </w:rPr>
        <w:t xml:space="preserve"> the service with a digital first approach, offering a </w:t>
      </w:r>
      <w:r w:rsidR="001C161F" w:rsidRPr="006467BC">
        <w:rPr>
          <w:rFonts w:ascii="Arial" w:hAnsi="Arial" w:cs="Arial"/>
          <w:sz w:val="22"/>
          <w:szCs w:val="22"/>
        </w:rPr>
        <w:t>more convenient and centralised access to services for patients while aiming to reduce pressure on clinical and administrative staff. It</w:t>
      </w:r>
      <w:r w:rsidR="00C30CFC" w:rsidRPr="006467BC">
        <w:rPr>
          <w:rFonts w:ascii="Arial" w:hAnsi="Arial" w:cs="Arial"/>
          <w:sz w:val="22"/>
          <w:szCs w:val="22"/>
        </w:rPr>
        <w:t xml:space="preserve">s observed improvements on service delivery have included time and cost savings with its optimised workflow, in addition to reducing missed appointments. However, these improvements introduced new challenges, especially with the inconsistent implementation across practices and the new digital workload it creates for staff which complicates its effectiveness. For patients, majority have benefited from improved access to autonomy in their care. </w:t>
      </w:r>
      <w:r w:rsidR="003944F5" w:rsidRPr="006467BC">
        <w:rPr>
          <w:rFonts w:ascii="Arial" w:hAnsi="Arial" w:cs="Arial"/>
          <w:sz w:val="22"/>
          <w:szCs w:val="22"/>
        </w:rPr>
        <w:t>Unfortunately,</w:t>
      </w:r>
      <w:r w:rsidR="00C30CFC" w:rsidRPr="006467BC">
        <w:rPr>
          <w:rFonts w:ascii="Arial" w:hAnsi="Arial" w:cs="Arial"/>
          <w:sz w:val="22"/>
          <w:szCs w:val="22"/>
        </w:rPr>
        <w:t xml:space="preserve"> barriers related to digital literacy, socioeconomic factors, ethnicity and disability, have </w:t>
      </w:r>
      <w:r w:rsidR="003944F5" w:rsidRPr="006467BC">
        <w:rPr>
          <w:rFonts w:ascii="Arial" w:hAnsi="Arial" w:cs="Arial"/>
          <w:sz w:val="22"/>
          <w:szCs w:val="22"/>
        </w:rPr>
        <w:t>led</w:t>
      </w:r>
      <w:r w:rsidR="00C30CFC" w:rsidRPr="006467BC">
        <w:rPr>
          <w:rFonts w:ascii="Arial" w:hAnsi="Arial" w:cs="Arial"/>
          <w:sz w:val="22"/>
          <w:szCs w:val="22"/>
        </w:rPr>
        <w:t xml:space="preserve"> to an unequal distribution of benefits as not all patients can access the service equally.</w:t>
      </w:r>
    </w:p>
    <w:p w14:paraId="2CA44CE3" w14:textId="1DF7F8D4" w:rsidR="00AB62BF" w:rsidRPr="006467BC" w:rsidRDefault="00AB62BF" w:rsidP="006467BC">
      <w:pPr>
        <w:pStyle w:val="Heading1"/>
        <w:spacing w:line="360" w:lineRule="auto"/>
        <w:rPr>
          <w:rFonts w:ascii="Arial" w:hAnsi="Arial" w:cs="Arial"/>
          <w:color w:val="auto"/>
          <w:sz w:val="22"/>
          <w:szCs w:val="22"/>
        </w:rPr>
      </w:pPr>
      <w:bookmarkStart w:id="10" w:name="_Toc212152056"/>
      <w:r w:rsidRPr="006467BC">
        <w:rPr>
          <w:rFonts w:ascii="Arial" w:hAnsi="Arial" w:cs="Arial"/>
          <w:color w:val="auto"/>
          <w:sz w:val="22"/>
          <w:szCs w:val="22"/>
        </w:rPr>
        <w:t>Recommendations</w:t>
      </w:r>
      <w:bookmarkEnd w:id="10"/>
    </w:p>
    <w:p w14:paraId="09A81248" w14:textId="51576F8A" w:rsidR="003944F5" w:rsidRPr="006467BC" w:rsidRDefault="003944F5" w:rsidP="006467BC">
      <w:pPr>
        <w:spacing w:line="360" w:lineRule="auto"/>
        <w:rPr>
          <w:rFonts w:ascii="Arial" w:hAnsi="Arial" w:cs="Arial"/>
          <w:sz w:val="22"/>
          <w:szCs w:val="22"/>
        </w:rPr>
      </w:pPr>
      <w:r w:rsidRPr="006467BC">
        <w:rPr>
          <w:rFonts w:ascii="Arial" w:hAnsi="Arial" w:cs="Arial"/>
          <w:sz w:val="22"/>
          <w:szCs w:val="22"/>
        </w:rPr>
        <w:t xml:space="preserve">To address these issues, multiple actions can be implemented. First, NHS </w:t>
      </w:r>
      <w:r w:rsidR="00953485" w:rsidRPr="006467BC">
        <w:rPr>
          <w:rFonts w:ascii="Arial" w:hAnsi="Arial" w:cs="Arial"/>
          <w:sz w:val="22"/>
          <w:szCs w:val="22"/>
        </w:rPr>
        <w:t>England should mandate core functionality and work with GP practices</w:t>
      </w:r>
      <w:r w:rsidR="00671518" w:rsidRPr="006467BC">
        <w:rPr>
          <w:rFonts w:ascii="Arial" w:hAnsi="Arial" w:cs="Arial"/>
          <w:sz w:val="22"/>
          <w:szCs w:val="22"/>
        </w:rPr>
        <w:t xml:space="preserve"> and staff</w:t>
      </w:r>
      <w:r w:rsidR="00953485" w:rsidRPr="006467BC">
        <w:rPr>
          <w:rFonts w:ascii="Arial" w:hAnsi="Arial" w:cs="Arial"/>
          <w:sz w:val="22"/>
          <w:szCs w:val="22"/>
        </w:rPr>
        <w:t xml:space="preserve"> to standardise implementation. As the BJGP (2023) notes, without staff training and clear protocols, practices are unable to provide a consistent experience (</w:t>
      </w:r>
      <w:r w:rsidR="00953485" w:rsidRPr="006467BC">
        <w:rPr>
          <w:rFonts w:ascii="Arial" w:hAnsi="Arial" w:cs="Arial"/>
          <w:sz w:val="22"/>
          <w:szCs w:val="22"/>
        </w:rPr>
        <w:t xml:space="preserve">BJGP </w:t>
      </w:r>
      <w:r w:rsidR="00953485" w:rsidRPr="006467BC">
        <w:rPr>
          <w:rFonts w:ascii="Arial" w:hAnsi="Arial" w:cs="Arial"/>
          <w:sz w:val="22"/>
          <w:szCs w:val="22"/>
        </w:rPr>
        <w:t>,</w:t>
      </w:r>
      <w:r w:rsidR="00953485" w:rsidRPr="006467BC">
        <w:rPr>
          <w:rFonts w:ascii="Arial" w:hAnsi="Arial" w:cs="Arial"/>
          <w:sz w:val="22"/>
          <w:szCs w:val="22"/>
        </w:rPr>
        <w:t>2023)</w:t>
      </w:r>
      <w:r w:rsidR="00953485" w:rsidRPr="006467BC">
        <w:rPr>
          <w:rFonts w:ascii="Arial" w:hAnsi="Arial" w:cs="Arial"/>
          <w:sz w:val="22"/>
          <w:szCs w:val="22"/>
        </w:rPr>
        <w:t xml:space="preserve">. Second, targeted digital inclusion programmes to support elderly and marginalised groups use the app independently without needing to rely on a </w:t>
      </w:r>
      <w:r w:rsidR="00671518" w:rsidRPr="006467BC">
        <w:rPr>
          <w:rFonts w:ascii="Arial" w:hAnsi="Arial" w:cs="Arial"/>
          <w:sz w:val="22"/>
          <w:szCs w:val="22"/>
        </w:rPr>
        <w:t xml:space="preserve">younger relative as noted by </w:t>
      </w:r>
      <w:r w:rsidR="00671518" w:rsidRPr="006467BC">
        <w:rPr>
          <w:rFonts w:ascii="Arial" w:hAnsi="Arial" w:cs="Arial"/>
          <w:sz w:val="22"/>
          <w:szCs w:val="22"/>
        </w:rPr>
        <w:t>(Islam et al., 2024)</w:t>
      </w:r>
      <w:r w:rsidR="00671518" w:rsidRPr="006467BC">
        <w:rPr>
          <w:rFonts w:ascii="Arial" w:hAnsi="Arial" w:cs="Arial"/>
          <w:sz w:val="22"/>
          <w:szCs w:val="22"/>
        </w:rPr>
        <w:t>. Third</w:t>
      </w:r>
      <w:r w:rsidR="00D4195B" w:rsidRPr="006467BC">
        <w:rPr>
          <w:rFonts w:ascii="Arial" w:hAnsi="Arial" w:cs="Arial"/>
          <w:sz w:val="22"/>
          <w:szCs w:val="22"/>
        </w:rPr>
        <w:t>,</w:t>
      </w:r>
      <w:r w:rsidR="00671518" w:rsidRPr="006467BC">
        <w:rPr>
          <w:rFonts w:ascii="Arial" w:hAnsi="Arial" w:cs="Arial"/>
          <w:sz w:val="22"/>
          <w:szCs w:val="22"/>
        </w:rPr>
        <w:t xml:space="preserve"> accessibility improvements must not just rely on device-level integration, the NHS App should introduce in-app controls and explore a custom screen reader experience to ensure usability across all devices, therefore preventing common screen reader issues such as </w:t>
      </w:r>
      <w:r w:rsidR="00671518" w:rsidRPr="006467BC">
        <w:rPr>
          <w:rFonts w:ascii="Arial" w:hAnsi="Arial" w:cs="Arial"/>
          <w:sz w:val="22"/>
          <w:szCs w:val="22"/>
        </w:rPr>
        <w:lastRenderedPageBreak/>
        <w:t xml:space="preserve">reading menu elements and inaccessible content as acknowledged in the NHS </w:t>
      </w:r>
      <w:r w:rsidR="00671518" w:rsidRPr="006467BC">
        <w:rPr>
          <w:rFonts w:ascii="Arial" w:hAnsi="Arial" w:cs="Arial"/>
          <w:sz w:val="22"/>
          <w:szCs w:val="22"/>
        </w:rPr>
        <w:t>app</w:t>
      </w:r>
      <w:r w:rsidR="00671518" w:rsidRPr="006467BC">
        <w:rPr>
          <w:rFonts w:ascii="Arial" w:hAnsi="Arial" w:cs="Arial"/>
          <w:sz w:val="22"/>
          <w:szCs w:val="22"/>
        </w:rPr>
        <w:t xml:space="preserve"> </w:t>
      </w:r>
      <w:r w:rsidR="00671518" w:rsidRPr="006467BC">
        <w:rPr>
          <w:rFonts w:ascii="Arial" w:hAnsi="Arial" w:cs="Arial"/>
          <w:sz w:val="22"/>
          <w:szCs w:val="22"/>
        </w:rPr>
        <w:t>accessibility</w:t>
      </w:r>
      <w:r w:rsidR="00671518" w:rsidRPr="006467BC">
        <w:rPr>
          <w:rFonts w:ascii="Arial" w:hAnsi="Arial" w:cs="Arial"/>
          <w:sz w:val="22"/>
          <w:szCs w:val="22"/>
        </w:rPr>
        <w:t xml:space="preserve"> </w:t>
      </w:r>
      <w:r w:rsidR="00671518" w:rsidRPr="006467BC">
        <w:rPr>
          <w:rFonts w:ascii="Arial" w:hAnsi="Arial" w:cs="Arial"/>
          <w:sz w:val="22"/>
          <w:szCs w:val="22"/>
        </w:rPr>
        <w:t>statement</w:t>
      </w:r>
      <w:r w:rsidR="00671518" w:rsidRPr="006467BC">
        <w:rPr>
          <w:rFonts w:ascii="Arial" w:hAnsi="Arial" w:cs="Arial"/>
          <w:sz w:val="22"/>
          <w:szCs w:val="22"/>
        </w:rPr>
        <w:t xml:space="preserve"> (NHS, 2024), Finaly, </w:t>
      </w:r>
      <w:r w:rsidR="00AB62BF" w:rsidRPr="006467BC">
        <w:rPr>
          <w:rFonts w:ascii="Arial" w:hAnsi="Arial" w:cs="Arial"/>
          <w:sz w:val="22"/>
          <w:szCs w:val="22"/>
        </w:rPr>
        <w:t>maintain</w:t>
      </w:r>
      <w:r w:rsidR="00AB62BF" w:rsidRPr="006467BC">
        <w:rPr>
          <w:rFonts w:ascii="Arial" w:hAnsi="Arial" w:cs="Arial"/>
          <w:sz w:val="22"/>
          <w:szCs w:val="22"/>
        </w:rPr>
        <w:t>ing</w:t>
      </w:r>
      <w:r w:rsidR="00AB62BF" w:rsidRPr="006467BC">
        <w:rPr>
          <w:rFonts w:ascii="Arial" w:hAnsi="Arial" w:cs="Arial"/>
          <w:sz w:val="22"/>
          <w:szCs w:val="22"/>
        </w:rPr>
        <w:t xml:space="preserve"> </w:t>
      </w:r>
      <w:r w:rsidR="00671518" w:rsidRPr="006467BC">
        <w:rPr>
          <w:rFonts w:ascii="Arial" w:hAnsi="Arial" w:cs="Arial"/>
          <w:sz w:val="22"/>
          <w:szCs w:val="22"/>
        </w:rPr>
        <w:t xml:space="preserve">transparency around data usage and collection is required to protect trust and </w:t>
      </w:r>
      <w:bookmarkStart w:id="11" w:name="_Hlk212151380"/>
      <w:r w:rsidR="00671518" w:rsidRPr="006467BC">
        <w:rPr>
          <w:rFonts w:ascii="Arial" w:hAnsi="Arial" w:cs="Arial"/>
          <w:sz w:val="22"/>
          <w:szCs w:val="22"/>
        </w:rPr>
        <w:t xml:space="preserve">maintain </w:t>
      </w:r>
      <w:bookmarkEnd w:id="11"/>
      <w:r w:rsidR="00671518" w:rsidRPr="006467BC">
        <w:rPr>
          <w:rFonts w:ascii="Arial" w:hAnsi="Arial" w:cs="Arial"/>
          <w:sz w:val="22"/>
          <w:szCs w:val="22"/>
        </w:rPr>
        <w:t>integrity as this is a national service.</w:t>
      </w:r>
    </w:p>
    <w:p w14:paraId="4B7858C9" w14:textId="77777777" w:rsidR="003D68D6" w:rsidRPr="006467BC" w:rsidRDefault="003D68D6" w:rsidP="006467BC">
      <w:pPr>
        <w:spacing w:line="360" w:lineRule="auto"/>
        <w:rPr>
          <w:rFonts w:ascii="Arial" w:hAnsi="Arial" w:cs="Arial"/>
          <w:sz w:val="22"/>
          <w:szCs w:val="22"/>
        </w:rPr>
      </w:pPr>
    </w:p>
    <w:p w14:paraId="4EA00821" w14:textId="4B986D05" w:rsidR="00EF6238" w:rsidRPr="006467BC" w:rsidRDefault="00EF6238" w:rsidP="006467BC">
      <w:pPr>
        <w:pStyle w:val="Heading1"/>
        <w:spacing w:line="360" w:lineRule="auto"/>
        <w:rPr>
          <w:rFonts w:ascii="Arial" w:hAnsi="Arial" w:cs="Arial"/>
          <w:color w:val="auto"/>
          <w:sz w:val="22"/>
          <w:szCs w:val="22"/>
        </w:rPr>
      </w:pPr>
      <w:bookmarkStart w:id="12" w:name="_Toc212152057"/>
      <w:r w:rsidRPr="006467BC">
        <w:rPr>
          <w:rFonts w:ascii="Arial" w:hAnsi="Arial" w:cs="Arial"/>
          <w:color w:val="auto"/>
          <w:sz w:val="22"/>
          <w:szCs w:val="22"/>
        </w:rPr>
        <w:t>Reference list</w:t>
      </w:r>
      <w:bookmarkEnd w:id="12"/>
    </w:p>
    <w:p w14:paraId="177ED5F9"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Best, J. (2019) ‘The NHS App: opening the NHS's new digital "front door" to the private sector.’, </w:t>
      </w:r>
      <w:r w:rsidRPr="006467BC">
        <w:rPr>
          <w:rFonts w:ascii="Arial" w:hAnsi="Arial" w:cs="Arial"/>
          <w:i/>
          <w:iCs/>
          <w:sz w:val="22"/>
          <w:szCs w:val="22"/>
        </w:rPr>
        <w:t>BMJ (Clinical Research ed.)</w:t>
      </w:r>
      <w:r w:rsidRPr="006467BC">
        <w:rPr>
          <w:rFonts w:ascii="Arial" w:hAnsi="Arial" w:cs="Arial"/>
          <w:sz w:val="22"/>
          <w:szCs w:val="22"/>
        </w:rPr>
        <w:t xml:space="preserve">, 367, p. l6210. Available at: </w:t>
      </w:r>
      <w:hyperlink r:id="rId8" w:history="1">
        <w:r w:rsidRPr="006467BC">
          <w:rPr>
            <w:rStyle w:val="Hyperlink"/>
            <w:rFonts w:ascii="Arial" w:hAnsi="Arial" w:cs="Arial"/>
            <w:sz w:val="22"/>
            <w:szCs w:val="22"/>
          </w:rPr>
          <w:t>https://doi.org/10.1136/bmj.l6210</w:t>
        </w:r>
      </w:hyperlink>
      <w:r w:rsidRPr="006467BC">
        <w:rPr>
          <w:rFonts w:ascii="Arial" w:hAnsi="Arial" w:cs="Arial"/>
          <w:sz w:val="22"/>
          <w:szCs w:val="22"/>
        </w:rPr>
        <w:t>.</w:t>
      </w:r>
    </w:p>
    <w:p w14:paraId="77E37258"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Davidge, G., Brown, L., Lyons, M., Blease, C., French, D., van Staa, T. and McMillan, B. (2023) ‘Primary care staff's views and experience of patients' online access to their electronic health record: a qualitative exploration.’, </w:t>
      </w:r>
      <w:r w:rsidRPr="006467BC">
        <w:rPr>
          <w:rFonts w:ascii="Arial" w:hAnsi="Arial" w:cs="Arial"/>
          <w:i/>
          <w:iCs/>
          <w:sz w:val="22"/>
          <w:szCs w:val="22"/>
        </w:rPr>
        <w:t>The British Journal of General Practice: The Journal of the Royal College of General Practitioners,</w:t>
      </w:r>
      <w:r w:rsidRPr="006467BC">
        <w:rPr>
          <w:rFonts w:ascii="Arial" w:hAnsi="Arial" w:cs="Arial"/>
          <w:sz w:val="22"/>
          <w:szCs w:val="22"/>
        </w:rPr>
        <w:t xml:space="preserve"> 73(731), pp. e418-e426. Available at: </w:t>
      </w:r>
      <w:hyperlink r:id="rId9" w:history="1">
        <w:r w:rsidRPr="006467BC">
          <w:rPr>
            <w:rStyle w:val="Hyperlink"/>
            <w:rFonts w:ascii="Arial" w:hAnsi="Arial" w:cs="Arial"/>
            <w:sz w:val="22"/>
            <w:szCs w:val="22"/>
          </w:rPr>
          <w:t>https://doi.org/10.3399/BJGP.2022.0436</w:t>
        </w:r>
      </w:hyperlink>
      <w:r w:rsidRPr="006467BC">
        <w:rPr>
          <w:rFonts w:ascii="Arial" w:hAnsi="Arial" w:cs="Arial"/>
          <w:sz w:val="22"/>
          <w:szCs w:val="22"/>
        </w:rPr>
        <w:t>.</w:t>
      </w:r>
    </w:p>
    <w:p w14:paraId="6BA67F58"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Department of Health and Social Care (2025) </w:t>
      </w:r>
      <w:r w:rsidRPr="006467BC">
        <w:rPr>
          <w:rFonts w:ascii="Arial" w:hAnsi="Arial" w:cs="Arial"/>
          <w:i/>
          <w:iCs/>
          <w:sz w:val="22"/>
          <w:szCs w:val="22"/>
        </w:rPr>
        <w:t>10 Year Health Plan for England: fit for the future.</w:t>
      </w:r>
      <w:r w:rsidRPr="006467BC">
        <w:rPr>
          <w:rFonts w:ascii="Arial" w:hAnsi="Arial" w:cs="Arial"/>
          <w:sz w:val="22"/>
          <w:szCs w:val="22"/>
        </w:rPr>
        <w:t xml:space="preserve"> Available at: </w:t>
      </w:r>
      <w:hyperlink r:id="rId10" w:history="1">
        <w:r w:rsidRPr="006467BC">
          <w:rPr>
            <w:rStyle w:val="Hyperlink"/>
            <w:rFonts w:ascii="Arial" w:hAnsi="Arial" w:cs="Arial"/>
            <w:sz w:val="22"/>
            <w:szCs w:val="22"/>
          </w:rPr>
          <w:t>https://www.gov.uk/government/publications/10-year-health-plan-for-england-fit-for-the-future</w:t>
        </w:r>
      </w:hyperlink>
      <w:r w:rsidRPr="006467BC">
        <w:rPr>
          <w:rFonts w:ascii="Arial" w:hAnsi="Arial" w:cs="Arial"/>
          <w:sz w:val="22"/>
          <w:szCs w:val="22"/>
        </w:rPr>
        <w:t xml:space="preserve"> (Accessed: 23 October 2025).</w:t>
      </w:r>
    </w:p>
    <w:p w14:paraId="6D704A07"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GOV.UK (no date) </w:t>
      </w:r>
      <w:r w:rsidRPr="006467BC">
        <w:rPr>
          <w:rFonts w:ascii="Arial" w:hAnsi="Arial" w:cs="Arial"/>
          <w:i/>
          <w:iCs/>
          <w:sz w:val="22"/>
          <w:szCs w:val="22"/>
        </w:rPr>
        <w:t>Data protection: The UK's data protection legislation</w:t>
      </w:r>
      <w:r w:rsidRPr="006467BC">
        <w:rPr>
          <w:rFonts w:ascii="Arial" w:hAnsi="Arial" w:cs="Arial"/>
          <w:sz w:val="22"/>
          <w:szCs w:val="22"/>
        </w:rPr>
        <w:t xml:space="preserve">. Available at: </w:t>
      </w:r>
      <w:hyperlink r:id="rId11" w:history="1">
        <w:r w:rsidRPr="006467BC">
          <w:rPr>
            <w:rStyle w:val="Hyperlink"/>
            <w:rFonts w:ascii="Arial" w:hAnsi="Arial" w:cs="Arial"/>
            <w:sz w:val="22"/>
            <w:szCs w:val="22"/>
          </w:rPr>
          <w:t>https://www.gov.uk/data-protection</w:t>
        </w:r>
      </w:hyperlink>
      <w:r w:rsidRPr="006467BC">
        <w:rPr>
          <w:rFonts w:ascii="Arial" w:hAnsi="Arial" w:cs="Arial"/>
          <w:sz w:val="22"/>
          <w:szCs w:val="22"/>
        </w:rPr>
        <w:t xml:space="preserve"> (Accessed: 23 October 2025).</w:t>
      </w:r>
    </w:p>
    <w:p w14:paraId="07D4E083"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Islam, F., Bailey, S. and Netto, G. (2024) ‘Digitalised primary care in the UK: a qualitative study of the experiences of minoritised ethnic communities.’, </w:t>
      </w:r>
      <w:r w:rsidRPr="006467BC">
        <w:rPr>
          <w:rFonts w:ascii="Arial" w:hAnsi="Arial" w:cs="Arial"/>
          <w:i/>
          <w:iCs/>
          <w:sz w:val="22"/>
          <w:szCs w:val="22"/>
        </w:rPr>
        <w:t>The British Journal of General Practice</w:t>
      </w:r>
      <w:r w:rsidRPr="006467BC">
        <w:rPr>
          <w:rFonts w:ascii="Arial" w:hAnsi="Arial" w:cs="Arial"/>
          <w:sz w:val="22"/>
          <w:szCs w:val="22"/>
        </w:rPr>
        <w:t xml:space="preserve">: The Journal of the Royal College of General Practitioners, 74(749), pp. e823-e831. Available at: </w:t>
      </w:r>
      <w:hyperlink r:id="rId12" w:history="1">
        <w:r w:rsidRPr="006467BC">
          <w:rPr>
            <w:rStyle w:val="Hyperlink"/>
            <w:rFonts w:ascii="Arial" w:hAnsi="Arial" w:cs="Arial"/>
            <w:sz w:val="22"/>
            <w:szCs w:val="22"/>
          </w:rPr>
          <w:t>https://doi.org/10.3399/BJGP.2024.0308</w:t>
        </w:r>
      </w:hyperlink>
      <w:r w:rsidRPr="006467BC">
        <w:rPr>
          <w:rFonts w:ascii="Arial" w:hAnsi="Arial" w:cs="Arial"/>
          <w:sz w:val="22"/>
          <w:szCs w:val="22"/>
        </w:rPr>
        <w:t>.</w:t>
      </w:r>
    </w:p>
    <w:p w14:paraId="0CB5BFB5"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Khan, N., Pitchforth, E., Winder, R., Abel, G., Clark, C.E., Cockcroft, E. and Campbell, J. (2024) ‘What helps patients access web-based services in primary care? Free-text analysis of patient responses to the Di-Facto questionnaire.’, </w:t>
      </w:r>
      <w:r w:rsidRPr="006467BC">
        <w:rPr>
          <w:rFonts w:ascii="Arial" w:hAnsi="Arial" w:cs="Arial"/>
          <w:i/>
          <w:iCs/>
          <w:sz w:val="22"/>
          <w:szCs w:val="22"/>
        </w:rPr>
        <w:t>BMC Primary Care</w:t>
      </w:r>
      <w:r w:rsidRPr="006467BC">
        <w:rPr>
          <w:rFonts w:ascii="Arial" w:hAnsi="Arial" w:cs="Arial"/>
          <w:sz w:val="22"/>
          <w:szCs w:val="22"/>
        </w:rPr>
        <w:t xml:space="preserve">, 25(1), p. 20. Available at: </w:t>
      </w:r>
      <w:hyperlink r:id="rId13" w:history="1">
        <w:r w:rsidRPr="006467BC">
          <w:rPr>
            <w:rStyle w:val="Hyperlink"/>
            <w:rFonts w:ascii="Arial" w:hAnsi="Arial" w:cs="Arial"/>
            <w:sz w:val="22"/>
            <w:szCs w:val="22"/>
          </w:rPr>
          <w:t>https://doi.org/10.1186/s12875-023-02257-5</w:t>
        </w:r>
      </w:hyperlink>
      <w:r w:rsidRPr="006467BC">
        <w:rPr>
          <w:rFonts w:ascii="Arial" w:hAnsi="Arial" w:cs="Arial"/>
          <w:sz w:val="22"/>
          <w:szCs w:val="22"/>
        </w:rPr>
        <w:t>.</w:t>
      </w:r>
    </w:p>
    <w:p w14:paraId="33884C7C" w14:textId="77777777" w:rsidR="00EF6238" w:rsidRPr="006467BC" w:rsidRDefault="00EF6238" w:rsidP="006467BC">
      <w:pPr>
        <w:spacing w:line="360" w:lineRule="auto"/>
        <w:rPr>
          <w:rFonts w:ascii="Arial" w:hAnsi="Arial" w:cs="Arial"/>
          <w:sz w:val="22"/>
          <w:szCs w:val="22"/>
        </w:rPr>
      </w:pPr>
      <w:proofErr w:type="spellStart"/>
      <w:r w:rsidRPr="006467BC">
        <w:rPr>
          <w:rFonts w:ascii="Arial" w:hAnsi="Arial" w:cs="Arial"/>
          <w:sz w:val="22"/>
          <w:szCs w:val="22"/>
        </w:rPr>
        <w:t>Kuppanda</w:t>
      </w:r>
      <w:proofErr w:type="spellEnd"/>
      <w:r w:rsidRPr="006467BC">
        <w:rPr>
          <w:rFonts w:ascii="Arial" w:hAnsi="Arial" w:cs="Arial"/>
          <w:sz w:val="22"/>
          <w:szCs w:val="22"/>
        </w:rPr>
        <w:t xml:space="preserve">, P.M. and Jenkins, J. (2023) ‘Evaluation of Experiences and Attitudes of Patients Towards Patient Portal-Enabled Access to Their Health Information or Medical Records: A Qualitative Grounded Theory Study.’, </w:t>
      </w:r>
      <w:r w:rsidRPr="006467BC">
        <w:rPr>
          <w:rFonts w:ascii="Arial" w:hAnsi="Arial" w:cs="Arial"/>
          <w:i/>
          <w:iCs/>
          <w:sz w:val="22"/>
          <w:szCs w:val="22"/>
        </w:rPr>
        <w:t>Qualitative Health Research</w:t>
      </w:r>
      <w:r w:rsidRPr="006467BC">
        <w:rPr>
          <w:rFonts w:ascii="Arial" w:hAnsi="Arial" w:cs="Arial"/>
          <w:sz w:val="22"/>
          <w:szCs w:val="22"/>
        </w:rPr>
        <w:t xml:space="preserve">, 33(12), pp. 1080-1090. Available at: </w:t>
      </w:r>
      <w:hyperlink r:id="rId14" w:history="1">
        <w:r w:rsidRPr="006467BC">
          <w:rPr>
            <w:rStyle w:val="Hyperlink"/>
            <w:rFonts w:ascii="Arial" w:hAnsi="Arial" w:cs="Arial"/>
            <w:sz w:val="22"/>
            <w:szCs w:val="22"/>
          </w:rPr>
          <w:t>https://doi.org/10.1177/10497323231192379</w:t>
        </w:r>
      </w:hyperlink>
      <w:r w:rsidRPr="006467BC">
        <w:rPr>
          <w:rFonts w:ascii="Arial" w:hAnsi="Arial" w:cs="Arial"/>
          <w:sz w:val="22"/>
          <w:szCs w:val="22"/>
        </w:rPr>
        <w:t>.</w:t>
      </w:r>
    </w:p>
    <w:p w14:paraId="0EEB00B3"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Legislation.gov.uk (2010</w:t>
      </w:r>
      <w:r w:rsidRPr="006467BC">
        <w:rPr>
          <w:rFonts w:ascii="Arial" w:hAnsi="Arial" w:cs="Arial"/>
          <w:i/>
          <w:iCs/>
          <w:sz w:val="22"/>
          <w:szCs w:val="22"/>
        </w:rPr>
        <w:t>) Equality Act 2010</w:t>
      </w:r>
      <w:r w:rsidRPr="006467BC">
        <w:rPr>
          <w:rFonts w:ascii="Arial" w:hAnsi="Arial" w:cs="Arial"/>
          <w:sz w:val="22"/>
          <w:szCs w:val="22"/>
        </w:rPr>
        <w:t xml:space="preserve">. Available at: </w:t>
      </w:r>
      <w:hyperlink r:id="rId15" w:history="1">
        <w:r w:rsidRPr="006467BC">
          <w:rPr>
            <w:rStyle w:val="Hyperlink"/>
            <w:rFonts w:ascii="Arial" w:hAnsi="Arial" w:cs="Arial"/>
            <w:sz w:val="22"/>
            <w:szCs w:val="22"/>
          </w:rPr>
          <w:t>https://www.legislation.gov.uk/ukpga/2010/15/contents</w:t>
        </w:r>
      </w:hyperlink>
      <w:r w:rsidRPr="006467BC">
        <w:rPr>
          <w:rFonts w:ascii="Arial" w:hAnsi="Arial" w:cs="Arial"/>
          <w:sz w:val="22"/>
          <w:szCs w:val="22"/>
        </w:rPr>
        <w:t xml:space="preserve"> (Accessed: 23 October 2025).</w:t>
      </w:r>
    </w:p>
    <w:p w14:paraId="688689B9"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lastRenderedPageBreak/>
        <w:t xml:space="preserve">Legislation.gov.uk (2018a) </w:t>
      </w:r>
      <w:r w:rsidRPr="006467BC">
        <w:rPr>
          <w:rFonts w:ascii="Arial" w:hAnsi="Arial" w:cs="Arial"/>
          <w:i/>
          <w:iCs/>
          <w:sz w:val="22"/>
          <w:szCs w:val="22"/>
        </w:rPr>
        <w:t>Data Protection Act 2018</w:t>
      </w:r>
      <w:r w:rsidRPr="006467BC">
        <w:rPr>
          <w:rFonts w:ascii="Arial" w:hAnsi="Arial" w:cs="Arial"/>
          <w:sz w:val="22"/>
          <w:szCs w:val="22"/>
        </w:rPr>
        <w:t xml:space="preserve">. Available at: </w:t>
      </w:r>
      <w:hyperlink r:id="rId16" w:history="1">
        <w:r w:rsidRPr="006467BC">
          <w:rPr>
            <w:rStyle w:val="Hyperlink"/>
            <w:rFonts w:ascii="Arial" w:hAnsi="Arial" w:cs="Arial"/>
            <w:sz w:val="22"/>
            <w:szCs w:val="22"/>
          </w:rPr>
          <w:t>https://www.legislation.gov.uk/ukpga/2018/12/contents</w:t>
        </w:r>
      </w:hyperlink>
      <w:r w:rsidRPr="006467BC">
        <w:rPr>
          <w:rFonts w:ascii="Arial" w:hAnsi="Arial" w:cs="Arial"/>
          <w:sz w:val="22"/>
          <w:szCs w:val="22"/>
        </w:rPr>
        <w:t xml:space="preserve"> (Accessed: 23 October 2025).</w:t>
      </w:r>
    </w:p>
    <w:p w14:paraId="0C5E6EFA"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Legislation.gov.uk (2018b) </w:t>
      </w:r>
      <w:r w:rsidRPr="006467BC">
        <w:rPr>
          <w:rFonts w:ascii="Arial" w:hAnsi="Arial" w:cs="Arial"/>
          <w:i/>
          <w:iCs/>
          <w:sz w:val="22"/>
          <w:szCs w:val="22"/>
        </w:rPr>
        <w:t>The Public Sector Bodies (Websites and Mobile Applications) (No. 2) Accessibility Regulations 2018</w:t>
      </w:r>
      <w:r w:rsidRPr="006467BC">
        <w:rPr>
          <w:rFonts w:ascii="Arial" w:hAnsi="Arial" w:cs="Arial"/>
          <w:sz w:val="22"/>
          <w:szCs w:val="22"/>
        </w:rPr>
        <w:t xml:space="preserve">. Available at: </w:t>
      </w:r>
      <w:hyperlink r:id="rId17" w:history="1">
        <w:r w:rsidRPr="006467BC">
          <w:rPr>
            <w:rStyle w:val="Hyperlink"/>
            <w:rFonts w:ascii="Arial" w:hAnsi="Arial" w:cs="Arial"/>
            <w:sz w:val="22"/>
            <w:szCs w:val="22"/>
          </w:rPr>
          <w:t>https://www.legislation.gov.uk/uksi/2018/952/contents/made</w:t>
        </w:r>
      </w:hyperlink>
      <w:r w:rsidRPr="006467BC">
        <w:rPr>
          <w:rFonts w:ascii="Arial" w:hAnsi="Arial" w:cs="Arial"/>
          <w:sz w:val="22"/>
          <w:szCs w:val="22"/>
        </w:rPr>
        <w:t xml:space="preserve"> (Accessed: 23 October 2025).</w:t>
      </w:r>
    </w:p>
    <w:p w14:paraId="1DD42E76"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NHS (2024) </w:t>
      </w:r>
      <w:r w:rsidRPr="006467BC">
        <w:rPr>
          <w:rFonts w:ascii="Arial" w:hAnsi="Arial" w:cs="Arial"/>
          <w:i/>
          <w:iCs/>
          <w:sz w:val="22"/>
          <w:szCs w:val="22"/>
        </w:rPr>
        <w:t>NHS App accessibility statement</w:t>
      </w:r>
      <w:r w:rsidRPr="006467BC">
        <w:rPr>
          <w:rFonts w:ascii="Arial" w:hAnsi="Arial" w:cs="Arial"/>
          <w:sz w:val="22"/>
          <w:szCs w:val="22"/>
        </w:rPr>
        <w:t xml:space="preserve">. Available at: </w:t>
      </w:r>
      <w:hyperlink r:id="rId18" w:history="1">
        <w:r w:rsidRPr="006467BC">
          <w:rPr>
            <w:rStyle w:val="Hyperlink"/>
            <w:rFonts w:ascii="Arial" w:hAnsi="Arial" w:cs="Arial"/>
            <w:sz w:val="22"/>
            <w:szCs w:val="22"/>
          </w:rPr>
          <w:t>https://www.nhs.uk/nhs-app/nhs-app-legal-and-cookies/nhs-app-accessibility-statement/</w:t>
        </w:r>
      </w:hyperlink>
      <w:r w:rsidRPr="006467BC">
        <w:rPr>
          <w:rFonts w:ascii="Arial" w:hAnsi="Arial" w:cs="Arial"/>
          <w:sz w:val="22"/>
          <w:szCs w:val="22"/>
        </w:rPr>
        <w:t xml:space="preserve"> (Accessed: 23 October 2025).</w:t>
      </w:r>
    </w:p>
    <w:p w14:paraId="70071CD6"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NHS Digital (2025) </w:t>
      </w:r>
      <w:r w:rsidRPr="006467BC">
        <w:rPr>
          <w:rFonts w:ascii="Arial" w:hAnsi="Arial" w:cs="Arial"/>
          <w:i/>
          <w:iCs/>
          <w:sz w:val="22"/>
          <w:szCs w:val="22"/>
        </w:rPr>
        <w:t>NHS App case studies</w:t>
      </w:r>
      <w:r w:rsidRPr="006467BC">
        <w:rPr>
          <w:rFonts w:ascii="Arial" w:hAnsi="Arial" w:cs="Arial"/>
          <w:sz w:val="22"/>
          <w:szCs w:val="22"/>
        </w:rPr>
        <w:t xml:space="preserve">. Available at: </w:t>
      </w:r>
      <w:hyperlink r:id="rId19" w:history="1">
        <w:r w:rsidRPr="006467BC">
          <w:rPr>
            <w:rStyle w:val="Hyperlink"/>
            <w:rFonts w:ascii="Arial" w:hAnsi="Arial" w:cs="Arial"/>
            <w:sz w:val="22"/>
            <w:szCs w:val="22"/>
          </w:rPr>
          <w:t>https://digital.nhs.uk/services</w:t>
        </w:r>
        <w:r w:rsidRPr="006467BC">
          <w:rPr>
            <w:rStyle w:val="Hyperlink"/>
            <w:rFonts w:ascii="Arial" w:hAnsi="Arial" w:cs="Arial"/>
            <w:sz w:val="22"/>
            <w:szCs w:val="22"/>
          </w:rPr>
          <w:t>/</w:t>
        </w:r>
        <w:r w:rsidRPr="006467BC">
          <w:rPr>
            <w:rStyle w:val="Hyperlink"/>
            <w:rFonts w:ascii="Arial" w:hAnsi="Arial" w:cs="Arial"/>
            <w:sz w:val="22"/>
            <w:szCs w:val="22"/>
          </w:rPr>
          <w:t>nhs-app/case-studies</w:t>
        </w:r>
      </w:hyperlink>
      <w:r w:rsidRPr="006467BC">
        <w:rPr>
          <w:rFonts w:ascii="Arial" w:hAnsi="Arial" w:cs="Arial"/>
          <w:sz w:val="22"/>
          <w:szCs w:val="22"/>
        </w:rPr>
        <w:t xml:space="preserve"> (Accessed: 23 October 2025).</w:t>
      </w:r>
    </w:p>
    <w:p w14:paraId="5BEA31E1"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NHS Digital (2025) </w:t>
      </w:r>
      <w:r w:rsidRPr="006467BC">
        <w:rPr>
          <w:rFonts w:ascii="Arial" w:hAnsi="Arial" w:cs="Arial"/>
          <w:i/>
          <w:iCs/>
          <w:sz w:val="22"/>
          <w:szCs w:val="22"/>
        </w:rPr>
        <w:t>NHS App Management Information</w:t>
      </w:r>
      <w:r w:rsidRPr="006467BC">
        <w:rPr>
          <w:rFonts w:ascii="Arial" w:hAnsi="Arial" w:cs="Arial"/>
          <w:sz w:val="22"/>
          <w:szCs w:val="22"/>
        </w:rPr>
        <w:t xml:space="preserve">. Available at: </w:t>
      </w:r>
      <w:hyperlink r:id="rId20" w:history="1">
        <w:r w:rsidRPr="006467BC">
          <w:rPr>
            <w:rStyle w:val="Hyperlink"/>
            <w:rFonts w:ascii="Arial" w:hAnsi="Arial" w:cs="Arial"/>
            <w:sz w:val="22"/>
            <w:szCs w:val="22"/>
          </w:rPr>
          <w:t>https://digital.nhs.uk/data-and-information/publications/statistical/nhs-app-statistics</w:t>
        </w:r>
      </w:hyperlink>
      <w:r w:rsidRPr="006467BC">
        <w:rPr>
          <w:rFonts w:ascii="Arial" w:hAnsi="Arial" w:cs="Arial"/>
          <w:sz w:val="22"/>
          <w:szCs w:val="22"/>
        </w:rPr>
        <w:t xml:space="preserve"> (Accessed: 23 October 2025).</w:t>
      </w:r>
    </w:p>
    <w:p w14:paraId="4288738F"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NHS England (2025) </w:t>
      </w:r>
      <w:r w:rsidRPr="006467BC">
        <w:rPr>
          <w:rFonts w:ascii="Arial" w:hAnsi="Arial" w:cs="Arial"/>
          <w:i/>
          <w:iCs/>
          <w:sz w:val="22"/>
          <w:szCs w:val="22"/>
        </w:rPr>
        <w:t>Modern general practice model</w:t>
      </w:r>
      <w:r w:rsidRPr="006467BC">
        <w:rPr>
          <w:rFonts w:ascii="Arial" w:hAnsi="Arial" w:cs="Arial"/>
          <w:sz w:val="22"/>
          <w:szCs w:val="22"/>
        </w:rPr>
        <w:t xml:space="preserve">. Available at: </w:t>
      </w:r>
      <w:hyperlink r:id="rId21" w:history="1">
        <w:r w:rsidRPr="006467BC">
          <w:rPr>
            <w:rStyle w:val="Hyperlink"/>
            <w:rFonts w:ascii="Arial" w:hAnsi="Arial" w:cs="Arial"/>
            <w:sz w:val="22"/>
            <w:szCs w:val="22"/>
          </w:rPr>
          <w:t>https://www.england.nhs.uk/gp/national-general-practice-improvement-programme/modern-general-practice-model/</w:t>
        </w:r>
      </w:hyperlink>
      <w:r w:rsidRPr="006467BC">
        <w:rPr>
          <w:rFonts w:ascii="Arial" w:hAnsi="Arial" w:cs="Arial"/>
          <w:sz w:val="22"/>
          <w:szCs w:val="22"/>
        </w:rPr>
        <w:t xml:space="preserve"> (Accessed: 23 October 2025).</w:t>
      </w:r>
    </w:p>
    <w:p w14:paraId="07C6013B"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Patients Association (2023) </w:t>
      </w:r>
      <w:r w:rsidRPr="006467BC">
        <w:rPr>
          <w:rFonts w:ascii="Arial" w:hAnsi="Arial" w:cs="Arial"/>
          <w:i/>
          <w:iCs/>
          <w:sz w:val="22"/>
          <w:szCs w:val="22"/>
        </w:rPr>
        <w:t>Patients value NHS App – but not all users able to access information they want, finds new report from the Digital Coalition.</w:t>
      </w:r>
      <w:r w:rsidRPr="006467BC">
        <w:rPr>
          <w:rFonts w:ascii="Arial" w:hAnsi="Arial" w:cs="Arial"/>
          <w:sz w:val="22"/>
          <w:szCs w:val="22"/>
        </w:rPr>
        <w:t xml:space="preserve"> Available at: </w:t>
      </w:r>
      <w:hyperlink r:id="rId22" w:history="1">
        <w:r w:rsidRPr="006467BC">
          <w:rPr>
            <w:rStyle w:val="Hyperlink"/>
            <w:rFonts w:ascii="Arial" w:hAnsi="Arial" w:cs="Arial"/>
            <w:sz w:val="22"/>
            <w:szCs w:val="22"/>
          </w:rPr>
          <w:t>https://www.patients-association.org.uk/news/patients-value-nhs-app-but-not-all-users-able-to-access-information-they-want-finds-new-report-from-the-digital-coalition</w:t>
        </w:r>
      </w:hyperlink>
      <w:r w:rsidRPr="006467BC">
        <w:rPr>
          <w:rFonts w:ascii="Arial" w:hAnsi="Arial" w:cs="Arial"/>
          <w:sz w:val="22"/>
          <w:szCs w:val="22"/>
        </w:rPr>
        <w:t xml:space="preserve"> (Accessed: 23 October 2025).</w:t>
      </w:r>
    </w:p>
    <w:p w14:paraId="5229E476"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Ramasawmy, M., </w:t>
      </w:r>
      <w:proofErr w:type="spellStart"/>
      <w:r w:rsidRPr="006467BC">
        <w:rPr>
          <w:rFonts w:ascii="Arial" w:hAnsi="Arial" w:cs="Arial"/>
          <w:sz w:val="22"/>
          <w:szCs w:val="22"/>
        </w:rPr>
        <w:t>Sunkersing</w:t>
      </w:r>
      <w:proofErr w:type="spellEnd"/>
      <w:r w:rsidRPr="006467BC">
        <w:rPr>
          <w:rFonts w:ascii="Arial" w:hAnsi="Arial" w:cs="Arial"/>
          <w:sz w:val="22"/>
          <w:szCs w:val="22"/>
        </w:rPr>
        <w:t xml:space="preserve">, D., Persson, D.R., Poole, L., Patel, K., Modha, S., Sajid, M., Gill, P., Stevenson, F., Khan, N. and Banerjee, A. (2024) ‘“If it all goes digital, we’ll have to learn”: facilitators and barriers to uptake of digital health in British South Asians with cardiometabolic disease’, </w:t>
      </w:r>
      <w:r w:rsidRPr="006467BC">
        <w:rPr>
          <w:rFonts w:ascii="Arial" w:hAnsi="Arial" w:cs="Arial"/>
          <w:i/>
          <w:iCs/>
          <w:sz w:val="22"/>
          <w:szCs w:val="22"/>
        </w:rPr>
        <w:t>BMC Digital Health</w:t>
      </w:r>
      <w:r w:rsidRPr="006467BC">
        <w:rPr>
          <w:rFonts w:ascii="Arial" w:hAnsi="Arial" w:cs="Arial"/>
          <w:sz w:val="22"/>
          <w:szCs w:val="22"/>
        </w:rPr>
        <w:t xml:space="preserve">, 2(1), p. 32. Available at: </w:t>
      </w:r>
      <w:hyperlink r:id="rId23" w:history="1">
        <w:r w:rsidRPr="006467BC">
          <w:rPr>
            <w:rStyle w:val="Hyperlink"/>
            <w:rFonts w:ascii="Arial" w:hAnsi="Arial" w:cs="Arial"/>
            <w:sz w:val="22"/>
            <w:szCs w:val="22"/>
          </w:rPr>
          <w:t>https://doi.org/10.1186/s44247-024-00083-y</w:t>
        </w:r>
      </w:hyperlink>
      <w:r w:rsidRPr="006467BC">
        <w:rPr>
          <w:rFonts w:ascii="Arial" w:hAnsi="Arial" w:cs="Arial"/>
          <w:sz w:val="22"/>
          <w:szCs w:val="22"/>
        </w:rPr>
        <w:t>.</w:t>
      </w:r>
    </w:p>
    <w:p w14:paraId="2C2E6D44"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Reidy, C., Papoutsi, C., Kc, S., </w:t>
      </w:r>
      <w:proofErr w:type="spellStart"/>
      <w:r w:rsidRPr="006467BC">
        <w:rPr>
          <w:rFonts w:ascii="Arial" w:hAnsi="Arial" w:cs="Arial"/>
          <w:sz w:val="22"/>
          <w:szCs w:val="22"/>
        </w:rPr>
        <w:t>Gudgin</w:t>
      </w:r>
      <w:proofErr w:type="spellEnd"/>
      <w:r w:rsidRPr="006467BC">
        <w:rPr>
          <w:rFonts w:ascii="Arial" w:hAnsi="Arial" w:cs="Arial"/>
          <w:sz w:val="22"/>
          <w:szCs w:val="22"/>
        </w:rPr>
        <w:t>, B., Laverty, A.A., Greaves, F. and Powell, J. (2025) ‘Qualitative evaluation of the implementation and national roll-out of the NHS App in England.’</w:t>
      </w:r>
      <w:r w:rsidRPr="006467BC">
        <w:rPr>
          <w:rFonts w:ascii="Arial" w:hAnsi="Arial" w:cs="Arial"/>
          <w:i/>
          <w:iCs/>
          <w:sz w:val="22"/>
          <w:szCs w:val="22"/>
        </w:rPr>
        <w:t>, BMC Medicine</w:t>
      </w:r>
      <w:r w:rsidRPr="006467BC">
        <w:rPr>
          <w:rFonts w:ascii="Arial" w:hAnsi="Arial" w:cs="Arial"/>
          <w:sz w:val="22"/>
          <w:szCs w:val="22"/>
        </w:rPr>
        <w:t xml:space="preserve">, 23(1), p. 20. Available at: </w:t>
      </w:r>
      <w:hyperlink r:id="rId24" w:history="1">
        <w:r w:rsidRPr="006467BC">
          <w:rPr>
            <w:rStyle w:val="Hyperlink"/>
            <w:rFonts w:ascii="Arial" w:hAnsi="Arial" w:cs="Arial"/>
            <w:sz w:val="22"/>
            <w:szCs w:val="22"/>
          </w:rPr>
          <w:t>https://doi.org/10.1186/s12916-024-03842-w</w:t>
        </w:r>
      </w:hyperlink>
      <w:r w:rsidRPr="006467BC">
        <w:rPr>
          <w:rFonts w:ascii="Arial" w:hAnsi="Arial" w:cs="Arial"/>
          <w:sz w:val="22"/>
          <w:szCs w:val="22"/>
        </w:rPr>
        <w:t>.</w:t>
      </w:r>
    </w:p>
    <w:p w14:paraId="0C22A0D9"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t xml:space="preserve">Tony Blair Institute (2025) </w:t>
      </w:r>
      <w:r w:rsidRPr="006467BC">
        <w:rPr>
          <w:rFonts w:ascii="Arial" w:hAnsi="Arial" w:cs="Arial"/>
          <w:i/>
          <w:iCs/>
          <w:sz w:val="22"/>
          <w:szCs w:val="22"/>
        </w:rPr>
        <w:t>The NHS at a Crossroads: The App That Can Transform Britain's Health</w:t>
      </w:r>
      <w:r w:rsidRPr="006467BC">
        <w:rPr>
          <w:rFonts w:ascii="Arial" w:hAnsi="Arial" w:cs="Arial"/>
          <w:sz w:val="22"/>
          <w:szCs w:val="22"/>
        </w:rPr>
        <w:t xml:space="preserve">. Available at: </w:t>
      </w:r>
      <w:hyperlink r:id="rId25" w:history="1">
        <w:r w:rsidRPr="006467BC">
          <w:rPr>
            <w:rStyle w:val="Hyperlink"/>
            <w:rFonts w:ascii="Arial" w:hAnsi="Arial" w:cs="Arial"/>
            <w:sz w:val="22"/>
            <w:szCs w:val="22"/>
          </w:rPr>
          <w:t>https://institute.global/insights/public-services/the-nhs-at-a-crossroads-the-app-that-can-transform-britains-health</w:t>
        </w:r>
      </w:hyperlink>
      <w:r w:rsidRPr="006467BC">
        <w:rPr>
          <w:rFonts w:ascii="Arial" w:hAnsi="Arial" w:cs="Arial"/>
          <w:sz w:val="22"/>
          <w:szCs w:val="22"/>
        </w:rPr>
        <w:t xml:space="preserve"> (Accessed: 23 October 2025).</w:t>
      </w:r>
    </w:p>
    <w:p w14:paraId="278161D3" w14:textId="77777777" w:rsidR="00EF6238" w:rsidRPr="006467BC" w:rsidRDefault="00EF6238" w:rsidP="006467BC">
      <w:pPr>
        <w:spacing w:line="360" w:lineRule="auto"/>
        <w:rPr>
          <w:rFonts w:ascii="Arial" w:hAnsi="Arial" w:cs="Arial"/>
          <w:sz w:val="22"/>
          <w:szCs w:val="22"/>
        </w:rPr>
      </w:pPr>
      <w:r w:rsidRPr="006467BC">
        <w:rPr>
          <w:rFonts w:ascii="Arial" w:hAnsi="Arial" w:cs="Arial"/>
          <w:sz w:val="22"/>
          <w:szCs w:val="22"/>
        </w:rPr>
        <w:lastRenderedPageBreak/>
        <w:t xml:space="preserve">Zhang, J., </w:t>
      </w:r>
      <w:proofErr w:type="spellStart"/>
      <w:r w:rsidRPr="006467BC">
        <w:rPr>
          <w:rFonts w:ascii="Arial" w:hAnsi="Arial" w:cs="Arial"/>
          <w:sz w:val="22"/>
          <w:szCs w:val="22"/>
        </w:rPr>
        <w:t>Gallifant</w:t>
      </w:r>
      <w:proofErr w:type="spellEnd"/>
      <w:r w:rsidRPr="006467BC">
        <w:rPr>
          <w:rFonts w:ascii="Arial" w:hAnsi="Arial" w:cs="Arial"/>
          <w:sz w:val="22"/>
          <w:szCs w:val="22"/>
        </w:rPr>
        <w:t xml:space="preserve">, J., Pierce, R.L., Fordham, A., Teo, J., Celi, L. and </w:t>
      </w:r>
      <w:proofErr w:type="spellStart"/>
      <w:r w:rsidRPr="006467BC">
        <w:rPr>
          <w:rFonts w:ascii="Arial" w:hAnsi="Arial" w:cs="Arial"/>
          <w:sz w:val="22"/>
          <w:szCs w:val="22"/>
        </w:rPr>
        <w:t>Ashrafian</w:t>
      </w:r>
      <w:proofErr w:type="spellEnd"/>
      <w:r w:rsidRPr="006467BC">
        <w:rPr>
          <w:rFonts w:ascii="Arial" w:hAnsi="Arial" w:cs="Arial"/>
          <w:sz w:val="22"/>
          <w:szCs w:val="22"/>
        </w:rPr>
        <w:t xml:space="preserve">, H. (2023) ‘Quantifying digital health inequality across a national healthcare system.’, </w:t>
      </w:r>
      <w:r w:rsidRPr="006467BC">
        <w:rPr>
          <w:rFonts w:ascii="Arial" w:hAnsi="Arial" w:cs="Arial"/>
          <w:i/>
          <w:iCs/>
          <w:sz w:val="22"/>
          <w:szCs w:val="22"/>
        </w:rPr>
        <w:t>BMJ Health &amp; Care Informatics</w:t>
      </w:r>
      <w:r w:rsidRPr="006467BC">
        <w:rPr>
          <w:rFonts w:ascii="Arial" w:hAnsi="Arial" w:cs="Arial"/>
          <w:sz w:val="22"/>
          <w:szCs w:val="22"/>
        </w:rPr>
        <w:t xml:space="preserve">, 30(1), p. e100809. Available at: </w:t>
      </w:r>
      <w:hyperlink r:id="rId26" w:history="1">
        <w:r w:rsidRPr="006467BC">
          <w:rPr>
            <w:rStyle w:val="Hyperlink"/>
            <w:rFonts w:ascii="Arial" w:hAnsi="Arial" w:cs="Arial"/>
            <w:sz w:val="22"/>
            <w:szCs w:val="22"/>
          </w:rPr>
          <w:t>https://doi.org/10.1136/bmjhci-2023-100809</w:t>
        </w:r>
      </w:hyperlink>
      <w:r w:rsidRPr="006467BC">
        <w:rPr>
          <w:rFonts w:ascii="Arial" w:hAnsi="Arial" w:cs="Arial"/>
          <w:sz w:val="22"/>
          <w:szCs w:val="22"/>
        </w:rPr>
        <w:t>.</w:t>
      </w:r>
    </w:p>
    <w:p w14:paraId="1B236FB6" w14:textId="5AEED56E" w:rsidR="003D68D6" w:rsidRPr="006467BC" w:rsidRDefault="003D68D6" w:rsidP="006467BC">
      <w:pPr>
        <w:spacing w:line="360" w:lineRule="auto"/>
        <w:rPr>
          <w:rFonts w:ascii="Arial" w:hAnsi="Arial" w:cs="Arial"/>
          <w:b/>
          <w:sz w:val="22"/>
          <w:szCs w:val="22"/>
        </w:rPr>
      </w:pPr>
    </w:p>
    <w:sectPr w:rsidR="003D68D6" w:rsidRPr="006467BC">
      <w:footerReference w:type="default" r:id="rId2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EA530" w14:textId="77777777" w:rsidR="00A247DB" w:rsidRDefault="00A247DB" w:rsidP="006467BC">
      <w:pPr>
        <w:spacing w:after="0" w:line="240" w:lineRule="auto"/>
      </w:pPr>
      <w:r>
        <w:separator/>
      </w:r>
    </w:p>
  </w:endnote>
  <w:endnote w:type="continuationSeparator" w:id="0">
    <w:p w14:paraId="12876C17" w14:textId="77777777" w:rsidR="00A247DB" w:rsidRDefault="00A247DB" w:rsidP="00646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990EBA32-92CB-4405-814E-7AD372D7B20B}"/>
    <w:embedBold r:id="rId2" w:fontKey="{C04A1A1F-5653-4455-8443-AFF17232CB90}"/>
    <w:embedItalic r:id="rId3" w:fontKey="{916B950C-ED04-4388-A300-CFD3E9E5E560}"/>
  </w:font>
  <w:font w:name="Play">
    <w:charset w:val="00"/>
    <w:family w:val="auto"/>
    <w:pitch w:val="default"/>
    <w:embedRegular r:id="rId4" w:fontKey="{E335C4E0-ADE1-4051-9CA3-5C60C4B270FB}"/>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BD80EC92-A8BB-47CF-B639-2C29EB656B1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108200"/>
      <w:docPartObj>
        <w:docPartGallery w:val="Page Numbers (Bottom of Page)"/>
        <w:docPartUnique/>
      </w:docPartObj>
    </w:sdtPr>
    <w:sdtEndPr>
      <w:rPr>
        <w:color w:val="7F7F7F" w:themeColor="background1" w:themeShade="7F"/>
        <w:spacing w:val="60"/>
      </w:rPr>
    </w:sdtEndPr>
    <w:sdtContent>
      <w:p w14:paraId="76B96C4E" w14:textId="4EE9EC1A" w:rsidR="006467BC" w:rsidRDefault="006467B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93CC800" w14:textId="77777777" w:rsidR="006467BC" w:rsidRDefault="00646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FE6F6" w14:textId="77777777" w:rsidR="00A247DB" w:rsidRDefault="00A247DB" w:rsidP="006467BC">
      <w:pPr>
        <w:spacing w:after="0" w:line="240" w:lineRule="auto"/>
      </w:pPr>
      <w:r>
        <w:separator/>
      </w:r>
    </w:p>
  </w:footnote>
  <w:footnote w:type="continuationSeparator" w:id="0">
    <w:p w14:paraId="711F59AC" w14:textId="77777777" w:rsidR="00A247DB" w:rsidRDefault="00A247DB" w:rsidP="006467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BC1"/>
    <w:rsid w:val="000152F3"/>
    <w:rsid w:val="001C161F"/>
    <w:rsid w:val="002C00E2"/>
    <w:rsid w:val="003057D4"/>
    <w:rsid w:val="00325D0F"/>
    <w:rsid w:val="003944F5"/>
    <w:rsid w:val="003D68D6"/>
    <w:rsid w:val="003E7C54"/>
    <w:rsid w:val="003F03B8"/>
    <w:rsid w:val="004A52C4"/>
    <w:rsid w:val="006467BC"/>
    <w:rsid w:val="00652BC1"/>
    <w:rsid w:val="00671518"/>
    <w:rsid w:val="00691444"/>
    <w:rsid w:val="00777D23"/>
    <w:rsid w:val="007B0E79"/>
    <w:rsid w:val="00897917"/>
    <w:rsid w:val="00953485"/>
    <w:rsid w:val="00A247DB"/>
    <w:rsid w:val="00A50CC0"/>
    <w:rsid w:val="00AB61DA"/>
    <w:rsid w:val="00AB62BF"/>
    <w:rsid w:val="00B55E9C"/>
    <w:rsid w:val="00C30CFC"/>
    <w:rsid w:val="00D13E8E"/>
    <w:rsid w:val="00D4195B"/>
    <w:rsid w:val="00D76EF1"/>
    <w:rsid w:val="00EF6238"/>
    <w:rsid w:val="00FF4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7316"/>
  <w15:docId w15:val="{3B6299CF-DB61-48C5-AEAA-0CF8A9E4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927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927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7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F19"/>
    <w:rPr>
      <w:rFonts w:eastAsiaTheme="majorEastAsia" w:cstheme="majorBidi"/>
      <w:color w:val="272727" w:themeColor="text1" w:themeTint="D8"/>
    </w:rPr>
  </w:style>
  <w:style w:type="character" w:customStyle="1" w:styleId="TitleChar">
    <w:name w:val="Title Char"/>
    <w:basedOn w:val="DefaultParagraphFont"/>
    <w:link w:val="Title"/>
    <w:uiPriority w:val="10"/>
    <w:rsid w:val="00927F19"/>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927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F19"/>
    <w:pPr>
      <w:spacing w:before="160"/>
      <w:jc w:val="center"/>
    </w:pPr>
    <w:rPr>
      <w:i/>
      <w:iCs/>
      <w:color w:val="404040" w:themeColor="text1" w:themeTint="BF"/>
    </w:rPr>
  </w:style>
  <w:style w:type="character" w:customStyle="1" w:styleId="QuoteChar">
    <w:name w:val="Quote Char"/>
    <w:basedOn w:val="DefaultParagraphFont"/>
    <w:link w:val="Quote"/>
    <w:uiPriority w:val="29"/>
    <w:rsid w:val="00927F19"/>
    <w:rPr>
      <w:i/>
      <w:iCs/>
      <w:color w:val="404040" w:themeColor="text1" w:themeTint="BF"/>
    </w:rPr>
  </w:style>
  <w:style w:type="paragraph" w:styleId="ListParagraph">
    <w:name w:val="List Paragraph"/>
    <w:basedOn w:val="Normal"/>
    <w:uiPriority w:val="34"/>
    <w:qFormat/>
    <w:rsid w:val="00927F19"/>
    <w:pPr>
      <w:ind w:left="720"/>
      <w:contextualSpacing/>
    </w:pPr>
  </w:style>
  <w:style w:type="character" w:styleId="IntenseEmphasis">
    <w:name w:val="Intense Emphasis"/>
    <w:basedOn w:val="DefaultParagraphFont"/>
    <w:uiPriority w:val="21"/>
    <w:qFormat/>
    <w:rsid w:val="00927F19"/>
    <w:rPr>
      <w:i/>
      <w:iCs/>
      <w:color w:val="0F4761" w:themeColor="accent1" w:themeShade="BF"/>
    </w:rPr>
  </w:style>
  <w:style w:type="paragraph" w:styleId="IntenseQuote">
    <w:name w:val="Intense Quote"/>
    <w:basedOn w:val="Normal"/>
    <w:next w:val="Normal"/>
    <w:link w:val="IntenseQuoteChar"/>
    <w:uiPriority w:val="30"/>
    <w:qFormat/>
    <w:rsid w:val="00927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F19"/>
    <w:rPr>
      <w:i/>
      <w:iCs/>
      <w:color w:val="0F4761" w:themeColor="accent1" w:themeShade="BF"/>
    </w:rPr>
  </w:style>
  <w:style w:type="character" w:styleId="IntenseReference">
    <w:name w:val="Intense Reference"/>
    <w:basedOn w:val="DefaultParagraphFont"/>
    <w:uiPriority w:val="32"/>
    <w:qFormat/>
    <w:rsid w:val="00927F19"/>
    <w:rPr>
      <w:b/>
      <w:bCs/>
      <w:smallCaps/>
      <w:color w:val="0F4761" w:themeColor="accent1" w:themeShade="BF"/>
      <w:spacing w:val="5"/>
    </w:rPr>
  </w:style>
  <w:style w:type="character" w:styleId="Hyperlink">
    <w:name w:val="Hyperlink"/>
    <w:basedOn w:val="DefaultParagraphFont"/>
    <w:uiPriority w:val="99"/>
    <w:unhideWhenUsed/>
    <w:rsid w:val="006930B0"/>
    <w:rPr>
      <w:color w:val="467886" w:themeColor="hyperlink"/>
      <w:u w:val="single"/>
    </w:rPr>
  </w:style>
  <w:style w:type="character" w:styleId="UnresolvedMention">
    <w:name w:val="Unresolved Mention"/>
    <w:basedOn w:val="DefaultParagraphFont"/>
    <w:uiPriority w:val="99"/>
    <w:semiHidden/>
    <w:unhideWhenUsed/>
    <w:rsid w:val="006930B0"/>
    <w:rPr>
      <w:color w:val="605E5C"/>
      <w:shd w:val="clear" w:color="auto" w:fill="E1DFDD"/>
    </w:rPr>
  </w:style>
  <w:style w:type="paragraph" w:styleId="Subtitle">
    <w:name w:val="Subtitle"/>
    <w:basedOn w:val="Normal"/>
    <w:next w:val="Normal"/>
    <w:link w:val="SubtitleChar"/>
    <w:uiPriority w:val="11"/>
    <w:qFormat/>
    <w:rPr>
      <w:color w:val="595959"/>
      <w:sz w:val="28"/>
      <w:szCs w:val="28"/>
    </w:rPr>
  </w:style>
  <w:style w:type="character" w:styleId="FollowedHyperlink">
    <w:name w:val="FollowedHyperlink"/>
    <w:basedOn w:val="DefaultParagraphFont"/>
    <w:uiPriority w:val="99"/>
    <w:semiHidden/>
    <w:unhideWhenUsed/>
    <w:rsid w:val="00FF4DCD"/>
    <w:rPr>
      <w:color w:val="96607D" w:themeColor="followedHyperlink"/>
      <w:u w:val="single"/>
    </w:rPr>
  </w:style>
  <w:style w:type="paragraph" w:styleId="NoSpacing">
    <w:name w:val="No Spacing"/>
    <w:link w:val="NoSpacingChar"/>
    <w:uiPriority w:val="1"/>
    <w:qFormat/>
    <w:rsid w:val="00AB62BF"/>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B62BF"/>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unhideWhenUsed/>
    <w:rsid w:val="00646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7BC"/>
  </w:style>
  <w:style w:type="paragraph" w:styleId="Footer">
    <w:name w:val="footer"/>
    <w:basedOn w:val="Normal"/>
    <w:link w:val="FooterChar"/>
    <w:uiPriority w:val="99"/>
    <w:unhideWhenUsed/>
    <w:rsid w:val="00646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7BC"/>
  </w:style>
  <w:style w:type="paragraph" w:styleId="TOCHeading">
    <w:name w:val="TOC Heading"/>
    <w:basedOn w:val="Heading1"/>
    <w:next w:val="Normal"/>
    <w:uiPriority w:val="39"/>
    <w:unhideWhenUsed/>
    <w:qFormat/>
    <w:rsid w:val="006467BC"/>
    <w:pPr>
      <w:spacing w:before="240" w:after="0" w:line="259" w:lineRule="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6467BC"/>
    <w:pPr>
      <w:spacing w:after="100"/>
    </w:pPr>
  </w:style>
  <w:style w:type="paragraph" w:styleId="TOC2">
    <w:name w:val="toc 2"/>
    <w:basedOn w:val="Normal"/>
    <w:next w:val="Normal"/>
    <w:autoRedefine/>
    <w:uiPriority w:val="39"/>
    <w:unhideWhenUsed/>
    <w:rsid w:val="006467B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36/bmj.l6210" TargetMode="External"/><Relationship Id="rId13" Type="http://schemas.openxmlformats.org/officeDocument/2006/relationships/hyperlink" Target="https://doi.org/10.1186/s12875-023-02257-5" TargetMode="External"/><Relationship Id="rId18" Type="http://schemas.openxmlformats.org/officeDocument/2006/relationships/hyperlink" Target="https://www.nhs.uk/nhs-app/nhs-app-legal-and-cookies/nhs-app-accessibility-statement/" TargetMode="External"/><Relationship Id="rId26" Type="http://schemas.openxmlformats.org/officeDocument/2006/relationships/hyperlink" Target="https://doi.org/10.1136/bmjhci-2023-100809" TargetMode="External"/><Relationship Id="rId3" Type="http://schemas.openxmlformats.org/officeDocument/2006/relationships/styles" Target="styles.xml"/><Relationship Id="rId21" Type="http://schemas.openxmlformats.org/officeDocument/2006/relationships/hyperlink" Target="https://www.england.nhs.uk/gp/national-general-practice-improvement-programme/modern-general-practice-model/" TargetMode="External"/><Relationship Id="rId7" Type="http://schemas.openxmlformats.org/officeDocument/2006/relationships/endnotes" Target="endnotes.xml"/><Relationship Id="rId12" Type="http://schemas.openxmlformats.org/officeDocument/2006/relationships/hyperlink" Target="https://doi.org/10.3399/BJGP.2024.0308" TargetMode="External"/><Relationship Id="rId17" Type="http://schemas.openxmlformats.org/officeDocument/2006/relationships/hyperlink" Target="https://www.legislation.gov.uk/uksi/2018/952/contents/made" TargetMode="External"/><Relationship Id="rId25" Type="http://schemas.openxmlformats.org/officeDocument/2006/relationships/hyperlink" Target="https://institute.global/insights/public-services/the-nhs-at-a-crossroads-the-app-that-can-transform-britains-health" TargetMode="External"/><Relationship Id="rId2" Type="http://schemas.openxmlformats.org/officeDocument/2006/relationships/customXml" Target="../customXml/item2.xml"/><Relationship Id="rId16" Type="http://schemas.openxmlformats.org/officeDocument/2006/relationships/hyperlink" Target="https://www.legislation.gov.uk/ukpga/2018/12/contents" TargetMode="External"/><Relationship Id="rId20" Type="http://schemas.openxmlformats.org/officeDocument/2006/relationships/hyperlink" Target="https://digital.nhs.uk/data-and-information/publications/statistical/nhs-app-statist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 TargetMode="External"/><Relationship Id="rId24" Type="http://schemas.openxmlformats.org/officeDocument/2006/relationships/hyperlink" Target="https://doi.org/10.1186/s12916-024-03842-w"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doi.org/10.1186/s44247-024-00083-y" TargetMode="External"/><Relationship Id="rId28" Type="http://schemas.openxmlformats.org/officeDocument/2006/relationships/fontTable" Target="fontTable.xml"/><Relationship Id="rId10" Type="http://schemas.openxmlformats.org/officeDocument/2006/relationships/hyperlink" Target="https://www.gov.uk/government/publications/10-year-health-plan-for-england-fit-for-the-future" TargetMode="External"/><Relationship Id="rId19" Type="http://schemas.openxmlformats.org/officeDocument/2006/relationships/hyperlink" Target="https://digital.nhs.uk/services/nhs-app/case-studies" TargetMode="External"/><Relationship Id="rId4" Type="http://schemas.openxmlformats.org/officeDocument/2006/relationships/settings" Target="settings.xml"/><Relationship Id="rId9" Type="http://schemas.openxmlformats.org/officeDocument/2006/relationships/hyperlink" Target="https://doi.org/10.3399/BJGP.2022.0436" TargetMode="External"/><Relationship Id="rId14" Type="http://schemas.openxmlformats.org/officeDocument/2006/relationships/hyperlink" Target="https://doi.org/10.1177/10497323231192379" TargetMode="External"/><Relationship Id="rId22" Type="http://schemas.openxmlformats.org/officeDocument/2006/relationships/hyperlink" Target="https://www.patients-association.org.uk/news/patients-value-nhs-app-but-not-all-users-able-to-access-information-they-want-finds-new-report-from-the-digital-coalition"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ANWvrZwBl5RZJa2SIdqcIpLckg==">CgMxLjA4AHIhMW9Sb0pxVmREaDRtNkppODdhRGRPTzViRGFSQ0JBMHkx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46EB47-9321-440D-A576-4936D46A7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1600</TotalTime>
  <Pages>10</Pages>
  <Words>3156</Words>
  <Characters>17991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Tahmid Summy</dc:creator>
  <cp:lastModifiedBy>Tahmid Summy</cp:lastModifiedBy>
  <cp:revision>5</cp:revision>
  <dcterms:created xsi:type="dcterms:W3CDTF">2025-10-21T01:06:00Z</dcterms:created>
  <dcterms:modified xsi:type="dcterms:W3CDTF">2025-10-23T21:52:00Z</dcterms:modified>
</cp:coreProperties>
</file>