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F49AE" w14:textId="77777777" w:rsidR="00C42059" w:rsidRDefault="00C42059" w:rsidP="00C42059">
      <w:pPr>
        <w:jc w:val="both"/>
        <w:rPr>
          <w:sz w:val="24"/>
          <w:szCs w:val="24"/>
        </w:rPr>
      </w:pPr>
      <w:r>
        <w:rPr>
          <w:sz w:val="24"/>
          <w:szCs w:val="24"/>
        </w:rPr>
        <w:tab/>
        <w:t xml:space="preserve">This report will analyse the physical, emotional, intellectual, spiritual and psychosocial needs of an individual.  In line with the Nursing and Midwifery Council (NMC) Code of Conduct (2018) the individuals’ identification has been anonymised to ensure confidentiality and will be referred to from here on in as Patient X.  An evaluation of Patient X assessment including any recommendations in line with Government strategy for the future will be summarised at the end.  </w:t>
      </w:r>
    </w:p>
    <w:p w14:paraId="707A4D2F" w14:textId="77777777" w:rsidR="00C42059" w:rsidRDefault="00C42059" w:rsidP="00C42059">
      <w:pPr>
        <w:jc w:val="both"/>
        <w:rPr>
          <w:sz w:val="24"/>
          <w:szCs w:val="24"/>
        </w:rPr>
      </w:pPr>
      <w:r>
        <w:rPr>
          <w:sz w:val="24"/>
          <w:szCs w:val="24"/>
        </w:rPr>
        <w:tab/>
        <w:t>Firstly, let’s explore what is health and fitness; according to the</w:t>
      </w:r>
      <w:r>
        <w:rPr>
          <w:i/>
          <w:sz w:val="24"/>
          <w:szCs w:val="24"/>
        </w:rPr>
        <w:t xml:space="preserve"> World Health Organisation (WHO) (1948)</w:t>
      </w:r>
      <w:r>
        <w:rPr>
          <w:sz w:val="24"/>
          <w:szCs w:val="24"/>
        </w:rPr>
        <w:t xml:space="preserve"> it is a condition of “complete physical, mental and social wellness rather than just the lack of disease or infirmity”, a definition which has not changed since 1948.  </w:t>
      </w:r>
      <w:r>
        <w:rPr>
          <w:i/>
          <w:sz w:val="24"/>
          <w:szCs w:val="24"/>
        </w:rPr>
        <w:t>Saracci (1997)</w:t>
      </w:r>
      <w:r>
        <w:rPr>
          <w:sz w:val="24"/>
          <w:szCs w:val="24"/>
        </w:rPr>
        <w:t xml:space="preserve"> suggests that the definition encourages health strategies to include the social and psychosocial wellbeing of an individual but went onto state that it did not have any practical use and that it defines happiness more than health.  </w:t>
      </w:r>
      <w:r>
        <w:rPr>
          <w:i/>
          <w:sz w:val="24"/>
          <w:szCs w:val="24"/>
        </w:rPr>
        <w:t xml:space="preserve">Saracci (1997) </w:t>
      </w:r>
      <w:r>
        <w:rPr>
          <w:sz w:val="24"/>
          <w:szCs w:val="24"/>
        </w:rPr>
        <w:t xml:space="preserve">onto argue that health is a basic human right, but no one can ever guarantee happiness as it is a subjective concept.  To place resources into achieving happiness for every single human being is a waste and would ultimately halt the chance to guarantee equality in world health, which is fundamentally achievable.  </w:t>
      </w:r>
      <w:r>
        <w:rPr>
          <w:i/>
          <w:sz w:val="24"/>
          <w:szCs w:val="24"/>
        </w:rPr>
        <w:t>Whitehead (1990)</w:t>
      </w:r>
      <w:r>
        <w:rPr>
          <w:sz w:val="24"/>
          <w:szCs w:val="24"/>
        </w:rPr>
        <w:t xml:space="preserve"> supports the WHO’s definition and goes further to point out the inequalities in health between certain social groups and suggests by removing the divide will reduce mortality and morbidity of the less privileged groups.  </w:t>
      </w:r>
      <w:r>
        <w:rPr>
          <w:i/>
          <w:sz w:val="24"/>
          <w:szCs w:val="24"/>
        </w:rPr>
        <w:t xml:space="preserve">Whitehead (1990) </w:t>
      </w:r>
      <w:r>
        <w:rPr>
          <w:sz w:val="24"/>
          <w:szCs w:val="24"/>
        </w:rPr>
        <w:t xml:space="preserve">called for a policy to facilitate healthy choice to be as easy and accessible as it is already amongst the more privileged groups.  As a result of </w:t>
      </w:r>
      <w:r>
        <w:rPr>
          <w:i/>
          <w:sz w:val="24"/>
          <w:szCs w:val="24"/>
        </w:rPr>
        <w:t xml:space="preserve">Whitehead (1990), </w:t>
      </w:r>
      <w:r>
        <w:rPr>
          <w:sz w:val="24"/>
          <w:szCs w:val="24"/>
        </w:rPr>
        <w:t xml:space="preserve">the </w:t>
      </w:r>
      <w:r>
        <w:rPr>
          <w:i/>
          <w:sz w:val="24"/>
          <w:szCs w:val="24"/>
        </w:rPr>
        <w:t>WHO (1991)</w:t>
      </w:r>
      <w:r>
        <w:rPr>
          <w:sz w:val="24"/>
          <w:szCs w:val="24"/>
        </w:rPr>
        <w:t xml:space="preserve"> pledged by the year 2000 to reduce the inequalities between countries and groups within countries by 25% improving the level of health for the disadvantaged.  </w:t>
      </w:r>
      <w:r>
        <w:rPr>
          <w:i/>
          <w:sz w:val="24"/>
          <w:szCs w:val="24"/>
        </w:rPr>
        <w:t>Whitehead and Dahlgren (2006)</w:t>
      </w:r>
      <w:r>
        <w:rPr>
          <w:sz w:val="24"/>
          <w:szCs w:val="24"/>
        </w:rPr>
        <w:t xml:space="preserve"> suggest that whilst there have been some improvements in social equality within the western world much still has to be done in third world countries.  Health is a world issue, but why are we still globally unhealthy?  </w:t>
      </w:r>
      <w:r>
        <w:rPr>
          <w:i/>
          <w:sz w:val="24"/>
          <w:szCs w:val="24"/>
        </w:rPr>
        <w:t>Green and Tones (2010)</w:t>
      </w:r>
      <w:r>
        <w:rPr>
          <w:sz w:val="24"/>
          <w:szCs w:val="24"/>
        </w:rPr>
        <w:t xml:space="preserve"> suggest that for any health strategy to be fruitful individual behaviours need to be addressed; in order to influence healthier life style choices.  They further this view by stating that an individual’s behaviour contributes to their own poor diet, lack of exercise, unsafe sex and smoking, drinking alcohol and consuming other addictive substances despite all the Government warnings.  </w:t>
      </w:r>
    </w:p>
    <w:p w14:paraId="1EEFEE06" w14:textId="77777777" w:rsidR="00C42059" w:rsidRDefault="00C42059" w:rsidP="00C42059">
      <w:pPr>
        <w:jc w:val="both"/>
        <w:rPr>
          <w:sz w:val="24"/>
          <w:szCs w:val="24"/>
        </w:rPr>
      </w:pPr>
      <w:r>
        <w:rPr>
          <w:sz w:val="24"/>
          <w:szCs w:val="24"/>
        </w:rPr>
        <w:tab/>
        <w:t xml:space="preserve">In order to carry out the evaluation of Patient X, a debrief form (Appendix A) was given to the individual which explained the aim of the study and their right to withdraw at any time.  Consent was also obtained to certify their agreement to participate (Appendix B).  The studies ethic form has been completed and held by Felicity Page, lecturer at University of Wales Trinity Saint David’s.  </w:t>
      </w:r>
    </w:p>
    <w:p w14:paraId="758B3006" w14:textId="77777777" w:rsidR="00C42059" w:rsidRDefault="00C42059" w:rsidP="00C42059">
      <w:pPr>
        <w:jc w:val="both"/>
        <w:rPr>
          <w:sz w:val="24"/>
          <w:szCs w:val="24"/>
        </w:rPr>
      </w:pPr>
      <w:r>
        <w:rPr>
          <w:sz w:val="24"/>
          <w:szCs w:val="24"/>
        </w:rPr>
        <w:tab/>
        <w:t xml:space="preserve">Looking at the background medical questions (Appendix C), Patient X is a female, aged 40-50 years old with a blood pressure of 103/60 mmHg.  The </w:t>
      </w:r>
      <w:r>
        <w:rPr>
          <w:i/>
          <w:sz w:val="24"/>
          <w:szCs w:val="24"/>
        </w:rPr>
        <w:t>National Institute for Care and Excellence (NICE) (2011)</w:t>
      </w:r>
      <w:r>
        <w:rPr>
          <w:sz w:val="24"/>
          <w:szCs w:val="24"/>
        </w:rPr>
        <w:t xml:space="preserve"> state that bloody pressure between 90/60 mmHg and 120/80 mmHg is the ideal blood pressure.  This view is supported by the </w:t>
      </w:r>
      <w:r>
        <w:rPr>
          <w:i/>
          <w:sz w:val="24"/>
          <w:szCs w:val="24"/>
        </w:rPr>
        <w:t>National Health Service (NHS) (2017)</w:t>
      </w:r>
      <w:r>
        <w:rPr>
          <w:sz w:val="24"/>
          <w:szCs w:val="24"/>
        </w:rPr>
        <w:t xml:space="preserve"> in their guidelines to nursing staff (Appendix H).  All other physical observations are within </w:t>
      </w:r>
      <w:r>
        <w:rPr>
          <w:sz w:val="24"/>
          <w:szCs w:val="24"/>
        </w:rPr>
        <w:lastRenderedPageBreak/>
        <w:t xml:space="preserve">normal parameters </w:t>
      </w:r>
      <w:proofErr w:type="gramStart"/>
      <w:r>
        <w:rPr>
          <w:sz w:val="24"/>
          <w:szCs w:val="24"/>
        </w:rPr>
        <w:t>with the exception of</w:t>
      </w:r>
      <w:proofErr w:type="gramEnd"/>
      <w:r>
        <w:rPr>
          <w:sz w:val="24"/>
          <w:szCs w:val="24"/>
        </w:rPr>
        <w:t xml:space="preserve"> Patient X weight which is currently 101 kg.  Using the Body Mass Index (BMI) calculation (Appendix F) this puts the individual as having a BMI of 38.  </w:t>
      </w:r>
      <w:r>
        <w:rPr>
          <w:i/>
          <w:sz w:val="24"/>
          <w:szCs w:val="24"/>
        </w:rPr>
        <w:t>NICE (2014)</w:t>
      </w:r>
      <w:r>
        <w:rPr>
          <w:sz w:val="24"/>
          <w:szCs w:val="24"/>
        </w:rPr>
        <w:t xml:space="preserve"> suggest that anyone with a BMI over 30 is clinically obese.  </w:t>
      </w:r>
      <w:r>
        <w:rPr>
          <w:i/>
          <w:sz w:val="24"/>
          <w:szCs w:val="24"/>
        </w:rPr>
        <w:t>Allender and Rayner (2007)</w:t>
      </w:r>
      <w:r>
        <w:rPr>
          <w:sz w:val="24"/>
          <w:szCs w:val="24"/>
        </w:rPr>
        <w:t xml:space="preserve"> provide evidence that the financial burden on the NHS is 3.2 billion and increasing annually, this they state is due to the fact that obesity is linked to other health risks such as depression, gallstones, type II diabetes, high blood pressure, high cholesterol, coronary artery disease, stroke, sleep apnea, breast cancer due to the higher levels of oestrogen production in overweight individuals and bowel cancer. </w:t>
      </w:r>
      <w:r>
        <w:rPr>
          <w:i/>
          <w:sz w:val="24"/>
          <w:szCs w:val="24"/>
        </w:rPr>
        <w:t>Harcombe (2010)</w:t>
      </w:r>
      <w:r>
        <w:rPr>
          <w:sz w:val="24"/>
          <w:szCs w:val="24"/>
        </w:rPr>
        <w:t xml:space="preserve"> supports this view and adds that by 2020 65% of the Welsh population will be overweight.  Patient X is already showing clinical indications that the increase in weight is affecting the body.  Blood Cholesterol is 5.8, for which a General Practitioner (GP), as a precautionary measure, has prescribed Atorvastatin; which is not usual practice as Statins are not prescribed until the Blood Cholesterol level is 7.0 and above.  Patient X is under investigation for Asthma and has been prescribed inhalers; on long term anti-biotics for Hydradenitis Suppurativa.  These are all conditions linked with obesity, a view purported by</w:t>
      </w:r>
      <w:r>
        <w:rPr>
          <w:i/>
          <w:sz w:val="24"/>
          <w:szCs w:val="24"/>
        </w:rPr>
        <w:t xml:space="preserve"> NHS (2016)</w:t>
      </w:r>
      <w:r>
        <w:rPr>
          <w:sz w:val="24"/>
          <w:szCs w:val="24"/>
        </w:rPr>
        <w:t>, coupled with the family history of heart attacks, strokes, cancer and high blood pressure, is an area of concern and will form part of the recommendations for future change.</w:t>
      </w:r>
    </w:p>
    <w:p w14:paraId="77BE39D5" w14:textId="77777777" w:rsidR="00C42059" w:rsidRDefault="00C42059" w:rsidP="00C42059">
      <w:pPr>
        <w:jc w:val="both"/>
        <w:rPr>
          <w:sz w:val="24"/>
          <w:szCs w:val="24"/>
        </w:rPr>
      </w:pPr>
      <w:r>
        <w:rPr>
          <w:sz w:val="24"/>
          <w:szCs w:val="24"/>
        </w:rPr>
        <w:tab/>
        <w:t xml:space="preserve">Moving on to the health and lifestyle section of Patient X (Appendix C), it is evident that the individual is a smoker and has been for some 20 to 30 years.  </w:t>
      </w:r>
      <w:r>
        <w:rPr>
          <w:i/>
          <w:sz w:val="24"/>
          <w:szCs w:val="24"/>
        </w:rPr>
        <w:t>Poussin et. Al (2018)</w:t>
      </w:r>
      <w:r>
        <w:rPr>
          <w:sz w:val="24"/>
          <w:szCs w:val="24"/>
        </w:rPr>
        <w:t xml:space="preserve"> states that smoking causes a person to inhale nicotine and carbon monoxide, which places a strain on the heart by making it work faster also increasing the risk of blood clots, Cancer, Metabolic Disorders and Chronic Obstructive Pulmonary Disease.  Other chemicals within cigarettes cause damage to the lining of the coronary arteries, leading to furring, thus increases an individuals’ risk of having a heart attack by 24%.  </w:t>
      </w:r>
      <w:r>
        <w:rPr>
          <w:i/>
          <w:sz w:val="24"/>
          <w:szCs w:val="24"/>
        </w:rPr>
        <w:t>Poussin et. Al (2018)</w:t>
      </w:r>
      <w:r>
        <w:rPr>
          <w:sz w:val="24"/>
          <w:szCs w:val="24"/>
        </w:rPr>
        <w:t xml:space="preserve">, also suggests that smokers have increased levels of C-reactive Protein and homocycterine which are cardiovascular markers.  These markers are reduced in former smokers who have quit smoking for at least two years.  Moving onto Patient X diet, it is evidence that a lot of red and processed meat is eaten in a week and fried food is consumed up to 3 times a week however olive and vegetable oil is used to cook them.  </w:t>
      </w:r>
      <w:r>
        <w:rPr>
          <w:i/>
          <w:sz w:val="24"/>
          <w:szCs w:val="24"/>
        </w:rPr>
        <w:t xml:space="preserve">Public Health England(PHE)  (2011) </w:t>
      </w:r>
      <w:r>
        <w:rPr>
          <w:sz w:val="24"/>
          <w:szCs w:val="24"/>
        </w:rPr>
        <w:t xml:space="preserve">published a report called Iron-and-Health conducted by the </w:t>
      </w:r>
      <w:r>
        <w:rPr>
          <w:i/>
          <w:sz w:val="24"/>
          <w:szCs w:val="24"/>
        </w:rPr>
        <w:t xml:space="preserve">Scientific Advisory Committee on Nutrition (SACN) </w:t>
      </w:r>
      <w:r>
        <w:rPr>
          <w:sz w:val="24"/>
          <w:szCs w:val="24"/>
        </w:rPr>
        <w:t xml:space="preserve">that shows a link between iron and bowel cancer.  Red meat is a source of iron in the United Kingdom (UK). </w:t>
      </w:r>
      <w:r>
        <w:rPr>
          <w:i/>
          <w:sz w:val="24"/>
          <w:szCs w:val="24"/>
        </w:rPr>
        <w:t>PHE (2011)</w:t>
      </w:r>
      <w:r>
        <w:rPr>
          <w:sz w:val="24"/>
          <w:szCs w:val="24"/>
        </w:rPr>
        <w:t xml:space="preserve"> appreciate that there are limitations to the study in that individuals with high iron content were included only and acknowledge that patients with low iron content can lead to iron deficiency anaemia, which in medical terms can be more problematic   </w:t>
      </w:r>
      <w:r>
        <w:rPr>
          <w:i/>
          <w:sz w:val="24"/>
          <w:szCs w:val="24"/>
        </w:rPr>
        <w:t xml:space="preserve">SACN (2011) </w:t>
      </w:r>
      <w:r>
        <w:rPr>
          <w:sz w:val="24"/>
          <w:szCs w:val="24"/>
        </w:rPr>
        <w:t xml:space="preserve">recommends that we eat no more than 90g a day of red/processed meat and instead a healthy diet with a range of iron rich foods to ensure good levels of iron are sustained to avoid iron deficiency anaemia.  </w:t>
      </w:r>
      <w:r>
        <w:rPr>
          <w:i/>
          <w:sz w:val="24"/>
          <w:szCs w:val="24"/>
        </w:rPr>
        <w:t>Demeyer et. al (2008)</w:t>
      </w:r>
      <w:r>
        <w:rPr>
          <w:sz w:val="24"/>
          <w:szCs w:val="24"/>
        </w:rPr>
        <w:t xml:space="preserve"> furthers this view by saying that there is convincing evidence brought to the fore by Cancer Research that links red and processed meats and colorectal cancer.  The evidence relates to haem iron, oxidative stress, formation of N-nitroso compounds and related residues as the factors for causing colon cancer and calls for more research into developing improved processed meats using </w:t>
      </w:r>
      <w:r>
        <w:rPr>
          <w:sz w:val="24"/>
          <w:szCs w:val="24"/>
        </w:rPr>
        <w:lastRenderedPageBreak/>
        <w:t xml:space="preserve">healthier ingredients.  Patient X also consumes alcohol at least twice a week and would appear to drink to excess on average.  Alcohol is also proposed to increase the risk of cancer, especially if you have been drinking 10-20 years or more.  Alcohol intake raises the chance of developing bowel/mouth/throat/breast cancer, heart disease, liver disease and brain damage.  The </w:t>
      </w:r>
      <w:r>
        <w:rPr>
          <w:i/>
          <w:sz w:val="24"/>
          <w:szCs w:val="24"/>
        </w:rPr>
        <w:t>International Agency for Research into Cancer (IARC; part of the WHO) (1988)</w:t>
      </w:r>
      <w:r>
        <w:rPr>
          <w:sz w:val="24"/>
          <w:szCs w:val="24"/>
        </w:rPr>
        <w:t xml:space="preserve"> classified alcohol as a Group 1 carcinogen meaning that the evidence linking alcohol causing cancer in human beings was irrefutable and remains as such.  Finally, Patient X does not exercise enough, although the choice of employment is not only physically but mentally demanding, the work pattern and length of shift also seem to be taking its toll, resulting in Patient X not doing anything on days off.  </w:t>
      </w:r>
      <w:r>
        <w:rPr>
          <w:i/>
          <w:sz w:val="24"/>
          <w:szCs w:val="24"/>
        </w:rPr>
        <w:t>Maslow (1943)</w:t>
      </w:r>
      <w:r>
        <w:rPr>
          <w:sz w:val="24"/>
          <w:szCs w:val="24"/>
        </w:rPr>
        <w:t xml:space="preserve"> (Appendix K) suggests that in order to attain the state of feeling safety, love, belonging, esteem and ultimate self-actualisation an individual’s basic needs of breathing, food, water, sex, sleep, homeostasis and excretion; also known as the physiological aspects of human beings; must be fully satisfied.  </w:t>
      </w:r>
      <w:r>
        <w:rPr>
          <w:i/>
          <w:sz w:val="24"/>
          <w:szCs w:val="24"/>
        </w:rPr>
        <w:t>Maslow (1943)</w:t>
      </w:r>
      <w:r>
        <w:rPr>
          <w:sz w:val="24"/>
          <w:szCs w:val="24"/>
        </w:rPr>
        <w:t xml:space="preserve"> goes onto state that an imbalance in any one of the basic needs, causes an imbalance of the whole well-being of a person. This inactivity, coupled with being overweight may be the causal factor to Patient X lack mental, emotional and psychosocial well-being, as suggested in the questionnaire (Appendix C), Wheel of Life (Appendix D) and Emotions Wheel (Appendix E).  </w:t>
      </w:r>
    </w:p>
    <w:p w14:paraId="57BD90B2" w14:textId="77777777" w:rsidR="00C42059" w:rsidRDefault="00C42059" w:rsidP="00C42059">
      <w:pPr>
        <w:jc w:val="both"/>
        <w:rPr>
          <w:sz w:val="24"/>
          <w:szCs w:val="24"/>
        </w:rPr>
      </w:pPr>
      <w:r>
        <w:rPr>
          <w:sz w:val="24"/>
          <w:szCs w:val="24"/>
        </w:rPr>
        <w:tab/>
        <w:t xml:space="preserve">The recommendations for Patient X to improve their current health and fitness are to look at reducing BMI, adopt a healthier diet, stop smoking, drinking and increase exercise.  How can this be achieved, well firstly let’s look at her calorie intake?  What energy requirements as individuals do, we really need to survive? What is the Basal Metabolic Rate (BMR) required?  </w:t>
      </w:r>
      <w:r>
        <w:rPr>
          <w:i/>
          <w:sz w:val="24"/>
          <w:szCs w:val="24"/>
        </w:rPr>
        <w:t>Schofield (1985)</w:t>
      </w:r>
      <w:r>
        <w:rPr>
          <w:sz w:val="24"/>
          <w:szCs w:val="24"/>
        </w:rPr>
        <w:t xml:space="preserve"> provides such a calculation as </w:t>
      </w:r>
      <w:r>
        <w:rPr>
          <w:b/>
          <w:sz w:val="24"/>
          <w:szCs w:val="24"/>
        </w:rPr>
        <w:t xml:space="preserve">Energy Expenditure = Basal Metabolic Rate (BMR) x Physical Activity Levels (PAL) </w:t>
      </w:r>
      <w:r>
        <w:rPr>
          <w:sz w:val="24"/>
          <w:szCs w:val="24"/>
        </w:rPr>
        <w:t xml:space="preserve">(Appendix G).  The equation illustrates Patient X requires a daily intake of 2,220.01 Kcals.  Patient X confided in me that she had started to keep a food diary however became embarrassed, ashamed and upset when seeing in black and white what was being eaten, she could no longer continue to record the details.  It is therefore safe to assume that Patient X is consuming more calories than she is using, storing the excess energy as sugar and fatty Acids.  The extra storage of body fat is also placing her organs under pressure.  As a potential tool to aid in the improve in this area Patient X was introduced to the eat-well plate, now called the eat-well guide (Appendix I); a Government strategy in the first instance by the </w:t>
      </w:r>
      <w:r>
        <w:rPr>
          <w:i/>
          <w:sz w:val="24"/>
          <w:szCs w:val="24"/>
        </w:rPr>
        <w:t>Food Standards Agency (2001)</w:t>
      </w:r>
      <w:r>
        <w:rPr>
          <w:sz w:val="24"/>
          <w:szCs w:val="24"/>
        </w:rPr>
        <w:t xml:space="preserve">,  subsequently amended by </w:t>
      </w:r>
      <w:r>
        <w:rPr>
          <w:i/>
          <w:sz w:val="24"/>
          <w:szCs w:val="24"/>
        </w:rPr>
        <w:t>PHE (2016)</w:t>
      </w:r>
      <w:r>
        <w:rPr>
          <w:sz w:val="24"/>
          <w:szCs w:val="24"/>
        </w:rPr>
        <w:t xml:space="preserve">, to help promote a healthy balanced diet.  The eat-well strategy is a visual representation of exactly how different foods and drinks can contribute towards a balanced healthy diet.  Based on five food groups, it illustrates how much of each food group should be eaten.  Public Health Departments promote this guidance to ensure that the population receive a consistent message about the balance of foods required in a healthy diet in promotional materials.  The Carbon Trust Sustainability assessment indicates that the new guidelines also shows a lower environment impact than the current UK diet.  </w:t>
      </w:r>
      <w:r>
        <w:rPr>
          <w:i/>
          <w:sz w:val="24"/>
          <w:szCs w:val="24"/>
        </w:rPr>
        <w:t>PHE (2016)</w:t>
      </w:r>
      <w:r>
        <w:rPr>
          <w:sz w:val="24"/>
          <w:szCs w:val="24"/>
        </w:rPr>
        <w:t xml:space="preserve"> new model calls for a decrease in sugar intake, an increase in fibre and thus for the first time recommends that sugar sweetened drinks should not form any part of a child’s daily intake and should be minimised in adults.  Foods high in fat/sugar have been put into two distinct </w:t>
      </w:r>
      <w:r>
        <w:rPr>
          <w:sz w:val="24"/>
          <w:szCs w:val="24"/>
        </w:rPr>
        <w:lastRenderedPageBreak/>
        <w:t xml:space="preserve">categories and placed outside of the main image, message of the importance of hydration has been included, along with energy requirements.  Segment sizes are larger due to the exclusion of foods to eat less often section being removed from centre of focus and front of pack nutrition labels on all food consumables.  The initiative has made it much easier to understand and make heathier choices. Australia (Appendix J) was way ahead of us in this process, as can be seen from their food pyramid, they declined to include harmful foods that could be eaten no more than twice a week as in the UK’s food pyramid (Appendix J).  </w:t>
      </w:r>
      <w:r>
        <w:rPr>
          <w:i/>
          <w:sz w:val="24"/>
          <w:szCs w:val="24"/>
        </w:rPr>
        <w:t>HM Treasury (2018)</w:t>
      </w:r>
      <w:r>
        <w:rPr>
          <w:sz w:val="24"/>
          <w:szCs w:val="24"/>
        </w:rPr>
        <w:t xml:space="preserve"> also supports the new eat-well guide thus introducing the “Sugar Tax” levy to reduce the sugar in soft drinks and tackle obesity. Since its proposal in (2016) the UK has already seen 50% of the soft drinks’ manufacturers reducing the sugar contents of drinks which equates to 45 million kilograms of sugar every year.  For those who fail to follow will face paying a sugar tax, which is expected to raise 240 million annually and will fund the creation of Healthy Pupils Capital Fund to help schools upgrade sports facilities/equipment.  It also means that reduced sugar drinks will be cheaper to buy in the supermarkets.  </w:t>
      </w:r>
      <w:r>
        <w:rPr>
          <w:i/>
          <w:sz w:val="24"/>
          <w:szCs w:val="24"/>
        </w:rPr>
        <w:t xml:space="preserve">Nicholas et. al (2014) </w:t>
      </w:r>
      <w:r>
        <w:rPr>
          <w:sz w:val="24"/>
          <w:szCs w:val="24"/>
        </w:rPr>
        <w:t xml:space="preserve">carried out a study into healthy foods and their cost, they were able to dispel the myth that healthy food costs more.  </w:t>
      </w:r>
    </w:p>
    <w:p w14:paraId="1E64E14C" w14:textId="77777777" w:rsidR="00C42059" w:rsidRDefault="00C42059" w:rsidP="00C42059">
      <w:pPr>
        <w:jc w:val="both"/>
        <w:rPr>
          <w:sz w:val="24"/>
          <w:szCs w:val="24"/>
        </w:rPr>
      </w:pPr>
      <w:r>
        <w:rPr>
          <w:sz w:val="24"/>
          <w:szCs w:val="24"/>
        </w:rPr>
        <w:tab/>
        <w:t xml:space="preserve">Moving onto Patient X intoxicant intake, cessation in smoking and more exercise is also recommenced.  </w:t>
      </w:r>
      <w:r>
        <w:rPr>
          <w:i/>
          <w:sz w:val="24"/>
          <w:szCs w:val="24"/>
        </w:rPr>
        <w:t>NHS (2018)</w:t>
      </w:r>
      <w:r>
        <w:rPr>
          <w:sz w:val="24"/>
          <w:szCs w:val="24"/>
        </w:rPr>
        <w:t xml:space="preserve"> provides a website where you can quit smoking by devising your own free personal quit plan.  Aids to stop smoking can be accessed on prescription, which are free in Wales. Patient X was given this information and shown the website. It is recommenced that medical advice is sought in order to access full support during this process.  Likewise, with exercise, </w:t>
      </w:r>
      <w:r>
        <w:rPr>
          <w:i/>
          <w:sz w:val="24"/>
          <w:szCs w:val="24"/>
        </w:rPr>
        <w:t>NHS (2017)</w:t>
      </w:r>
      <w:r>
        <w:rPr>
          <w:sz w:val="24"/>
          <w:szCs w:val="24"/>
        </w:rPr>
        <w:t xml:space="preserve"> started promoting getting fit for free by stating the secret to success is to use every opportunity to be active.  It advises walking whenever possible, Couch to 5K (C25K) free running plan for beginners, free exercise podcasts, cycling to work, stair climbing, skipping, outdoor/ green gyms and to contact your local leisure centre who offer initiatives such as free exercise/swimming classes on certain week days to encourage people to “get in shape”.  Patient X was shown this information and assisted to find details of her local leisure centre, explore ways to keep fit by walking more on her days off, using the stairs where possible instead of a lift, and to consider getting a second-hand bicycle free from Freecycle community website.   Again, its suggested that medical advice is sought before undertaking exercise due to her recent abdominal surgery. </w:t>
      </w:r>
    </w:p>
    <w:p w14:paraId="1F23D1EA" w14:textId="77777777" w:rsidR="00C42059" w:rsidRDefault="00C42059" w:rsidP="00C42059">
      <w:pPr>
        <w:jc w:val="both"/>
        <w:rPr>
          <w:sz w:val="24"/>
          <w:szCs w:val="24"/>
        </w:rPr>
      </w:pPr>
      <w:r>
        <w:rPr>
          <w:sz w:val="24"/>
          <w:szCs w:val="24"/>
        </w:rPr>
        <w:tab/>
        <w:t xml:space="preserve">In conclusion, living a healthier life style is not the expensive venture people believe it to be.  Exercise can be obtained free, with access to open spaces, free initiatives </w:t>
      </w:r>
      <w:proofErr w:type="spellStart"/>
      <w:r>
        <w:rPr>
          <w:sz w:val="24"/>
          <w:szCs w:val="24"/>
        </w:rPr>
        <w:t>its</w:t>
      </w:r>
      <w:proofErr w:type="spellEnd"/>
      <w:r>
        <w:rPr>
          <w:sz w:val="24"/>
          <w:szCs w:val="24"/>
        </w:rPr>
        <w:t xml:space="preserve"> not impossible get in shape without breaking the bank.  Healthy food/drink are cheaper than their full-fat versions and smoking cessation products can be obtained, in Wales for free.  </w:t>
      </w:r>
      <w:proofErr w:type="spellStart"/>
      <w:r>
        <w:rPr>
          <w:sz w:val="24"/>
          <w:szCs w:val="24"/>
        </w:rPr>
        <w:t>Its</w:t>
      </w:r>
      <w:proofErr w:type="spellEnd"/>
      <w:r>
        <w:rPr>
          <w:sz w:val="24"/>
          <w:szCs w:val="24"/>
        </w:rPr>
        <w:t xml:space="preserve"> whether the individual has the motivation and drive to ultimately reach these goals for themselves.  This report agrees with </w:t>
      </w:r>
      <w:r>
        <w:rPr>
          <w:i/>
          <w:sz w:val="24"/>
          <w:szCs w:val="24"/>
        </w:rPr>
        <w:t xml:space="preserve">Green and Tones (2010) an </w:t>
      </w:r>
      <w:r>
        <w:rPr>
          <w:sz w:val="24"/>
          <w:szCs w:val="24"/>
        </w:rPr>
        <w:t xml:space="preserve">individual’s behaviour contributes to their own unhealthy lifestyles, so health promotion must be stepped up to reach every individual, it may be that the HM Treasure needs to increase tax on all unhealthy </w:t>
      </w:r>
      <w:r>
        <w:rPr>
          <w:sz w:val="24"/>
          <w:szCs w:val="24"/>
        </w:rPr>
        <w:lastRenderedPageBreak/>
        <w:t xml:space="preserve">products to make the healthy versions the only affordable option to save mankind from themselves, their own destructive choices.  </w:t>
      </w:r>
    </w:p>
    <w:p w14:paraId="3C38C56A" w14:textId="77777777" w:rsidR="00C42059" w:rsidRDefault="00C42059" w:rsidP="00C42059">
      <w:pPr>
        <w:ind w:firstLine="720"/>
        <w:jc w:val="both"/>
        <w:rPr>
          <w:sz w:val="24"/>
          <w:szCs w:val="24"/>
        </w:rPr>
      </w:pPr>
    </w:p>
    <w:p w14:paraId="68FA5151" w14:textId="77777777" w:rsidR="00C42059" w:rsidRDefault="00C42059" w:rsidP="00C42059">
      <w:pPr>
        <w:jc w:val="both"/>
        <w:rPr>
          <w:sz w:val="24"/>
          <w:szCs w:val="24"/>
        </w:rPr>
      </w:pPr>
      <w:r>
        <w:rPr>
          <w:sz w:val="24"/>
          <w:szCs w:val="24"/>
        </w:rPr>
        <w:tab/>
      </w:r>
    </w:p>
    <w:p w14:paraId="4539D6A5" w14:textId="0AA5E117" w:rsidR="00BA67AC" w:rsidRDefault="00BA67AC" w:rsidP="00D443AA">
      <w:pPr>
        <w:jc w:val="both"/>
        <w:rPr>
          <w:sz w:val="24"/>
          <w:szCs w:val="24"/>
        </w:rPr>
      </w:pPr>
    </w:p>
    <w:p w14:paraId="18B8D9EB" w14:textId="068CC672" w:rsidR="00C42059" w:rsidRDefault="00C42059" w:rsidP="00D443AA">
      <w:pPr>
        <w:jc w:val="both"/>
        <w:rPr>
          <w:sz w:val="24"/>
          <w:szCs w:val="24"/>
        </w:rPr>
      </w:pPr>
    </w:p>
    <w:p w14:paraId="61A5AE1F" w14:textId="2C15C9A2" w:rsidR="00C42059" w:rsidRDefault="00C42059" w:rsidP="00D443AA">
      <w:pPr>
        <w:jc w:val="both"/>
        <w:rPr>
          <w:sz w:val="24"/>
          <w:szCs w:val="24"/>
        </w:rPr>
      </w:pPr>
    </w:p>
    <w:p w14:paraId="5AE514AE" w14:textId="21574655" w:rsidR="00C42059" w:rsidRDefault="00C42059" w:rsidP="00D443AA">
      <w:pPr>
        <w:jc w:val="both"/>
        <w:rPr>
          <w:sz w:val="24"/>
          <w:szCs w:val="24"/>
        </w:rPr>
      </w:pPr>
    </w:p>
    <w:p w14:paraId="2C31ECAB" w14:textId="12512208" w:rsidR="00C42059" w:rsidRDefault="00C42059" w:rsidP="00D443AA">
      <w:pPr>
        <w:jc w:val="both"/>
        <w:rPr>
          <w:sz w:val="24"/>
          <w:szCs w:val="24"/>
        </w:rPr>
      </w:pPr>
    </w:p>
    <w:p w14:paraId="4D935270" w14:textId="27CE821C" w:rsidR="00C42059" w:rsidRDefault="00C42059" w:rsidP="00D443AA">
      <w:pPr>
        <w:jc w:val="both"/>
        <w:rPr>
          <w:sz w:val="24"/>
          <w:szCs w:val="24"/>
        </w:rPr>
      </w:pPr>
    </w:p>
    <w:p w14:paraId="38622378" w14:textId="27F78E62" w:rsidR="00C42059" w:rsidRDefault="00C42059" w:rsidP="00D443AA">
      <w:pPr>
        <w:jc w:val="both"/>
        <w:rPr>
          <w:sz w:val="24"/>
          <w:szCs w:val="24"/>
        </w:rPr>
      </w:pPr>
    </w:p>
    <w:p w14:paraId="5F1E0CA2" w14:textId="1ED78430" w:rsidR="00C42059" w:rsidRDefault="00C42059" w:rsidP="00D443AA">
      <w:pPr>
        <w:jc w:val="both"/>
        <w:rPr>
          <w:sz w:val="24"/>
          <w:szCs w:val="24"/>
        </w:rPr>
      </w:pPr>
    </w:p>
    <w:p w14:paraId="4CF6D70A" w14:textId="34A47DEA" w:rsidR="00C42059" w:rsidRDefault="00C42059" w:rsidP="00D443AA">
      <w:pPr>
        <w:jc w:val="both"/>
        <w:rPr>
          <w:sz w:val="24"/>
          <w:szCs w:val="24"/>
        </w:rPr>
      </w:pPr>
    </w:p>
    <w:p w14:paraId="257F4756" w14:textId="1EE0731B" w:rsidR="00C42059" w:rsidRDefault="00C42059" w:rsidP="00D443AA">
      <w:pPr>
        <w:jc w:val="both"/>
        <w:rPr>
          <w:sz w:val="24"/>
          <w:szCs w:val="24"/>
        </w:rPr>
      </w:pPr>
    </w:p>
    <w:p w14:paraId="23AC8384" w14:textId="2C3E14FA" w:rsidR="00C42059" w:rsidRDefault="00C42059" w:rsidP="00D443AA">
      <w:pPr>
        <w:jc w:val="both"/>
        <w:rPr>
          <w:sz w:val="24"/>
          <w:szCs w:val="24"/>
        </w:rPr>
      </w:pPr>
    </w:p>
    <w:p w14:paraId="64B7933C" w14:textId="71984B85" w:rsidR="00C42059" w:rsidRDefault="00C42059" w:rsidP="00D443AA">
      <w:pPr>
        <w:jc w:val="both"/>
        <w:rPr>
          <w:sz w:val="24"/>
          <w:szCs w:val="24"/>
        </w:rPr>
      </w:pPr>
    </w:p>
    <w:p w14:paraId="7A962EA4" w14:textId="6E883732" w:rsidR="00C42059" w:rsidRDefault="00C42059" w:rsidP="00D443AA">
      <w:pPr>
        <w:jc w:val="both"/>
        <w:rPr>
          <w:sz w:val="24"/>
          <w:szCs w:val="24"/>
        </w:rPr>
      </w:pPr>
    </w:p>
    <w:p w14:paraId="7ABA6F79" w14:textId="5D536DF7" w:rsidR="00C42059" w:rsidRDefault="00C42059" w:rsidP="00D443AA">
      <w:pPr>
        <w:jc w:val="both"/>
        <w:rPr>
          <w:sz w:val="24"/>
          <w:szCs w:val="24"/>
        </w:rPr>
      </w:pPr>
    </w:p>
    <w:p w14:paraId="64AE840E" w14:textId="160CF96F" w:rsidR="00C42059" w:rsidRDefault="00C42059" w:rsidP="00D443AA">
      <w:pPr>
        <w:jc w:val="both"/>
        <w:rPr>
          <w:sz w:val="24"/>
          <w:szCs w:val="24"/>
        </w:rPr>
      </w:pPr>
    </w:p>
    <w:p w14:paraId="0AC9E3D4" w14:textId="7E3600F2" w:rsidR="00C42059" w:rsidRDefault="00C42059" w:rsidP="00D443AA">
      <w:pPr>
        <w:jc w:val="both"/>
        <w:rPr>
          <w:sz w:val="24"/>
          <w:szCs w:val="24"/>
        </w:rPr>
      </w:pPr>
    </w:p>
    <w:p w14:paraId="78CF484F" w14:textId="4315FD67" w:rsidR="00C42059" w:rsidRDefault="00C42059" w:rsidP="00D443AA">
      <w:pPr>
        <w:jc w:val="both"/>
        <w:rPr>
          <w:sz w:val="24"/>
          <w:szCs w:val="24"/>
        </w:rPr>
      </w:pPr>
    </w:p>
    <w:p w14:paraId="3DA73840" w14:textId="5325D54D" w:rsidR="00C42059" w:rsidRDefault="00C42059" w:rsidP="00D443AA">
      <w:pPr>
        <w:jc w:val="both"/>
        <w:rPr>
          <w:sz w:val="24"/>
          <w:szCs w:val="24"/>
        </w:rPr>
      </w:pPr>
    </w:p>
    <w:p w14:paraId="6D74D3F2" w14:textId="35F3D71D" w:rsidR="00C42059" w:rsidRDefault="00C42059" w:rsidP="00D443AA">
      <w:pPr>
        <w:jc w:val="both"/>
        <w:rPr>
          <w:sz w:val="24"/>
          <w:szCs w:val="24"/>
        </w:rPr>
      </w:pPr>
    </w:p>
    <w:p w14:paraId="66903219" w14:textId="44DEDC9F" w:rsidR="00C42059" w:rsidRDefault="00C42059" w:rsidP="00D443AA">
      <w:pPr>
        <w:jc w:val="both"/>
        <w:rPr>
          <w:sz w:val="24"/>
          <w:szCs w:val="24"/>
        </w:rPr>
      </w:pPr>
    </w:p>
    <w:p w14:paraId="34C29D0C" w14:textId="290FB4AB" w:rsidR="00C42059" w:rsidRDefault="00C42059" w:rsidP="00D443AA">
      <w:pPr>
        <w:jc w:val="both"/>
        <w:rPr>
          <w:sz w:val="24"/>
          <w:szCs w:val="24"/>
        </w:rPr>
      </w:pPr>
    </w:p>
    <w:p w14:paraId="5A92DFC2" w14:textId="77777777" w:rsidR="00C42059" w:rsidRDefault="00C42059" w:rsidP="00D443AA">
      <w:pPr>
        <w:jc w:val="both"/>
        <w:rPr>
          <w:sz w:val="24"/>
          <w:szCs w:val="24"/>
        </w:rPr>
      </w:pPr>
      <w:bookmarkStart w:id="0" w:name="_GoBack"/>
      <w:bookmarkEnd w:id="0"/>
    </w:p>
    <w:p w14:paraId="4077F4F2" w14:textId="54FCB1F1" w:rsidR="00BA67AC" w:rsidRDefault="00BA67AC" w:rsidP="00D443AA">
      <w:pPr>
        <w:jc w:val="both"/>
        <w:rPr>
          <w:sz w:val="24"/>
          <w:szCs w:val="24"/>
        </w:rPr>
      </w:pPr>
    </w:p>
    <w:p w14:paraId="7D435612" w14:textId="1B49E37B" w:rsidR="00BA67AC" w:rsidRDefault="00BA67AC" w:rsidP="00D443AA">
      <w:pPr>
        <w:jc w:val="both"/>
        <w:rPr>
          <w:sz w:val="24"/>
          <w:szCs w:val="24"/>
        </w:rPr>
      </w:pPr>
    </w:p>
    <w:p w14:paraId="7CA8B1BC" w14:textId="2E1D2017" w:rsidR="00BA67AC" w:rsidRPr="00BA67AC" w:rsidRDefault="00BA67AC" w:rsidP="00D443AA">
      <w:pPr>
        <w:jc w:val="both"/>
        <w:rPr>
          <w:b/>
          <w:sz w:val="24"/>
          <w:szCs w:val="24"/>
        </w:rPr>
      </w:pPr>
      <w:r w:rsidRPr="00BA67AC">
        <w:rPr>
          <w:b/>
          <w:sz w:val="24"/>
          <w:szCs w:val="24"/>
        </w:rPr>
        <w:lastRenderedPageBreak/>
        <w:t>References</w:t>
      </w:r>
    </w:p>
    <w:p w14:paraId="6FBD97BB" w14:textId="77777777" w:rsidR="00BA67AC" w:rsidRPr="00C45E61" w:rsidRDefault="00BA67AC" w:rsidP="00BA67AC">
      <w:r w:rsidRPr="00C45E61">
        <w:t xml:space="preserve">Allender, S. and Rayner, M. (2007) The burden of overweight and obesity-related ill health in the UK. Obesity Reviews volume 8, issue 5. Available at: </w:t>
      </w:r>
      <w:hyperlink r:id="rId6" w:history="1">
        <w:r w:rsidRPr="00C45E61">
          <w:rPr>
            <w:rStyle w:val="Hyperlink"/>
          </w:rPr>
          <w:t>https://doi.org/10.1111/j.1467-789X.2007.00394.x</w:t>
        </w:r>
      </w:hyperlink>
      <w:r w:rsidRPr="00C45E61">
        <w:t xml:space="preserve"> [Accessed 15 December 2018].</w:t>
      </w:r>
    </w:p>
    <w:p w14:paraId="5772DC31" w14:textId="77777777" w:rsidR="00BA67AC" w:rsidRPr="00C45E61" w:rsidRDefault="00BA67AC" w:rsidP="00BA67AC">
      <w:r w:rsidRPr="00C45E61">
        <w:t xml:space="preserve">Demeyer, D. </w:t>
      </w:r>
      <w:proofErr w:type="spellStart"/>
      <w:r w:rsidRPr="00C45E61">
        <w:t>Honikel</w:t>
      </w:r>
      <w:proofErr w:type="spellEnd"/>
      <w:r w:rsidRPr="00C45E61">
        <w:t xml:space="preserve">, K. and De Smet, S. Review of The World Cancer Research Fund Report 2007: A challenge for the meat processing industry. Elsevier Limited Meat Science volume 80, issue 4, December 2008, pages 953-959.  </w:t>
      </w:r>
    </w:p>
    <w:p w14:paraId="6C7615FF" w14:textId="77777777" w:rsidR="00BA67AC" w:rsidRPr="00C45E61" w:rsidRDefault="00BA67AC" w:rsidP="00BA67AC">
      <w:r w:rsidRPr="00C45E61">
        <w:t xml:space="preserve">Food Standards Agency (2011) The Eatwell Plate. Available at </w:t>
      </w:r>
      <w:hyperlink r:id="rId7" w:history="1">
        <w:r w:rsidRPr="00C45E61">
          <w:rPr>
            <w:rStyle w:val="Hyperlink"/>
          </w:rPr>
          <w:t>http://www.eatwell.gov.uk/healthy-diet/eatwellplate/</w:t>
        </w:r>
      </w:hyperlink>
      <w:r w:rsidRPr="00C45E61">
        <w:t xml:space="preserve"> [Accessed 15th December 2018]. </w:t>
      </w:r>
    </w:p>
    <w:p w14:paraId="0936BB72" w14:textId="77777777" w:rsidR="00BA67AC" w:rsidRPr="00C45E61" w:rsidRDefault="00BA67AC" w:rsidP="00BA67AC">
      <w:r w:rsidRPr="00C45E61">
        <w:t>Green, J. and Tones, K. (2010). Health Promotion: planning and strategies. 2nd ed. London: SAGE publications limited 2010.</w:t>
      </w:r>
    </w:p>
    <w:p w14:paraId="13C1B5CB" w14:textId="77777777" w:rsidR="00BA67AC" w:rsidRPr="00C45E61" w:rsidRDefault="00BA67AC" w:rsidP="00BA67AC">
      <w:r w:rsidRPr="00C45E61">
        <w:t xml:space="preserve">Harcombe, Z. (2010). The Obesity Epidemic: What caused it? How can we stop it? Columbus Publishing Limited 2010.   </w:t>
      </w:r>
    </w:p>
    <w:p w14:paraId="0967FB20" w14:textId="77777777" w:rsidR="00BA67AC" w:rsidRPr="00C45E61" w:rsidRDefault="00BA67AC" w:rsidP="00BA67AC">
      <w:r w:rsidRPr="00C45E61">
        <w:t>HM Treasury (2018). “Sugar Tax” Soft Drinks Industry Levy. Published 5 April 2018.</w:t>
      </w:r>
    </w:p>
    <w:p w14:paraId="7519ADF3" w14:textId="77777777" w:rsidR="00BA67AC" w:rsidRPr="00C45E61" w:rsidRDefault="00BA67AC" w:rsidP="00BA67AC">
      <w:r w:rsidRPr="00C45E61">
        <w:t>International Agency for Research on Cancer (1988). Alcohol drinking. IARC Monographs on the Evaluation of Carcinogenic Risks to Humans. Vol 44; WHO 1988.</w:t>
      </w:r>
    </w:p>
    <w:p w14:paraId="75332D5F" w14:textId="77777777" w:rsidR="00BA67AC" w:rsidRPr="00C45E61" w:rsidRDefault="00BA67AC" w:rsidP="00BA67AC">
      <w:r w:rsidRPr="00C45E61">
        <w:t xml:space="preserve">Maslow, A. H. (1943). </w:t>
      </w:r>
      <w:hyperlink r:id="rId8" w:tgtFrame="dsiplay" w:history="1">
        <w:r w:rsidRPr="00C45E61">
          <w:rPr>
            <w:rStyle w:val="Hyperlink"/>
          </w:rPr>
          <w:t>A Theory of Human Motivation</w:t>
        </w:r>
      </w:hyperlink>
      <w:r w:rsidRPr="00C45E61">
        <w:t>. Published in the Psychological Review, issue 50, pages 370-96.</w:t>
      </w:r>
    </w:p>
    <w:p w14:paraId="47609D82" w14:textId="77777777" w:rsidR="00BA67AC" w:rsidRPr="00C45E61" w:rsidRDefault="00BA67AC" w:rsidP="00BA67AC">
      <w:r w:rsidRPr="00C45E61">
        <w:t>Nation Institute of Care and Excellence (NICE) (2011). Hypertension in adults: diagnosis and management. Clinical guideline (CG127). NICE August 2011.</w:t>
      </w:r>
    </w:p>
    <w:p w14:paraId="608751C7" w14:textId="77777777" w:rsidR="00BA67AC" w:rsidRPr="00C45E61" w:rsidRDefault="00BA67AC" w:rsidP="00BA67AC">
      <w:r w:rsidRPr="00C45E61">
        <w:t xml:space="preserve">Nation Institute of Care and Excellence (NICE) (2014). Weight management: lifestyle services for overweight or obese adults. Public health guideline (PH53). NICE May 2014.  </w:t>
      </w:r>
    </w:p>
    <w:p w14:paraId="4259190F" w14:textId="77777777" w:rsidR="00BA67AC" w:rsidRPr="00C45E61" w:rsidRDefault="00BA67AC" w:rsidP="00BA67AC">
      <w:r w:rsidRPr="00C45E61">
        <w:t xml:space="preserve">National Health Service (NHS) (2016) Obesity. Available at </w:t>
      </w:r>
      <w:hyperlink r:id="rId9" w:history="1">
        <w:r w:rsidRPr="00C45E61">
          <w:rPr>
            <w:rStyle w:val="Hyperlink"/>
          </w:rPr>
          <w:t>https://www.nhs.uk/conditions/obesity</w:t>
        </w:r>
      </w:hyperlink>
      <w:r w:rsidRPr="00C45E61">
        <w:t xml:space="preserve"> [Accessed 15 December 2018].</w:t>
      </w:r>
    </w:p>
    <w:p w14:paraId="6F231F26" w14:textId="77777777" w:rsidR="00BA67AC" w:rsidRPr="00C45E61" w:rsidRDefault="00BA67AC" w:rsidP="00BA67AC">
      <w:r w:rsidRPr="00C45E61">
        <w:t>National Health Service (NHS) (2017). Guidelines on blood pressure. NHS 2017.</w:t>
      </w:r>
    </w:p>
    <w:p w14:paraId="316EF8AE" w14:textId="77777777" w:rsidR="00BA67AC" w:rsidRPr="00C45E61" w:rsidRDefault="00BA67AC" w:rsidP="00BA67AC">
      <w:r w:rsidRPr="00C45E61">
        <w:t xml:space="preserve">National Health Service (NHS) (2017) Live Well: Get fit for free.  Available at </w:t>
      </w:r>
      <w:hyperlink r:id="rId10" w:history="1">
        <w:r w:rsidRPr="00C45E61">
          <w:rPr>
            <w:rStyle w:val="Hyperlink"/>
          </w:rPr>
          <w:t>https://www.nhs.uk/live-well/exercise/free-fitness-ideas/#</w:t>
        </w:r>
      </w:hyperlink>
      <w:r w:rsidRPr="00C45E61">
        <w:t xml:space="preserve"> [Accessed 18 December 2018]. </w:t>
      </w:r>
    </w:p>
    <w:p w14:paraId="0946F911" w14:textId="77777777" w:rsidR="00BA67AC" w:rsidRPr="00C45E61" w:rsidRDefault="00BA67AC" w:rsidP="00BA67AC">
      <w:r w:rsidRPr="00C45E61">
        <w:t xml:space="preserve">National Health Service (NHS) (2018) Smoke Free. Available at </w:t>
      </w:r>
      <w:hyperlink r:id="rId11" w:history="1">
        <w:r w:rsidRPr="00C45E61">
          <w:rPr>
            <w:rStyle w:val="Hyperlink"/>
          </w:rPr>
          <w:t>https://www.nhs.uk/smokefree</w:t>
        </w:r>
      </w:hyperlink>
      <w:r w:rsidRPr="00C45E61">
        <w:t xml:space="preserve"> [Accessed 18th December 2018]</w:t>
      </w:r>
    </w:p>
    <w:p w14:paraId="02CDAA17" w14:textId="77777777" w:rsidR="00BA67AC" w:rsidRPr="00C45E61" w:rsidRDefault="00BA67AC" w:rsidP="00BA67AC">
      <w:r w:rsidRPr="00C45E61">
        <w:t xml:space="preserve">Nicholas, R. V. Conklin, A. I. </w:t>
      </w:r>
      <w:proofErr w:type="spellStart"/>
      <w:r w:rsidRPr="00C45E61">
        <w:t>Suhrcke</w:t>
      </w:r>
      <w:proofErr w:type="spellEnd"/>
      <w:r w:rsidRPr="00C45E61">
        <w:t xml:space="preserve">, M. and </w:t>
      </w:r>
      <w:proofErr w:type="spellStart"/>
      <w:r w:rsidRPr="00C45E61">
        <w:t>Monsivais</w:t>
      </w:r>
      <w:proofErr w:type="spellEnd"/>
      <w:r w:rsidRPr="00C45E61">
        <w:t>, P</w:t>
      </w:r>
      <w:r>
        <w:t xml:space="preserve">.  </w:t>
      </w:r>
      <w:r w:rsidRPr="00C45E61">
        <w:t xml:space="preserve">The Growing Price Gap between More and Less Healthy Food of a Novel Longitudinal UK Dataset. Published by University of East Anglia 8 October 2014. </w:t>
      </w:r>
    </w:p>
    <w:p w14:paraId="2702EE94" w14:textId="77777777" w:rsidR="00BA67AC" w:rsidRPr="00C45E61" w:rsidRDefault="00BA67AC" w:rsidP="00BA67AC">
      <w:r w:rsidRPr="00C45E61">
        <w:t>Nursing and Midwifery Council (NMC) (2018) Professional Standards of practice and behaviour for nurses, midwives and nursing associates. Code of practice. NMC, 10th October 2018.</w:t>
      </w:r>
    </w:p>
    <w:p w14:paraId="5A758AE8" w14:textId="77777777" w:rsidR="00BA67AC" w:rsidRDefault="00BA67AC" w:rsidP="00BA67AC"/>
    <w:p w14:paraId="36875C6A" w14:textId="490B8837" w:rsidR="00BA67AC" w:rsidRPr="00C45E61" w:rsidRDefault="00BA67AC" w:rsidP="00BA67AC">
      <w:r w:rsidRPr="00C45E61">
        <w:lastRenderedPageBreak/>
        <w:t xml:space="preserve">Poussin, C. Spinelli S. L. Curran, T. M. </w:t>
      </w:r>
      <w:proofErr w:type="spellStart"/>
      <w:r w:rsidRPr="00C45E61">
        <w:t>Baglia</w:t>
      </w:r>
      <w:proofErr w:type="spellEnd"/>
      <w:r w:rsidRPr="00C45E61">
        <w:t xml:space="preserve">, L. A. Berg, R. Ansari, S. </w:t>
      </w:r>
      <w:proofErr w:type="spellStart"/>
      <w:r w:rsidRPr="00C45E61">
        <w:t>Guedi</w:t>
      </w:r>
      <w:proofErr w:type="spellEnd"/>
      <w:r w:rsidRPr="00C45E61">
        <w:t>, E. Fedlin-medlin, L. Ivanov, N. V. Picavet, P. Phipps, R. P. Peitsch, M. C. Hoeng, J. (2018) ‘A clinical research investigation on the effects of cigarette smoking, e- cigarette vaping and smoking cessation on vascular cell biology’. P5.5-463.</w:t>
      </w:r>
    </w:p>
    <w:p w14:paraId="01F12547" w14:textId="77777777" w:rsidR="00BA67AC" w:rsidRPr="00C45E61" w:rsidRDefault="00BA67AC" w:rsidP="00BA67AC">
      <w:r w:rsidRPr="00C45E61">
        <w:t>Public Health England (PHE) (2011) The Scientific Advisory Committe</w:t>
      </w:r>
      <w:r>
        <w:t>e</w:t>
      </w:r>
      <w:r w:rsidRPr="00C45E61">
        <w:t xml:space="preserve"> on Nutrition: Iron and Health Report. Recommendations on iron and health and consumption of red and processed meat. PHE 25 February 2011.</w:t>
      </w:r>
    </w:p>
    <w:p w14:paraId="1B2FD54F" w14:textId="77777777" w:rsidR="00BA67AC" w:rsidRPr="00C45E61" w:rsidRDefault="00BA67AC" w:rsidP="00BA67AC">
      <w:r w:rsidRPr="00C45E61">
        <w:t>Public Health England (PHE) (2016) From plate to Guide: What, why and how for the eat-well model. Publications gateway number 2016451 by PHE 2016</w:t>
      </w:r>
    </w:p>
    <w:p w14:paraId="1516FA3E" w14:textId="77777777" w:rsidR="00BA67AC" w:rsidRPr="00C45E61" w:rsidRDefault="00BA67AC" w:rsidP="00BA67AC">
      <w:r w:rsidRPr="00C45E61">
        <w:t>Saracci, R. (1997). The World Health Organisation needs to reconsider its definition of health. British Medical Journal, 10th May 1997; 314(7091): 1409-1410.</w:t>
      </w:r>
    </w:p>
    <w:p w14:paraId="2D8ACC08" w14:textId="77777777" w:rsidR="00BA67AC" w:rsidRPr="00C45E61" w:rsidRDefault="00BA67AC" w:rsidP="00BA67AC">
      <w:r w:rsidRPr="00C45E61">
        <w:t>Whitehead, M. (1990) Concepts and principle of equity and health. Copenhagen, WHO, 1990.</w:t>
      </w:r>
    </w:p>
    <w:p w14:paraId="40C20887" w14:textId="77777777" w:rsidR="00BA67AC" w:rsidRPr="00C45E61" w:rsidRDefault="00BA67AC" w:rsidP="00BA67AC">
      <w:r w:rsidRPr="00C45E61">
        <w:t xml:space="preserve">Whitehead, M. and Dahlgren, G. (2006). Concepts and principles for tackling social inequalities in health: levelling up part one.  WHO collaborating centre for policy and research on social determinants of health, university of Liverpool.  WHO, regional office for Europe, Copenhagen, 2006. </w:t>
      </w:r>
    </w:p>
    <w:p w14:paraId="6ECDF0AB" w14:textId="77777777" w:rsidR="00BA67AC" w:rsidRPr="00C45E61" w:rsidRDefault="00BA67AC" w:rsidP="00BA67AC">
      <w:r w:rsidRPr="00C45E61">
        <w:t>World Health Organisation (1948). Basic documents. First ed. Geneva, WHO, 1948.</w:t>
      </w:r>
    </w:p>
    <w:p w14:paraId="6D96B0DA" w14:textId="77777777" w:rsidR="00BA67AC" w:rsidRPr="00C45E61" w:rsidRDefault="00BA67AC" w:rsidP="00BA67AC">
      <w:r w:rsidRPr="00C45E61">
        <w:t>World Health Organisation (1991). Social equity and health in non-market economies. Regional Office for Europe. EUR/ICP/RDP 410, 1991</w:t>
      </w:r>
      <w:r>
        <w:t xml:space="preserve">.  </w:t>
      </w:r>
    </w:p>
    <w:p w14:paraId="2E64E54D" w14:textId="77777777" w:rsidR="00BA67AC" w:rsidRPr="00942EE5" w:rsidRDefault="00BA67AC" w:rsidP="00D443AA">
      <w:pPr>
        <w:jc w:val="both"/>
        <w:rPr>
          <w:sz w:val="24"/>
          <w:szCs w:val="24"/>
        </w:rPr>
      </w:pPr>
    </w:p>
    <w:p w14:paraId="774D2FDD" w14:textId="3DEC0269" w:rsidR="007B6254" w:rsidRPr="00095801" w:rsidRDefault="007B6254" w:rsidP="00A1099B">
      <w:pPr>
        <w:ind w:firstLine="720"/>
        <w:jc w:val="both"/>
        <w:rPr>
          <w:sz w:val="24"/>
          <w:szCs w:val="24"/>
        </w:rPr>
      </w:pPr>
    </w:p>
    <w:p w14:paraId="33F324D8" w14:textId="43BE7B76" w:rsidR="004E3EF6" w:rsidRPr="00EC51F7" w:rsidRDefault="004E3EF6" w:rsidP="00D443AA">
      <w:pPr>
        <w:jc w:val="both"/>
        <w:rPr>
          <w:sz w:val="24"/>
          <w:szCs w:val="24"/>
        </w:rPr>
      </w:pPr>
      <w:r>
        <w:rPr>
          <w:sz w:val="24"/>
          <w:szCs w:val="24"/>
        </w:rPr>
        <w:tab/>
      </w:r>
    </w:p>
    <w:sectPr w:rsidR="004E3EF6" w:rsidRPr="00EC51F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06985" w14:textId="77777777" w:rsidR="001E3B42" w:rsidRDefault="001E3B42" w:rsidP="00EC51F7">
      <w:pPr>
        <w:spacing w:after="0" w:line="240" w:lineRule="auto"/>
      </w:pPr>
      <w:r>
        <w:separator/>
      </w:r>
    </w:p>
  </w:endnote>
  <w:endnote w:type="continuationSeparator" w:id="0">
    <w:p w14:paraId="370A648C" w14:textId="77777777" w:rsidR="001E3B42" w:rsidRDefault="001E3B42" w:rsidP="00EC5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45648" w14:textId="0320C1EB" w:rsidR="00EC51F7" w:rsidRDefault="00EC51F7">
    <w:pPr>
      <w:pStyle w:val="Footer"/>
    </w:pPr>
    <w:r>
      <w:t xml:space="preserve">Tracy Howells – Student Number 1703054                                                                                  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382BE" w14:textId="77777777" w:rsidR="001E3B42" w:rsidRDefault="001E3B42" w:rsidP="00EC51F7">
      <w:pPr>
        <w:spacing w:after="0" w:line="240" w:lineRule="auto"/>
      </w:pPr>
      <w:r>
        <w:separator/>
      </w:r>
    </w:p>
  </w:footnote>
  <w:footnote w:type="continuationSeparator" w:id="0">
    <w:p w14:paraId="404BF134" w14:textId="77777777" w:rsidR="001E3B42" w:rsidRDefault="001E3B42" w:rsidP="00EC5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A2E56" w14:textId="6A3BC9D5" w:rsidR="00EC51F7" w:rsidRPr="00EC51F7" w:rsidRDefault="00EC51F7" w:rsidP="00EC51F7">
    <w:pPr>
      <w:pStyle w:val="Header"/>
      <w:jc w:val="center"/>
      <w:rPr>
        <w:b/>
        <w:sz w:val="36"/>
        <w:szCs w:val="36"/>
      </w:rPr>
    </w:pPr>
    <w:r w:rsidRPr="00EC51F7">
      <w:rPr>
        <w:b/>
        <w:sz w:val="36"/>
        <w:szCs w:val="36"/>
      </w:rPr>
      <w:t>Physiology of the body including nutrition.</w:t>
    </w:r>
  </w:p>
  <w:p w14:paraId="12BACD4B" w14:textId="236272B7" w:rsidR="00EC51F7" w:rsidRDefault="00EC51F7" w:rsidP="00EC51F7">
    <w:pPr>
      <w:pStyle w:val="Header"/>
      <w:jc w:val="center"/>
    </w:pPr>
  </w:p>
  <w:p w14:paraId="12D7A05D" w14:textId="4C038B5F" w:rsidR="00EC51F7" w:rsidRPr="00EC51F7" w:rsidRDefault="00EC51F7" w:rsidP="00EC51F7">
    <w:pPr>
      <w:pStyle w:val="Header"/>
      <w:jc w:val="center"/>
      <w:rPr>
        <w:sz w:val="24"/>
        <w:szCs w:val="24"/>
      </w:rPr>
    </w:pPr>
    <w:r w:rsidRPr="00EC51F7">
      <w:rPr>
        <w:b/>
        <w:sz w:val="24"/>
        <w:szCs w:val="24"/>
      </w:rPr>
      <w:t>Assignment one</w:t>
    </w:r>
    <w:r w:rsidRPr="00EC51F7">
      <w:rPr>
        <w:sz w:val="24"/>
        <w:szCs w:val="24"/>
      </w:rPr>
      <w:t xml:space="preserve"> – Critically analyse Government strategy in relation to improving health, fitness and where appropriate nutrition, evaluate its effectiveness in improving health and reducing acute or chronic diseases e.g. overweight/obesity.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F37"/>
    <w:rsid w:val="00030812"/>
    <w:rsid w:val="0004753B"/>
    <w:rsid w:val="000927F7"/>
    <w:rsid w:val="00095801"/>
    <w:rsid w:val="001A3F37"/>
    <w:rsid w:val="001C182A"/>
    <w:rsid w:val="001C1A0D"/>
    <w:rsid w:val="001E3B42"/>
    <w:rsid w:val="003367C2"/>
    <w:rsid w:val="0039573C"/>
    <w:rsid w:val="0039588A"/>
    <w:rsid w:val="003A48DE"/>
    <w:rsid w:val="00433540"/>
    <w:rsid w:val="00484333"/>
    <w:rsid w:val="004A4886"/>
    <w:rsid w:val="004C60EE"/>
    <w:rsid w:val="004E301E"/>
    <w:rsid w:val="004E3EF6"/>
    <w:rsid w:val="00563C1E"/>
    <w:rsid w:val="00594E7E"/>
    <w:rsid w:val="005E3926"/>
    <w:rsid w:val="005E718D"/>
    <w:rsid w:val="0066553B"/>
    <w:rsid w:val="006E42E1"/>
    <w:rsid w:val="007577BF"/>
    <w:rsid w:val="007B6254"/>
    <w:rsid w:val="007E3D04"/>
    <w:rsid w:val="007E7163"/>
    <w:rsid w:val="00805491"/>
    <w:rsid w:val="00844EB2"/>
    <w:rsid w:val="0085508A"/>
    <w:rsid w:val="00891E41"/>
    <w:rsid w:val="008D6D63"/>
    <w:rsid w:val="009141D7"/>
    <w:rsid w:val="00921DA3"/>
    <w:rsid w:val="00942EE5"/>
    <w:rsid w:val="0095165E"/>
    <w:rsid w:val="009559CB"/>
    <w:rsid w:val="00A1099B"/>
    <w:rsid w:val="00A3004D"/>
    <w:rsid w:val="00A36740"/>
    <w:rsid w:val="00AB2DE4"/>
    <w:rsid w:val="00AB42C1"/>
    <w:rsid w:val="00AD11A2"/>
    <w:rsid w:val="00AD7ED9"/>
    <w:rsid w:val="00B1754E"/>
    <w:rsid w:val="00BA67AC"/>
    <w:rsid w:val="00C42059"/>
    <w:rsid w:val="00C56EC2"/>
    <w:rsid w:val="00C6521C"/>
    <w:rsid w:val="00C70145"/>
    <w:rsid w:val="00CB6FFC"/>
    <w:rsid w:val="00CF3406"/>
    <w:rsid w:val="00CF56DD"/>
    <w:rsid w:val="00D00C75"/>
    <w:rsid w:val="00D06B04"/>
    <w:rsid w:val="00D151E1"/>
    <w:rsid w:val="00D443AA"/>
    <w:rsid w:val="00D94DE8"/>
    <w:rsid w:val="00DB613F"/>
    <w:rsid w:val="00E63614"/>
    <w:rsid w:val="00E67406"/>
    <w:rsid w:val="00E96DA0"/>
    <w:rsid w:val="00EB032F"/>
    <w:rsid w:val="00EC04E1"/>
    <w:rsid w:val="00EC51F7"/>
    <w:rsid w:val="00EE17C9"/>
    <w:rsid w:val="00F11988"/>
    <w:rsid w:val="00F41403"/>
    <w:rsid w:val="00F71D7E"/>
    <w:rsid w:val="00F80BE4"/>
    <w:rsid w:val="00F87CD9"/>
    <w:rsid w:val="00F91B4F"/>
    <w:rsid w:val="00FC2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CCFA1"/>
  <w15:chartTrackingRefBased/>
  <w15:docId w15:val="{254C03E8-FA21-45DA-A399-564470C40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1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1F7"/>
  </w:style>
  <w:style w:type="paragraph" w:styleId="Footer">
    <w:name w:val="footer"/>
    <w:basedOn w:val="Normal"/>
    <w:link w:val="FooterChar"/>
    <w:uiPriority w:val="99"/>
    <w:unhideWhenUsed/>
    <w:rsid w:val="00EC51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1F7"/>
  </w:style>
  <w:style w:type="character" w:styleId="Hyperlink">
    <w:name w:val="Hyperlink"/>
    <w:basedOn w:val="DefaultParagraphFont"/>
    <w:uiPriority w:val="99"/>
    <w:unhideWhenUsed/>
    <w:rsid w:val="00BA67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76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sychclassics.yorku.ca/Maslow/motivation.htm"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eatwell.gov.uk/healthy-diet/eatwellplate/"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11/j.1467-789X.2007.00394.x" TargetMode="External"/><Relationship Id="rId11" Type="http://schemas.openxmlformats.org/officeDocument/2006/relationships/hyperlink" Target="https://www.nhs.uk/smokefre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nhs.uk/live-well/exercise/free-fitness-ideas/" TargetMode="External"/><Relationship Id="rId4" Type="http://schemas.openxmlformats.org/officeDocument/2006/relationships/footnotes" Target="footnotes.xml"/><Relationship Id="rId9" Type="http://schemas.openxmlformats.org/officeDocument/2006/relationships/hyperlink" Target="https://www.nhs.uk/conditions/obes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1</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Howells</dc:creator>
  <cp:keywords/>
  <dc:description/>
  <cp:lastModifiedBy>Tracy Howells</cp:lastModifiedBy>
  <cp:revision>16</cp:revision>
  <cp:lastPrinted>2018-12-18T13:06:00Z</cp:lastPrinted>
  <dcterms:created xsi:type="dcterms:W3CDTF">2018-12-13T17:29:00Z</dcterms:created>
  <dcterms:modified xsi:type="dcterms:W3CDTF">2019-01-07T20:39:00Z</dcterms:modified>
</cp:coreProperties>
</file>