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28"/>
          <w:szCs w:val="28"/>
        </w:rPr>
      </w:pPr>
      <w:r w:rsidDel="00000000" w:rsidR="00000000" w:rsidRPr="00000000">
        <w:rPr>
          <w:b w:val="1"/>
          <w:bCs w:val="1"/>
          <w:sz w:val="28"/>
          <w:szCs w:val="28"/>
        </w:rPr>
        <w:drawing>
          <wp:inline distB="0" distT="0" distL="0" distR="0">
            <wp:extent cx="1943100" cy="5524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43100" cy="5524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bCs w:val="1"/>
          <w:sz w:val="26"/>
          <w:szCs w:val="26"/>
        </w:rPr>
      </w:pPr>
      <w:r w:rsidDel="00000000" w:rsidR="00000000" w:rsidRPr="00000000">
        <w:rPr>
          <w:b w:val="1"/>
          <w:bCs w:val="1"/>
          <w:sz w:val="26"/>
          <w:szCs w:val="26"/>
          <w:rtl w:val="0"/>
        </w:rPr>
        <w:t xml:space="preserve">Student Assessment Submission and Declaration</w:t>
      </w:r>
    </w:p>
    <w:p w:rsidR="00000000" w:rsidDel="00000000" w:rsidP="00000000" w:rsidRDefault="00000000" w:rsidRPr="00000000" w14:paraId="00000003">
      <w:pPr>
        <w:rPr>
          <w:b w:val="1"/>
          <w:bCs w:val="1"/>
          <w:sz w:val="26"/>
          <w:szCs w:val="26"/>
        </w:rPr>
      </w:pPr>
      <w:r w:rsidDel="00000000" w:rsidR="00000000" w:rsidRPr="00000000">
        <w:rPr>
          <w:b w:val="1"/>
          <w:bCs w:val="1"/>
          <w:sz w:val="26"/>
          <w:szCs w:val="26"/>
          <w:rtl w:val="0"/>
        </w:rPr>
        <w:t xml:space="preserve">When submitting evidence for assessment, you must sign a declaration confirming that the work is your own.</w:t>
      </w:r>
    </w:p>
    <w:tbl>
      <w:tblPr>
        <w:tblStyle w:val="Table1"/>
        <w:tblW w:w="91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30"/>
        <w:gridCol w:w="6405"/>
        <w:tblGridChange w:id="0">
          <w:tblGrid>
            <w:gridCol w:w="2730"/>
            <w:gridCol w:w="6405"/>
          </w:tblGrid>
        </w:tblGridChange>
      </w:tblGrid>
      <w:tr>
        <w:trPr>
          <w:cantSplit w:val="0"/>
          <w:trHeight w:val="761"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4">
            <w:pPr>
              <w:spacing w:after="160" w:line="278.00000000000006" w:lineRule="auto"/>
              <w:rPr>
                <w:b w:val="1"/>
                <w:bCs w:val="1"/>
                <w:sz w:val="26"/>
                <w:szCs w:val="26"/>
              </w:rPr>
            </w:pPr>
            <w:r w:rsidDel="00000000" w:rsidR="00000000" w:rsidRPr="00000000">
              <w:rPr>
                <w:b w:val="1"/>
                <w:bCs w:val="1"/>
                <w:sz w:val="26"/>
                <w:szCs w:val="26"/>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5">
            <w:pPr>
              <w:spacing w:after="160" w:line="278.00000000000006" w:lineRule="auto"/>
              <w:rPr>
                <w:b w:val="1"/>
                <w:bCs w:val="1"/>
                <w:sz w:val="26"/>
                <w:szCs w:val="26"/>
              </w:rPr>
            </w:pPr>
            <w:r w:rsidDel="00000000" w:rsidR="00000000" w:rsidRPr="00000000">
              <w:rPr>
                <w:b w:val="1"/>
                <w:bCs w:val="1"/>
                <w:sz w:val="26"/>
                <w:szCs w:val="26"/>
                <w:rtl w:val="0"/>
              </w:rPr>
              <w:t xml:space="preserve">Eric Lerouge ANGWE NZE</w:t>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6">
            <w:pPr>
              <w:spacing w:after="160" w:line="278.00000000000006" w:lineRule="auto"/>
              <w:rPr>
                <w:b w:val="1"/>
                <w:bCs w:val="1"/>
                <w:sz w:val="26"/>
                <w:szCs w:val="26"/>
              </w:rPr>
            </w:pPr>
            <w:r w:rsidDel="00000000" w:rsidR="00000000" w:rsidRPr="00000000">
              <w:rPr>
                <w:b w:val="1"/>
                <w:bCs w:val="1"/>
                <w:sz w:val="26"/>
                <w:szCs w:val="26"/>
                <w:rtl w:val="0"/>
              </w:rPr>
              <w:t xml:space="preserve">Student ID: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spacing w:after="160" w:line="278.00000000000006" w:lineRule="auto"/>
              <w:rPr>
                <w:b w:val="1"/>
                <w:bCs w:val="1"/>
                <w:sz w:val="26"/>
                <w:szCs w:val="26"/>
              </w:rPr>
            </w:pPr>
            <w:r w:rsidDel="00000000" w:rsidR="00000000" w:rsidRPr="00000000">
              <w:rPr>
                <w:b w:val="1"/>
                <w:bCs w:val="1"/>
                <w:sz w:val="26"/>
                <w:szCs w:val="26"/>
                <w:rtl w:val="0"/>
              </w:rPr>
              <w:t xml:space="preserve">2417255</w:t>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8">
            <w:pPr>
              <w:spacing w:after="160" w:line="278.00000000000006" w:lineRule="auto"/>
              <w:rPr>
                <w:b w:val="1"/>
                <w:bCs w:val="1"/>
                <w:sz w:val="26"/>
                <w:szCs w:val="26"/>
              </w:rPr>
            </w:pPr>
            <w:r w:rsidDel="00000000" w:rsidR="00000000" w:rsidRPr="00000000">
              <w:rPr>
                <w:b w:val="1"/>
                <w:bCs w:val="1"/>
                <w:sz w:val="26"/>
                <w:szCs w:val="26"/>
                <w:rtl w:val="0"/>
              </w:rPr>
              <w:t xml:space="preserve">Programme: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9">
            <w:pPr>
              <w:spacing w:after="160" w:line="278.00000000000006" w:lineRule="auto"/>
              <w:rPr>
                <w:b w:val="1"/>
                <w:bCs w:val="1"/>
                <w:sz w:val="26"/>
                <w:szCs w:val="26"/>
              </w:rPr>
            </w:pPr>
            <w:r w:rsidDel="00000000" w:rsidR="00000000" w:rsidRPr="00000000">
              <w:rPr>
                <w:b w:val="1"/>
                <w:bCs w:val="1"/>
                <w:sz w:val="26"/>
                <w:szCs w:val="26"/>
                <w:rtl w:val="0"/>
              </w:rPr>
              <w:t xml:space="preserve">BSc Health and Social Care</w:t>
            </w:r>
          </w:p>
        </w:tc>
      </w:tr>
      <w:tr>
        <w:trPr>
          <w:cantSplit w:val="0"/>
          <w:trHeight w:val="33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A">
            <w:pPr>
              <w:spacing w:after="160" w:line="278.00000000000006" w:lineRule="auto"/>
              <w:rPr>
                <w:b w:val="1"/>
                <w:bCs w:val="1"/>
                <w:sz w:val="26"/>
                <w:szCs w:val="26"/>
              </w:rPr>
            </w:pPr>
            <w:r w:rsidDel="00000000" w:rsidR="00000000" w:rsidRPr="00000000">
              <w:rPr>
                <w:b w:val="1"/>
                <w:bCs w:val="1"/>
                <w:sz w:val="26"/>
                <w:szCs w:val="26"/>
                <w:rtl w:val="0"/>
              </w:rPr>
              <w:t xml:space="preserve">Module name and code: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B">
            <w:pPr>
              <w:spacing w:after="160" w:line="278.00000000000006" w:lineRule="auto"/>
              <w:rPr>
                <w:b w:val="1"/>
                <w:bCs w:val="1"/>
                <w:sz w:val="26"/>
                <w:szCs w:val="26"/>
              </w:rPr>
            </w:pPr>
            <w:r w:rsidDel="00000000" w:rsidR="00000000" w:rsidRPr="00000000">
              <w:rPr>
                <w:b w:val="1"/>
                <w:bCs w:val="1"/>
                <w:sz w:val="26"/>
                <w:szCs w:val="26"/>
                <w:rtl w:val="0"/>
              </w:rPr>
              <w:t xml:space="preserve">Introduction to Physiology</w:t>
            </w:r>
          </w:p>
          <w:p w:rsidR="00000000" w:rsidDel="00000000" w:rsidP="00000000" w:rsidRDefault="00000000" w:rsidRPr="00000000" w14:paraId="0000000C">
            <w:pPr>
              <w:spacing w:after="160" w:line="278.00000000000006" w:lineRule="auto"/>
              <w:rPr>
                <w:b w:val="1"/>
                <w:bCs w:val="1"/>
                <w:sz w:val="26"/>
                <w:szCs w:val="26"/>
              </w:rPr>
            </w:pPr>
            <w:r w:rsidDel="00000000" w:rsidR="00000000" w:rsidRPr="00000000">
              <w:rPr>
                <w:b w:val="1"/>
                <w:bCs w:val="1"/>
                <w:sz w:val="26"/>
                <w:szCs w:val="26"/>
                <w:rtl w:val="0"/>
              </w:rPr>
              <w:t xml:space="preserve">BMHP5023</w:t>
            </w:r>
          </w:p>
        </w:tc>
      </w:tr>
      <w:tr>
        <w:trPr>
          <w:cantSplit w:val="0"/>
          <w:trHeight w:val="33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D">
            <w:pPr>
              <w:spacing w:after="160" w:line="278.00000000000006" w:lineRule="auto"/>
              <w:rPr>
                <w:b w:val="1"/>
                <w:bCs w:val="1"/>
                <w:sz w:val="26"/>
                <w:szCs w:val="26"/>
              </w:rPr>
            </w:pPr>
            <w:r w:rsidDel="00000000" w:rsidR="00000000" w:rsidRPr="00000000">
              <w:rPr>
                <w:b w:val="1"/>
                <w:bCs w:val="1"/>
                <w:sz w:val="26"/>
                <w:szCs w:val="26"/>
                <w:rtl w:val="0"/>
              </w:rPr>
              <w:t xml:space="preserve">Lecture's name: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E">
            <w:pPr>
              <w:spacing w:after="160" w:line="278.00000000000006" w:lineRule="auto"/>
              <w:rPr>
                <w:b w:val="1"/>
                <w:bCs w:val="1"/>
                <w:sz w:val="26"/>
                <w:szCs w:val="26"/>
              </w:rPr>
            </w:pPr>
            <w:r w:rsidDel="00000000" w:rsidR="00000000" w:rsidRPr="00000000">
              <w:rPr>
                <w:b w:val="1"/>
                <w:bCs w:val="1"/>
                <w:sz w:val="26"/>
                <w:szCs w:val="26"/>
                <w:rtl w:val="0"/>
              </w:rPr>
              <w:t xml:space="preserve">Dr Soban Sadiq</w:t>
            </w:r>
          </w:p>
        </w:tc>
      </w:tr>
    </w:tbl>
    <w:p w:rsidR="00000000" w:rsidDel="00000000" w:rsidP="00000000" w:rsidRDefault="00000000" w:rsidRPr="00000000" w14:paraId="0000000F">
      <w:pPr>
        <w:rPr>
          <w:b w:val="1"/>
          <w:bCs w:val="1"/>
          <w:sz w:val="26"/>
          <w:szCs w:val="26"/>
        </w:rPr>
      </w:pPr>
      <w:r w:rsidDel="00000000" w:rsidR="00000000" w:rsidRPr="00000000">
        <w:rPr>
          <w:b w:val="1"/>
          <w:bCs w:val="1"/>
          <w:sz w:val="26"/>
          <w:szCs w:val="26"/>
          <w:rtl w:val="0"/>
        </w:rPr>
        <w:t xml:space="preserve">Plagiarism</w:t>
      </w:r>
    </w:p>
    <w:p w:rsidR="00000000" w:rsidDel="00000000" w:rsidP="00000000" w:rsidRDefault="00000000" w:rsidRPr="00000000" w14:paraId="00000010">
      <w:pPr>
        <w:rPr>
          <w:sz w:val="26"/>
          <w:szCs w:val="26"/>
        </w:rPr>
      </w:pPr>
      <w:r w:rsidDel="00000000" w:rsidR="00000000" w:rsidRPr="00000000">
        <w:rPr>
          <w:sz w:val="26"/>
          <w:szCs w:val="26"/>
          <w:rtl w:val="0"/>
        </w:rPr>
        <w:t xml:space="preserve">Plagiarism is a form of cheating. Plagiarism must be avoided at all costs and students who break the rules, however innocently, may be penalised.  It is your responsibility to ensure that you understand correct referencing practices.  As a university level student, you are expected to use appropriate references throughout and keep carefully detailed notes of all your sources of materials for material you have used in your work, including any material downloaded from the Internet. Please consult the relevant unit lecturer or your course tutor if you need any further advice.</w:t>
      </w:r>
    </w:p>
    <w:tbl>
      <w:tblPr>
        <w:tblStyle w:val="Table2"/>
        <w:tblW w:w="943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58"/>
        <w:gridCol w:w="5280"/>
        <w:tblGridChange w:id="0">
          <w:tblGrid>
            <w:gridCol w:w="4158"/>
            <w:gridCol w:w="5280"/>
          </w:tblGrid>
        </w:tblGridChange>
      </w:tblGrid>
      <w:tr>
        <w:trPr>
          <w:cantSplit w:val="0"/>
          <w:trHeight w:val="1412" w:hRule="atLeast"/>
          <w:tblHeader w:val="0"/>
        </w:trPr>
        <w:tc>
          <w:tcPr>
            <w:gridSpan w:val="2"/>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11">
            <w:pPr>
              <w:spacing w:after="160" w:line="278.00000000000006" w:lineRule="auto"/>
              <w:rPr>
                <w:b w:val="1"/>
                <w:bCs w:val="1"/>
                <w:sz w:val="26"/>
                <w:szCs w:val="26"/>
              </w:rPr>
            </w:pPr>
            <w:r w:rsidDel="00000000" w:rsidR="00000000" w:rsidRPr="00000000">
              <w:rPr>
                <w:b w:val="1"/>
                <w:bCs w:val="1"/>
                <w:sz w:val="26"/>
                <w:szCs w:val="26"/>
                <w:rtl w:val="0"/>
              </w:rPr>
              <w:t xml:space="preserve">Student declaration</w:t>
            </w:r>
          </w:p>
          <w:p w:rsidR="00000000" w:rsidDel="00000000" w:rsidP="00000000" w:rsidRDefault="00000000" w:rsidRPr="00000000" w14:paraId="00000012">
            <w:pPr>
              <w:spacing w:after="160" w:line="278.00000000000006" w:lineRule="auto"/>
              <w:rPr>
                <w:b w:val="1"/>
                <w:bCs w:val="1"/>
                <w:sz w:val="26"/>
                <w:szCs w:val="26"/>
              </w:rPr>
            </w:pPr>
            <w:r w:rsidDel="00000000" w:rsidR="00000000" w:rsidRPr="00000000">
              <w:rPr>
                <w:b w:val="1"/>
                <w:bCs w:val="1"/>
                <w:sz w:val="26"/>
                <w:szCs w:val="26"/>
                <w:rtl w:val="0"/>
              </w:rPr>
              <w:t xml:space="preserve">I certify that the assignment submission is entirely my own work. I fully understand the consequences of plagiarism. I understand that making a false declaration is a form of malpractice.</w:t>
            </w:r>
          </w:p>
        </w:tc>
      </w:tr>
      <w:tr>
        <w:trPr>
          <w:cantSplit w:val="0"/>
          <w:trHeight w:val="48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14">
            <w:pPr>
              <w:spacing w:after="160" w:line="278.00000000000006" w:lineRule="auto"/>
              <w:rPr>
                <w:b w:val="1"/>
                <w:bCs w:val="1"/>
                <w:sz w:val="26"/>
                <w:szCs w:val="26"/>
              </w:rPr>
            </w:pPr>
            <w:r w:rsidDel="00000000" w:rsidR="00000000" w:rsidRPr="00000000">
              <w:rPr>
                <w:b w:val="1"/>
                <w:bCs w:val="1"/>
                <w:sz w:val="26"/>
                <w:szCs w:val="26"/>
                <w:rtl w:val="0"/>
              </w:rPr>
              <w:t xml:space="preserve">Student signature: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5">
            <w:pPr>
              <w:spacing w:after="160" w:line="278.00000000000006" w:lineRule="auto"/>
              <w:rPr>
                <w:b w:val="1"/>
                <w:bCs w:val="1"/>
                <w:sz w:val="26"/>
                <w:szCs w:val="26"/>
              </w:rPr>
            </w:pPr>
            <w:r w:rsidDel="00000000" w:rsidR="00000000" w:rsidRPr="00000000">
              <w:rPr>
                <w:b w:val="1"/>
                <w:bCs w:val="1"/>
                <w:sz w:val="26"/>
                <w:szCs w:val="26"/>
                <w:rtl w:val="0"/>
              </w:rPr>
              <w:t xml:space="preserve">Eric Lerouge ANGWE NZE</w:t>
            </w:r>
          </w:p>
        </w:tc>
      </w:tr>
      <w:tr>
        <w:trPr>
          <w:cantSplit w:val="0"/>
          <w:trHeight w:val="48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16">
            <w:pPr>
              <w:spacing w:after="160" w:line="278.00000000000006" w:lineRule="auto"/>
              <w:rPr>
                <w:b w:val="1"/>
                <w:bCs w:val="1"/>
                <w:sz w:val="26"/>
                <w:szCs w:val="26"/>
              </w:rPr>
            </w:pPr>
            <w:r w:rsidDel="00000000" w:rsidR="00000000" w:rsidRPr="00000000">
              <w:rPr>
                <w:b w:val="1"/>
                <w:bCs w:val="1"/>
                <w:sz w:val="26"/>
                <w:szCs w:val="26"/>
                <w:rtl w:val="0"/>
              </w:rPr>
              <w:t xml:space="preserve">Date :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7">
            <w:pPr>
              <w:spacing w:after="160" w:line="278.00000000000006" w:lineRule="auto"/>
              <w:rPr>
                <w:b w:val="1"/>
                <w:bCs w:val="1"/>
                <w:sz w:val="26"/>
                <w:szCs w:val="26"/>
              </w:rPr>
            </w:pPr>
            <w:r w:rsidDel="00000000" w:rsidR="00000000" w:rsidRPr="00000000">
              <w:rPr>
                <w:b w:val="1"/>
                <w:bCs w:val="1"/>
                <w:sz w:val="26"/>
                <w:szCs w:val="26"/>
                <w:rtl w:val="0"/>
              </w:rPr>
              <w:t xml:space="preserve">07/04/2026</w:t>
            </w:r>
          </w:p>
        </w:tc>
      </w:tr>
    </w:tbl>
    <w:p w:rsidR="00000000" w:rsidDel="00000000" w:rsidP="00000000" w:rsidRDefault="00000000" w:rsidRPr="00000000" w14:paraId="00000018">
      <w:pPr>
        <w:rPr>
          <w:b w:val="1"/>
          <w:bCs w:val="1"/>
          <w:sz w:val="28"/>
          <w:szCs w:val="28"/>
          <w:u w:val="single"/>
        </w:rPr>
      </w:pPr>
      <w:r w:rsidDel="00000000" w:rsidR="00000000" w:rsidRPr="00000000">
        <w:rPr>
          <w:rtl w:val="0"/>
        </w:rPr>
      </w:r>
    </w:p>
    <w:p w:rsidR="00000000" w:rsidDel="00000000" w:rsidP="00000000" w:rsidRDefault="00000000" w:rsidRPr="00000000" w14:paraId="00000019">
      <w:pPr>
        <w:rPr>
          <w:b w:val="1"/>
          <w:bCs w:val="1"/>
          <w:sz w:val="28"/>
          <w:szCs w:val="28"/>
          <w:u w:val="single"/>
        </w:rPr>
      </w:pPr>
      <w:r w:rsidDel="00000000" w:rsidR="00000000" w:rsidRPr="00000000">
        <w:rPr>
          <w:rtl w:val="0"/>
        </w:rPr>
      </w:r>
    </w:p>
    <w:p w:rsidR="00000000" w:rsidDel="00000000" w:rsidP="00000000" w:rsidRDefault="00000000" w:rsidRPr="00000000" w14:paraId="0000001A">
      <w:pPr>
        <w:jc w:val="center"/>
        <w:rPr>
          <w:b w:val="1"/>
          <w:bCs w:val="1"/>
          <w:sz w:val="28"/>
          <w:szCs w:val="28"/>
          <w:u w:val="single"/>
        </w:rPr>
      </w:pPr>
      <w:r w:rsidDel="00000000" w:rsidR="00000000" w:rsidRPr="00000000">
        <w:rPr>
          <w:b w:val="1"/>
          <w:bCs w:val="1"/>
          <w:sz w:val="28"/>
          <w:szCs w:val="28"/>
          <w:u w:val="single"/>
          <w:rtl w:val="0"/>
        </w:rPr>
        <w:t xml:space="preserve">Table of content </w:t>
      </w:r>
    </w:p>
    <w:sdt>
      <w:sdtPr>
        <w:id w:val="-1020591153"/>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klw6x27k9y4">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 (Definition of Diabetes &amp; Risk Factors)</w:t>
              <w:tab/>
              <w:t xml:space="preserve">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zp0iw3t9aa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Regulation of Blood Glucose Homeostasis: Hormonal Control and Physiological Balance</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659ab42bzha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Cellular Energy Production: The Role of Oxygen and Glucose in Metabolism</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suy3bznazxdg">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Monitoring Glycaemic Control: The Importance of Recording and Tracking Blood Sugar Levels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tozagumcgk4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Lifestyle Modification as a Therapeutic Strategy in Type 2 Diabetes Management</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5khurzf3tiz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yxl55nfbhuv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 List</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jc w:val="center"/>
        <w:rPr>
          <w:b w:val="1"/>
          <w:bCs w:val="1"/>
          <w:sz w:val="28"/>
          <w:szCs w:val="28"/>
        </w:rPr>
      </w:pPr>
      <w:r w:rsidDel="00000000" w:rsidR="00000000" w:rsidRPr="00000000">
        <w:rPr>
          <w:rtl w:val="0"/>
        </w:rPr>
      </w:r>
    </w:p>
    <w:p w:rsidR="00000000" w:rsidDel="00000000" w:rsidP="00000000" w:rsidRDefault="00000000" w:rsidRPr="00000000" w14:paraId="00000023">
      <w:pPr>
        <w:jc w:val="center"/>
        <w:rPr>
          <w:b w:val="1"/>
          <w:bCs w:val="1"/>
          <w:sz w:val="28"/>
          <w:szCs w:val="28"/>
        </w:rPr>
      </w:pPr>
      <w:r w:rsidDel="00000000" w:rsidR="00000000" w:rsidRPr="00000000">
        <w:rPr>
          <w:rtl w:val="0"/>
        </w:rPr>
      </w:r>
    </w:p>
    <w:p w:rsidR="00000000" w:rsidDel="00000000" w:rsidP="00000000" w:rsidRDefault="00000000" w:rsidRPr="00000000" w14:paraId="00000024">
      <w:pPr>
        <w:jc w:val="center"/>
        <w:rPr>
          <w:b w:val="1"/>
          <w:bCs w:val="1"/>
          <w:sz w:val="28"/>
          <w:szCs w:val="28"/>
        </w:rPr>
      </w:pPr>
      <w:r w:rsidDel="00000000" w:rsidR="00000000" w:rsidRPr="00000000">
        <w:rPr>
          <w:rtl w:val="0"/>
        </w:rPr>
      </w:r>
    </w:p>
    <w:p w:rsidR="00000000" w:rsidDel="00000000" w:rsidP="00000000" w:rsidRDefault="00000000" w:rsidRPr="00000000" w14:paraId="00000025">
      <w:pPr>
        <w:jc w:val="center"/>
        <w:rPr>
          <w:b w:val="1"/>
          <w:bCs w:val="1"/>
          <w:sz w:val="28"/>
          <w:szCs w:val="28"/>
        </w:rPr>
      </w:pPr>
      <w:r w:rsidDel="00000000" w:rsidR="00000000" w:rsidRPr="00000000">
        <w:rPr>
          <w:rtl w:val="0"/>
        </w:rPr>
      </w:r>
    </w:p>
    <w:p w:rsidR="00000000" w:rsidDel="00000000" w:rsidP="00000000" w:rsidRDefault="00000000" w:rsidRPr="00000000" w14:paraId="00000026">
      <w:pPr>
        <w:jc w:val="center"/>
        <w:rPr>
          <w:b w:val="1"/>
          <w:bCs w:val="1"/>
          <w:sz w:val="28"/>
          <w:szCs w:val="28"/>
        </w:rPr>
      </w:pPr>
      <w:r w:rsidDel="00000000" w:rsidR="00000000" w:rsidRPr="00000000">
        <w:rPr>
          <w:rtl w:val="0"/>
        </w:rPr>
      </w:r>
    </w:p>
    <w:p w:rsidR="00000000" w:rsidDel="00000000" w:rsidP="00000000" w:rsidRDefault="00000000" w:rsidRPr="00000000" w14:paraId="00000027">
      <w:pPr>
        <w:jc w:val="center"/>
        <w:rPr>
          <w:b w:val="1"/>
          <w:bCs w:val="1"/>
          <w:sz w:val="28"/>
          <w:szCs w:val="28"/>
        </w:rPr>
      </w:pPr>
      <w:r w:rsidDel="00000000" w:rsidR="00000000" w:rsidRPr="00000000">
        <w:rPr>
          <w:rtl w:val="0"/>
        </w:rPr>
      </w:r>
    </w:p>
    <w:p w:rsidR="00000000" w:rsidDel="00000000" w:rsidP="00000000" w:rsidRDefault="00000000" w:rsidRPr="00000000" w14:paraId="00000028">
      <w:pPr>
        <w:jc w:val="center"/>
        <w:rPr>
          <w:b w:val="1"/>
          <w:bCs w:val="1"/>
          <w:sz w:val="28"/>
          <w:szCs w:val="28"/>
        </w:rPr>
      </w:pPr>
      <w:r w:rsidDel="00000000" w:rsidR="00000000" w:rsidRPr="00000000">
        <w:rPr>
          <w:rtl w:val="0"/>
        </w:rPr>
      </w:r>
    </w:p>
    <w:p w:rsidR="00000000" w:rsidDel="00000000" w:rsidP="00000000" w:rsidRDefault="00000000" w:rsidRPr="00000000" w14:paraId="00000029">
      <w:pPr>
        <w:jc w:val="center"/>
        <w:rPr>
          <w:b w:val="1"/>
          <w:bCs w:val="1"/>
          <w:sz w:val="28"/>
          <w:szCs w:val="28"/>
        </w:rPr>
      </w:pPr>
      <w:r w:rsidDel="00000000" w:rsidR="00000000" w:rsidRPr="00000000">
        <w:rPr>
          <w:rtl w:val="0"/>
        </w:rPr>
      </w:r>
    </w:p>
    <w:p w:rsidR="00000000" w:rsidDel="00000000" w:rsidP="00000000" w:rsidRDefault="00000000" w:rsidRPr="00000000" w14:paraId="0000002A">
      <w:pPr>
        <w:jc w:val="center"/>
        <w:rPr>
          <w:b w:val="1"/>
          <w:bCs w:val="1"/>
          <w:sz w:val="28"/>
          <w:szCs w:val="28"/>
        </w:rPr>
      </w:pPr>
      <w:r w:rsidDel="00000000" w:rsidR="00000000" w:rsidRPr="00000000">
        <w:rPr>
          <w:rtl w:val="0"/>
        </w:rPr>
      </w:r>
    </w:p>
    <w:p w:rsidR="00000000" w:rsidDel="00000000" w:rsidP="00000000" w:rsidRDefault="00000000" w:rsidRPr="00000000" w14:paraId="0000002B">
      <w:pPr>
        <w:jc w:val="center"/>
        <w:rPr>
          <w:b w:val="1"/>
          <w:bCs w:val="1"/>
          <w:sz w:val="28"/>
          <w:szCs w:val="28"/>
        </w:rPr>
      </w:pPr>
      <w:r w:rsidDel="00000000" w:rsidR="00000000" w:rsidRPr="00000000">
        <w:rPr>
          <w:rtl w:val="0"/>
        </w:rPr>
      </w:r>
    </w:p>
    <w:p w:rsidR="00000000" w:rsidDel="00000000" w:rsidP="00000000" w:rsidRDefault="00000000" w:rsidRPr="00000000" w14:paraId="0000002C">
      <w:pPr>
        <w:jc w:val="center"/>
        <w:rPr>
          <w:b w:val="1"/>
          <w:bCs w:val="1"/>
          <w:sz w:val="28"/>
          <w:szCs w:val="28"/>
        </w:rPr>
      </w:pPr>
      <w:r w:rsidDel="00000000" w:rsidR="00000000" w:rsidRPr="00000000">
        <w:rPr>
          <w:rtl w:val="0"/>
        </w:rPr>
      </w:r>
    </w:p>
    <w:p w:rsidR="00000000" w:rsidDel="00000000" w:rsidP="00000000" w:rsidRDefault="00000000" w:rsidRPr="00000000" w14:paraId="0000002D">
      <w:pPr>
        <w:jc w:val="center"/>
        <w:rPr>
          <w:b w:val="1"/>
          <w:bCs w:val="1"/>
          <w:sz w:val="28"/>
          <w:szCs w:val="28"/>
        </w:rPr>
      </w:pPr>
      <w:r w:rsidDel="00000000" w:rsidR="00000000" w:rsidRPr="00000000">
        <w:rPr>
          <w:rtl w:val="0"/>
        </w:rPr>
      </w:r>
    </w:p>
    <w:p w:rsidR="00000000" w:rsidDel="00000000" w:rsidP="00000000" w:rsidRDefault="00000000" w:rsidRPr="00000000" w14:paraId="0000002E">
      <w:pPr>
        <w:jc w:val="center"/>
        <w:rPr>
          <w:b w:val="1"/>
          <w:bCs w:val="1"/>
          <w:sz w:val="28"/>
          <w:szCs w:val="28"/>
        </w:rPr>
      </w:pPr>
      <w:r w:rsidDel="00000000" w:rsidR="00000000" w:rsidRPr="00000000">
        <w:rPr>
          <w:rtl w:val="0"/>
        </w:rPr>
      </w:r>
    </w:p>
    <w:p w:rsidR="00000000" w:rsidDel="00000000" w:rsidP="00000000" w:rsidRDefault="00000000" w:rsidRPr="00000000" w14:paraId="0000002F">
      <w:pPr>
        <w:jc w:val="center"/>
        <w:rPr>
          <w:b w:val="1"/>
          <w:bCs w:val="1"/>
          <w:sz w:val="28"/>
          <w:szCs w:val="28"/>
        </w:rPr>
      </w:pPr>
      <w:r w:rsidDel="00000000" w:rsidR="00000000" w:rsidRPr="00000000">
        <w:rPr>
          <w:rtl w:val="0"/>
        </w:rPr>
      </w:r>
    </w:p>
    <w:p w:rsidR="00000000" w:rsidDel="00000000" w:rsidP="00000000" w:rsidRDefault="00000000" w:rsidRPr="00000000" w14:paraId="00000030">
      <w:pPr>
        <w:jc w:val="center"/>
        <w:rPr>
          <w:b w:val="1"/>
          <w:bCs w:val="1"/>
          <w:sz w:val="28"/>
          <w:szCs w:val="28"/>
        </w:rPr>
      </w:pPr>
      <w:r w:rsidDel="00000000" w:rsidR="00000000" w:rsidRPr="00000000">
        <w:rPr>
          <w:rtl w:val="0"/>
        </w:rPr>
      </w:r>
    </w:p>
    <w:p w:rsidR="00000000" w:rsidDel="00000000" w:rsidP="00000000" w:rsidRDefault="00000000" w:rsidRPr="00000000" w14:paraId="00000031">
      <w:pPr>
        <w:pStyle w:val="Heading1"/>
        <w:spacing w:line="360" w:lineRule="auto"/>
        <w:jc w:val="both"/>
        <w:rPr>
          <w:rFonts w:ascii="Arial" w:cs="Arial" w:eastAsia="Arial" w:hAnsi="Arial"/>
          <w:b w:val="1"/>
          <w:bCs w:val="1"/>
          <w:sz w:val="22"/>
          <w:szCs w:val="22"/>
        </w:rPr>
      </w:pPr>
      <w:bookmarkStart w:colFirst="0" w:colLast="0" w:name="_heading=h.klw6x27k9y4" w:id="0"/>
      <w:bookmarkEnd w:id="0"/>
      <w:r w:rsidDel="00000000" w:rsidR="00000000" w:rsidRPr="00000000">
        <w:rPr>
          <w:rFonts w:ascii="Arial" w:cs="Arial" w:eastAsia="Arial" w:hAnsi="Arial"/>
          <w:b w:val="1"/>
          <w:bCs w:val="1"/>
          <w:sz w:val="22"/>
          <w:szCs w:val="22"/>
          <w:rtl w:val="0"/>
        </w:rPr>
        <w:t xml:space="preserve">Introduction (Definition of Diabetes &amp; Risk Factors)</w:t>
      </w:r>
    </w:p>
    <w:p w:rsidR="00000000" w:rsidDel="00000000" w:rsidP="00000000" w:rsidRDefault="00000000" w:rsidRPr="00000000" w14:paraId="0000003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Diabetes mellitus is a long-term metabolic condition that is characterised by persistent elevation of blood glucose (hyperglycaemia) because of impaired insulin production, insulin activity, or both. The beta cells of the pancreas produce the hormone insulin that regulates blood glucose by enabling the intake of glucose into the body cells to store or use the energy. The Type 2 diabetes mellitus (T2DM) is the most predominant type which develops when the body becomes insulin resistant and or when the amount of insulin produced is insufficient to maintain normal glucose levels (American Diabetes Association, 2022).</w:t>
      </w:r>
    </w:p>
    <w:p w:rsidR="00000000" w:rsidDel="00000000" w:rsidP="00000000" w:rsidRDefault="00000000" w:rsidRPr="00000000" w14:paraId="0000003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healthy people, the balance between insulin and glucagon provides the body with a stable level of blood glucose, avoiding destructive peaks and eliminating the risk of hypoglycaemia. This regulatory mechanism is however disturbed in persons with T2DM resulting in sustained hyperglycaemia. If left unmanaged, this condition can result in serious complications, including cardiovascular disease, kidney damage, nerve damage, and visual impairment (World Health Organization, 2023). </w:t>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caused by several risk factors. These can be categorised into modifiable and non-modifiable factors. The modifiable risk factors are obesity, lack of physical activity, unhealthy diet (especially high in refined sugars and saturated fats) and smoking. These are closely connected with insulin resistance and dysfunction of the metabolism. Such non-modifiable risk factors as age increment, heredity, and a family history of diabetes, as well as some ethnic backgrounds, were proven to be more susceptible to the disease (NICE, 2022).</w:t>
      </w:r>
    </w:p>
    <w:p w:rsidR="00000000" w:rsidDel="00000000" w:rsidP="00000000" w:rsidRDefault="00000000" w:rsidRPr="00000000" w14:paraId="00000035">
      <w:pPr>
        <w:pStyle w:val="Heading1"/>
        <w:spacing w:line="360" w:lineRule="auto"/>
        <w:jc w:val="both"/>
        <w:rPr>
          <w:rFonts w:ascii="Arial" w:cs="Arial" w:eastAsia="Arial" w:hAnsi="Arial"/>
          <w:b w:val="1"/>
          <w:bCs w:val="1"/>
          <w:sz w:val="22"/>
          <w:szCs w:val="22"/>
        </w:rPr>
      </w:pPr>
      <w:bookmarkStart w:colFirst="0" w:colLast="0" w:name="_heading=h.zp0iw3t9aal" w:id="1"/>
      <w:bookmarkEnd w:id="1"/>
      <w:r w:rsidDel="00000000" w:rsidR="00000000" w:rsidRPr="00000000">
        <w:rPr>
          <w:rFonts w:ascii="Arial" w:cs="Arial" w:eastAsia="Arial" w:hAnsi="Arial"/>
          <w:b w:val="1"/>
          <w:bCs w:val="1"/>
          <w:sz w:val="22"/>
          <w:szCs w:val="22"/>
          <w:rtl w:val="0"/>
        </w:rPr>
        <w:t xml:space="preserve">Regulation of Blood Glucose Homeostasis: Hormonal Control and Physiological Balance</w:t>
      </w:r>
    </w:p>
    <w:p w:rsidR="00000000" w:rsidDel="00000000" w:rsidP="00000000" w:rsidRDefault="00000000" w:rsidRPr="00000000" w14:paraId="0000003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Maintaining normal blood glucose levels in a thin physiological range is imperative to normal body functions and is accomplished by a mechanism called homeostasis. The endocrine system is the main system that controls this process with the pancreas being the central part of this process that secretes essential hormones, especially insulin and glucagon. Normal healthy people usually have a range of 4-7 mmol/L in their blood glucose levels, which keeps the cells constantly supplied with energy but does not allow the damages of hyperglycaemia or hypoglycaemia (Hall and Hall, 2021).</w:t>
      </w:r>
    </w:p>
    <w:p w:rsidR="00000000" w:rsidDel="00000000" w:rsidP="00000000" w:rsidRDefault="00000000" w:rsidRPr="00000000" w14:paraId="0000003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beta cells of the pancreatic islets produce insulin that is released in response to This is not without risk the increased level of glucose in the blood, especially following the consumption of food. It leads to the action of glucose into the muscle and adipose tissue and the formation of glycogen in the liver hence lowering glucose in the bloodstream. However, glucagon which is produced by the alpha cells works in the opposite direction and increases glycogenolysis and gluconeogenesis in the liver when blood glucose decreases like during the fasting periods. The major issue here is ensuring this delicate hormonal balance is maintained in patients with Type 2 diabetes where insulin resistance interferes with normal regulation.  Physiologically, this feedback mechanism works through negative feedback loop, which is fast in correcting the deviation out of the norm range. In Type 2 diabetes, however, cells lose sensitivity to insulin, which results in a compensated hyperinsulinaemia that is accompanied by the dysfunction of pancreatic beta-cells in the long-term. This results in chronic hyperglycaemia, which is associated with long-term vascular and neurological complications. This is not risk free because long term dysregulation may result in permanent organ damage even with medical care (NICE, 2022).</w:t>
      </w:r>
    </w:p>
    <w:p w:rsidR="00000000" w:rsidDel="00000000" w:rsidP="00000000" w:rsidRDefault="00000000" w:rsidRPr="00000000" w14:paraId="0000003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Critically, while pharmacological treatments such as metformin aim to improve insulin sensitivity, they do not fully restore normal homeostatic control. Thus, proper regulation relies on patient involvement in change of lifestyle, such as diet and physical activity as well. This might not be easy to attain since behavioural changes need long-term motivation and access to relevant healthcare services. My academic opinion is that the process of blood glucose regulation cannot be considered a purely biochemical activity but rather a combination of physiological processes and lifestyle choices. The long-term glycaemic control and preventive measures of Type 2 diabetes complications in patients require a holistic approach. </w:t>
      </w:r>
    </w:p>
    <w:p w:rsidR="00000000" w:rsidDel="00000000" w:rsidP="00000000" w:rsidRDefault="00000000" w:rsidRPr="00000000" w14:paraId="00000039">
      <w:pPr>
        <w:pStyle w:val="Heading1"/>
        <w:spacing w:line="360" w:lineRule="auto"/>
        <w:jc w:val="both"/>
        <w:rPr>
          <w:rFonts w:ascii="Arial" w:cs="Arial" w:eastAsia="Arial" w:hAnsi="Arial"/>
          <w:b w:val="1"/>
          <w:bCs w:val="1"/>
          <w:sz w:val="22"/>
          <w:szCs w:val="22"/>
        </w:rPr>
      </w:pPr>
      <w:bookmarkStart w:colFirst="0" w:colLast="0" w:name="_heading=h.659ab42bzham" w:id="2"/>
      <w:bookmarkEnd w:id="2"/>
      <w:r w:rsidDel="00000000" w:rsidR="00000000" w:rsidRPr="00000000">
        <w:rPr>
          <w:rFonts w:ascii="Arial" w:cs="Arial" w:eastAsia="Arial" w:hAnsi="Arial"/>
          <w:b w:val="1"/>
          <w:bCs w:val="1"/>
          <w:sz w:val="22"/>
          <w:szCs w:val="22"/>
          <w:rtl w:val="0"/>
        </w:rPr>
        <w:t xml:space="preserve">Cellular Energy Production: The Role of Oxygen and Glucose in Metabolism</w:t>
      </w:r>
    </w:p>
    <w:p w:rsidR="00000000" w:rsidDel="00000000" w:rsidP="00000000" w:rsidRDefault="00000000" w:rsidRPr="00000000" w14:paraId="0000003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Cellular metabolism plays a critical role in maintenance of life since it facilitates the generation of energy necessary in all physiological activities. The process involves glucose and oxygen especially during aerobic respiration, the most effective route to produce adenosine triphosphate (ATP) the body currency of energy. In healthy people, glucose produced because of ingested carbohydrates is carried through the blood to cells where a series of metabolic processes are carried out to produce energy (Berg et al., 2019).</w:t>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Glycolysis, the first stage of this process, occurs in the cytoplasm and does not require oxygen. In the process of glycolysis, the breakdown of one molecule of glucose results in the formation of two molecules of pyruvate with a small amount of ATP yield. Under the presence of oxygen, pyruvate enters the mitochondria and is further oxidized by Krebs cycle and electron transport chain. Oxygen serves as the final electron acceptor in the electron transport chain, enabling the production of a significantly higher yield of ATP, approximately 36–38 molecules per glucose molecule. One of the issues in this case is that there must be enough oxygen available to the tissues because anything that limits this can limit the effectiveness of ATP production. When oxygen supply is low, e.g. during intense physical exercise, the cells change to anaerobic respiration, leading to the generation of lactic acid and a significantly reduced yield of ATP. This is less efficient and may cause fatigue of the muscles. Clinically, this has shown the significance of sufficient oxygenation to achieve optimal cellular functioning. </w:t>
      </w:r>
    </w:p>
    <w:p w:rsidR="00000000" w:rsidDel="00000000" w:rsidP="00000000" w:rsidRDefault="00000000" w:rsidRPr="00000000" w14:paraId="0000003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defect in insulin action in the patients with Type 2 diabetes lowers the uptake of glucose into the cells, which restricts its availability to be used to generate energy despite the abundance in the blood. This contradiction leads to such symptoms as fatigue and physical insufficiency. It does not come without risk as persistent interference with the metabolism of cells may worsen systemic complications that are related to diabetes. As an academic, I find that the biochemical processes of energy generation have been well established but their efficacy in diabetic individuals greatly depends on the metabolic dysfunction and lifestyle conditions. This cannot be easily done as the reestablishment of effective glucose use involves medical control and long-term behaviour modification. </w:t>
      </w:r>
    </w:p>
    <w:p w:rsidR="00000000" w:rsidDel="00000000" w:rsidP="00000000" w:rsidRDefault="00000000" w:rsidRPr="00000000" w14:paraId="0000003D">
      <w:pPr>
        <w:pStyle w:val="Heading1"/>
        <w:spacing w:line="360" w:lineRule="auto"/>
        <w:jc w:val="both"/>
        <w:rPr>
          <w:rFonts w:ascii="Arial" w:cs="Arial" w:eastAsia="Arial" w:hAnsi="Arial"/>
          <w:b w:val="1"/>
          <w:bCs w:val="1"/>
          <w:sz w:val="22"/>
          <w:szCs w:val="22"/>
        </w:rPr>
      </w:pPr>
      <w:bookmarkStart w:colFirst="0" w:colLast="0" w:name="_heading=h.suy3bznazxdg" w:id="3"/>
      <w:bookmarkEnd w:id="3"/>
      <w:r w:rsidDel="00000000" w:rsidR="00000000" w:rsidRPr="00000000">
        <w:rPr>
          <w:rFonts w:ascii="Arial" w:cs="Arial" w:eastAsia="Arial" w:hAnsi="Arial"/>
          <w:b w:val="1"/>
          <w:bCs w:val="1"/>
          <w:sz w:val="22"/>
          <w:szCs w:val="22"/>
          <w:rtl w:val="0"/>
        </w:rPr>
        <w:t xml:space="preserve">Monitoring Glycaemic Control: The Importance of Recording and Tracking Blood Sugar Levels</w:t>
      </w:r>
    </w:p>
    <w:p w:rsidR="00000000" w:rsidDel="00000000" w:rsidP="00000000" w:rsidRDefault="00000000" w:rsidRPr="00000000" w14:paraId="0000003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Monitoring and measuring of blood glucose levels on a regular basis is an essential part of effective management of Type 2 diabetes, which helps both patients and medical staff to make informed choices related to the treatment and lifestyle change. Continuous glucose monitoring (CGM) systems and self-monitoring of blood glucose (SMBG) directly present the real-time data that is sensitive to changes in blood sugar levels over the day, which enables a better interpretation of individual glycaemic patterns (Diabetes UK, 2023).</w:t>
      </w:r>
    </w:p>
    <w:p w:rsidR="00000000" w:rsidDel="00000000" w:rsidP="00000000" w:rsidRDefault="00000000" w:rsidRPr="00000000" w14:paraId="0000003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Through regular monitoring of blood glucose, patients can detect patterns, i.e. postprandial spikes or hypoglycaemic episodes and change their food consumption, activity, or medication. This helps in a more individualised approach to care, which is in line with the contemporary patient-centred healthcare models. The major issue in this context is making sure that the patients do not simply gather data but are also familiar with how to interpret and use it efficiently because improper interpretation may result in making the wrong management-related decisions. </w:t>
      </w:r>
    </w:p>
    <w:p w:rsidR="00000000" w:rsidDel="00000000" w:rsidP="00000000" w:rsidRDefault="00000000" w:rsidRPr="00000000" w14:paraId="0000004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Additionally, the documented data can be added to long-term evaluation in the form of indicators of average glucose levels in the blood over two to three months, e.g., HbA1c. This enables medical practitioners to review the effectiveness of treatment plans in general and make appropriate changes. Nevertheless, HbA1c gives a great idea of long-term control, but it is unable to reflect short-term fluctuations, which is the argument in favor of daily monitoring. This does not come without its dangers as excessive dependence on numerical goals can result in anxiety or over-monitoring behaviour among certain patients. </w:t>
      </w:r>
    </w:p>
    <w:p w:rsidR="00000000" w:rsidDel="00000000" w:rsidP="00000000" w:rsidRDefault="00000000" w:rsidRPr="00000000" w14:paraId="0000004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Most importantly, patient engagement and patient education are closely associated with the effectiveness of blood glucose monitoring. Individuals who actively engage in self-monitoring have a greater likelihood of achieving improved glycaemic control and reducing the risk of complications. I believe in my academic opinion that monitoring is not only a clinical job but a behavioural intervention that equips patients. This can be hard to implement due to their need to be sustainably motivated health literate, and constantly professionally supported to make the data meaningfully used.</w:t>
      </w:r>
    </w:p>
    <w:p w:rsidR="00000000" w:rsidDel="00000000" w:rsidP="00000000" w:rsidRDefault="00000000" w:rsidRPr="00000000" w14:paraId="00000042">
      <w:pPr>
        <w:pStyle w:val="Heading1"/>
        <w:spacing w:line="360" w:lineRule="auto"/>
        <w:jc w:val="both"/>
        <w:rPr>
          <w:rFonts w:ascii="Arial" w:cs="Arial" w:eastAsia="Arial" w:hAnsi="Arial"/>
          <w:b w:val="1"/>
          <w:bCs w:val="1"/>
          <w:sz w:val="22"/>
          <w:szCs w:val="22"/>
        </w:rPr>
      </w:pPr>
      <w:bookmarkStart w:colFirst="0" w:colLast="0" w:name="_heading=h.tozagumcgk45" w:id="4"/>
      <w:bookmarkEnd w:id="4"/>
      <w:r w:rsidDel="00000000" w:rsidR="00000000" w:rsidRPr="00000000">
        <w:rPr>
          <w:rFonts w:ascii="Arial" w:cs="Arial" w:eastAsia="Arial" w:hAnsi="Arial"/>
          <w:b w:val="1"/>
          <w:bCs w:val="1"/>
          <w:sz w:val="22"/>
          <w:szCs w:val="22"/>
          <w:rtl w:val="0"/>
        </w:rPr>
        <w:t xml:space="preserve">Lifestyle Modification as a Therapeutic Strategy in Type 2 Diabetes Management</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Lifestyle modification is considered one of the foundations of Type 2 diabetes management, and there is substantial evidence that it can be used to enhance glycaemic regulation and decrease the occurrence of long-term complications. Lifestyle changes are necessary to manage the disease in the long run since they are the only interventions that deal with the cause of insulin resistance, unlike pharmacological interventions that only suppress the symptoms. The primary objectives of such interventions are diet, exercise, quitting smoking and weight control, which relate to each other.</w:t>
      </w:r>
    </w:p>
    <w:p w:rsidR="00000000" w:rsidDel="00000000" w:rsidP="00000000" w:rsidRDefault="00000000" w:rsidRPr="00000000" w14:paraId="0000004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Eating is very important in the control of glucose in the blood. An appropriate balance in the nutritional consumption of food with low glycaemic index (GI) foods like whole grains, legumes, fruits, and vegetables can help avoid rapid blood sugar surges. Minimizing the consumption of refined carbohydrates, saturated fats, and added sugars is also significant in enhancing the level of insulin sensitivity and the overall metabolism (NHS, 2023). Furthermore, meal timing and portioning are structured, which also helps in more stabilized glucose levels during the day. The main problem in this case is that nutrition changes are frequently associated with the long-term behavioural modification, which might be affected by cultural preferences, socioeconomic factors, and healthy food availability. </w:t>
      </w:r>
    </w:p>
    <w:p w:rsidR="00000000" w:rsidDel="00000000" w:rsidP="00000000" w:rsidRDefault="00000000" w:rsidRPr="00000000" w14:paraId="0000004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key ingredient is physical activity, which increases the insulin sensitivity and the absorption of glucose by muscle cells without the involvement of insulin. Regular workouts such as aerobics and resistance trainings have been found to greatly reduce the levels of HbA1c and better cardiovascular health. Moreover, exercise helps to maintain weight and decrease visceral fat which is a significant cause of insulin resistance (WHO, 2023). Nonetheless, compliance with physical activity may be inadequate, especially among those with a low mobility level or comorbidities. This can be challenging to do since maintaining the engagement will mean motivation, time and in many cases behavioural support. </w:t>
      </w:r>
    </w:p>
    <w:p w:rsidR="00000000" w:rsidDel="00000000" w:rsidP="00000000" w:rsidRDefault="00000000" w:rsidRPr="00000000" w14:paraId="0000004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Smoking cessation is important as well since smoking has been identified to worsen insulin resistance and predispose to cardiovascular complications, which are already high in diabetics. The evidence suggests that smoking cessation results in a decrease in metabolic control and overall health outcomes. This is not risk-free because the patients who are trying to quit nicotine may face a short-term challenge of nicotine withdrawal and possible weight increase (Public Health England, 2021).</w:t>
      </w:r>
    </w:p>
    <w:p w:rsidR="00000000" w:rsidDel="00000000" w:rsidP="00000000" w:rsidRDefault="00000000" w:rsidRPr="00000000" w14:paraId="0000004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Weight control is directly associated with all other lifestyle elements and especially in those who are overweight or obese. Studies indicate that a small reduction of 5-10 percent of weight can help a great deal in enhancing insulin sensitivity as well as glycaemic control. The more effective are structured weight management programmes including dietary advice, physical exercise, and behavioural support. Nevertheless, long-term weight loss is still a major problem to most people. (Lean et al., 2019).</w:t>
      </w:r>
    </w:p>
    <w:p w:rsidR="00000000" w:rsidDel="00000000" w:rsidP="00000000" w:rsidRDefault="00000000" w:rsidRPr="00000000" w14:paraId="0000004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my academic judgement, I believe that lifestyle interventions are very effective although their effectiveness greatly relies on the personal compliance and access to supportive healthcare systems. It is necessary to have a holistic, patient-centred approach that takes into consideration psychological, social and environmental factors. In the absence of this, lifestyle recommendations can be theoretically correct but practically hard to apply in the field. </w:t>
      </w:r>
    </w:p>
    <w:p w:rsidR="00000000" w:rsidDel="00000000" w:rsidP="00000000" w:rsidRDefault="00000000" w:rsidRPr="00000000" w14:paraId="00000049">
      <w:pPr>
        <w:pStyle w:val="Heading1"/>
        <w:spacing w:line="360" w:lineRule="auto"/>
        <w:jc w:val="both"/>
        <w:rPr>
          <w:rFonts w:ascii="Arial" w:cs="Arial" w:eastAsia="Arial" w:hAnsi="Arial"/>
          <w:b w:val="1"/>
          <w:bCs w:val="1"/>
          <w:sz w:val="22"/>
          <w:szCs w:val="22"/>
        </w:rPr>
      </w:pPr>
      <w:bookmarkStart w:colFirst="0" w:colLast="0" w:name="_heading=h.5khurzf3tiza" w:id="5"/>
      <w:bookmarkEnd w:id="5"/>
      <w:r w:rsidDel="00000000" w:rsidR="00000000" w:rsidRPr="00000000">
        <w:rPr>
          <w:rFonts w:ascii="Arial" w:cs="Arial" w:eastAsia="Arial" w:hAnsi="Arial"/>
          <w:b w:val="1"/>
          <w:bCs w:val="1"/>
          <w:sz w:val="22"/>
          <w:szCs w:val="22"/>
          <w:rtl w:val="0"/>
        </w:rPr>
        <w:t xml:space="preserve">Conclusion </w:t>
      </w:r>
    </w:p>
    <w:p w:rsidR="00000000" w:rsidDel="00000000" w:rsidP="00000000" w:rsidRDefault="00000000" w:rsidRPr="00000000" w14:paraId="0000004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Conclusively, Type 2 diabetes is a complicated and a progressive disease that needs a clear understanding of both physiological and lifestyle factors to guarantee proper management. Hormonal regulation of blood glucose, especially, the role of insulin and glucagon is critical in the blood glucose homeostasis. But in diabetics, this balance is impaired causing chronic hyperglycaemia and predisposing to severe complications. The presence of glucose and oxygen in the metabolism of cells also further explains the significance of effective energy production which is most of the time compromised in diabetic patients because of insulin resistance. Moreover, the frequent measurement and monitoring of blood glucose levels allow detecting changes in time and making informed decisions in the clinical and self-management processes. One of the main tasks in this area is to make sure that patient engagement in monitoring practices is constant to achieve optimal results. The key aspects of the lifestyle change, such as diet, physical activity, quitting smoking, and weight control, continue to be the primary focus of enhancing the glycaemic control and the overall health outcomes. This does not come without a cost, since long-term compliance may be hard to maintain without proper support. Personally, I believe that effective management of diabetes needs to be a patient-centred approach to the condition that incorporates medical care and sustainable lifestyle modifications to achieve success. </w:t>
      </w:r>
    </w:p>
    <w:p w:rsidR="00000000" w:rsidDel="00000000" w:rsidP="00000000" w:rsidRDefault="00000000" w:rsidRPr="00000000" w14:paraId="0000004B">
      <w:pPr>
        <w:pStyle w:val="Heading1"/>
        <w:spacing w:line="360" w:lineRule="auto"/>
        <w:jc w:val="both"/>
        <w:rPr>
          <w:rFonts w:ascii="Arial" w:cs="Arial" w:eastAsia="Arial" w:hAnsi="Arial"/>
          <w:b w:val="1"/>
          <w:bCs w:val="1"/>
          <w:sz w:val="22"/>
          <w:szCs w:val="22"/>
        </w:rPr>
      </w:pPr>
      <w:bookmarkStart w:colFirst="0" w:colLast="0" w:name="_heading=h.yxl55nfbhuvz" w:id="6"/>
      <w:bookmarkEnd w:id="6"/>
      <w:r w:rsidDel="00000000" w:rsidR="00000000" w:rsidRPr="00000000">
        <w:rPr>
          <w:rFonts w:ascii="Arial" w:cs="Arial" w:eastAsia="Arial" w:hAnsi="Arial"/>
          <w:b w:val="1"/>
          <w:bCs w:val="1"/>
          <w:sz w:val="22"/>
          <w:szCs w:val="22"/>
          <w:rtl w:val="0"/>
        </w:rPr>
        <w:t xml:space="preserve">Reference List</w:t>
      </w:r>
    </w:p>
    <w:p w:rsidR="00000000" w:rsidDel="00000000" w:rsidP="00000000" w:rsidRDefault="00000000" w:rsidRPr="00000000" w14:paraId="0000004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American Diabetes Association (2022) </w:t>
      </w:r>
      <w:r w:rsidDel="00000000" w:rsidR="00000000" w:rsidRPr="00000000">
        <w:rPr>
          <w:rFonts w:ascii="Arial" w:cs="Arial" w:eastAsia="Arial" w:hAnsi="Arial"/>
          <w:i w:val="1"/>
          <w:iCs w:val="1"/>
          <w:sz w:val="22"/>
          <w:szCs w:val="22"/>
          <w:rtl w:val="0"/>
        </w:rPr>
        <w:t xml:space="preserve">Standards of medical care in diabetes—2022</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Diabetes Care</w:t>
      </w:r>
      <w:r w:rsidDel="00000000" w:rsidR="00000000" w:rsidRPr="00000000">
        <w:rPr>
          <w:rFonts w:ascii="Arial" w:cs="Arial" w:eastAsia="Arial" w:hAnsi="Arial"/>
          <w:sz w:val="22"/>
          <w:szCs w:val="22"/>
          <w:rtl w:val="0"/>
        </w:rPr>
        <w:t xml:space="preserve">, 45(Supplement 1), pp. S1–S264.</w:t>
      </w:r>
    </w:p>
    <w:p w:rsidR="00000000" w:rsidDel="00000000" w:rsidP="00000000" w:rsidRDefault="00000000" w:rsidRPr="00000000" w14:paraId="0000004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Berg, J.M., Tymoczko, J.L. and Stryer, L. (2019) </w:t>
      </w:r>
      <w:r w:rsidDel="00000000" w:rsidR="00000000" w:rsidRPr="00000000">
        <w:rPr>
          <w:rFonts w:ascii="Arial" w:cs="Arial" w:eastAsia="Arial" w:hAnsi="Arial"/>
          <w:i w:val="1"/>
          <w:iCs w:val="1"/>
          <w:sz w:val="22"/>
          <w:szCs w:val="22"/>
          <w:rtl w:val="0"/>
        </w:rPr>
        <w:t xml:space="preserve">Biochemistry</w:t>
      </w:r>
      <w:r w:rsidDel="00000000" w:rsidR="00000000" w:rsidRPr="00000000">
        <w:rPr>
          <w:rFonts w:ascii="Arial" w:cs="Arial" w:eastAsia="Arial" w:hAnsi="Arial"/>
          <w:sz w:val="22"/>
          <w:szCs w:val="22"/>
          <w:rtl w:val="0"/>
        </w:rPr>
        <w:t xml:space="preserve">. 9th edn. New York: W.H. Freeman.</w:t>
      </w:r>
    </w:p>
    <w:p w:rsidR="00000000" w:rsidDel="00000000" w:rsidP="00000000" w:rsidRDefault="00000000" w:rsidRPr="00000000" w14:paraId="0000004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Diabetes UK (2023) </w:t>
      </w:r>
      <w:r w:rsidDel="00000000" w:rsidR="00000000" w:rsidRPr="00000000">
        <w:rPr>
          <w:rFonts w:ascii="Arial" w:cs="Arial" w:eastAsia="Arial" w:hAnsi="Arial"/>
          <w:i w:val="1"/>
          <w:iCs w:val="1"/>
          <w:sz w:val="22"/>
          <w:szCs w:val="22"/>
          <w:rtl w:val="0"/>
        </w:rPr>
        <w:t xml:space="preserve">Managing blood glucose levels</w:t>
      </w:r>
      <w:r w:rsidDel="00000000" w:rsidR="00000000" w:rsidRPr="00000000">
        <w:rPr>
          <w:rFonts w:ascii="Arial" w:cs="Arial" w:eastAsia="Arial" w:hAnsi="Arial"/>
          <w:sz w:val="22"/>
          <w:szCs w:val="22"/>
          <w:rtl w:val="0"/>
        </w:rPr>
        <w:t xml:space="preserve">. Available at: </w:t>
      </w:r>
      <w:hyperlink r:id="rId8">
        <w:r w:rsidDel="00000000" w:rsidR="00000000" w:rsidRPr="00000000">
          <w:rPr>
            <w:rFonts w:ascii="Arial" w:cs="Arial" w:eastAsia="Arial" w:hAnsi="Arial"/>
            <w:color w:val="467886"/>
            <w:sz w:val="22"/>
            <w:szCs w:val="22"/>
            <w:u w:val="single"/>
            <w:rtl w:val="0"/>
          </w:rPr>
          <w:t xml:space="preserve">https://www.diabetes.org.uk</w:t>
        </w:r>
      </w:hyperlink>
      <w:r w:rsidDel="00000000" w:rsidR="00000000" w:rsidRPr="00000000">
        <w:rPr>
          <w:rFonts w:ascii="Arial" w:cs="Arial" w:eastAsia="Arial" w:hAnsi="Arial"/>
          <w:sz w:val="22"/>
          <w:szCs w:val="22"/>
          <w:rtl w:val="0"/>
        </w:rPr>
        <w:t xml:space="preserve"> (Accessed: 5 April 2026).</w:t>
      </w:r>
    </w:p>
    <w:p w:rsidR="00000000" w:rsidDel="00000000" w:rsidP="00000000" w:rsidRDefault="00000000" w:rsidRPr="00000000" w14:paraId="0000004F">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Hall, J.E. and Hall, M.E. (2021) </w:t>
      </w:r>
      <w:r w:rsidDel="00000000" w:rsidR="00000000" w:rsidRPr="00000000">
        <w:rPr>
          <w:rFonts w:ascii="Arial" w:cs="Arial" w:eastAsia="Arial" w:hAnsi="Arial"/>
          <w:i w:val="1"/>
          <w:iCs w:val="1"/>
          <w:sz w:val="22"/>
          <w:szCs w:val="22"/>
          <w:rtl w:val="0"/>
        </w:rPr>
        <w:t xml:space="preserve">Guyton and Hall textbook of medical physiology</w:t>
      </w:r>
      <w:r w:rsidDel="00000000" w:rsidR="00000000" w:rsidRPr="00000000">
        <w:rPr>
          <w:rFonts w:ascii="Arial" w:cs="Arial" w:eastAsia="Arial" w:hAnsi="Arial"/>
          <w:sz w:val="22"/>
          <w:szCs w:val="22"/>
          <w:rtl w:val="0"/>
        </w:rPr>
        <w:t xml:space="preserve">. 14th edn. Philadelphia: Elsevier.</w:t>
      </w:r>
    </w:p>
    <w:p w:rsidR="00000000" w:rsidDel="00000000" w:rsidP="00000000" w:rsidRDefault="00000000" w:rsidRPr="00000000" w14:paraId="0000005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Diabetes Federation (2021) </w:t>
      </w:r>
      <w:r w:rsidDel="00000000" w:rsidR="00000000" w:rsidRPr="00000000">
        <w:rPr>
          <w:rFonts w:ascii="Arial" w:cs="Arial" w:eastAsia="Arial" w:hAnsi="Arial"/>
          <w:i w:val="1"/>
          <w:iCs w:val="1"/>
          <w:sz w:val="22"/>
          <w:szCs w:val="22"/>
          <w:rtl w:val="0"/>
        </w:rPr>
        <w:t xml:space="preserve">IDF diabetes atlas</w:t>
      </w:r>
      <w:r w:rsidDel="00000000" w:rsidR="00000000" w:rsidRPr="00000000">
        <w:rPr>
          <w:rFonts w:ascii="Arial" w:cs="Arial" w:eastAsia="Arial" w:hAnsi="Arial"/>
          <w:sz w:val="22"/>
          <w:szCs w:val="22"/>
          <w:rtl w:val="0"/>
        </w:rPr>
        <w:t xml:space="preserve">. 10th edn. Brussels: IDF.</w:t>
      </w:r>
    </w:p>
    <w:p w:rsidR="00000000" w:rsidDel="00000000" w:rsidP="00000000" w:rsidRDefault="00000000" w:rsidRPr="00000000" w14:paraId="0000005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Lean, M.E.J. et al. (2019) ‘Primary care-led weight management for remission of type 2 diabetes’, </w:t>
      </w:r>
      <w:r w:rsidDel="00000000" w:rsidR="00000000" w:rsidRPr="00000000">
        <w:rPr>
          <w:rFonts w:ascii="Arial" w:cs="Arial" w:eastAsia="Arial" w:hAnsi="Arial"/>
          <w:i w:val="1"/>
          <w:iCs w:val="1"/>
          <w:sz w:val="22"/>
          <w:szCs w:val="22"/>
          <w:rtl w:val="0"/>
        </w:rPr>
        <w:t xml:space="preserve">The Lancet</w:t>
      </w:r>
      <w:r w:rsidDel="00000000" w:rsidR="00000000" w:rsidRPr="00000000">
        <w:rPr>
          <w:rFonts w:ascii="Arial" w:cs="Arial" w:eastAsia="Arial" w:hAnsi="Arial"/>
          <w:sz w:val="22"/>
          <w:szCs w:val="22"/>
          <w:rtl w:val="0"/>
        </w:rPr>
        <w:t xml:space="preserve">, 393(10172), pp. 541–551.</w:t>
      </w:r>
    </w:p>
    <w:p w:rsidR="00000000" w:rsidDel="00000000" w:rsidP="00000000" w:rsidRDefault="00000000" w:rsidRPr="00000000" w14:paraId="0000005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(2022) </w:t>
      </w:r>
      <w:r w:rsidDel="00000000" w:rsidR="00000000" w:rsidRPr="00000000">
        <w:rPr>
          <w:rFonts w:ascii="Arial" w:cs="Arial" w:eastAsia="Arial" w:hAnsi="Arial"/>
          <w:i w:val="1"/>
          <w:iCs w:val="1"/>
          <w:sz w:val="22"/>
          <w:szCs w:val="22"/>
          <w:rtl w:val="0"/>
        </w:rPr>
        <w:t xml:space="preserve">Type 2 diabetes in adults: management (NG28)</w:t>
      </w:r>
      <w:r w:rsidDel="00000000" w:rsidR="00000000" w:rsidRPr="00000000">
        <w:rPr>
          <w:rFonts w:ascii="Arial" w:cs="Arial" w:eastAsia="Arial" w:hAnsi="Arial"/>
          <w:sz w:val="22"/>
          <w:szCs w:val="22"/>
          <w:rtl w:val="0"/>
        </w:rPr>
        <w:t xml:space="preserve">. London: NICE.</w:t>
      </w:r>
    </w:p>
    <w:p w:rsidR="00000000" w:rsidDel="00000000" w:rsidP="00000000" w:rsidRDefault="00000000" w:rsidRPr="00000000" w14:paraId="0000005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NHS (2023) </w:t>
      </w:r>
      <w:r w:rsidDel="00000000" w:rsidR="00000000" w:rsidRPr="00000000">
        <w:rPr>
          <w:rFonts w:ascii="Arial" w:cs="Arial" w:eastAsia="Arial" w:hAnsi="Arial"/>
          <w:i w:val="1"/>
          <w:iCs w:val="1"/>
          <w:sz w:val="22"/>
          <w:szCs w:val="22"/>
          <w:rtl w:val="0"/>
        </w:rPr>
        <w:t xml:space="preserve">Type 2 diabetes – diet and lifestyle</w:t>
      </w:r>
      <w:r w:rsidDel="00000000" w:rsidR="00000000" w:rsidRPr="00000000">
        <w:rPr>
          <w:rFonts w:ascii="Arial" w:cs="Arial" w:eastAsia="Arial" w:hAnsi="Arial"/>
          <w:sz w:val="22"/>
          <w:szCs w:val="22"/>
          <w:rtl w:val="0"/>
        </w:rPr>
        <w:t xml:space="preserve">. Available at: </w:t>
      </w:r>
      <w:hyperlink r:id="rId9">
        <w:r w:rsidDel="00000000" w:rsidR="00000000" w:rsidRPr="00000000">
          <w:rPr>
            <w:rFonts w:ascii="Arial" w:cs="Arial" w:eastAsia="Arial" w:hAnsi="Arial"/>
            <w:color w:val="467886"/>
            <w:sz w:val="22"/>
            <w:szCs w:val="22"/>
            <w:u w:val="single"/>
            <w:rtl w:val="0"/>
          </w:rPr>
          <w:t xml:space="preserve">https://www.nhs.uk</w:t>
        </w:r>
      </w:hyperlink>
      <w:r w:rsidDel="00000000" w:rsidR="00000000" w:rsidRPr="00000000">
        <w:rPr>
          <w:rFonts w:ascii="Arial" w:cs="Arial" w:eastAsia="Arial" w:hAnsi="Arial"/>
          <w:sz w:val="22"/>
          <w:szCs w:val="22"/>
          <w:rtl w:val="0"/>
        </w:rPr>
        <w:t xml:space="preserve"> (Accessed: 5 April 2026).</w:t>
      </w:r>
    </w:p>
    <w:p w:rsidR="00000000" w:rsidDel="00000000" w:rsidP="00000000" w:rsidRDefault="00000000" w:rsidRPr="00000000" w14:paraId="0000005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England (2021) </w:t>
      </w:r>
      <w:r w:rsidDel="00000000" w:rsidR="00000000" w:rsidRPr="00000000">
        <w:rPr>
          <w:rFonts w:ascii="Arial" w:cs="Arial" w:eastAsia="Arial" w:hAnsi="Arial"/>
          <w:i w:val="1"/>
          <w:iCs w:val="1"/>
          <w:sz w:val="22"/>
          <w:szCs w:val="22"/>
          <w:rtl w:val="0"/>
        </w:rPr>
        <w:t xml:space="preserve">Health matters: preventing type 2 diabetes</w:t>
      </w:r>
      <w:r w:rsidDel="00000000" w:rsidR="00000000" w:rsidRPr="00000000">
        <w:rPr>
          <w:rFonts w:ascii="Arial" w:cs="Arial" w:eastAsia="Arial" w:hAnsi="Arial"/>
          <w:sz w:val="22"/>
          <w:szCs w:val="22"/>
          <w:rtl w:val="0"/>
        </w:rPr>
        <w:t xml:space="preserve">. London: PHE.</w:t>
      </w:r>
    </w:p>
    <w:p w:rsidR="00000000" w:rsidDel="00000000" w:rsidP="00000000" w:rsidRDefault="00000000" w:rsidRPr="00000000" w14:paraId="0000005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(2023) </w:t>
      </w:r>
      <w:r w:rsidDel="00000000" w:rsidR="00000000" w:rsidRPr="00000000">
        <w:rPr>
          <w:rFonts w:ascii="Arial" w:cs="Arial" w:eastAsia="Arial" w:hAnsi="Arial"/>
          <w:i w:val="1"/>
          <w:iCs w:val="1"/>
          <w:sz w:val="22"/>
          <w:szCs w:val="22"/>
          <w:rtl w:val="0"/>
        </w:rPr>
        <w:t xml:space="preserve">Diabetes</w:t>
      </w:r>
      <w:r w:rsidDel="00000000" w:rsidR="00000000" w:rsidRPr="00000000">
        <w:rPr>
          <w:rFonts w:ascii="Arial" w:cs="Arial" w:eastAsia="Arial" w:hAnsi="Arial"/>
          <w:sz w:val="22"/>
          <w:szCs w:val="22"/>
          <w:rtl w:val="0"/>
        </w:rPr>
        <w:t xml:space="preserve">. Available at: </w:t>
      </w:r>
      <w:hyperlink r:id="rId10">
        <w:r w:rsidDel="00000000" w:rsidR="00000000" w:rsidRPr="00000000">
          <w:rPr>
            <w:rFonts w:ascii="Arial" w:cs="Arial" w:eastAsia="Arial" w:hAnsi="Arial"/>
            <w:color w:val="467886"/>
            <w:sz w:val="22"/>
            <w:szCs w:val="22"/>
            <w:u w:val="single"/>
            <w:rtl w:val="0"/>
          </w:rPr>
          <w:t xml:space="preserve">https://www.who.int</w:t>
        </w:r>
      </w:hyperlink>
      <w:r w:rsidDel="00000000" w:rsidR="00000000" w:rsidRPr="00000000">
        <w:rPr>
          <w:rFonts w:ascii="Arial" w:cs="Arial" w:eastAsia="Arial" w:hAnsi="Arial"/>
          <w:sz w:val="22"/>
          <w:szCs w:val="22"/>
          <w:rtl w:val="0"/>
        </w:rPr>
        <w:t xml:space="preserve"> (Accessed: 5 April 2026). </w:t>
      </w:r>
    </w:p>
    <w:sectPr>
      <w:headerReference r:id="rId11" w:type="default"/>
      <w:footerReference r:id="rId12"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4"/>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who.int/" TargetMode="External"/><Relationship Id="rId12" Type="http://schemas.openxmlformats.org/officeDocument/2006/relationships/footer" Target="footer1.xml"/><Relationship Id="rId9" Type="http://schemas.openxmlformats.org/officeDocument/2006/relationships/hyperlink" Target="https://www.nhs.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diabetes.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DLj82uZ43+KquXg9cVcoIxxfBA==">CgMxLjAyDWgua2x3NngyN2s5eTQyDWguenAwaXczdDlhYWwyDmguNjU5YWI0MmJ6aGFtMg5oLnN1eTNiem5henhkZzIOaC50b3phZ3VtY2drNDUyDmguNWtodXJ6ZjN0aXphMg5oLnl4bDU1bmZiaHV2ejgAciExX2tLZlRaTXFLLV9YajhjaGl3bUl0RC1SaGpWWEJyRXQ=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