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0F35" w:rsidRDefault="007C1F1A" w:rsidP="00230F35">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1" name="Εικόνα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NormalWeb"/>
        <w:spacing w:before="0" w:beforeAutospacing="0" w:after="0" w:afterAutospacing="0"/>
        <w:ind w:left="-180" w:right="-334"/>
      </w:pPr>
    </w:p>
    <w:p w:rsidR="00A745B6" w:rsidRDefault="00A745B6" w:rsidP="00230F35">
      <w:pPr>
        <w:pStyle w:val="NormalWeb"/>
        <w:spacing w:before="0" w:beforeAutospacing="0" w:after="0" w:afterAutospacing="0"/>
        <w:ind w:left="-180" w:right="-334"/>
      </w:pPr>
    </w:p>
    <w:p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Heading3"/>
        <w:jc w:val="center"/>
        <w:rPr>
          <w:lang w:val="cy-GB"/>
        </w:rPr>
      </w:pPr>
      <w:r>
        <w:rPr>
          <w:lang w:val="cy-GB"/>
        </w:rPr>
        <w:t>THIS SHEET MUST BE THE FIRST PAGE OF THE ASSIGNMENT YOU ARE SUBMITTING  (DO NOT SEND AS A SEPARATE FILE)</w:t>
      </w:r>
    </w:p>
    <w:p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rsidTr="00A745B6">
        <w:trPr>
          <w:trHeight w:val="614"/>
        </w:trPr>
        <w:tc>
          <w:tcPr>
            <w:tcW w:w="8856" w:type="dxa"/>
            <w:gridSpan w:val="5"/>
          </w:tcPr>
          <w:p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BC501B">
              <w:rPr>
                <w:rFonts w:ascii="Arial" w:hAnsi="Arial" w:cs="Arial"/>
                <w:sz w:val="22"/>
                <w:szCs w:val="22"/>
              </w:rPr>
              <w:t xml:space="preserve"> Christina Panera</w:t>
            </w:r>
          </w:p>
          <w:p w:rsidR="00230F35" w:rsidRPr="00230F35" w:rsidRDefault="00230F35" w:rsidP="002F467C">
            <w:pPr>
              <w:pStyle w:val="NormalWeb"/>
              <w:spacing w:before="0" w:beforeAutospacing="0" w:after="0" w:afterAutospacing="0"/>
              <w:ind w:right="34"/>
              <w:rPr>
                <w:rFonts w:ascii="Arial" w:hAnsi="Arial" w:cs="Arial"/>
                <w:sz w:val="22"/>
                <w:szCs w:val="22"/>
              </w:rPr>
            </w:pPr>
          </w:p>
          <w:p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BC501B">
              <w:rPr>
                <w:rFonts w:ascii="Arial" w:hAnsi="Arial" w:cs="Arial"/>
                <w:sz w:val="22"/>
                <w:szCs w:val="22"/>
              </w:rPr>
              <w:t>1703560@student.uwtsd.ac.uk</w:t>
            </w:r>
          </w:p>
        </w:tc>
      </w:tr>
      <w:tr w:rsidR="00CE3B79" w:rsidRPr="00230F35" w:rsidTr="00A745B6">
        <w:trPr>
          <w:trHeight w:val="849"/>
        </w:trPr>
        <w:tc>
          <w:tcPr>
            <w:tcW w:w="4788" w:type="dxa"/>
          </w:tcPr>
          <w:p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BC501B">
              <w:rPr>
                <w:rFonts w:ascii="Arial" w:hAnsi="Arial" w:cs="Arial"/>
                <w:sz w:val="22"/>
                <w:szCs w:val="22"/>
              </w:rPr>
              <w:t xml:space="preserve"> CLCL7003</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BC501B">
              <w:rPr>
                <w:rFonts w:ascii="Arial" w:hAnsi="Arial" w:cs="Arial"/>
                <w:sz w:val="22"/>
                <w:szCs w:val="22"/>
              </w:rPr>
              <w:t xml:space="preserve"> Theory and Methodology for the Study of Ancient Religions</w:t>
            </w:r>
          </w:p>
          <w:p w:rsidR="00A745B6" w:rsidRDefault="00A745B6" w:rsidP="002F467C">
            <w:pPr>
              <w:pStyle w:val="NormalWeb"/>
              <w:spacing w:before="0" w:beforeAutospacing="0" w:after="0" w:afterAutospacing="0"/>
              <w:ind w:right="34"/>
              <w:rPr>
                <w:rFonts w:ascii="Arial" w:hAnsi="Arial" w:cs="Arial"/>
                <w:sz w:val="22"/>
                <w:szCs w:val="22"/>
              </w:rPr>
            </w:pPr>
          </w:p>
          <w:p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BC501B" w:rsidRPr="00230F35" w:rsidRDefault="00BC501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1703560</w:t>
            </w:r>
          </w:p>
        </w:tc>
        <w:tc>
          <w:tcPr>
            <w:tcW w:w="1802" w:type="dxa"/>
          </w:tcPr>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rsidTr="00A745B6">
        <w:trPr>
          <w:trHeight w:val="1139"/>
        </w:trPr>
        <w:tc>
          <w:tcPr>
            <w:tcW w:w="8856" w:type="dxa"/>
            <w:gridSpan w:val="5"/>
          </w:tcPr>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BC501B">
              <w:rPr>
                <w:rFonts w:ascii="Arial" w:hAnsi="Arial" w:cs="Arial"/>
                <w:sz w:val="22"/>
                <w:szCs w:val="22"/>
              </w:rPr>
              <w:t xml:space="preserve"> Lupercalia – Encyclopaedia Article</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230F35" w:rsidRDefault="00230F35" w:rsidP="002F467C">
            <w:pPr>
              <w:pStyle w:val="NormalWeb"/>
              <w:spacing w:before="0" w:beforeAutospacing="0" w:after="0" w:afterAutospacing="0"/>
              <w:ind w:right="34"/>
              <w:rPr>
                <w:rFonts w:ascii="Arial" w:hAnsi="Arial" w:cs="Arial"/>
                <w:sz w:val="22"/>
                <w:szCs w:val="22"/>
              </w:rPr>
            </w:pPr>
          </w:p>
          <w:p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C501B">
              <w:rPr>
                <w:rFonts w:ascii="Arial" w:hAnsi="Arial" w:cs="Arial"/>
                <w:sz w:val="22"/>
                <w:szCs w:val="22"/>
              </w:rPr>
              <w:t xml:space="preserve"> 24</w:t>
            </w:r>
            <w:r w:rsidR="00BC501B" w:rsidRPr="00BC501B">
              <w:rPr>
                <w:rFonts w:ascii="Arial" w:hAnsi="Arial" w:cs="Arial"/>
                <w:sz w:val="22"/>
                <w:szCs w:val="22"/>
                <w:vertAlign w:val="superscript"/>
              </w:rPr>
              <w:t>th</w:t>
            </w:r>
            <w:r w:rsidR="00BC501B">
              <w:rPr>
                <w:rFonts w:ascii="Arial" w:hAnsi="Arial" w:cs="Arial"/>
                <w:sz w:val="22"/>
                <w:szCs w:val="22"/>
              </w:rPr>
              <w:t xml:space="preserve"> of May</w:t>
            </w:r>
          </w:p>
        </w:tc>
      </w:tr>
      <w:tr w:rsidR="00230F35" w:rsidRPr="00230F35" w:rsidTr="00A745B6">
        <w:trPr>
          <w:trHeight w:val="978"/>
        </w:trPr>
        <w:tc>
          <w:tcPr>
            <w:tcW w:w="8856" w:type="dxa"/>
            <w:gridSpan w:val="5"/>
            <w:tcBorders>
              <w:bottom w:val="single" w:sz="4" w:space="0" w:color="000000"/>
            </w:tcBorders>
          </w:tcPr>
          <w:p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5769CB">
              <w:rPr>
                <w:rFonts w:ascii="Arial" w:hAnsi="Arial" w:cs="Arial"/>
                <w:sz w:val="22"/>
                <w:szCs w:val="22"/>
              </w:rPr>
            </w:r>
            <w:r w:rsidR="005769CB">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5769CB">
              <w:rPr>
                <w:rFonts w:ascii="Arial" w:hAnsi="Arial" w:cs="Arial"/>
                <w:sz w:val="22"/>
                <w:szCs w:val="22"/>
              </w:rPr>
            </w:r>
            <w:r w:rsidR="005769CB">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5769CB">
              <w:rPr>
                <w:rFonts w:ascii="Arial" w:hAnsi="Arial" w:cs="Arial"/>
                <w:sz w:val="22"/>
                <w:szCs w:val="22"/>
              </w:rPr>
            </w:r>
            <w:r w:rsidR="005769CB">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5769CB">
              <w:rPr>
                <w:rFonts w:ascii="Arial" w:hAnsi="Arial" w:cs="Arial"/>
                <w:sz w:val="22"/>
                <w:szCs w:val="22"/>
              </w:rPr>
            </w:r>
            <w:r w:rsidR="005769CB">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5769CB">
              <w:rPr>
                <w:rFonts w:ascii="Arial" w:hAnsi="Arial" w:cs="Arial"/>
                <w:sz w:val="22"/>
                <w:szCs w:val="22"/>
              </w:rPr>
            </w:r>
            <w:r w:rsidR="005769C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5769CB">
              <w:rPr>
                <w:rFonts w:ascii="Arial" w:hAnsi="Arial" w:cs="Arial"/>
                <w:sz w:val="22"/>
                <w:szCs w:val="22"/>
              </w:rPr>
            </w:r>
            <w:r w:rsidR="005769CB">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rsidTr="00A745B6">
        <w:trPr>
          <w:trHeight w:val="978"/>
        </w:trPr>
        <w:tc>
          <w:tcPr>
            <w:tcW w:w="8856" w:type="dxa"/>
            <w:gridSpan w:val="5"/>
            <w:shd w:val="clear" w:color="auto" w:fill="D9D9D9"/>
          </w:tcPr>
          <w:p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BC501B">
              <w:rPr>
                <w:rFonts w:ascii="Arial" w:hAnsi="Arial" w:cs="Arial"/>
                <w:sz w:val="22"/>
                <w:szCs w:val="22"/>
              </w:rPr>
              <w:t>Christina Panera………………………………</w:t>
            </w:r>
            <w:r w:rsidRPr="00230F35">
              <w:rPr>
                <w:rFonts w:ascii="Arial" w:hAnsi="Arial" w:cs="Arial"/>
                <w:sz w:val="22"/>
                <w:szCs w:val="22"/>
              </w:rPr>
              <w:t>…</w:t>
            </w:r>
            <w:r w:rsidR="00AE3217" w:rsidRPr="00230F35">
              <w:rPr>
                <w:rFonts w:ascii="Arial" w:hAnsi="Arial" w:cs="Arial"/>
                <w:sz w:val="22"/>
                <w:szCs w:val="22"/>
              </w:rPr>
              <w:t>………</w:t>
            </w:r>
          </w:p>
          <w:p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NormalWeb"/>
              <w:spacing w:before="0" w:beforeAutospacing="0" w:after="0" w:afterAutospacing="0"/>
              <w:ind w:left="142" w:right="34"/>
              <w:rPr>
                <w:rFonts w:ascii="Arial" w:hAnsi="Arial" w:cs="Arial"/>
                <w:b/>
                <w:sz w:val="22"/>
                <w:szCs w:val="22"/>
              </w:rPr>
            </w:pPr>
          </w:p>
          <w:p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Normal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NormalWeb"/>
              <w:spacing w:before="0" w:beforeAutospacing="0" w:after="0" w:afterAutospacing="0"/>
              <w:ind w:right="-334"/>
              <w:rPr>
                <w:rFonts w:ascii="Arial" w:hAnsi="Arial" w:cs="Arial"/>
                <w:bCs/>
                <w:i/>
                <w:sz w:val="22"/>
                <w:szCs w:val="22"/>
              </w:rPr>
            </w:pPr>
          </w:p>
          <w:p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NormalWeb"/>
              <w:spacing w:before="0" w:beforeAutospacing="0" w:after="0" w:afterAutospacing="0"/>
              <w:ind w:right="-334"/>
              <w:rPr>
                <w:rFonts w:ascii="Arial" w:hAnsi="Arial" w:cs="Arial"/>
                <w:b/>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Default="00D67BF8"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Default="00230F35"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BC501B" w:rsidRDefault="00BC501B" w:rsidP="00BC501B">
      <w:pPr>
        <w:spacing w:line="360" w:lineRule="auto"/>
        <w:jc w:val="both"/>
        <w:rPr>
          <w:rStyle w:val="normaltextrun"/>
          <w:b/>
          <w:bCs/>
          <w:sz w:val="32"/>
          <w:u w:val="single"/>
        </w:rPr>
      </w:pPr>
    </w:p>
    <w:p w:rsidR="00BC501B" w:rsidRDefault="00BC501B" w:rsidP="00BC501B">
      <w:pPr>
        <w:spacing w:line="360" w:lineRule="auto"/>
        <w:jc w:val="both"/>
        <w:rPr>
          <w:rStyle w:val="eop"/>
          <w:sz w:val="32"/>
          <w:u w:val="single"/>
        </w:rPr>
      </w:pPr>
      <w:r w:rsidRPr="006645CE">
        <w:rPr>
          <w:rStyle w:val="normaltextrun"/>
          <w:b/>
          <w:bCs/>
          <w:sz w:val="32"/>
          <w:u w:val="single"/>
        </w:rPr>
        <w:t>Lupercalia</w:t>
      </w:r>
      <w:r w:rsidRPr="006645CE">
        <w:rPr>
          <w:rStyle w:val="eop"/>
          <w:sz w:val="32"/>
          <w:u w:val="single"/>
        </w:rPr>
        <w:t> </w:t>
      </w:r>
    </w:p>
    <w:p w:rsidR="00BC501B" w:rsidRPr="006645CE" w:rsidRDefault="00BC501B" w:rsidP="00BC501B">
      <w:pPr>
        <w:spacing w:line="360" w:lineRule="auto"/>
        <w:jc w:val="both"/>
        <w:rPr>
          <w:u w:val="single"/>
        </w:rPr>
      </w:pPr>
    </w:p>
    <w:p w:rsidR="002F1B89" w:rsidRPr="00C81CA8" w:rsidRDefault="00E8499E" w:rsidP="006C28FA">
      <w:pPr>
        <w:pStyle w:val="NoSpacing"/>
        <w:spacing w:line="360" w:lineRule="auto"/>
        <w:jc w:val="both"/>
        <w:rPr>
          <w:rStyle w:val="normaltextrun"/>
        </w:rPr>
      </w:pPr>
      <w:r>
        <w:rPr>
          <w:rStyle w:val="normaltextrun"/>
        </w:rPr>
        <w:t xml:space="preserve">This </w:t>
      </w:r>
      <w:r w:rsidR="00BC501B" w:rsidRPr="00C81CA8">
        <w:rPr>
          <w:rStyle w:val="normaltextrun"/>
        </w:rPr>
        <w:t>popular</w:t>
      </w:r>
      <w:r w:rsidR="00C81CA8">
        <w:rPr>
          <w:rStyle w:val="normaltextrun"/>
        </w:rPr>
        <w:t xml:space="preserve"> annual Roman festival occurs</w:t>
      </w:r>
      <w:r w:rsidR="00BC501B" w:rsidRPr="00C81CA8">
        <w:rPr>
          <w:rStyle w:val="normaltextrun"/>
        </w:rPr>
        <w:t xml:space="preserve"> on 15 February (</w:t>
      </w:r>
      <w:r w:rsidR="00BC501B" w:rsidRPr="00C81CA8">
        <w:rPr>
          <w:rStyle w:val="spellingerror"/>
        </w:rPr>
        <w:t>InscrIt</w:t>
      </w:r>
      <w:r>
        <w:rPr>
          <w:rStyle w:val="normaltextrun"/>
        </w:rPr>
        <w:t> 13.2, p. 409</w:t>
      </w:r>
      <w:r w:rsidRPr="00E8499E">
        <w:rPr>
          <w:rStyle w:val="normaltextrun"/>
          <w:lang w:val="en-US"/>
        </w:rPr>
        <w:t>;</w:t>
      </w:r>
      <w:r w:rsidR="00BC501B" w:rsidRPr="00C81CA8">
        <w:rPr>
          <w:rStyle w:val="normaltextrun"/>
        </w:rPr>
        <w:t xml:space="preserve"> (</w:t>
      </w:r>
      <w:r>
        <w:rPr>
          <w:rStyle w:val="spellingerror"/>
          <w:i/>
          <w:iCs/>
          <w:lang w:val="en-US"/>
        </w:rPr>
        <w:t>l</w:t>
      </w:r>
      <w:r w:rsidR="00BC501B" w:rsidRPr="00C81CA8">
        <w:rPr>
          <w:rStyle w:val="spellingerror"/>
          <w:i/>
          <w:iCs/>
        </w:rPr>
        <w:t>ustratio</w:t>
      </w:r>
      <w:r>
        <w:rPr>
          <w:rStyle w:val="normaltextrun"/>
        </w:rPr>
        <w:t xml:space="preserve">: Varro, Ling. 6. </w:t>
      </w:r>
      <w:r w:rsidR="00BC501B" w:rsidRPr="00C81CA8">
        <w:rPr>
          <w:rStyle w:val="normaltextrun"/>
        </w:rPr>
        <w:t>34; </w:t>
      </w:r>
      <w:r w:rsidR="00BC501B" w:rsidRPr="00C81CA8">
        <w:rPr>
          <w:rStyle w:val="spellingerror"/>
        </w:rPr>
        <w:t>Ov</w:t>
      </w:r>
      <w:r>
        <w:rPr>
          <w:rStyle w:val="normaltextrun"/>
        </w:rPr>
        <w:t>. Fast. 2.</w:t>
      </w:r>
      <w:r w:rsidR="00BC501B" w:rsidRPr="00C81CA8">
        <w:rPr>
          <w:rStyle w:val="normaltextrun"/>
        </w:rPr>
        <w:t>3</w:t>
      </w:r>
      <w:r>
        <w:rPr>
          <w:rStyle w:val="normaltextrun"/>
        </w:rPr>
        <w:t>1f.; Dion. Hal. Ant. Rom. 1.80.</w:t>
      </w:r>
      <w:r w:rsidR="00BC501B" w:rsidRPr="00C81CA8">
        <w:rPr>
          <w:rStyle w:val="normaltextrun"/>
        </w:rPr>
        <w:t xml:space="preserve"> 1). It has its origin </w:t>
      </w:r>
      <w:r w:rsidR="00C81CA8">
        <w:rPr>
          <w:rStyle w:val="normaltextrun"/>
        </w:rPr>
        <w:t>i</w:t>
      </w:r>
      <w:r w:rsidR="00BC501B" w:rsidRPr="00C81CA8">
        <w:rPr>
          <w:rStyle w:val="normaltextrun"/>
        </w:rPr>
        <w:t>n a shepherd-</w:t>
      </w:r>
      <w:r>
        <w:t>festival (Liv. 1.5, Dion. Hal. Ant. Rom. 1.79, 8-80.</w:t>
      </w:r>
      <w:r w:rsidR="00BC501B" w:rsidRPr="00C81CA8">
        <w:t>4;</w:t>
      </w:r>
      <w:r>
        <w:t xml:space="preserve"> </w:t>
      </w:r>
      <w:hyperlink r:id="rId9" w:anchor="61" w:tgtFrame="Plutarch_E" w:history="1">
        <w:r w:rsidR="00BC501B" w:rsidRPr="00C81CA8">
          <w:rPr>
            <w:rStyle w:val="Hyperlink"/>
            <w:color w:val="auto"/>
            <w:u w:val="none"/>
          </w:rPr>
          <w:t>Plut. Caes. 61</w:t>
        </w:r>
      </w:hyperlink>
      <w:r w:rsidR="00BC501B" w:rsidRPr="00C81CA8">
        <w:t>).</w:t>
      </w:r>
      <w:r w:rsidR="009654D9">
        <w:rPr>
          <w:rStyle w:val="normaltextrun"/>
        </w:rPr>
        <w:t>The festival o</w:t>
      </w:r>
      <w:r w:rsidR="00752B84">
        <w:rPr>
          <w:rStyle w:val="normaltextrun"/>
        </w:rPr>
        <w:t xml:space="preserve">riginally commenced </w:t>
      </w:r>
      <w:r w:rsidR="009654D9">
        <w:rPr>
          <w:rStyle w:val="normaltextrun"/>
        </w:rPr>
        <w:t>on</w:t>
      </w:r>
      <w:r w:rsidR="00BC501B" w:rsidRPr="00C81CA8">
        <w:rPr>
          <w:rStyle w:val="normaltextrun"/>
        </w:rPr>
        <w:t xml:space="preserve"> Lupercal cave, where according to the myth Romulus and Remus were breastfed by the she-wolf</w:t>
      </w:r>
      <w:r w:rsidR="00C81CA8">
        <w:rPr>
          <w:rStyle w:val="normaltextrun"/>
        </w:rPr>
        <w:t xml:space="preserve"> </w:t>
      </w:r>
      <w:r w:rsidR="00BC501B" w:rsidRPr="00C81CA8">
        <w:rPr>
          <w:rStyle w:val="normaltextrun"/>
        </w:rPr>
        <w:t>and </w:t>
      </w:r>
      <w:r w:rsidR="00C81CA8">
        <w:rPr>
          <w:rStyle w:val="normaltextrun"/>
        </w:rPr>
        <w:t xml:space="preserve">the rite was </w:t>
      </w:r>
      <w:r w:rsidR="009654D9">
        <w:rPr>
          <w:rStyle w:val="normaltextrun"/>
        </w:rPr>
        <w:t>expanded throughout</w:t>
      </w:r>
      <w:r w:rsidR="00BC501B" w:rsidRPr="00C81CA8">
        <w:rPr>
          <w:rStyle w:val="normaltextrun"/>
        </w:rPr>
        <w:t xml:space="preserve"> </w:t>
      </w:r>
      <w:r w:rsidR="00C81CA8">
        <w:rPr>
          <w:rStyle w:val="normaltextrun"/>
        </w:rPr>
        <w:t xml:space="preserve">the </w:t>
      </w:r>
      <w:r w:rsidR="00BC501B" w:rsidRPr="00C81CA8">
        <w:rPr>
          <w:rStyle w:val="normaltextrun"/>
        </w:rPr>
        <w:t>whole city</w:t>
      </w:r>
      <w:r w:rsidR="009654D9">
        <w:rPr>
          <w:rStyle w:val="normaltextrun"/>
        </w:rPr>
        <w:t xml:space="preserve"> (Wiseman 1995)</w:t>
      </w:r>
      <w:r w:rsidR="00BC501B" w:rsidRPr="00C81CA8">
        <w:rPr>
          <w:rStyle w:val="normaltextrun"/>
        </w:rPr>
        <w:t>. The main protagonists were the </w:t>
      </w:r>
      <w:r w:rsidR="00BC501B" w:rsidRPr="00C81CA8">
        <w:rPr>
          <w:rStyle w:val="spellingerror"/>
          <w:i/>
        </w:rPr>
        <w:t>Luperci</w:t>
      </w:r>
      <w:r w:rsidR="009654D9">
        <w:rPr>
          <w:rStyle w:val="normaltextrun"/>
        </w:rPr>
        <w:t>,</w:t>
      </w:r>
      <w:r w:rsidR="00BC501B" w:rsidRPr="00C81CA8">
        <w:rPr>
          <w:rStyle w:val="normaltextrun"/>
        </w:rPr>
        <w:t xml:space="preserve"> priests or young men who were naked or wearing only a pelt loincloth. Cicero (</w:t>
      </w:r>
      <w:r w:rsidR="00BC501B" w:rsidRPr="00C81CA8">
        <w:rPr>
          <w:rStyle w:val="normaltextrun"/>
          <w:i/>
          <w:iCs/>
        </w:rPr>
        <w:t>Phil</w:t>
      </w:r>
      <w:r w:rsidR="00BC501B" w:rsidRPr="00C81CA8">
        <w:rPr>
          <w:rStyle w:val="normaltextrun"/>
        </w:rPr>
        <w:t>.</w:t>
      </w:r>
      <w:r w:rsidR="009654D9">
        <w:rPr>
          <w:rStyle w:val="normaltextrun"/>
        </w:rPr>
        <w:t xml:space="preserve"> </w:t>
      </w:r>
      <w:r w:rsidR="00BC501B" w:rsidRPr="00C81CA8">
        <w:rPr>
          <w:rStyle w:val="normaltextrun"/>
        </w:rPr>
        <w:t>2.</w:t>
      </w:r>
      <w:r w:rsidR="006C28FA">
        <w:rPr>
          <w:rStyle w:val="normaltextrun"/>
        </w:rPr>
        <w:t>34, 43; 3.</w:t>
      </w:r>
      <w:r w:rsidR="00F82E4F">
        <w:rPr>
          <w:rStyle w:val="normaltextrun"/>
        </w:rPr>
        <w:t xml:space="preserve">5;           13.15) called Marc </w:t>
      </w:r>
      <w:bookmarkStart w:id="6" w:name="_GoBack"/>
      <w:bookmarkEnd w:id="6"/>
      <w:r w:rsidR="00BC501B" w:rsidRPr="00C81CA8">
        <w:rPr>
          <w:rStyle w:val="normaltextrun"/>
        </w:rPr>
        <w:t>Antho</w:t>
      </w:r>
      <w:r w:rsidR="006C28FA">
        <w:rPr>
          <w:rStyle w:val="normaltextrun"/>
        </w:rPr>
        <w:t xml:space="preserve">ny performing in his consulship </w:t>
      </w:r>
      <w:r w:rsidR="00BC501B" w:rsidRPr="00C81CA8">
        <w:rPr>
          <w:rStyle w:val="normaltextrun"/>
        </w:rPr>
        <w:t>as </w:t>
      </w:r>
      <w:r w:rsidR="00BC501B" w:rsidRPr="00C81CA8">
        <w:rPr>
          <w:rStyle w:val="spellingerror"/>
        </w:rPr>
        <w:t xml:space="preserve">Lupercus </w:t>
      </w:r>
      <w:r w:rsidR="00BC501B" w:rsidRPr="00C81CA8">
        <w:rPr>
          <w:rStyle w:val="normaltextrun"/>
        </w:rPr>
        <w:t>a </w:t>
      </w:r>
      <w:r w:rsidR="00BC501B" w:rsidRPr="00C81CA8">
        <w:rPr>
          <w:rStyle w:val="spellingerror"/>
          <w:i/>
          <w:iCs/>
        </w:rPr>
        <w:t>nudus</w:t>
      </w:r>
      <w:r w:rsidR="00BC501B" w:rsidRPr="00C81CA8">
        <w:rPr>
          <w:rStyle w:val="normaltextrun"/>
          <w:i/>
          <w:iCs/>
        </w:rPr>
        <w:t>, </w:t>
      </w:r>
      <w:r w:rsidR="00BC501B" w:rsidRPr="00C81CA8">
        <w:rPr>
          <w:rStyle w:val="spellingerror"/>
          <w:i/>
          <w:iCs/>
        </w:rPr>
        <w:t>unctus</w:t>
      </w:r>
      <w:r w:rsidR="00BC501B" w:rsidRPr="00C81CA8">
        <w:rPr>
          <w:rStyle w:val="normaltextrun"/>
          <w:i/>
          <w:iCs/>
        </w:rPr>
        <w:t>, </w:t>
      </w:r>
      <w:r w:rsidR="00BC501B" w:rsidRPr="00C81CA8">
        <w:rPr>
          <w:rStyle w:val="spellingerror"/>
          <w:i/>
          <w:iCs/>
        </w:rPr>
        <w:t>ebrius</w:t>
      </w:r>
      <w:r w:rsidR="00C81CA8">
        <w:rPr>
          <w:rStyle w:val="normaltextrun"/>
        </w:rPr>
        <w:t> ‘</w:t>
      </w:r>
      <w:r w:rsidR="00BC501B" w:rsidRPr="00C81CA8">
        <w:rPr>
          <w:rStyle w:val="normaltextrun"/>
        </w:rPr>
        <w:t>naked, oiled, drunk</w:t>
      </w:r>
      <w:r w:rsidR="00C81CA8">
        <w:rPr>
          <w:rStyle w:val="normaltextrun"/>
        </w:rPr>
        <w:t xml:space="preserve">’ </w:t>
      </w:r>
      <w:hyperlink r:id="rId10" w:anchor="61" w:tgtFrame="Plutarch_E" w:history="1">
        <w:r w:rsidR="00C81CA8" w:rsidRPr="00C81CA8">
          <w:rPr>
            <w:rStyle w:val="Hyperlink"/>
            <w:color w:val="auto"/>
            <w:u w:val="none"/>
          </w:rPr>
          <w:t>(</w:t>
        </w:r>
        <w:r w:rsidR="009654D9">
          <w:rPr>
            <w:rStyle w:val="Hyperlink"/>
            <w:color w:val="auto"/>
            <w:u w:val="none"/>
          </w:rPr>
          <w:t xml:space="preserve">also see </w:t>
        </w:r>
        <w:r w:rsidR="00C81CA8" w:rsidRPr="00C81CA8">
          <w:rPr>
            <w:rStyle w:val="Hyperlink"/>
            <w:color w:val="auto"/>
            <w:u w:val="none"/>
          </w:rPr>
          <w:t>Plut. Caes. 61)</w:t>
        </w:r>
      </w:hyperlink>
      <w:r w:rsidR="00BC501B" w:rsidRPr="00C81CA8">
        <w:rPr>
          <w:rStyle w:val="normaltextrun"/>
        </w:rPr>
        <w:t xml:space="preserve">. </w:t>
      </w:r>
    </w:p>
    <w:p w:rsidR="00BC501B" w:rsidRPr="00C81CA8" w:rsidRDefault="00BC501B" w:rsidP="00BC501B">
      <w:pPr>
        <w:spacing w:line="360" w:lineRule="auto"/>
        <w:jc w:val="both"/>
      </w:pPr>
      <w:r w:rsidRPr="00C81CA8">
        <w:rPr>
          <w:rStyle w:val="normaltextrun"/>
        </w:rPr>
        <w:t>The </w:t>
      </w:r>
      <w:r w:rsidRPr="00C81CA8">
        <w:rPr>
          <w:rStyle w:val="spellingerror"/>
          <w:i/>
        </w:rPr>
        <w:t>Luperci</w:t>
      </w:r>
      <w:r w:rsidRPr="00C81CA8">
        <w:rPr>
          <w:rStyle w:val="normaltextrun"/>
        </w:rPr>
        <w:t> were divided in two groups, the </w:t>
      </w:r>
      <w:r w:rsidRPr="00C81CA8">
        <w:rPr>
          <w:rStyle w:val="spellingerror"/>
          <w:i/>
        </w:rPr>
        <w:t>Quinctiales</w:t>
      </w:r>
      <w:r w:rsidRPr="00C81CA8">
        <w:rPr>
          <w:rStyle w:val="normaltextrun"/>
        </w:rPr>
        <w:t> and the </w:t>
      </w:r>
      <w:r w:rsidRPr="00C81CA8">
        <w:rPr>
          <w:rStyle w:val="spellingerror"/>
          <w:i/>
        </w:rPr>
        <w:t>Fabiani</w:t>
      </w:r>
      <w:r w:rsidRPr="00C81CA8">
        <w:rPr>
          <w:rStyle w:val="spellingerror"/>
        </w:rPr>
        <w:t xml:space="preserve">. Momigliano (1963) argues that they could represent the fusion of two communities </w:t>
      </w:r>
      <w:r w:rsidR="009654D9">
        <w:rPr>
          <w:rStyle w:val="spellingerror"/>
        </w:rPr>
        <w:t xml:space="preserve">similar to the </w:t>
      </w:r>
      <w:r w:rsidR="00752B84">
        <w:rPr>
          <w:rStyle w:val="spellingerror"/>
          <w:i/>
        </w:rPr>
        <w:t>Sa</w:t>
      </w:r>
      <w:r w:rsidRPr="00C81CA8">
        <w:rPr>
          <w:rStyle w:val="spellingerror"/>
          <w:i/>
        </w:rPr>
        <w:t>l</w:t>
      </w:r>
      <w:r w:rsidR="00752B84">
        <w:rPr>
          <w:rStyle w:val="spellingerror"/>
          <w:i/>
        </w:rPr>
        <w:t>i</w:t>
      </w:r>
      <w:r w:rsidRPr="00C81CA8">
        <w:rPr>
          <w:rStyle w:val="spellingerror"/>
          <w:i/>
        </w:rPr>
        <w:t>i</w:t>
      </w:r>
      <w:r w:rsidRPr="00C81CA8">
        <w:rPr>
          <w:rStyle w:val="spellingerror"/>
        </w:rPr>
        <w:t>.</w:t>
      </w:r>
      <w:r w:rsidR="009654D9">
        <w:rPr>
          <w:rStyle w:val="normaltextrun"/>
        </w:rPr>
        <w:t> </w:t>
      </w:r>
      <w:r w:rsidRPr="00C81CA8">
        <w:rPr>
          <w:rStyle w:val="normaltextrun"/>
        </w:rPr>
        <w:t xml:space="preserve">Le Bonniec (1962) states that the </w:t>
      </w:r>
      <w:r w:rsidRPr="00C81CA8">
        <w:rPr>
          <w:rStyle w:val="normaltextrun"/>
          <w:i/>
        </w:rPr>
        <w:t>Fabiani</w:t>
      </w:r>
      <w:r w:rsidRPr="00C81CA8">
        <w:rPr>
          <w:rStyle w:val="normaltextrun"/>
        </w:rPr>
        <w:t xml:space="preserve"> represent Romulus and his companions and they were competing against </w:t>
      </w:r>
      <w:r w:rsidRPr="00C81CA8">
        <w:rPr>
          <w:rStyle w:val="normaltextrun"/>
          <w:i/>
        </w:rPr>
        <w:t>Quinctiales</w:t>
      </w:r>
      <w:r w:rsidRPr="00C81CA8">
        <w:rPr>
          <w:rStyle w:val="normaltextrun"/>
        </w:rPr>
        <w:t xml:space="preserve"> who represent Remus. Only in Caesar's period a third priest w</w:t>
      </w:r>
      <w:r w:rsidR="009654D9">
        <w:rPr>
          <w:rStyle w:val="normaltextrun"/>
        </w:rPr>
        <w:t xml:space="preserve">as added, </w:t>
      </w:r>
      <w:r w:rsidRPr="00C81CA8">
        <w:rPr>
          <w:rStyle w:val="normaltextrun"/>
        </w:rPr>
        <w:t>the </w:t>
      </w:r>
      <w:r w:rsidRPr="00C81CA8">
        <w:rPr>
          <w:rStyle w:val="spellingerror"/>
          <w:i/>
        </w:rPr>
        <w:t>Iulianus</w:t>
      </w:r>
      <w:r w:rsidRPr="00C81CA8">
        <w:rPr>
          <w:rStyle w:val="normaltextrun"/>
        </w:rPr>
        <w:t>, </w:t>
      </w:r>
      <w:r w:rsidRPr="00C81CA8">
        <w:rPr>
          <w:rStyle w:val="spellingerror"/>
        </w:rPr>
        <w:t>underlining</w:t>
      </w:r>
      <w:r w:rsidRPr="00C81CA8">
        <w:rPr>
          <w:rStyle w:val="normaltextrun"/>
        </w:rPr>
        <w:t xml:space="preserve"> the political significance of the festival as a tribute to the founders of Rome. </w:t>
      </w:r>
      <w:r w:rsidRPr="00C81CA8">
        <w:t>Festus (s.v. Crepos) mentions that the </w:t>
      </w:r>
      <w:r w:rsidRPr="00C81CA8">
        <w:rPr>
          <w:i/>
        </w:rPr>
        <w:t>Luperci </w:t>
      </w:r>
      <w:r w:rsidRPr="00C81CA8">
        <w:t>were also named </w:t>
      </w:r>
      <w:r w:rsidRPr="00C81CA8">
        <w:rPr>
          <w:i/>
        </w:rPr>
        <w:t>crepi</w:t>
      </w:r>
      <w:r w:rsidRPr="00C81CA8">
        <w:t> or </w:t>
      </w:r>
      <w:r w:rsidRPr="00C81CA8">
        <w:rPr>
          <w:i/>
        </w:rPr>
        <w:t>creppi</w:t>
      </w:r>
      <w:r w:rsidRPr="00C81CA8">
        <w:t xml:space="preserve">, from their </w:t>
      </w:r>
      <w:r w:rsidR="00C81CA8">
        <w:t>practice of striking</w:t>
      </w:r>
      <w:r w:rsidRPr="00C81CA8">
        <w:t xml:space="preserve"> goatskins (a </w:t>
      </w:r>
      <w:r w:rsidRPr="00C81CA8">
        <w:rPr>
          <w:i/>
        </w:rPr>
        <w:t>crepitupellicularum</w:t>
      </w:r>
      <w:r w:rsidRPr="00C81CA8">
        <w:t>), but perhaps the name </w:t>
      </w:r>
      <w:r w:rsidRPr="00C81CA8">
        <w:rPr>
          <w:i/>
        </w:rPr>
        <w:t>crepi</w:t>
      </w:r>
      <w:r w:rsidRPr="00C81CA8">
        <w:t> was derived from </w:t>
      </w:r>
      <w:r w:rsidRPr="00C81CA8">
        <w:rPr>
          <w:i/>
        </w:rPr>
        <w:t>crepa</w:t>
      </w:r>
      <w:r w:rsidRPr="00C81CA8">
        <w:t xml:space="preserve">, which was the ancient name for goat (Fest. s.v. Caprae). </w:t>
      </w:r>
      <w:r w:rsidRPr="00C81CA8">
        <w:rPr>
          <w:shd w:val="clear" w:color="auto" w:fill="FFFFFF"/>
        </w:rPr>
        <w:t>Etymologically</w:t>
      </w:r>
      <w:r w:rsidRPr="00C81CA8">
        <w:rPr>
          <w:i/>
          <w:shd w:val="clear" w:color="auto" w:fill="FFFFFF"/>
        </w:rPr>
        <w:t>, Lupercalia</w:t>
      </w:r>
      <w:r w:rsidRPr="00C81CA8">
        <w:rPr>
          <w:shd w:val="clear" w:color="auto" w:fill="FFFFFF"/>
        </w:rPr>
        <w:t xml:space="preserve">, </w:t>
      </w:r>
      <w:r w:rsidRPr="00C81CA8">
        <w:rPr>
          <w:i/>
          <w:shd w:val="clear" w:color="auto" w:fill="FFFFFF"/>
        </w:rPr>
        <w:t>Lupercal</w:t>
      </w:r>
      <w:r w:rsidRPr="00C81CA8">
        <w:rPr>
          <w:shd w:val="clear" w:color="auto" w:fill="FFFFFF"/>
        </w:rPr>
        <w:t xml:space="preserve">, and </w:t>
      </w:r>
      <w:r w:rsidRPr="00C81CA8">
        <w:rPr>
          <w:i/>
          <w:shd w:val="clear" w:color="auto" w:fill="FFFFFF"/>
        </w:rPr>
        <w:t xml:space="preserve">Luperci </w:t>
      </w:r>
      <w:r w:rsidRPr="00C81CA8">
        <w:rPr>
          <w:shd w:val="clear" w:color="auto" w:fill="FFFFFF"/>
        </w:rPr>
        <w:t>are related to the Latin word for 'wolf' </w:t>
      </w:r>
      <w:r w:rsidRPr="00C81CA8">
        <w:rPr>
          <w:rStyle w:val="Emphasis"/>
          <w:shd w:val="clear" w:color="auto" w:fill="FFFFFF"/>
        </w:rPr>
        <w:t>lupus</w:t>
      </w:r>
      <w:r w:rsidR="009654D9">
        <w:rPr>
          <w:rStyle w:val="Emphasis"/>
          <w:i w:val="0"/>
          <w:shd w:val="clear" w:color="auto" w:fill="FFFFFF"/>
        </w:rPr>
        <w:t xml:space="preserve"> (Tennant 1988)</w:t>
      </w:r>
      <w:r w:rsidRPr="00C81CA8">
        <w:rPr>
          <w:rStyle w:val="Emphasis"/>
          <w:shd w:val="clear" w:color="auto" w:fill="FFFFFF"/>
        </w:rPr>
        <w:t>.</w:t>
      </w:r>
    </w:p>
    <w:p w:rsidR="00BC501B" w:rsidRPr="00C81CA8" w:rsidRDefault="00BC501B" w:rsidP="00BC501B">
      <w:pPr>
        <w:spacing w:line="360" w:lineRule="auto"/>
        <w:jc w:val="both"/>
      </w:pPr>
      <w:r w:rsidRPr="00C81CA8">
        <w:rPr>
          <w:rStyle w:val="normaltextrun"/>
        </w:rPr>
        <w:t xml:space="preserve">The </w:t>
      </w:r>
      <w:r w:rsidRPr="00C81CA8">
        <w:rPr>
          <w:rStyle w:val="normaltextrun"/>
          <w:i/>
        </w:rPr>
        <w:t>Luperci</w:t>
      </w:r>
      <w:r w:rsidRPr="00C81CA8">
        <w:rPr>
          <w:rStyle w:val="normaltextrun"/>
        </w:rPr>
        <w:t xml:space="preserve"> sacrificed a goat </w:t>
      </w:r>
      <w:r w:rsidR="00C31CD5">
        <w:rPr>
          <w:rStyle w:val="normaltextrun"/>
        </w:rPr>
        <w:t>or a dog -in fewer cases-</w:t>
      </w:r>
      <w:r w:rsidRPr="00C81CA8">
        <w:rPr>
          <w:rStyle w:val="normaltextrun"/>
        </w:rPr>
        <w:t xml:space="preserve">, both representing symbols of sexual instinct and fertility </w:t>
      </w:r>
      <w:r w:rsidRPr="00C81CA8">
        <w:t>(</w:t>
      </w:r>
      <w:hyperlink r:id="rId11" w:anchor="21.4" w:tgtFrame="Plutarch_E" w:history="1">
        <w:r w:rsidRPr="00C81CA8">
          <w:rPr>
            <w:rStyle w:val="Hyperlink"/>
            <w:color w:val="auto"/>
            <w:u w:val="none"/>
          </w:rPr>
          <w:t>Plut. Rom. 21</w:t>
        </w:r>
      </w:hyperlink>
      <w:r w:rsidRPr="00C81CA8">
        <w:t>; </w:t>
      </w:r>
      <w:hyperlink r:id="rId12" w:tgtFrame="offsite" w:history="1">
        <w:r w:rsidRPr="00C81CA8">
          <w:rPr>
            <w:rStyle w:val="Hyperlink"/>
            <w:color w:val="auto"/>
            <w:u w:val="none"/>
          </w:rPr>
          <w:t>Servius </w:t>
        </w:r>
        <w:r w:rsidRPr="00C81CA8">
          <w:rPr>
            <w:rStyle w:val="Hyperlink"/>
            <w:i/>
            <w:iCs/>
            <w:color w:val="auto"/>
            <w:u w:val="none"/>
          </w:rPr>
          <w:t>ad Aen.</w:t>
        </w:r>
        <w:r w:rsidRPr="00C81CA8">
          <w:rPr>
            <w:rStyle w:val="Hyperlink"/>
            <w:color w:val="auto"/>
            <w:u w:val="none"/>
          </w:rPr>
          <w:t> </w:t>
        </w:r>
        <w:r w:rsidRPr="00C81CA8">
          <w:rPr>
            <w:rStyle w:val="small"/>
          </w:rPr>
          <w:t>VIII</w:t>
        </w:r>
        <w:r w:rsidRPr="00C81CA8">
          <w:rPr>
            <w:rStyle w:val="Hyperlink"/>
            <w:color w:val="auto"/>
            <w:u w:val="none"/>
          </w:rPr>
          <w:t>.343</w:t>
        </w:r>
      </w:hyperlink>
      <w:r w:rsidRPr="00C81CA8">
        <w:t>)</w:t>
      </w:r>
      <w:r w:rsidR="00C31CD5">
        <w:rPr>
          <w:rStyle w:val="normaltextrun"/>
        </w:rPr>
        <w:t>: t</w:t>
      </w:r>
      <w:r w:rsidRPr="00C81CA8">
        <w:rPr>
          <w:rStyle w:val="normaltextrun"/>
        </w:rPr>
        <w:t>heir foreheads were tapped with a bloody knife, and the blood was absorbed with </w:t>
      </w:r>
      <w:hyperlink r:id="rId13" w:tgtFrame="_blank" w:history="1">
        <w:r w:rsidRPr="00C81CA8">
          <w:rPr>
            <w:rStyle w:val="normaltextrun"/>
          </w:rPr>
          <w:t>wool</w:t>
        </w:r>
      </w:hyperlink>
      <w:r w:rsidRPr="00C81CA8">
        <w:rPr>
          <w:rStyle w:val="normaltextrun"/>
        </w:rPr>
        <w:t> dipped in m</w:t>
      </w:r>
      <w:r w:rsidR="00C31CD5">
        <w:rPr>
          <w:rStyle w:val="normaltextrun"/>
        </w:rPr>
        <w:t xml:space="preserve">ilk. The tradition required the </w:t>
      </w:r>
      <w:r w:rsidR="00C31CD5" w:rsidRPr="00C31CD5">
        <w:rPr>
          <w:rStyle w:val="normaltextrun"/>
          <w:i/>
        </w:rPr>
        <w:t>Luperci</w:t>
      </w:r>
      <w:r w:rsidRPr="00C81CA8">
        <w:rPr>
          <w:rStyle w:val="normaltextrun"/>
        </w:rPr>
        <w:t xml:space="preserve"> to laugh out</w:t>
      </w:r>
      <w:r w:rsidR="00F9733B">
        <w:rPr>
          <w:rStyle w:val="normaltextrun"/>
        </w:rPr>
        <w:t xml:space="preserve"> loud after this (Plut, Rom</w:t>
      </w:r>
      <w:r w:rsidR="00F9733B" w:rsidRPr="00F9733B">
        <w:rPr>
          <w:rStyle w:val="normaltextrun"/>
          <w:lang w:val="en-US"/>
        </w:rPr>
        <w:t xml:space="preserve">. </w:t>
      </w:r>
      <w:r w:rsidR="00B609DD">
        <w:rPr>
          <w:rStyle w:val="normaltextrun"/>
        </w:rPr>
        <w:t xml:space="preserve">21. </w:t>
      </w:r>
      <w:r w:rsidRPr="00C81CA8">
        <w:rPr>
          <w:rStyle w:val="normaltextrun"/>
        </w:rPr>
        <w:t>6). This rite perhaps symbolize</w:t>
      </w:r>
      <w:r w:rsidR="00C31CD5">
        <w:rPr>
          <w:rStyle w:val="normaltextrun"/>
        </w:rPr>
        <w:t>s</w:t>
      </w:r>
      <w:r w:rsidRPr="00C81CA8">
        <w:rPr>
          <w:rStyle w:val="normaltextrun"/>
        </w:rPr>
        <w:t xml:space="preserve"> the purification of the shepherds</w:t>
      </w:r>
      <w:r w:rsidR="00754449" w:rsidRPr="00754449">
        <w:rPr>
          <w:rStyle w:val="normaltextrun"/>
          <w:lang w:val="en-US"/>
        </w:rPr>
        <w:t xml:space="preserve"> (</w:t>
      </w:r>
      <w:r w:rsidR="00754449">
        <w:rPr>
          <w:rStyle w:val="normaltextrun"/>
          <w:lang w:val="en-US"/>
        </w:rPr>
        <w:t>cf Wiseman)</w:t>
      </w:r>
      <w:r w:rsidRPr="00C81CA8">
        <w:rPr>
          <w:rStyle w:val="normaltextrun"/>
        </w:rPr>
        <w:t xml:space="preserve">. After the sacrifice, the meal and wine drinking took place </w:t>
      </w:r>
      <w:hyperlink r:id="rId14" w:anchor="2.9" w:tgtFrame="Valerius_Maximus" w:history="1">
        <w:r w:rsidRPr="00C81CA8">
          <w:rPr>
            <w:rStyle w:val="Hyperlink"/>
            <w:color w:val="auto"/>
            <w:u w:val="none"/>
          </w:rPr>
          <w:t>(Val. Max. </w:t>
        </w:r>
        <w:r w:rsidRPr="00C81CA8">
          <w:rPr>
            <w:rStyle w:val="small"/>
          </w:rPr>
          <w:t>II</w:t>
        </w:r>
        <w:r w:rsidRPr="00C81CA8">
          <w:rPr>
            <w:rStyle w:val="Hyperlink"/>
            <w:color w:val="auto"/>
            <w:u w:val="none"/>
          </w:rPr>
          <w:t>.2. 9)</w:t>
        </w:r>
      </w:hyperlink>
      <w:r w:rsidRPr="00C81CA8">
        <w:rPr>
          <w:rStyle w:val="normaltextrun"/>
        </w:rPr>
        <w:t>.</w:t>
      </w:r>
    </w:p>
    <w:p w:rsidR="00BC501B" w:rsidRPr="00C81CA8" w:rsidRDefault="00BC501B" w:rsidP="00BC501B">
      <w:pPr>
        <w:spacing w:line="360" w:lineRule="auto"/>
        <w:jc w:val="both"/>
        <w:rPr>
          <w:shd w:val="clear" w:color="auto" w:fill="FFFFFF"/>
        </w:rPr>
      </w:pPr>
      <w:r w:rsidRPr="00C81CA8">
        <w:rPr>
          <w:rStyle w:val="normaltextrun"/>
        </w:rPr>
        <w:t xml:space="preserve">Thongs were cut from the skins of the sacrificial goats and the </w:t>
      </w:r>
      <w:r w:rsidRPr="00C81CA8">
        <w:rPr>
          <w:rStyle w:val="normaltextrun"/>
          <w:i/>
        </w:rPr>
        <w:t>Luperci</w:t>
      </w:r>
      <w:r w:rsidRPr="00C81CA8">
        <w:rPr>
          <w:rStyle w:val="normaltextrun"/>
        </w:rPr>
        <w:t xml:space="preserve"> wore its skin while holding the other pieces and running the </w:t>
      </w:r>
      <w:r w:rsidRPr="00C81CA8">
        <w:rPr>
          <w:rStyle w:val="normaltextrun"/>
          <w:i/>
        </w:rPr>
        <w:t>Via Sacra</w:t>
      </w:r>
      <w:r w:rsidRPr="00C81CA8">
        <w:rPr>
          <w:rStyle w:val="normaltextrun"/>
        </w:rPr>
        <w:t> around the Palatine hill, chasing women and hitting them with the thongs (Paul. Fest. 75f. L. </w:t>
      </w:r>
      <w:r w:rsidRPr="00C81CA8">
        <w:rPr>
          <w:rStyle w:val="spellingerror"/>
        </w:rPr>
        <w:t>s.v</w:t>
      </w:r>
      <w:r w:rsidRPr="00C81CA8">
        <w:rPr>
          <w:rStyle w:val="normaltextrun"/>
        </w:rPr>
        <w:t>. </w:t>
      </w:r>
      <w:r w:rsidRPr="00C81CA8">
        <w:rPr>
          <w:rStyle w:val="spellingerror"/>
        </w:rPr>
        <w:t>Februarius</w:t>
      </w:r>
      <w:r w:rsidRPr="00C81CA8">
        <w:rPr>
          <w:rStyle w:val="normaltextrun"/>
        </w:rPr>
        <w:t>; </w:t>
      </w:r>
      <w:r w:rsidRPr="00C81CA8">
        <w:rPr>
          <w:rStyle w:val="spellingerror"/>
        </w:rPr>
        <w:t>Ov</w:t>
      </w:r>
      <w:r w:rsidR="00752B84">
        <w:rPr>
          <w:rStyle w:val="normaltextrun"/>
        </w:rPr>
        <w:t>. Fast. 2.</w:t>
      </w:r>
      <w:r w:rsidRPr="00C81CA8">
        <w:rPr>
          <w:rStyle w:val="normaltextrun"/>
        </w:rPr>
        <w:t>283-380). A blow from the thong was supposed to render a woman fertile and the chasing</w:t>
      </w:r>
      <w:r w:rsidR="00C81CA8">
        <w:rPr>
          <w:rStyle w:val="normaltextrun"/>
        </w:rPr>
        <w:t xml:space="preserve"> was</w:t>
      </w:r>
      <w:r w:rsidRPr="00C81CA8">
        <w:rPr>
          <w:rStyle w:val="normaltextrun"/>
        </w:rPr>
        <w:t xml:space="preserve"> cathartic</w:t>
      </w:r>
      <w:r w:rsidR="00C31CD5">
        <w:rPr>
          <w:rStyle w:val="normaltextrun"/>
        </w:rPr>
        <w:t xml:space="preserve"> (Mastrocinque 2014)</w:t>
      </w:r>
      <w:r w:rsidRPr="00C81CA8">
        <w:rPr>
          <w:rStyle w:val="normaltextrun"/>
        </w:rPr>
        <w:t>.</w:t>
      </w:r>
      <w:r w:rsidRPr="00C81CA8">
        <w:rPr>
          <w:rStyle w:val="eop"/>
        </w:rPr>
        <w:t xml:space="preserve"> The function of the rite was to change the </w:t>
      </w:r>
      <w:r w:rsidRPr="00C81CA8">
        <w:rPr>
          <w:rStyle w:val="eop"/>
        </w:rPr>
        <w:lastRenderedPageBreak/>
        <w:t xml:space="preserve">social status </w:t>
      </w:r>
      <w:r w:rsidRPr="00C81CA8">
        <w:t>from </w:t>
      </w:r>
      <w:r w:rsidRPr="00C81CA8">
        <w:rPr>
          <w:i/>
        </w:rPr>
        <w:t>nupta</w:t>
      </w:r>
      <w:r w:rsidRPr="00C81CA8">
        <w:t> (‘bride’) to </w:t>
      </w:r>
      <w:r w:rsidRPr="00C81CA8">
        <w:rPr>
          <w:i/>
        </w:rPr>
        <w:t>mater</w:t>
      </w:r>
      <w:r w:rsidR="00C31CD5">
        <w:t> (‘mother’) (Ov. Fast. 2.</w:t>
      </w:r>
      <w:r w:rsidRPr="00C81CA8">
        <w:t>425-448) and that is why it was extremely desirable to women, especially in an infertile period (Ov. Fast.</w:t>
      </w:r>
      <w:r w:rsidR="00C31CD5">
        <w:t xml:space="preserve"> 2</w:t>
      </w:r>
      <w:r w:rsidR="00C31CD5" w:rsidRPr="00C31CD5">
        <w:rPr>
          <w:lang w:val="en-US"/>
        </w:rPr>
        <w:t>.</w:t>
      </w:r>
      <w:r w:rsidRPr="00C81CA8">
        <w:t>429-452).This act</w:t>
      </w:r>
      <w:r w:rsidRPr="00C81CA8">
        <w:rPr>
          <w:sz w:val="28"/>
        </w:rPr>
        <w:t xml:space="preserve"> </w:t>
      </w:r>
      <w:r w:rsidRPr="00C81CA8">
        <w:t>was originally performed to the flocks and to the people of the city on the Palatine (</w:t>
      </w:r>
      <w:hyperlink r:id="rId15" w:tgtFrame="offsite" w:history="1">
        <w:r w:rsidRPr="00C81CA8">
          <w:rPr>
            <w:rStyle w:val="Hyperlink"/>
            <w:color w:val="auto"/>
            <w:u w:val="none"/>
          </w:rPr>
          <w:t>Varro, </w:t>
        </w:r>
        <w:r w:rsidRPr="00C81CA8">
          <w:rPr>
            <w:rStyle w:val="Hyperlink"/>
            <w:i/>
            <w:iCs/>
            <w:color w:val="auto"/>
            <w:u w:val="none"/>
          </w:rPr>
          <w:t>de Ling. Lat.</w:t>
        </w:r>
        <w:r w:rsidRPr="00C81CA8">
          <w:rPr>
            <w:rStyle w:val="Hyperlink"/>
            <w:color w:val="auto"/>
            <w:u w:val="none"/>
          </w:rPr>
          <w:t> </w:t>
        </w:r>
        <w:r w:rsidRPr="00C81CA8">
          <w:rPr>
            <w:rStyle w:val="small"/>
          </w:rPr>
          <w:t>V</w:t>
        </w:r>
        <w:r w:rsidRPr="00C81CA8">
          <w:rPr>
            <w:rStyle w:val="Hyperlink"/>
            <w:color w:val="auto"/>
            <w:u w:val="none"/>
          </w:rPr>
          <w:t>. </w:t>
        </w:r>
      </w:hyperlink>
      <w:r w:rsidR="00765BEB">
        <w:t xml:space="preserve">p.60, Bip.). </w:t>
      </w:r>
      <w:r w:rsidR="00526682">
        <w:rPr>
          <w:shd w:val="clear" w:color="auto" w:fill="FFFFFF"/>
        </w:rPr>
        <w:t xml:space="preserve">According to Wiseman (1995) </w:t>
      </w:r>
      <w:r w:rsidRPr="00C81CA8">
        <w:rPr>
          <w:shd w:val="clear" w:color="auto" w:fill="FFFFFF"/>
        </w:rPr>
        <w:t>t</w:t>
      </w:r>
      <w:r w:rsidR="00C31CD5">
        <w:rPr>
          <w:shd w:val="clear" w:color="auto" w:fill="FFFFFF"/>
        </w:rPr>
        <w:t>he husbands</w:t>
      </w:r>
      <w:r w:rsidR="00526682">
        <w:rPr>
          <w:shd w:val="clear" w:color="auto" w:fill="FFFFFF"/>
        </w:rPr>
        <w:t xml:space="preserve"> apparently, were not in favour of the</w:t>
      </w:r>
      <w:r w:rsidR="00C31CD5">
        <w:rPr>
          <w:shd w:val="clear" w:color="auto" w:fill="FFFFFF"/>
        </w:rPr>
        <w:t xml:space="preserve"> </w:t>
      </w:r>
      <w:r w:rsidRPr="00C81CA8">
        <w:rPr>
          <w:i/>
          <w:shd w:val="clear" w:color="auto" w:fill="FFFFFF"/>
        </w:rPr>
        <w:t>Luperci</w:t>
      </w:r>
      <w:r w:rsidRPr="00C81CA8">
        <w:rPr>
          <w:shd w:val="clear" w:color="auto" w:fill="FFFFFF"/>
        </w:rPr>
        <w:t xml:space="preserve"> </w:t>
      </w:r>
      <w:r w:rsidR="00526682">
        <w:rPr>
          <w:shd w:val="clear" w:color="auto" w:fill="FFFFFF"/>
        </w:rPr>
        <w:t xml:space="preserve">engaging in sexual actions </w:t>
      </w:r>
      <w:r w:rsidRPr="00C81CA8">
        <w:rPr>
          <w:shd w:val="clear" w:color="auto" w:fill="FFFFFF"/>
        </w:rPr>
        <w:t>with their wives, but</w:t>
      </w:r>
      <w:r w:rsidR="00765BEB">
        <w:rPr>
          <w:shd w:val="clear" w:color="auto" w:fill="FFFFFF"/>
        </w:rPr>
        <w:t xml:space="preserve"> instead slight penetration, wounded skin with the use of a part of fertility symbol usually from a goat was preferred as means of symbolism.</w:t>
      </w:r>
      <w:r w:rsidRPr="00C81CA8">
        <w:rPr>
          <w:shd w:val="clear" w:color="auto" w:fill="FFFFFF"/>
        </w:rPr>
        <w:t xml:space="preserve"> </w:t>
      </w:r>
    </w:p>
    <w:p w:rsidR="00BC501B" w:rsidRPr="00C81CA8" w:rsidRDefault="00BC501B" w:rsidP="00BC501B">
      <w:pPr>
        <w:spacing w:line="360" w:lineRule="auto"/>
        <w:jc w:val="both"/>
      </w:pPr>
      <w:r w:rsidRPr="00C81CA8">
        <w:rPr>
          <w:shd w:val="clear" w:color="auto" w:fill="FFFFFF"/>
        </w:rPr>
        <w:t>Mastrocinque (2014) analyse</w:t>
      </w:r>
      <w:r w:rsidR="00C31CD5">
        <w:rPr>
          <w:shd w:val="clear" w:color="auto" w:fill="FFFFFF"/>
          <w:lang w:val="en-US"/>
        </w:rPr>
        <w:t>s</w:t>
      </w:r>
      <w:r w:rsidRPr="00C81CA8">
        <w:rPr>
          <w:shd w:val="clear" w:color="auto" w:fill="FFFFFF"/>
        </w:rPr>
        <w:t xml:space="preserve"> </w:t>
      </w:r>
      <w:r w:rsidRPr="00C81CA8">
        <w:rPr>
          <w:i/>
          <w:shd w:val="clear" w:color="auto" w:fill="FFFFFF"/>
        </w:rPr>
        <w:t>Lupercalia</w:t>
      </w:r>
      <w:r w:rsidR="00C81CA8">
        <w:rPr>
          <w:shd w:val="clear" w:color="auto" w:fill="FFFFFF"/>
        </w:rPr>
        <w:t xml:space="preserve"> from a different perspective, considering </w:t>
      </w:r>
      <w:r w:rsidRPr="00C81CA8">
        <w:rPr>
          <w:shd w:val="clear" w:color="auto" w:fill="FFFFFF"/>
        </w:rPr>
        <w:t>that ancient Greek</w:t>
      </w:r>
      <w:r w:rsidR="00C81CA8">
        <w:rPr>
          <w:shd w:val="clear" w:color="auto" w:fill="FFFFFF"/>
        </w:rPr>
        <w:t>s</w:t>
      </w:r>
      <w:r w:rsidRPr="00C81CA8">
        <w:rPr>
          <w:shd w:val="clear" w:color="auto" w:fill="FFFFFF"/>
        </w:rPr>
        <w:t xml:space="preserve"> and Romans had the belief that girls have their first sexual contacts with a male </w:t>
      </w:r>
      <w:r w:rsidR="006B7B73">
        <w:rPr>
          <w:shd w:val="clear" w:color="auto" w:fill="FFFFFF"/>
        </w:rPr>
        <w:t>God and not with their husbands</w:t>
      </w:r>
      <w:r w:rsidR="006B7B73" w:rsidRPr="006B7B73">
        <w:rPr>
          <w:shd w:val="clear" w:color="auto" w:fill="FFFFFF"/>
          <w:lang w:val="en-US"/>
        </w:rPr>
        <w:t xml:space="preserve">; </w:t>
      </w:r>
      <w:r w:rsidR="009F4492">
        <w:rPr>
          <w:shd w:val="clear" w:color="auto" w:fill="FFFFFF"/>
          <w:lang w:val="en-US"/>
        </w:rPr>
        <w:t xml:space="preserve">then </w:t>
      </w:r>
      <w:r w:rsidR="009F4492">
        <w:rPr>
          <w:shd w:val="clear" w:color="auto" w:fill="FFFFFF"/>
        </w:rPr>
        <w:t>he states</w:t>
      </w:r>
      <w:r w:rsidRPr="00C81CA8">
        <w:rPr>
          <w:shd w:val="clear" w:color="auto" w:fill="FFFFFF"/>
        </w:rPr>
        <w:t xml:space="preserve"> that male gods ‘had rights concerning virginity of young women or brides’ (Mastrocinque</w:t>
      </w:r>
      <w:r w:rsidR="00754449">
        <w:rPr>
          <w:shd w:val="clear" w:color="auto" w:fill="FFFFFF"/>
        </w:rPr>
        <w:t xml:space="preserve"> 2014</w:t>
      </w:r>
      <w:r w:rsidRPr="00C81CA8">
        <w:rPr>
          <w:shd w:val="clear" w:color="auto" w:fill="FFFFFF"/>
        </w:rPr>
        <w:t>: 21) So by claiming that the ‘sexual life of women had</w:t>
      </w:r>
      <w:r w:rsidR="006B7B73">
        <w:rPr>
          <w:shd w:val="clear" w:color="auto" w:fill="FFFFFF"/>
        </w:rPr>
        <w:t xml:space="preserve"> to be fertilised by gods’ (Mastrocinque 2014: 25) he </w:t>
      </w:r>
      <w:r w:rsidRPr="00C81CA8">
        <w:rPr>
          <w:shd w:val="clear" w:color="auto" w:fill="FFFFFF"/>
        </w:rPr>
        <w:t xml:space="preserve">puts </w:t>
      </w:r>
      <w:r w:rsidRPr="00C81CA8">
        <w:rPr>
          <w:i/>
          <w:shd w:val="clear" w:color="auto" w:fill="FFFFFF"/>
        </w:rPr>
        <w:t>Lupercalia</w:t>
      </w:r>
      <w:r w:rsidRPr="00C81CA8">
        <w:rPr>
          <w:shd w:val="clear" w:color="auto" w:fill="FFFFFF"/>
        </w:rPr>
        <w:t xml:space="preserve"> on the same context.</w:t>
      </w:r>
    </w:p>
    <w:p w:rsidR="00BC501B" w:rsidRPr="00C81CA8" w:rsidRDefault="00BC501B" w:rsidP="00BC501B">
      <w:pPr>
        <w:spacing w:line="360" w:lineRule="auto"/>
        <w:jc w:val="both"/>
      </w:pPr>
      <w:r w:rsidRPr="00C81CA8">
        <w:t>Momigliano (1963) use</w:t>
      </w:r>
      <w:r w:rsidR="006B7B73">
        <w:t xml:space="preserve">s the evidence from </w:t>
      </w:r>
      <w:r w:rsidRPr="00C81CA8">
        <w:t>religious custom</w:t>
      </w:r>
      <w:r w:rsidR="006B7B73">
        <w:t>s</w:t>
      </w:r>
      <w:r w:rsidRPr="00C81CA8">
        <w:t xml:space="preserve"> to understand the topography of ancient Rome.</w:t>
      </w:r>
      <w:r w:rsidR="00C81CA8">
        <w:t xml:space="preserve"> However, h</w:t>
      </w:r>
      <w:r w:rsidRPr="00C81CA8">
        <w:t xml:space="preserve">is argument does not seem valid as he perceives </w:t>
      </w:r>
      <w:r w:rsidRPr="00C81CA8">
        <w:rPr>
          <w:i/>
        </w:rPr>
        <w:t>Lupercalia</w:t>
      </w:r>
      <w:r w:rsidRPr="00C81CA8">
        <w:t xml:space="preserve"> as an unchanged ritual through historical time and space. </w:t>
      </w:r>
      <w:r w:rsidR="006B7B73">
        <w:t>The only thing we can be sure</w:t>
      </w:r>
      <w:r w:rsidRPr="00C81CA8">
        <w:t xml:space="preserve"> is that the ritual was not static and it changed form through different periods.</w:t>
      </w:r>
    </w:p>
    <w:p w:rsidR="00BC501B" w:rsidRPr="00C81CA8" w:rsidRDefault="00BC501B" w:rsidP="00BC501B">
      <w:pPr>
        <w:spacing w:line="360" w:lineRule="auto"/>
        <w:jc w:val="both"/>
      </w:pPr>
      <w:r w:rsidRPr="00C81CA8">
        <w:t>After Caesar</w:t>
      </w:r>
      <w:r w:rsidR="006B7B73">
        <w:t xml:space="preserve"> the</w:t>
      </w:r>
      <w:r w:rsidRPr="00C81CA8">
        <w:t xml:space="preserve"> </w:t>
      </w:r>
      <w:r w:rsidRPr="00C81CA8">
        <w:rPr>
          <w:i/>
        </w:rPr>
        <w:t>Lupercalia</w:t>
      </w:r>
      <w:r w:rsidRPr="00C81CA8">
        <w:t xml:space="preserve"> seem to have been overlooked and came back to the scene when Augustus himself restored it </w:t>
      </w:r>
      <w:hyperlink r:id="rId16" w:anchor="31" w:tgtFrame="Suetonius_E" w:history="1">
        <w:r w:rsidRPr="00C81CA8">
          <w:rPr>
            <w:rStyle w:val="Hyperlink"/>
            <w:color w:val="auto"/>
            <w:u w:val="none"/>
          </w:rPr>
          <w:t>(Suet. </w:t>
        </w:r>
        <w:r w:rsidRPr="00C81CA8">
          <w:rPr>
            <w:rStyle w:val="Hyperlink"/>
            <w:i/>
            <w:iCs/>
            <w:color w:val="auto"/>
            <w:u w:val="none"/>
          </w:rPr>
          <w:t>Aug.</w:t>
        </w:r>
        <w:r w:rsidRPr="00C81CA8">
          <w:rPr>
            <w:rStyle w:val="Hyperlink"/>
            <w:color w:val="auto"/>
            <w:u w:val="none"/>
          </w:rPr>
          <w:t> 31)</w:t>
        </w:r>
      </w:hyperlink>
      <w:r w:rsidRPr="00C81CA8">
        <w:t xml:space="preserve">. It is notable that he banned youths (imberdes) </w:t>
      </w:r>
      <w:r w:rsidR="00C81CA8">
        <w:t xml:space="preserve">participating </w:t>
      </w:r>
      <w:r w:rsidRPr="00C81CA8">
        <w:t>in the festival.  </w:t>
      </w:r>
      <w:r w:rsidRPr="00C81CA8">
        <w:rPr>
          <w:rStyle w:val="latin"/>
          <w:i/>
        </w:rPr>
        <w:t>Lupercalia</w:t>
      </w:r>
      <w:r w:rsidRPr="00C81CA8">
        <w:t> were also commemorate</w:t>
      </w:r>
      <w:r w:rsidR="006B7B73">
        <w:t>d</w:t>
      </w:r>
      <w:r w:rsidRPr="00C81CA8">
        <w:t xml:space="preserve"> in other towns of Italy and Gaul, for </w:t>
      </w:r>
      <w:r w:rsidRPr="00C81CA8">
        <w:rPr>
          <w:rStyle w:val="latin"/>
          <w:i/>
        </w:rPr>
        <w:t>Luperci</w:t>
      </w:r>
      <w:r w:rsidRPr="00C81CA8">
        <w:t> are cited in inscriptions of Velitrae, Praeneste, Nemausus, and other places (Orelli, </w:t>
      </w:r>
      <w:r w:rsidRPr="00C81CA8">
        <w:rPr>
          <w:i/>
          <w:iCs/>
        </w:rPr>
        <w:t>Inscr.</w:t>
      </w:r>
      <w:r w:rsidRPr="00C81CA8">
        <w:t> </w:t>
      </w:r>
      <w:r w:rsidR="006B7B73" w:rsidRPr="00C81CA8">
        <w:t>N</w:t>
      </w:r>
      <w:r w:rsidR="006B7B73">
        <w:t>o 2251</w:t>
      </w:r>
      <w:r w:rsidR="00CD5093">
        <w:t xml:space="preserve">) </w:t>
      </w:r>
      <w:r w:rsidRPr="00C81CA8">
        <w:t>(</w:t>
      </w:r>
      <w:r w:rsidR="00CD5093">
        <w:t>see also</w:t>
      </w:r>
      <w:r w:rsidRPr="00C81CA8">
        <w:t xml:space="preserve"> Hartung</w:t>
      </w:r>
      <w:r w:rsidR="00CD5093">
        <w:t xml:space="preserve"> 1836</w:t>
      </w:r>
      <w:r w:rsidRPr="00C81CA8">
        <w:t xml:space="preserve">). </w:t>
      </w:r>
      <w:r w:rsidR="00C81CA8" w:rsidRPr="00C81CA8">
        <w:rPr>
          <w:i/>
        </w:rPr>
        <w:t>Lupercalia</w:t>
      </w:r>
      <w:r w:rsidR="00C81CA8" w:rsidRPr="00C81CA8">
        <w:t xml:space="preserve"> was the rite which survi</w:t>
      </w:r>
      <w:r w:rsidR="00CD5093">
        <w:t xml:space="preserve">ved the longest among all, </w:t>
      </w:r>
      <w:r w:rsidRPr="00C81CA8">
        <w:t>until the time of the emperor Anastasius. </w:t>
      </w:r>
      <w:r w:rsidR="00CD5093">
        <w:t xml:space="preserve">Only in </w:t>
      </w:r>
      <w:r w:rsidRPr="00C81CA8">
        <w:t>494 CE Pope </w:t>
      </w:r>
      <w:hyperlink r:id="rId17" w:tgtFrame="_blank" w:history="1">
        <w:r w:rsidR="00CD5093">
          <w:rPr>
            <w:rStyle w:val="Hyperlink"/>
            <w:color w:val="auto"/>
            <w:u w:val="none"/>
          </w:rPr>
          <w:t xml:space="preserve">Gelasius </w:t>
        </w:r>
        <w:r w:rsidRPr="00C81CA8">
          <w:rPr>
            <w:rStyle w:val="Hyperlink"/>
            <w:color w:val="auto"/>
            <w:u w:val="none"/>
          </w:rPr>
          <w:t>I</w:t>
        </w:r>
      </w:hyperlink>
      <w:r w:rsidR="00CD5093">
        <w:t xml:space="preserve"> banned </w:t>
      </w:r>
      <w:r w:rsidRPr="00C81CA8">
        <w:t>the practice describing</w:t>
      </w:r>
      <w:r w:rsidR="00CD5093">
        <w:t xml:space="preserve"> the festival of</w:t>
      </w:r>
      <w:r w:rsidRPr="00C81CA8">
        <w:t> </w:t>
      </w:r>
      <w:r w:rsidR="00C81CA8" w:rsidRPr="00C81CA8">
        <w:rPr>
          <w:i/>
        </w:rPr>
        <w:t>Lupercalia</w:t>
      </w:r>
      <w:r w:rsidR="00C81CA8" w:rsidRPr="00C81CA8">
        <w:t xml:space="preserve"> </w:t>
      </w:r>
      <w:r w:rsidRPr="00C81CA8">
        <w:t xml:space="preserve">as the </w:t>
      </w:r>
      <w:r w:rsidR="00C81CA8">
        <w:t>‘</w:t>
      </w:r>
      <w:r w:rsidRPr="00C81CA8">
        <w:t>Feast of the Purification</w:t>
      </w:r>
      <w:r w:rsidR="00C81CA8">
        <w:t>’</w:t>
      </w:r>
      <w:r w:rsidRPr="00C81CA8">
        <w:t> (‘Gelasius I’, Adv. Andromachum contra L., CSEL 35). Wiseman (1995) place</w:t>
      </w:r>
      <w:r w:rsidR="00C81CA8">
        <w:t>s</w:t>
      </w:r>
      <w:r w:rsidRPr="00C81CA8">
        <w:t xml:space="preserve"> it</w:t>
      </w:r>
      <w:r w:rsidR="00C81CA8">
        <w:t>s demise</w:t>
      </w:r>
      <w:r w:rsidRPr="00C81CA8">
        <w:t xml:space="preserve"> in the late 5</w:t>
      </w:r>
      <w:r w:rsidRPr="00C81CA8">
        <w:rPr>
          <w:vertAlign w:val="superscript"/>
        </w:rPr>
        <w:t>th</w:t>
      </w:r>
      <w:r w:rsidRPr="00C81CA8">
        <w:t> century by Pope Felix III</w:t>
      </w:r>
      <w:r w:rsidR="00CD5093">
        <w:t xml:space="preserve">, however </w:t>
      </w:r>
      <w:r w:rsidRPr="00C81CA8">
        <w:t>its existence</w:t>
      </w:r>
      <w:r w:rsidR="00CD5093">
        <w:t xml:space="preserve"> was mentioned as late on the</w:t>
      </w:r>
      <w:r w:rsidRPr="00C81CA8">
        <w:t xml:space="preserve"> 10</w:t>
      </w:r>
      <w:r w:rsidRPr="00C81CA8">
        <w:rPr>
          <w:vertAlign w:val="superscript"/>
        </w:rPr>
        <w:t>th</w:t>
      </w:r>
      <w:r w:rsidRPr="00C81CA8">
        <w:t xml:space="preserve"> century in Constantinople, named as </w:t>
      </w:r>
      <w:r w:rsidRPr="00C81CA8">
        <w:rPr>
          <w:i/>
        </w:rPr>
        <w:t>makellarikon</w:t>
      </w:r>
      <w:r w:rsidR="00FE5B86">
        <w:t xml:space="preserve"> (Duval 1977: </w:t>
      </w:r>
      <w:r w:rsidRPr="00C81CA8">
        <w:t>2</w:t>
      </w:r>
      <w:r w:rsidR="00FE5B86">
        <w:t xml:space="preserve">26). Nikolaos </w:t>
      </w:r>
      <w:r w:rsidR="00050CBE">
        <w:t xml:space="preserve">Politis, </w:t>
      </w:r>
      <w:r w:rsidRPr="00C81CA8">
        <w:t>known a</w:t>
      </w:r>
      <w:r w:rsidR="00050CBE">
        <w:t>s the father of Greek Folklore S</w:t>
      </w:r>
      <w:r w:rsidRPr="00C81CA8">
        <w:t xml:space="preserve">tudies </w:t>
      </w:r>
      <w:r w:rsidR="00FE5B86">
        <w:t>assumed that the modern G</w:t>
      </w:r>
      <w:r w:rsidRPr="00C81CA8">
        <w:t>reek </w:t>
      </w:r>
      <w:r w:rsidR="00FE5B86" w:rsidRPr="00C81CA8">
        <w:t>carnival</w:t>
      </w:r>
      <w:r w:rsidR="00050CBE">
        <w:t> is</w:t>
      </w:r>
      <w:r w:rsidRPr="00C81CA8">
        <w:t xml:space="preserve"> a continuation of</w:t>
      </w:r>
      <w:r w:rsidR="00050CBE">
        <w:t xml:space="preserve"> the</w:t>
      </w:r>
      <w:r w:rsidRPr="00C81CA8">
        <w:t xml:space="preserve"> </w:t>
      </w:r>
      <w:r w:rsidRPr="00C81CA8">
        <w:rPr>
          <w:i/>
        </w:rPr>
        <w:t>Lupercalia</w:t>
      </w:r>
      <w:r w:rsidR="00050CBE">
        <w:t xml:space="preserve"> (Tiverios</w:t>
      </w:r>
      <w:r w:rsidRPr="00C81CA8">
        <w:t xml:space="preserve"> 2001). Even the ancient sources give it carnival-like characteristics (Varro in Ter</w:t>
      </w:r>
      <w:r w:rsidR="00050CBE">
        <w:t>t. de spectaculis 5. 3; Cic. Cael. 26; Liv. 1. 5.</w:t>
      </w:r>
      <w:r w:rsidRPr="00C81CA8">
        <w:t xml:space="preserve"> 2). </w:t>
      </w:r>
    </w:p>
    <w:p w:rsidR="00BC501B" w:rsidRPr="00C81CA8" w:rsidRDefault="00050CBE" w:rsidP="00BC501B">
      <w:pPr>
        <w:spacing w:line="360" w:lineRule="auto"/>
        <w:jc w:val="both"/>
        <w:rPr>
          <w:shd w:val="clear" w:color="auto" w:fill="FFFFFF"/>
        </w:rPr>
      </w:pPr>
      <w:r>
        <w:t xml:space="preserve">There is </w:t>
      </w:r>
      <w:r w:rsidR="00BC501B" w:rsidRPr="00C81CA8">
        <w:t xml:space="preserve">uncertainty among ancient and modern scholarship regarding which deity the festival referred to. </w:t>
      </w:r>
      <w:r w:rsidR="00BC501B" w:rsidRPr="00C81CA8">
        <w:rPr>
          <w:shd w:val="clear" w:color="auto" w:fill="FFFFFF"/>
        </w:rPr>
        <w:t xml:space="preserve">In "The God of the Lupercalia", Wiseman (1995) suggests a variety of related gods. </w:t>
      </w:r>
      <w:r w:rsidR="00BC501B" w:rsidRPr="00C81CA8">
        <w:t>Luperc</w:t>
      </w:r>
      <w:r>
        <w:t xml:space="preserve">alia was a fertility rite and </w:t>
      </w:r>
      <w:r w:rsidR="00BC501B" w:rsidRPr="00C81CA8">
        <w:t xml:space="preserve">can be easily associated </w:t>
      </w:r>
      <w:r w:rsidR="00BC501B" w:rsidRPr="00C81CA8">
        <w:lastRenderedPageBreak/>
        <w:t>with relevant deities</w:t>
      </w:r>
      <w:r>
        <w:t>, like</w:t>
      </w:r>
      <w:r w:rsidR="00BC501B" w:rsidRPr="00C81CA8">
        <w:t> </w:t>
      </w:r>
      <w:r w:rsidR="00BC501B" w:rsidRPr="00C81CA8">
        <w:rPr>
          <w:i/>
        </w:rPr>
        <w:t>Lupercus</w:t>
      </w:r>
      <w:r w:rsidR="00BC501B" w:rsidRPr="00C81CA8">
        <w:t xml:space="preserve">, who had an altar in the </w:t>
      </w:r>
      <w:r w:rsidR="00BC501B" w:rsidRPr="00C81CA8">
        <w:rPr>
          <w:i/>
        </w:rPr>
        <w:t>Luperca</w:t>
      </w:r>
      <w:r w:rsidR="00BC501B" w:rsidRPr="00C81CA8">
        <w:t>l (</w:t>
      </w:r>
      <w:hyperlink r:id="rId18" w:tgtFrame="_blank" w:history="1">
        <w:r w:rsidR="00BC501B" w:rsidRPr="00C81CA8">
          <w:rPr>
            <w:rStyle w:val="Hyperlink"/>
            <w:color w:val="auto"/>
            <w:u w:val="none"/>
          </w:rPr>
          <w:t>Aurel. Vict. de Orig. Gent. Rom. 22</w:t>
        </w:r>
      </w:hyperlink>
      <w:r w:rsidR="00BC501B" w:rsidRPr="00C81CA8">
        <w:t>; </w:t>
      </w:r>
      <w:hyperlink r:id="rId19" w:tgtFrame="_blank" w:history="1">
        <w:r w:rsidR="00BC501B" w:rsidRPr="00C81CA8">
          <w:rPr>
            <w:rStyle w:val="Hyperlink"/>
            <w:color w:val="auto"/>
            <w:u w:val="none"/>
          </w:rPr>
          <w:t>Ovid. Fast. II.267</w:t>
        </w:r>
      </w:hyperlink>
      <w:r>
        <w:t>, Justin (43.1. 7)) Faunus or Pan (Ov. Fast. 2.267f., 2.</w:t>
      </w:r>
      <w:r w:rsidR="00BC501B" w:rsidRPr="00C81CA8">
        <w:t>283-358), </w:t>
      </w:r>
      <w:r>
        <w:t xml:space="preserve">or </w:t>
      </w:r>
      <w:hyperlink r:id="rId20" w:tgtFrame="_blank" w:history="1">
        <w:r w:rsidR="00BC501B" w:rsidRPr="00C81CA8">
          <w:rPr>
            <w:rStyle w:val="Hyperlink"/>
            <w:color w:val="auto"/>
            <w:u w:val="none"/>
          </w:rPr>
          <w:t>Inuus</w:t>
        </w:r>
      </w:hyperlink>
      <w:r w:rsidR="00BC501B" w:rsidRPr="00C81CA8">
        <w:t> by Livy (</w:t>
      </w:r>
      <w:hyperlink r:id="rId21" w:tgtFrame="_blank" w:history="1">
        <w:r w:rsidR="00BC501B" w:rsidRPr="00C81CA8">
          <w:rPr>
            <w:rStyle w:val="Hyperlink"/>
            <w:color w:val="auto"/>
            <w:u w:val="none"/>
          </w:rPr>
          <w:t>1.5</w:t>
        </w:r>
      </w:hyperlink>
      <w:r w:rsidR="00BC501B" w:rsidRPr="00C81CA8">
        <w:t>). Greek writers and their</w:t>
      </w:r>
      <w:r w:rsidR="00E64439">
        <w:t xml:space="preserve"> Roman</w:t>
      </w:r>
      <w:r w:rsidR="00BC501B" w:rsidRPr="00C81CA8">
        <w:t xml:space="preserve"> followers </w:t>
      </w:r>
      <w:r w:rsidR="00E64439">
        <w:t xml:space="preserve">represent the </w:t>
      </w:r>
      <w:r w:rsidR="00E64439" w:rsidRPr="00E64439">
        <w:rPr>
          <w:i/>
        </w:rPr>
        <w:t>Luperecalia</w:t>
      </w:r>
      <w:r w:rsidR="00BC501B" w:rsidRPr="00E64439">
        <w:rPr>
          <w:i/>
        </w:rPr>
        <w:t xml:space="preserve"> </w:t>
      </w:r>
      <w:r w:rsidR="00BC501B" w:rsidRPr="00C81CA8">
        <w:t xml:space="preserve">as a festival of the Pan cult of Arcadia and the Lykaia (Plut. Caesar 61: </w:t>
      </w:r>
      <w:r w:rsidR="00BC501B" w:rsidRPr="00C81CA8">
        <w:rPr>
          <w:rStyle w:val="Emphasis"/>
          <w:lang w:val="el-GR"/>
        </w:rPr>
        <w:t>Ἦν</w:t>
      </w:r>
      <w:r w:rsidR="00BC501B" w:rsidRPr="00C81CA8">
        <w:t xml:space="preserve"> </w:t>
      </w:r>
      <w:r w:rsidR="00BC501B" w:rsidRPr="00C81CA8">
        <w:rPr>
          <w:rStyle w:val="Emphasis"/>
          <w:lang w:val="el-GR"/>
        </w:rPr>
        <w:t>μέν</w:t>
      </w:r>
      <w:r w:rsidR="00BC501B" w:rsidRPr="00C81CA8">
        <w:t xml:space="preserve"> </w:t>
      </w:r>
      <w:r w:rsidR="00BC501B" w:rsidRPr="00C81CA8">
        <w:rPr>
          <w:rStyle w:val="Emphasis"/>
          <w:lang w:val="el-GR"/>
        </w:rPr>
        <w:t>γάρ</w:t>
      </w:r>
      <w:r w:rsidR="00BC501B" w:rsidRPr="00C81CA8">
        <w:t xml:space="preserve"> </w:t>
      </w:r>
      <w:r w:rsidR="00BC501B" w:rsidRPr="00C81CA8">
        <w:rPr>
          <w:rStyle w:val="Emphasis"/>
          <w:lang w:val="el-GR"/>
        </w:rPr>
        <w:t>ἡ</w:t>
      </w:r>
      <w:r w:rsidR="00BC501B" w:rsidRPr="00C81CA8">
        <w:t xml:space="preserve"> </w:t>
      </w:r>
      <w:r w:rsidR="00BC501B" w:rsidRPr="00C81CA8">
        <w:rPr>
          <w:rStyle w:val="Emphasis"/>
          <w:bCs/>
          <w:lang w:val="el-GR"/>
        </w:rPr>
        <w:t>τῶν</w:t>
      </w:r>
      <w:r w:rsidR="00BC501B" w:rsidRPr="00C81CA8">
        <w:t xml:space="preserve"> </w:t>
      </w:r>
      <w:r w:rsidR="00BC501B" w:rsidRPr="00C81CA8">
        <w:rPr>
          <w:rStyle w:val="Emphasis"/>
          <w:bCs/>
          <w:lang w:val="el-GR"/>
        </w:rPr>
        <w:t>Λουπερκαλίων</w:t>
      </w:r>
      <w:r w:rsidR="00BC501B" w:rsidRPr="00C81CA8">
        <w:t xml:space="preserve"> </w:t>
      </w:r>
      <w:r w:rsidR="00BC501B" w:rsidRPr="00C81CA8">
        <w:rPr>
          <w:rStyle w:val="Emphasis"/>
          <w:bCs/>
          <w:lang w:val="el-GR"/>
        </w:rPr>
        <w:t>ἑορτή</w:t>
      </w:r>
      <w:r w:rsidR="00BC501B" w:rsidRPr="00C81CA8">
        <w:t xml:space="preserve">… </w:t>
      </w:r>
      <w:r w:rsidR="00BC501B" w:rsidRPr="00C81CA8">
        <w:rPr>
          <w:rStyle w:val="Emphasis"/>
          <w:lang w:val="el-GR"/>
        </w:rPr>
        <w:t>προσήκει</w:t>
      </w:r>
      <w:r w:rsidR="00BC501B" w:rsidRPr="00C81CA8">
        <w:rPr>
          <w:rStyle w:val="Emphasis"/>
        </w:rPr>
        <w:t xml:space="preserve"> </w:t>
      </w:r>
      <w:r w:rsidR="00BC501B" w:rsidRPr="00C81CA8">
        <w:rPr>
          <w:rStyle w:val="Emphasis"/>
          <w:lang w:val="el-GR"/>
        </w:rPr>
        <w:t>τοῖς</w:t>
      </w:r>
      <w:r w:rsidR="00BC501B" w:rsidRPr="00C81CA8">
        <w:rPr>
          <w:rStyle w:val="Emphasis"/>
        </w:rPr>
        <w:t xml:space="preserve"> </w:t>
      </w:r>
      <w:r w:rsidR="00BC501B" w:rsidRPr="00C81CA8">
        <w:rPr>
          <w:rStyle w:val="Emphasis"/>
          <w:bCs/>
          <w:lang w:val="el-GR"/>
        </w:rPr>
        <w:t>Ἀρκαδικοῖς</w:t>
      </w:r>
      <w:r w:rsidR="00BC501B" w:rsidRPr="00C81CA8">
        <w:rPr>
          <w:rStyle w:val="Emphasis"/>
          <w:bCs/>
        </w:rPr>
        <w:t xml:space="preserve"> </w:t>
      </w:r>
      <w:r w:rsidR="00BC501B" w:rsidRPr="00C81CA8">
        <w:rPr>
          <w:rStyle w:val="Emphasis"/>
          <w:bCs/>
          <w:lang w:val="el-GR"/>
        </w:rPr>
        <w:t>Λυκαίοις</w:t>
      </w:r>
      <w:r w:rsidR="00BC501B" w:rsidRPr="00C81CA8">
        <w:rPr>
          <w:rStyle w:val="Emphasis"/>
        </w:rPr>
        <w:t>)</w:t>
      </w:r>
      <w:r w:rsidR="00BC501B" w:rsidRPr="00C81CA8">
        <w:t xml:space="preserve"> </w:t>
      </w:r>
      <w:r w:rsidR="00E64439">
        <w:t>high lightened it as a werewolf symbol</w:t>
      </w:r>
      <w:r w:rsidR="00BC501B" w:rsidRPr="00C81CA8">
        <w:t xml:space="preserve"> (Varro in Aug. Civ. 18, 17), introduced by the Arcadian Evander (Liv. 1, 5; Dion. Hal. Ant</w:t>
      </w:r>
      <w:r w:rsidR="00B609DD">
        <w:t>. Rom. 1, 79, 8-14; Ov. Fast. 2.</w:t>
      </w:r>
      <w:r w:rsidR="00BC501B" w:rsidRPr="00C81CA8">
        <w:t>267-282; Plut. Romulus 21, 3-5). Schmitz (1975) call</w:t>
      </w:r>
      <w:r>
        <w:t>s this import</w:t>
      </w:r>
      <w:r w:rsidR="00BC501B" w:rsidRPr="00C81CA8">
        <w:t xml:space="preserve"> a misrepresentation referring to the desire of these writers to connect Greek and Roman deities in order to show the depth of its origin. Another interpretation is that the goatskins (</w:t>
      </w:r>
      <w:r w:rsidR="00BC501B" w:rsidRPr="00C81CA8">
        <w:rPr>
          <w:i/>
        </w:rPr>
        <w:t>februum</w:t>
      </w:r>
      <w:r w:rsidR="00BC501B" w:rsidRPr="00C81CA8">
        <w:t>) and the February month in which it occurs are linked to the god Februus</w:t>
      </w:r>
      <w:r w:rsidR="00E64439">
        <w:t xml:space="preserve"> (Wiseman 1995)</w:t>
      </w:r>
      <w:r w:rsidR="00BC501B" w:rsidRPr="00C81CA8">
        <w:t>.</w:t>
      </w:r>
      <w:r w:rsidR="00BC501B" w:rsidRPr="00C81CA8">
        <w:rPr>
          <w:lang w:val="en-US"/>
        </w:rPr>
        <w:t xml:space="preserve"> </w:t>
      </w:r>
      <w:r w:rsidR="00BC501B" w:rsidRPr="00C81CA8">
        <w:rPr>
          <w:shd w:val="clear" w:color="auto" w:fill="FFFFFF"/>
        </w:rPr>
        <w:t>Other possibilities include Mars, Juno, Bacchus, Luperca, Silvanus and Dionysus</w:t>
      </w:r>
      <w:r w:rsidR="00E64439">
        <w:rPr>
          <w:shd w:val="clear" w:color="auto" w:fill="FFFFFF"/>
        </w:rPr>
        <w:t xml:space="preserve"> (Wiseman 1995)</w:t>
      </w:r>
      <w:r w:rsidR="00BC501B" w:rsidRPr="00C81CA8">
        <w:rPr>
          <w:shd w:val="clear" w:color="auto" w:fill="FFFFFF"/>
        </w:rPr>
        <w:t>.</w:t>
      </w:r>
    </w:p>
    <w:p w:rsidR="00BC501B" w:rsidRPr="00C81CA8" w:rsidRDefault="00BC501B" w:rsidP="00BC501B">
      <w:pPr>
        <w:spacing w:line="360" w:lineRule="auto"/>
        <w:jc w:val="both"/>
      </w:pPr>
      <w:r w:rsidRPr="00C81CA8">
        <w:t>Wiseman (1995) explains that different deities can be identified as primary and that depends</w:t>
      </w:r>
      <w:r w:rsidR="00C81CA8">
        <w:t xml:space="preserve"> from the time and what benefits</w:t>
      </w:r>
      <w:r w:rsidRPr="00C81CA8">
        <w:t xml:space="preserve"> the deity can give to the society. </w:t>
      </w:r>
      <w:r w:rsidRPr="00C81CA8">
        <w:rPr>
          <w:i/>
        </w:rPr>
        <w:t>Lupercalia</w:t>
      </w:r>
      <w:r w:rsidRPr="00C81CA8">
        <w:t xml:space="preserve"> can function to prevent things like plague</w:t>
      </w:r>
      <w:r w:rsidR="00752B84">
        <w:t xml:space="preserve"> and in each case a new deity</w:t>
      </w:r>
      <w:r w:rsidRPr="00C81CA8">
        <w:t xml:space="preserve"> can be brought as a main focus.</w:t>
      </w:r>
      <w:r w:rsidR="00E64439" w:rsidRPr="00E64439">
        <w:t xml:space="preserve"> </w:t>
      </w:r>
      <w:r w:rsidR="00E64439" w:rsidRPr="00C81CA8">
        <w:t>Thayers mention</w:t>
      </w:r>
      <w:r w:rsidR="00E64439">
        <w:t>ed in Schmitz (1975)</w:t>
      </w:r>
      <w:r w:rsidR="00E64439" w:rsidRPr="00C81CA8">
        <w:t xml:space="preserve"> that</w:t>
      </w:r>
      <w:r w:rsidR="00E64439">
        <w:t xml:space="preserve"> the God Lupercus was perhaps back-constructed</w:t>
      </w:r>
      <w:r w:rsidR="00E64439" w:rsidRPr="00C81CA8">
        <w:t xml:space="preserve"> out of the festival. As orthopraxy was much more important than orthodoxy in the ancient Roman world we can assume that the festival rite itself was </w:t>
      </w:r>
      <w:r w:rsidR="00E64439">
        <w:t>more important than the deity</w:t>
      </w:r>
      <w:r w:rsidR="00E64439" w:rsidRPr="00C81CA8">
        <w:t>.</w:t>
      </w:r>
    </w:p>
    <w:p w:rsidR="00BC501B" w:rsidRPr="00C81CA8" w:rsidRDefault="00BC501B" w:rsidP="00BC501B">
      <w:pPr>
        <w:spacing w:line="360" w:lineRule="auto"/>
        <w:jc w:val="both"/>
      </w:pPr>
      <w:r w:rsidRPr="00C81CA8">
        <w:t xml:space="preserve">In modern times </w:t>
      </w:r>
      <w:r w:rsidRPr="00C81CA8">
        <w:rPr>
          <w:i/>
        </w:rPr>
        <w:t>Lupercalia</w:t>
      </w:r>
      <w:r w:rsidRPr="00C81CA8">
        <w:t xml:space="preserve"> are known through Shakespeare in his </w:t>
      </w:r>
      <w:r w:rsidRPr="00C81CA8">
        <w:rPr>
          <w:i/>
        </w:rPr>
        <w:t>Julius Caesar</w:t>
      </w:r>
      <w:r w:rsidRPr="00C81CA8">
        <w:t xml:space="preserve"> as </w:t>
      </w:r>
      <w:r w:rsidRPr="00C81CA8">
        <w:rPr>
          <w:shd w:val="clear" w:color="auto" w:fill="FFFFFF"/>
        </w:rPr>
        <w:t xml:space="preserve">the setting for Caesar's refusal of the crown. While there are a lot of conjectures for the correlation with Valentine’s Day </w:t>
      </w:r>
      <w:r w:rsidRPr="00C81CA8">
        <w:t>there is no significance evidence</w:t>
      </w:r>
      <w:r w:rsidR="004D3F15">
        <w:t xml:space="preserve"> (Encyclopaedia Britanicca 2018)</w:t>
      </w:r>
      <w:r w:rsidRPr="00C81CA8">
        <w:t>.</w:t>
      </w:r>
    </w:p>
    <w:p w:rsidR="00BC501B" w:rsidRPr="00C81CA8" w:rsidRDefault="00BC501B" w:rsidP="00BC501B">
      <w:pPr>
        <w:spacing w:line="360" w:lineRule="auto"/>
        <w:jc w:val="both"/>
        <w:rPr>
          <w:shd w:val="clear" w:color="auto" w:fill="FFFFFF"/>
        </w:rPr>
      </w:pPr>
      <w:r w:rsidRPr="00C81CA8">
        <w:rPr>
          <w:shd w:val="clear" w:color="auto" w:fill="FFFFFF"/>
        </w:rPr>
        <w:t>Wiseman (1995) says </w:t>
      </w:r>
      <w:r w:rsidRPr="00C81CA8">
        <w:t>Varro</w:t>
      </w:r>
      <w:r w:rsidRPr="00C81CA8">
        <w:rPr>
          <w:shd w:val="clear" w:color="auto" w:fill="FFFFFF"/>
        </w:rPr>
        <w:t xml:space="preserve"> called the </w:t>
      </w:r>
      <w:r w:rsidRPr="00C81CA8">
        <w:rPr>
          <w:i/>
          <w:shd w:val="clear" w:color="auto" w:fill="FFFFFF"/>
        </w:rPr>
        <w:t>Luperci</w:t>
      </w:r>
      <w:r w:rsidRPr="00C81CA8">
        <w:rPr>
          <w:shd w:val="clear" w:color="auto" w:fill="FFFFFF"/>
        </w:rPr>
        <w:t xml:space="preserve"> 'actors' (</w:t>
      </w:r>
      <w:r w:rsidRPr="00C81CA8">
        <w:rPr>
          <w:rStyle w:val="Emphasis"/>
          <w:shd w:val="clear" w:color="auto" w:fill="FFFFFF"/>
        </w:rPr>
        <w:t>ludii</w:t>
      </w:r>
      <w:r w:rsidRPr="00C81CA8">
        <w:rPr>
          <w:shd w:val="clear" w:color="auto" w:fill="FFFFFF"/>
        </w:rPr>
        <w:t>).</w:t>
      </w:r>
      <w:r w:rsidR="000A01EB">
        <w:rPr>
          <w:shd w:val="clear" w:color="auto" w:fill="FFFFFF"/>
        </w:rPr>
        <w:t xml:space="preserve"> </w:t>
      </w:r>
      <w:r w:rsidR="00526682">
        <w:rPr>
          <w:shd w:val="clear" w:color="auto" w:fill="FFFFFF"/>
        </w:rPr>
        <w:t>Perhaps in Lactanius time</w:t>
      </w:r>
      <w:r w:rsidR="000A01EB">
        <w:rPr>
          <w:shd w:val="clear" w:color="auto" w:fill="FFFFFF"/>
        </w:rPr>
        <w:t xml:space="preserve"> </w:t>
      </w:r>
      <w:r w:rsidRPr="00C81CA8">
        <w:rPr>
          <w:shd w:val="clear" w:color="auto" w:fill="FFFFFF"/>
        </w:rPr>
        <w:t>dramatic masks</w:t>
      </w:r>
      <w:r w:rsidR="000A01EB">
        <w:rPr>
          <w:shd w:val="clear" w:color="auto" w:fill="FFFFFF"/>
        </w:rPr>
        <w:t xml:space="preserve"> </w:t>
      </w:r>
      <w:r w:rsidR="00526682">
        <w:rPr>
          <w:shd w:val="clear" w:color="auto" w:fill="FFFFFF"/>
        </w:rPr>
        <w:t xml:space="preserve">were </w:t>
      </w:r>
      <w:r w:rsidR="000A01EB">
        <w:rPr>
          <w:shd w:val="clear" w:color="auto" w:fill="FFFFFF"/>
        </w:rPr>
        <w:t xml:space="preserve">worn by the </w:t>
      </w:r>
      <w:r w:rsidR="000A01EB" w:rsidRPr="000A01EB">
        <w:rPr>
          <w:i/>
          <w:shd w:val="clear" w:color="auto" w:fill="FFFFFF"/>
        </w:rPr>
        <w:t>Luperci</w:t>
      </w:r>
      <w:r w:rsidR="00D912A6" w:rsidRPr="000A01EB">
        <w:rPr>
          <w:i/>
          <w:shd w:val="clear" w:color="auto" w:fill="FFFFFF"/>
        </w:rPr>
        <w:t xml:space="preserve"> </w:t>
      </w:r>
      <w:r w:rsidR="00D912A6">
        <w:rPr>
          <w:shd w:val="clear" w:color="auto" w:fill="FFFFFF"/>
        </w:rPr>
        <w:t>(Wiseman 1995</w:t>
      </w:r>
      <w:r w:rsidR="00526682">
        <w:rPr>
          <w:shd w:val="clear" w:color="auto" w:fill="FFFFFF"/>
        </w:rPr>
        <w:t>: 10</w:t>
      </w:r>
      <w:r w:rsidR="00D912A6">
        <w:rPr>
          <w:shd w:val="clear" w:color="auto" w:fill="FFFFFF"/>
        </w:rPr>
        <w:t>)</w:t>
      </w:r>
      <w:r w:rsidRPr="00C81CA8">
        <w:rPr>
          <w:shd w:val="clear" w:color="auto" w:fill="FFFFFF"/>
        </w:rPr>
        <w:t xml:space="preserve">. Fernadez (2016) saw the </w:t>
      </w:r>
      <w:r w:rsidRPr="00C81CA8">
        <w:rPr>
          <w:i/>
          <w:shd w:val="clear" w:color="auto" w:fill="FFFFFF"/>
        </w:rPr>
        <w:t>Lupercalia</w:t>
      </w:r>
      <w:r w:rsidRPr="00C81CA8">
        <w:rPr>
          <w:shd w:val="clear" w:color="auto" w:fill="FFFFFF"/>
        </w:rPr>
        <w:t xml:space="preserve"> as dance performance and mentions that the physicality of </w:t>
      </w:r>
      <w:r w:rsidRPr="00C81CA8">
        <w:rPr>
          <w:i/>
          <w:shd w:val="clear" w:color="auto" w:fill="FFFFFF"/>
        </w:rPr>
        <w:t xml:space="preserve">Luperci’s </w:t>
      </w:r>
      <w:r w:rsidRPr="00C81CA8">
        <w:rPr>
          <w:shd w:val="clear" w:color="auto" w:fill="FFFFFF"/>
        </w:rPr>
        <w:t>bodies and their mobility through the city of Rome not only transfers but also builds cultural distinction, which is important for understanding the significance of dance in Roman public rituals and its following part in the composing of Roman identities.</w:t>
      </w:r>
    </w:p>
    <w:p w:rsidR="00BC501B" w:rsidRDefault="00BC501B" w:rsidP="00BC501B">
      <w:pPr>
        <w:spacing w:line="360" w:lineRule="auto"/>
        <w:jc w:val="both"/>
        <w:rPr>
          <w:shd w:val="clear" w:color="auto" w:fill="FFFFFF"/>
        </w:rPr>
      </w:pPr>
    </w:p>
    <w:p w:rsidR="00BC501B" w:rsidRPr="00A71E5D" w:rsidRDefault="00BC501B" w:rsidP="00BC501B">
      <w:pPr>
        <w:spacing w:line="360" w:lineRule="auto"/>
        <w:jc w:val="both"/>
        <w:rPr>
          <w:b/>
          <w:sz w:val="28"/>
          <w:u w:val="single"/>
          <w:shd w:val="clear" w:color="auto" w:fill="FFFFFF"/>
        </w:rPr>
      </w:pPr>
      <w:r w:rsidRPr="00A71E5D">
        <w:rPr>
          <w:b/>
          <w:sz w:val="28"/>
          <w:u w:val="single"/>
          <w:shd w:val="clear" w:color="auto" w:fill="FFFFFF"/>
        </w:rPr>
        <w:t>Bibliography</w:t>
      </w:r>
    </w:p>
    <w:p w:rsidR="00BC501B" w:rsidRPr="0081041B" w:rsidRDefault="00BC501B" w:rsidP="00BC501B">
      <w:pPr>
        <w:spacing w:line="360" w:lineRule="auto"/>
        <w:jc w:val="both"/>
        <w:textAlignment w:val="baseline"/>
        <w:rPr>
          <w:sz w:val="22"/>
        </w:rPr>
      </w:pPr>
      <w:r w:rsidRPr="0081041B">
        <w:rPr>
          <w:rFonts w:eastAsia="Times New Roman"/>
          <w:sz w:val="22"/>
          <w:lang w:eastAsia="en-GB"/>
        </w:rPr>
        <w:t xml:space="preserve">Baudy, G. 2006. ‘Lupercalia’ in </w:t>
      </w:r>
      <w:r w:rsidRPr="0081041B">
        <w:rPr>
          <w:rStyle w:val="normaltextrun1"/>
          <w:i/>
          <w:iCs/>
          <w:sz w:val="22"/>
        </w:rPr>
        <w:t>Brill’s New Pauly</w:t>
      </w:r>
      <w:r w:rsidRPr="0081041B">
        <w:rPr>
          <w:rStyle w:val="normaltextrun1"/>
          <w:sz w:val="22"/>
        </w:rPr>
        <w:t xml:space="preserve">, Antiquity volumes edited by: Hubert </w:t>
      </w:r>
      <w:r w:rsidRPr="0081041B">
        <w:rPr>
          <w:rStyle w:val="spellingerror"/>
          <w:sz w:val="22"/>
        </w:rPr>
        <w:t>Cancik</w:t>
      </w:r>
      <w:r w:rsidRPr="0081041B">
        <w:rPr>
          <w:rStyle w:val="normaltextrun1"/>
          <w:sz w:val="22"/>
        </w:rPr>
        <w:t xml:space="preserve"> and Helmuth Schneider. Retrieved from &lt;http://dx.doi.org/10.1163/1574-9347_bnp_e712000&gt;. Access Date: 10/03/2018.</w:t>
      </w:r>
    </w:p>
    <w:p w:rsidR="00050CBE" w:rsidRPr="0081041B" w:rsidRDefault="00050CBE" w:rsidP="00BC501B">
      <w:pPr>
        <w:spacing w:line="360" w:lineRule="auto"/>
        <w:jc w:val="both"/>
        <w:textAlignment w:val="baseline"/>
        <w:rPr>
          <w:rFonts w:eastAsia="Times New Roman"/>
          <w:sz w:val="22"/>
          <w:lang w:eastAsia="en-GB"/>
        </w:rPr>
      </w:pPr>
      <w:r w:rsidRPr="0081041B">
        <w:rPr>
          <w:rFonts w:eastAsia="Times New Roman"/>
          <w:sz w:val="22"/>
          <w:lang w:eastAsia="en-GB"/>
        </w:rPr>
        <w:lastRenderedPageBreak/>
        <w:t xml:space="preserve">Duval, Y.M. 1977. ‘Des Lupercales de Constantinople aux Lupercales de Rome’ in </w:t>
      </w:r>
      <w:r w:rsidRPr="0081041B">
        <w:rPr>
          <w:rFonts w:eastAsia="Times New Roman"/>
          <w:i/>
          <w:sz w:val="22"/>
          <w:lang w:eastAsia="en-GB"/>
        </w:rPr>
        <w:t xml:space="preserve">REL </w:t>
      </w:r>
      <w:r w:rsidRPr="0081041B">
        <w:rPr>
          <w:rFonts w:eastAsia="Times New Roman"/>
          <w:sz w:val="22"/>
          <w:lang w:eastAsia="en-GB"/>
        </w:rPr>
        <w:t>55, pp. 222-270.</w:t>
      </w:r>
    </w:p>
    <w:p w:rsidR="00BC501B" w:rsidRPr="0081041B" w:rsidRDefault="00BC501B" w:rsidP="00BC501B">
      <w:pPr>
        <w:spacing w:line="360" w:lineRule="auto"/>
        <w:jc w:val="both"/>
        <w:textAlignment w:val="baseline"/>
        <w:rPr>
          <w:sz w:val="22"/>
        </w:rPr>
      </w:pPr>
      <w:r w:rsidRPr="0081041B">
        <w:rPr>
          <w:rFonts w:eastAsia="Times New Roman"/>
          <w:sz w:val="22"/>
          <w:lang w:eastAsia="en-GB"/>
        </w:rPr>
        <w:t>Fernandez, Z. A. 2016. ‘</w:t>
      </w:r>
      <w:r w:rsidRPr="0081041B">
        <w:rPr>
          <w:rStyle w:val="normaltextrun1"/>
          <w:sz w:val="22"/>
        </w:rPr>
        <w:t xml:space="preserve">Choreography of Lupercalia: Corporeality in Roman Public Religion’ in </w:t>
      </w:r>
      <w:r w:rsidRPr="0081041B">
        <w:rPr>
          <w:rStyle w:val="normaltextrun1"/>
          <w:i/>
          <w:sz w:val="22"/>
        </w:rPr>
        <w:t>Greek and Roman Musical Studies</w:t>
      </w:r>
      <w:r w:rsidRPr="0081041B">
        <w:rPr>
          <w:rStyle w:val="normaltextrun1"/>
          <w:sz w:val="22"/>
        </w:rPr>
        <w:t>, Vol 4, No. 2, pp. 311-332.</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Green W.M. 1931. ‘The Lupercalia in the Fifth Century’ in </w:t>
      </w:r>
      <w:r w:rsidRPr="0081041B">
        <w:rPr>
          <w:rFonts w:eastAsia="Times New Roman"/>
          <w:i/>
          <w:iCs/>
          <w:sz w:val="22"/>
          <w:lang w:eastAsia="en-GB"/>
        </w:rPr>
        <w:t>Classical Philology</w:t>
      </w:r>
      <w:r w:rsidRPr="0081041B">
        <w:rPr>
          <w:rFonts w:eastAsia="Times New Roman"/>
          <w:sz w:val="22"/>
          <w:lang w:eastAsia="en-GB"/>
        </w:rPr>
        <w:t>, Vol. 26, No. 1, pp. 60-69.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North, J.A. 2008. ‘Caesar at the Lupercalia’ in </w:t>
      </w:r>
      <w:r w:rsidRPr="0081041B">
        <w:rPr>
          <w:rFonts w:eastAsia="Times New Roman"/>
          <w:i/>
          <w:iCs/>
          <w:sz w:val="22"/>
          <w:lang w:eastAsia="en-GB"/>
        </w:rPr>
        <w:t>The Journal of Roman Studies</w:t>
      </w:r>
      <w:r w:rsidRPr="0081041B">
        <w:rPr>
          <w:rFonts w:eastAsia="Times New Roman"/>
          <w:sz w:val="22"/>
          <w:lang w:eastAsia="en-GB"/>
        </w:rPr>
        <w:t>, Vol. 98, pp. 144-160. </w:t>
      </w:r>
    </w:p>
    <w:p w:rsidR="00CD5093" w:rsidRPr="0081041B" w:rsidRDefault="00CD5093"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Hartung, J. A. 1836. </w:t>
      </w:r>
      <w:r w:rsidRPr="0081041B">
        <w:rPr>
          <w:rFonts w:eastAsia="Times New Roman"/>
          <w:i/>
          <w:sz w:val="22"/>
          <w:lang w:eastAsia="en-GB"/>
        </w:rPr>
        <w:t>Die Religion der Romer</w:t>
      </w:r>
      <w:r w:rsidRPr="0081041B">
        <w:rPr>
          <w:rFonts w:eastAsia="Times New Roman"/>
          <w:sz w:val="22"/>
          <w:lang w:eastAsia="en-GB"/>
        </w:rPr>
        <w:t>. Oxford University Press.</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Holleman, A.W.J.1973. ‘An Enigmatic Function of the Flamen Dialis (</w:t>
      </w:r>
      <w:hyperlink r:id="rId22" w:tgtFrame="_blank" w:history="1">
        <w:r w:rsidRPr="0081041B">
          <w:rPr>
            <w:rFonts w:eastAsia="Times New Roman"/>
            <w:sz w:val="22"/>
            <w:u w:val="single"/>
            <w:lang w:eastAsia="en-GB"/>
          </w:rPr>
          <w:t>Ovid</w:t>
        </w:r>
      </w:hyperlink>
      <w:r w:rsidRPr="0081041B">
        <w:rPr>
          <w:rFonts w:eastAsia="Times New Roman"/>
          <w:sz w:val="22"/>
          <w:lang w:eastAsia="en-GB"/>
        </w:rPr>
        <w:t xml:space="preserve">, Fast., 2.282) and the Augustan Reform’ in </w:t>
      </w:r>
      <w:r w:rsidRPr="0081041B">
        <w:rPr>
          <w:rFonts w:eastAsia="Times New Roman"/>
          <w:i/>
          <w:iCs/>
          <w:sz w:val="22"/>
          <w:lang w:eastAsia="en-GB"/>
        </w:rPr>
        <w:t>Numen</w:t>
      </w:r>
      <w:r w:rsidRPr="0081041B">
        <w:rPr>
          <w:rFonts w:eastAsia="Times New Roman"/>
          <w:sz w:val="22"/>
          <w:lang w:eastAsia="en-GB"/>
        </w:rPr>
        <w:t>, Vol. 20, Fasc. 3., pp. 222-228. </w:t>
      </w:r>
    </w:p>
    <w:p w:rsidR="009F4492" w:rsidRPr="0081041B" w:rsidRDefault="009F4492"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Holleman, A.W.J. 1974. </w:t>
      </w:r>
      <w:r w:rsidRPr="0081041B">
        <w:rPr>
          <w:rFonts w:eastAsia="Times New Roman"/>
          <w:i/>
          <w:sz w:val="22"/>
          <w:lang w:eastAsia="en-GB"/>
        </w:rPr>
        <w:t>Pope Gelasius I and the Lupercalia</w:t>
      </w:r>
      <w:r w:rsidRPr="0081041B">
        <w:rPr>
          <w:rFonts w:eastAsia="Times New Roman"/>
          <w:sz w:val="22"/>
          <w:lang w:eastAsia="en-GB"/>
        </w:rPr>
        <w:t>. Amsterdam: Hakkert.</w:t>
      </w:r>
    </w:p>
    <w:p w:rsidR="0081041B" w:rsidRPr="0081041B" w:rsidRDefault="0081041B" w:rsidP="00BC501B">
      <w:pPr>
        <w:spacing w:line="360" w:lineRule="auto"/>
        <w:jc w:val="both"/>
        <w:textAlignment w:val="baseline"/>
        <w:rPr>
          <w:rFonts w:eastAsia="Times New Roman"/>
          <w:sz w:val="22"/>
          <w:lang w:eastAsia="en-GB"/>
        </w:rPr>
      </w:pPr>
      <w:r w:rsidRPr="0081041B">
        <w:rPr>
          <w:rFonts w:eastAsia="Times New Roman"/>
          <w:sz w:val="22"/>
          <w:lang w:eastAsia="en-GB"/>
        </w:rPr>
        <w:t>Le Bonniec, H. 1962. ‘</w:t>
      </w:r>
      <w:r w:rsidRPr="0081041B">
        <w:rPr>
          <w:rStyle w:val="Emphasis"/>
          <w:bCs/>
          <w:i w:val="0"/>
          <w:color w:val="000000"/>
          <w:sz w:val="22"/>
          <w:shd w:val="clear" w:color="auto" w:fill="FFFFFF"/>
        </w:rPr>
        <w:t xml:space="preserve">Le culte de Cérès à Rome. Des origines à la fin de la République’ in </w:t>
      </w:r>
      <w:r w:rsidRPr="0081041B">
        <w:rPr>
          <w:i/>
          <w:sz w:val="22"/>
          <w:shd w:val="clear" w:color="auto" w:fill="FFFFFF"/>
        </w:rPr>
        <w:t>Études et Commentaires</w:t>
      </w:r>
      <w:r w:rsidRPr="0081041B">
        <w:rPr>
          <w:sz w:val="22"/>
          <w:shd w:val="clear" w:color="auto" w:fill="FFFFFF"/>
        </w:rPr>
        <w:t>, Vol. XXVII, pp. 148-157.</w:t>
      </w:r>
    </w:p>
    <w:p w:rsidR="00BC501B" w:rsidRPr="0081041B" w:rsidRDefault="004D3F15" w:rsidP="004D3F15">
      <w:pPr>
        <w:spacing w:line="360" w:lineRule="auto"/>
        <w:jc w:val="both"/>
        <w:textAlignment w:val="baseline"/>
        <w:rPr>
          <w:rStyle w:val="normaltextrun1"/>
          <w:sz w:val="22"/>
        </w:rPr>
      </w:pPr>
      <w:r>
        <w:rPr>
          <w:rFonts w:eastAsia="Times New Roman"/>
          <w:sz w:val="22"/>
          <w:lang w:eastAsia="en-GB"/>
        </w:rPr>
        <w:t xml:space="preserve">Lupercalia. </w:t>
      </w:r>
      <w:r w:rsidR="00BC501B" w:rsidRPr="0081041B">
        <w:rPr>
          <w:rFonts w:eastAsia="Times New Roman"/>
          <w:sz w:val="22"/>
          <w:lang w:eastAsia="en-GB"/>
        </w:rPr>
        <w:t>2014.</w:t>
      </w:r>
      <w:r>
        <w:rPr>
          <w:rFonts w:eastAsia="Times New Roman"/>
          <w:sz w:val="22"/>
          <w:lang w:eastAsia="en-GB"/>
        </w:rPr>
        <w:t xml:space="preserve"> </w:t>
      </w:r>
      <w:r w:rsidR="00BC501B" w:rsidRPr="0081041B">
        <w:rPr>
          <w:rFonts w:eastAsia="Times New Roman"/>
          <w:i/>
          <w:sz w:val="22"/>
          <w:lang w:eastAsia="en-GB"/>
        </w:rPr>
        <w:t>Encyclopaedia Britanicca</w:t>
      </w:r>
      <w:r>
        <w:rPr>
          <w:rFonts w:eastAsia="Times New Roman"/>
          <w:sz w:val="22"/>
          <w:lang w:eastAsia="en-GB"/>
        </w:rPr>
        <w:t>.  Retrivied from: &lt;</w:t>
      </w:r>
      <w:hyperlink r:id="rId23" w:tgtFrame="_blank" w:history="1">
        <w:r w:rsidR="00BC501B" w:rsidRPr="0081041B">
          <w:rPr>
            <w:sz w:val="22"/>
          </w:rPr>
          <w:t>https://www.britannica.com/topic/Lupercalia</w:t>
        </w:r>
      </w:hyperlink>
      <w:r>
        <w:rPr>
          <w:sz w:val="22"/>
        </w:rPr>
        <w:t>&gt;</w:t>
      </w:r>
      <w:r w:rsidR="00BC501B" w:rsidRPr="0081041B">
        <w:rPr>
          <w:sz w:val="22"/>
        </w:rPr>
        <w:t xml:space="preserve">. </w:t>
      </w:r>
      <w:r w:rsidR="00BC501B" w:rsidRPr="0081041B">
        <w:rPr>
          <w:rStyle w:val="normaltextrun1"/>
          <w:sz w:val="22"/>
        </w:rPr>
        <w:t>Access Date: 10/03/2018.</w:t>
      </w:r>
    </w:p>
    <w:p w:rsidR="00BC501B" w:rsidRPr="0081041B" w:rsidRDefault="00BC501B" w:rsidP="00BC501B">
      <w:pPr>
        <w:spacing w:line="360" w:lineRule="auto"/>
        <w:jc w:val="both"/>
        <w:textAlignment w:val="baseline"/>
        <w:rPr>
          <w:rStyle w:val="normaltextrun1"/>
          <w:sz w:val="22"/>
        </w:rPr>
      </w:pPr>
      <w:r w:rsidRPr="0081041B">
        <w:rPr>
          <w:rStyle w:val="normaltextrun1"/>
          <w:sz w:val="22"/>
        </w:rPr>
        <w:t>Mast</w:t>
      </w:r>
      <w:r w:rsidR="00C31CD5" w:rsidRPr="0081041B">
        <w:rPr>
          <w:rStyle w:val="normaltextrun1"/>
          <w:sz w:val="22"/>
        </w:rPr>
        <w:t>r</w:t>
      </w:r>
      <w:r w:rsidRPr="0081041B">
        <w:rPr>
          <w:rStyle w:val="normaltextrun1"/>
          <w:sz w:val="22"/>
        </w:rPr>
        <w:t xml:space="preserve">ocinque, A. 2014. Bona Dea and the Cults of Roman Women. </w:t>
      </w:r>
      <w:r w:rsidRPr="0081041B">
        <w:rPr>
          <w:sz w:val="22"/>
          <w:szCs w:val="20"/>
        </w:rPr>
        <w:t>Franz Steiner Verlag Wiesbaden:</w:t>
      </w:r>
      <w:r w:rsidRPr="0081041B">
        <w:rPr>
          <w:rFonts w:ascii="Verdana" w:hAnsi="Verdana"/>
          <w:sz w:val="22"/>
          <w:szCs w:val="20"/>
        </w:rPr>
        <w:t xml:space="preserve"> </w:t>
      </w:r>
      <w:r w:rsidRPr="0081041B">
        <w:rPr>
          <w:rStyle w:val="normaltextrun1"/>
          <w:sz w:val="22"/>
        </w:rPr>
        <w:t xml:space="preserve">Stuttgart.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Michels, A.K. 1953. ‘The Topography and Interpretation of the Lupercalia’ in </w:t>
      </w:r>
      <w:r w:rsidRPr="0081041B">
        <w:rPr>
          <w:rFonts w:eastAsia="Times New Roman"/>
          <w:i/>
          <w:iCs/>
          <w:sz w:val="22"/>
          <w:lang w:eastAsia="en-GB"/>
        </w:rPr>
        <w:t>Transactions and Proceedings of the American Philological Association</w:t>
      </w:r>
      <w:r w:rsidRPr="0081041B">
        <w:rPr>
          <w:rFonts w:eastAsia="Times New Roman"/>
          <w:sz w:val="22"/>
          <w:lang w:eastAsia="en-GB"/>
        </w:rPr>
        <w:t>, Vol. 84, pp. 35-59.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Momigliano, A. 1963. ‘An Interim Report on the Origins of Rome’ in </w:t>
      </w:r>
      <w:r w:rsidRPr="0081041B">
        <w:rPr>
          <w:rFonts w:eastAsia="Times New Roman"/>
          <w:i/>
          <w:sz w:val="22"/>
          <w:lang w:eastAsia="en-GB"/>
        </w:rPr>
        <w:t>The Journal of Roman Studies</w:t>
      </w:r>
      <w:r w:rsidRPr="0081041B">
        <w:rPr>
          <w:rFonts w:eastAsia="Times New Roman"/>
          <w:sz w:val="22"/>
          <w:lang w:eastAsia="en-GB"/>
        </w:rPr>
        <w:t>, Vol. 53, pp. 95-121.</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North J.A. and McLynn N. 2008. ‘Postscript to the Lupercalia: From Caesar to Andromachus’ in </w:t>
      </w:r>
      <w:r w:rsidRPr="0081041B">
        <w:rPr>
          <w:rFonts w:eastAsia="Times New Roman"/>
          <w:i/>
          <w:iCs/>
          <w:sz w:val="22"/>
          <w:lang w:eastAsia="en-GB"/>
        </w:rPr>
        <w:t>The Journal of Roman Studies</w:t>
      </w:r>
      <w:r w:rsidRPr="0081041B">
        <w:rPr>
          <w:rFonts w:eastAsia="Times New Roman"/>
          <w:sz w:val="22"/>
          <w:lang w:eastAsia="en-GB"/>
        </w:rPr>
        <w:t>, Vol. 98 (2008), pp. 176-181.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Sachs, E. 1963. ‘Some Notes on the Lupercalia’ in </w:t>
      </w:r>
      <w:r w:rsidRPr="0081041B">
        <w:rPr>
          <w:rFonts w:eastAsia="Times New Roman"/>
          <w:i/>
          <w:iCs/>
          <w:sz w:val="22"/>
          <w:lang w:eastAsia="en-GB"/>
        </w:rPr>
        <w:t>The American Journal of Philology</w:t>
      </w:r>
      <w:r w:rsidRPr="0081041B">
        <w:rPr>
          <w:rFonts w:eastAsia="Times New Roman"/>
          <w:sz w:val="22"/>
          <w:lang w:eastAsia="en-GB"/>
        </w:rPr>
        <w:t>, Vol. 84, No. 3, pp. 266-279.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Schmitz, L. 1975. ‘Lupercalia’ in Dictionary of Greek and Roman Antiquities, p. 718. John Murray: London.  </w:t>
      </w:r>
    </w:p>
    <w:p w:rsidR="00F9733B" w:rsidRPr="0081041B" w:rsidRDefault="00F9733B" w:rsidP="00BC501B">
      <w:pPr>
        <w:spacing w:line="360" w:lineRule="auto"/>
        <w:jc w:val="both"/>
        <w:textAlignment w:val="baseline"/>
        <w:rPr>
          <w:rStyle w:val="normaltextrun1"/>
          <w:rFonts w:eastAsia="Times New Roman"/>
          <w:sz w:val="22"/>
          <w:lang w:val="en-US" w:eastAsia="en-GB"/>
        </w:rPr>
      </w:pPr>
      <w:r w:rsidRPr="0081041B">
        <w:rPr>
          <w:rFonts w:eastAsia="Times New Roman"/>
          <w:sz w:val="22"/>
          <w:lang w:eastAsia="en-GB"/>
        </w:rPr>
        <w:t xml:space="preserve">Tennant, P.M.W. 1988. ‘The Lupercalia and The Romulus and Remus Legend’ in </w:t>
      </w:r>
      <w:r w:rsidRPr="0081041B">
        <w:rPr>
          <w:rFonts w:eastAsia="Times New Roman"/>
          <w:i/>
          <w:sz w:val="22"/>
          <w:lang w:eastAsia="en-GB"/>
        </w:rPr>
        <w:t>Acta Classica</w:t>
      </w:r>
      <w:r w:rsidRPr="0081041B">
        <w:rPr>
          <w:rFonts w:eastAsia="Times New Roman"/>
          <w:i/>
          <w:sz w:val="22"/>
          <w:lang w:val="en-US" w:eastAsia="en-GB"/>
        </w:rPr>
        <w:t>,</w:t>
      </w:r>
      <w:r w:rsidRPr="0081041B">
        <w:rPr>
          <w:rFonts w:eastAsia="Times New Roman"/>
          <w:sz w:val="22"/>
          <w:lang w:eastAsia="en-GB"/>
        </w:rPr>
        <w:t xml:space="preserve"> XXX1, pp. 81-93.</w:t>
      </w:r>
    </w:p>
    <w:p w:rsidR="00BC501B" w:rsidRDefault="00BC501B" w:rsidP="00BC501B">
      <w:pPr>
        <w:spacing w:line="360" w:lineRule="auto"/>
        <w:jc w:val="both"/>
        <w:textAlignment w:val="baseline"/>
        <w:rPr>
          <w:rStyle w:val="normaltextrun1"/>
          <w:sz w:val="22"/>
        </w:rPr>
      </w:pPr>
      <w:r w:rsidRPr="0081041B">
        <w:rPr>
          <w:rStyle w:val="normaltextrun1"/>
          <w:sz w:val="22"/>
        </w:rPr>
        <w:t xml:space="preserve">Tiverios, M. A. 2001. Carnival and Antiquity. To Vima. 25 February. [online]. Available at:  </w:t>
      </w:r>
      <w:hyperlink r:id="rId24" w:history="1">
        <w:r w:rsidRPr="0081041B">
          <w:rPr>
            <w:rStyle w:val="Hyperlink"/>
            <w:color w:val="auto"/>
            <w:sz w:val="22"/>
            <w:u w:val="none"/>
          </w:rPr>
          <w:t>http://www.tovima.gr/opinions/article/?aid=131032</w:t>
        </w:r>
      </w:hyperlink>
      <w:r w:rsidRPr="0081041B">
        <w:rPr>
          <w:rStyle w:val="normaltextrun1"/>
          <w:sz w:val="22"/>
        </w:rPr>
        <w:t xml:space="preserve">. </w:t>
      </w:r>
    </w:p>
    <w:p w:rsidR="004D3F15" w:rsidRPr="004D3F15" w:rsidRDefault="004D3F15" w:rsidP="00BC501B">
      <w:pPr>
        <w:spacing w:line="360" w:lineRule="auto"/>
        <w:jc w:val="both"/>
        <w:textAlignment w:val="baseline"/>
        <w:rPr>
          <w:rStyle w:val="normaltextrun1"/>
          <w:sz w:val="22"/>
        </w:rPr>
      </w:pPr>
      <w:r>
        <w:rPr>
          <w:rStyle w:val="normaltextrun1"/>
          <w:sz w:val="22"/>
        </w:rPr>
        <w:t>Valentine</w:t>
      </w:r>
      <w:r w:rsidRPr="004D3F15">
        <w:rPr>
          <w:rStyle w:val="normaltextrun1"/>
          <w:sz w:val="22"/>
          <w:lang w:val="en-US"/>
        </w:rPr>
        <w:t>’</w:t>
      </w:r>
      <w:r>
        <w:rPr>
          <w:rStyle w:val="normaltextrun1"/>
          <w:sz w:val="22"/>
        </w:rPr>
        <w:t xml:space="preserve">s Day. 2018.  </w:t>
      </w:r>
      <w:r w:rsidRPr="004D3F15">
        <w:rPr>
          <w:rStyle w:val="normaltextrun1"/>
          <w:i/>
          <w:sz w:val="22"/>
        </w:rPr>
        <w:t>Encyclopaedia Britanicca.</w:t>
      </w:r>
      <w:r>
        <w:rPr>
          <w:rStyle w:val="normaltextrun1"/>
          <w:sz w:val="22"/>
        </w:rPr>
        <w:t xml:space="preserve"> Retrivied from: &lt;</w:t>
      </w:r>
      <w:hyperlink r:id="rId25" w:history="1">
        <w:r w:rsidRPr="004D3F15">
          <w:rPr>
            <w:rStyle w:val="Hyperlink"/>
            <w:color w:val="auto"/>
            <w:sz w:val="22"/>
            <w:u w:val="none"/>
          </w:rPr>
          <w:t>https://www.britannica.com/topic/Valentines-Day</w:t>
        </w:r>
      </w:hyperlink>
      <w:r>
        <w:rPr>
          <w:rStyle w:val="normaltextrun1"/>
          <w:sz w:val="22"/>
        </w:rPr>
        <w:t>&gt;</w:t>
      </w:r>
      <w:r w:rsidRPr="004D3F15">
        <w:rPr>
          <w:rStyle w:val="normaltextrun1"/>
          <w:sz w:val="22"/>
        </w:rPr>
        <w:t>.</w:t>
      </w:r>
      <w:r>
        <w:rPr>
          <w:rStyle w:val="normaltextrun1"/>
          <w:sz w:val="22"/>
        </w:rPr>
        <w:t xml:space="preserve"> Access Date: 25/04/2018.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Wiseman, T.P. 1995. ‘The God of the Lupercal’ in </w:t>
      </w:r>
      <w:r w:rsidRPr="0081041B">
        <w:rPr>
          <w:rFonts w:eastAsia="Times New Roman"/>
          <w:i/>
          <w:iCs/>
          <w:sz w:val="22"/>
          <w:lang w:eastAsia="en-GB"/>
        </w:rPr>
        <w:t>The Journal of Roman Studies</w:t>
      </w:r>
      <w:r w:rsidRPr="0081041B">
        <w:rPr>
          <w:rFonts w:eastAsia="Times New Roman"/>
          <w:sz w:val="22"/>
          <w:lang w:eastAsia="en-GB"/>
        </w:rPr>
        <w:t>, Vol. 85, pp. 1-22. </w:t>
      </w:r>
    </w:p>
    <w:p w:rsidR="00BC501B" w:rsidRPr="0081041B" w:rsidRDefault="00BC501B" w:rsidP="0081041B">
      <w:pPr>
        <w:spacing w:line="360" w:lineRule="auto"/>
        <w:jc w:val="both"/>
      </w:pPr>
    </w:p>
    <w:sectPr w:rsidR="00BC501B" w:rsidRPr="0081041B" w:rsidSect="00B462B1">
      <w:footerReference w:type="default" r:id="rId26"/>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69CB" w:rsidRDefault="005769CB" w:rsidP="00AD5D5A">
      <w:r>
        <w:separator/>
      </w:r>
    </w:p>
  </w:endnote>
  <w:endnote w:type="continuationSeparator" w:id="0">
    <w:p w:rsidR="005769CB" w:rsidRDefault="005769CB"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79626"/>
      <w:docPartObj>
        <w:docPartGallery w:val="Page Numbers (Bottom of Page)"/>
        <w:docPartUnique/>
      </w:docPartObj>
    </w:sdtPr>
    <w:sdtEndPr/>
    <w:sdtContent>
      <w:p w:rsidR="00E20A99" w:rsidRDefault="00BC271B">
        <w:pPr>
          <w:pStyle w:val="Footer"/>
          <w:jc w:val="center"/>
        </w:pPr>
        <w:r>
          <w:fldChar w:fldCharType="begin"/>
        </w:r>
        <w:r>
          <w:instrText xml:space="preserve"> PAGE   \* MERGEFORMAT </w:instrText>
        </w:r>
        <w:r>
          <w:fldChar w:fldCharType="separate"/>
        </w:r>
        <w:r w:rsidR="00F82E4F">
          <w:rPr>
            <w:noProof/>
          </w:rPr>
          <w:t>1</w:t>
        </w:r>
        <w:r>
          <w:rPr>
            <w:noProof/>
          </w:rPr>
          <w:fldChar w:fldCharType="end"/>
        </w:r>
      </w:p>
    </w:sdtContent>
  </w:sdt>
  <w:p w:rsidR="009C1A08" w:rsidRPr="00337A70" w:rsidRDefault="009C1A0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69CB" w:rsidRDefault="005769CB" w:rsidP="00AD5D5A">
      <w:r>
        <w:separator/>
      </w:r>
    </w:p>
  </w:footnote>
  <w:footnote w:type="continuationSeparator" w:id="0">
    <w:p w:rsidR="005769CB" w:rsidRDefault="005769CB"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2"/>
  </w:compat>
  <w:rsids>
    <w:rsidRoot w:val="00DB185F"/>
    <w:rsid w:val="00001C3B"/>
    <w:rsid w:val="00013545"/>
    <w:rsid w:val="00022345"/>
    <w:rsid w:val="00022AA8"/>
    <w:rsid w:val="00026363"/>
    <w:rsid w:val="00043549"/>
    <w:rsid w:val="00046A16"/>
    <w:rsid w:val="00047074"/>
    <w:rsid w:val="00050CBE"/>
    <w:rsid w:val="00076A0B"/>
    <w:rsid w:val="000854DF"/>
    <w:rsid w:val="000A01EB"/>
    <w:rsid w:val="000A6D49"/>
    <w:rsid w:val="000E3682"/>
    <w:rsid w:val="000E3751"/>
    <w:rsid w:val="0010199D"/>
    <w:rsid w:val="001070F2"/>
    <w:rsid w:val="00111283"/>
    <w:rsid w:val="0011161A"/>
    <w:rsid w:val="00165047"/>
    <w:rsid w:val="00172497"/>
    <w:rsid w:val="001C0B52"/>
    <w:rsid w:val="001C4B2D"/>
    <w:rsid w:val="001E0E06"/>
    <w:rsid w:val="001F4CE1"/>
    <w:rsid w:val="002132DC"/>
    <w:rsid w:val="00216211"/>
    <w:rsid w:val="00224B95"/>
    <w:rsid w:val="00230F35"/>
    <w:rsid w:val="0025530E"/>
    <w:rsid w:val="002715FA"/>
    <w:rsid w:val="00276002"/>
    <w:rsid w:val="00277421"/>
    <w:rsid w:val="00290783"/>
    <w:rsid w:val="00291760"/>
    <w:rsid w:val="002A4954"/>
    <w:rsid w:val="002D2A04"/>
    <w:rsid w:val="002E2BA0"/>
    <w:rsid w:val="002E67CE"/>
    <w:rsid w:val="002F1475"/>
    <w:rsid w:val="002F1B89"/>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0CD4"/>
    <w:rsid w:val="004627BA"/>
    <w:rsid w:val="004724D6"/>
    <w:rsid w:val="00475C78"/>
    <w:rsid w:val="004A024B"/>
    <w:rsid w:val="004B73BA"/>
    <w:rsid w:val="004C79CE"/>
    <w:rsid w:val="004D3F15"/>
    <w:rsid w:val="005136DD"/>
    <w:rsid w:val="00521E0F"/>
    <w:rsid w:val="00526682"/>
    <w:rsid w:val="00531109"/>
    <w:rsid w:val="00537B4C"/>
    <w:rsid w:val="005429EF"/>
    <w:rsid w:val="005627D4"/>
    <w:rsid w:val="005769CB"/>
    <w:rsid w:val="0058726A"/>
    <w:rsid w:val="00590E9A"/>
    <w:rsid w:val="005942E9"/>
    <w:rsid w:val="005C6560"/>
    <w:rsid w:val="00610318"/>
    <w:rsid w:val="00632937"/>
    <w:rsid w:val="0065654E"/>
    <w:rsid w:val="00662A40"/>
    <w:rsid w:val="006805EC"/>
    <w:rsid w:val="00691819"/>
    <w:rsid w:val="00693C4D"/>
    <w:rsid w:val="006A205D"/>
    <w:rsid w:val="006A65E9"/>
    <w:rsid w:val="006B7B73"/>
    <w:rsid w:val="006C0A3A"/>
    <w:rsid w:val="006C28FA"/>
    <w:rsid w:val="006C5E96"/>
    <w:rsid w:val="006E4F24"/>
    <w:rsid w:val="0073201F"/>
    <w:rsid w:val="00751BE2"/>
    <w:rsid w:val="00752B84"/>
    <w:rsid w:val="00754449"/>
    <w:rsid w:val="00765417"/>
    <w:rsid w:val="00765BEB"/>
    <w:rsid w:val="00770733"/>
    <w:rsid w:val="00773D0E"/>
    <w:rsid w:val="00790E2F"/>
    <w:rsid w:val="007B721A"/>
    <w:rsid w:val="007C098A"/>
    <w:rsid w:val="007C1F1A"/>
    <w:rsid w:val="007C6F33"/>
    <w:rsid w:val="007D7715"/>
    <w:rsid w:val="0081041B"/>
    <w:rsid w:val="00823895"/>
    <w:rsid w:val="0083442E"/>
    <w:rsid w:val="00840B95"/>
    <w:rsid w:val="0084272E"/>
    <w:rsid w:val="00843DE9"/>
    <w:rsid w:val="00860711"/>
    <w:rsid w:val="0089447F"/>
    <w:rsid w:val="008A4DCC"/>
    <w:rsid w:val="008B3A97"/>
    <w:rsid w:val="008D03F0"/>
    <w:rsid w:val="008D674F"/>
    <w:rsid w:val="008E525C"/>
    <w:rsid w:val="008F7F08"/>
    <w:rsid w:val="00901157"/>
    <w:rsid w:val="00914769"/>
    <w:rsid w:val="009654D9"/>
    <w:rsid w:val="0096633F"/>
    <w:rsid w:val="00973B44"/>
    <w:rsid w:val="009801D3"/>
    <w:rsid w:val="009A3D0A"/>
    <w:rsid w:val="009B2D10"/>
    <w:rsid w:val="009C01A3"/>
    <w:rsid w:val="009C1A08"/>
    <w:rsid w:val="009C396A"/>
    <w:rsid w:val="009F2623"/>
    <w:rsid w:val="009F4492"/>
    <w:rsid w:val="00A02C62"/>
    <w:rsid w:val="00A06B94"/>
    <w:rsid w:val="00A2073F"/>
    <w:rsid w:val="00A303FE"/>
    <w:rsid w:val="00A41032"/>
    <w:rsid w:val="00A41AF9"/>
    <w:rsid w:val="00A507E4"/>
    <w:rsid w:val="00A5298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609DD"/>
    <w:rsid w:val="00B72F46"/>
    <w:rsid w:val="00B81E5D"/>
    <w:rsid w:val="00B96983"/>
    <w:rsid w:val="00B9724B"/>
    <w:rsid w:val="00BC17F1"/>
    <w:rsid w:val="00BC271B"/>
    <w:rsid w:val="00BC501B"/>
    <w:rsid w:val="00BE7B7A"/>
    <w:rsid w:val="00BF22DC"/>
    <w:rsid w:val="00BF3D29"/>
    <w:rsid w:val="00BF6291"/>
    <w:rsid w:val="00C129C7"/>
    <w:rsid w:val="00C22A88"/>
    <w:rsid w:val="00C31CD5"/>
    <w:rsid w:val="00C36DF0"/>
    <w:rsid w:val="00C65E7F"/>
    <w:rsid w:val="00C81CA8"/>
    <w:rsid w:val="00C93CD4"/>
    <w:rsid w:val="00CB5E37"/>
    <w:rsid w:val="00CC52A3"/>
    <w:rsid w:val="00CD5093"/>
    <w:rsid w:val="00CE3B79"/>
    <w:rsid w:val="00D0754F"/>
    <w:rsid w:val="00D328AB"/>
    <w:rsid w:val="00D429CC"/>
    <w:rsid w:val="00D4373F"/>
    <w:rsid w:val="00D459DC"/>
    <w:rsid w:val="00D566AE"/>
    <w:rsid w:val="00D56EFA"/>
    <w:rsid w:val="00D67BF8"/>
    <w:rsid w:val="00D912A6"/>
    <w:rsid w:val="00DA3217"/>
    <w:rsid w:val="00DA3E0F"/>
    <w:rsid w:val="00DB185F"/>
    <w:rsid w:val="00DB43BB"/>
    <w:rsid w:val="00DD363B"/>
    <w:rsid w:val="00DE54B1"/>
    <w:rsid w:val="00E20A99"/>
    <w:rsid w:val="00E3766D"/>
    <w:rsid w:val="00E502BA"/>
    <w:rsid w:val="00E57529"/>
    <w:rsid w:val="00E64439"/>
    <w:rsid w:val="00E67719"/>
    <w:rsid w:val="00E8499E"/>
    <w:rsid w:val="00E84F5D"/>
    <w:rsid w:val="00EC5FE2"/>
    <w:rsid w:val="00EC7546"/>
    <w:rsid w:val="00F1661E"/>
    <w:rsid w:val="00F2453C"/>
    <w:rsid w:val="00F346BE"/>
    <w:rsid w:val="00F73533"/>
    <w:rsid w:val="00F82E4F"/>
    <w:rsid w:val="00F9733B"/>
    <w:rsid w:val="00FA07E9"/>
    <w:rsid w:val="00FA2A4C"/>
    <w:rsid w:val="00FE5B86"/>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33C24B0"/>
  <w15:docId w15:val="{A1466B12-512A-40DE-8A4A-193BC757C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l-GR" w:eastAsia="el-GR"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normaltextrun">
    <w:name w:val="normaltextrun"/>
    <w:rsid w:val="00BC501B"/>
  </w:style>
  <w:style w:type="character" w:customStyle="1" w:styleId="eop">
    <w:name w:val="eop"/>
    <w:rsid w:val="00BC501B"/>
  </w:style>
  <w:style w:type="character" w:customStyle="1" w:styleId="spellingerror">
    <w:name w:val="spellingerror"/>
    <w:rsid w:val="00BC501B"/>
  </w:style>
  <w:style w:type="character" w:styleId="Hyperlink">
    <w:name w:val="Hyperlink"/>
    <w:uiPriority w:val="99"/>
    <w:unhideWhenUsed/>
    <w:rsid w:val="00BC501B"/>
    <w:rPr>
      <w:color w:val="0000FF"/>
      <w:u w:val="single"/>
    </w:rPr>
  </w:style>
  <w:style w:type="character" w:customStyle="1" w:styleId="small">
    <w:name w:val="small"/>
    <w:rsid w:val="00BC501B"/>
  </w:style>
  <w:style w:type="character" w:customStyle="1" w:styleId="latin">
    <w:name w:val="latin"/>
    <w:rsid w:val="00BC501B"/>
  </w:style>
  <w:style w:type="character" w:styleId="Emphasis">
    <w:name w:val="Emphasis"/>
    <w:uiPriority w:val="20"/>
    <w:qFormat/>
    <w:rsid w:val="00BC501B"/>
    <w:rPr>
      <w:i/>
      <w:iCs/>
    </w:rPr>
  </w:style>
  <w:style w:type="character" w:customStyle="1" w:styleId="normaltextrun1">
    <w:name w:val="normaltextrun1"/>
    <w:rsid w:val="00BC501B"/>
  </w:style>
  <w:style w:type="paragraph" w:styleId="NoSpacing">
    <w:name w:val="No Spacing"/>
    <w:uiPriority w:val="1"/>
    <w:qFormat/>
    <w:rsid w:val="006C28FA"/>
    <w:rPr>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topic/wool" TargetMode="External"/><Relationship Id="rId18" Type="http://schemas.openxmlformats.org/officeDocument/2006/relationships/hyperlink" Target="http://www.thelatinlibrary.com/victor.origio.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perseus.tufts.edu/hopper/text?doc=Liv.%201.5&amp;lang=original" TargetMode="External"/><Relationship Id="rId7" Type="http://schemas.openxmlformats.org/officeDocument/2006/relationships/endnotes" Target="endnotes.xml"/><Relationship Id="rId12" Type="http://schemas.openxmlformats.org/officeDocument/2006/relationships/hyperlink" Target="http://www.perseus.tufts.edu/hopper/text?doc=Serv.+A.+8.343" TargetMode="External"/><Relationship Id="rId17" Type="http://schemas.openxmlformats.org/officeDocument/2006/relationships/hyperlink" Target="https://www.britannica.com/biography/Saint-Gelasius-I" TargetMode="External"/><Relationship Id="rId25" Type="http://schemas.openxmlformats.org/officeDocument/2006/relationships/hyperlink" Target="https://www.britannica.com/topic/Valentines-Day" TargetMode="External"/><Relationship Id="rId2" Type="http://schemas.openxmlformats.org/officeDocument/2006/relationships/numbering" Target="numbering.xml"/><Relationship Id="rId16" Type="http://schemas.openxmlformats.org/officeDocument/2006/relationships/hyperlink" Target="http://penelope.uchicago.edu/Thayer/E/Roman/Texts/Suetonius/12Caesars/Augustus*.html" TargetMode="External"/><Relationship Id="rId20" Type="http://schemas.openxmlformats.org/officeDocument/2006/relationships/hyperlink" Target="http://www.perseus.tufts.edu/hopper/morph?l=Inuus&amp;la=la&amp;can=inuus0&amp;prior=Fast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nelope.uchicago.edu/Thayer/E/Roman/Texts/Plutarch/Lives/Romulus*.html" TargetMode="External"/><Relationship Id="rId24" Type="http://schemas.openxmlformats.org/officeDocument/2006/relationships/hyperlink" Target="http://www.tovima.gr/opinions/article/?aid=131032" TargetMode="External"/><Relationship Id="rId5" Type="http://schemas.openxmlformats.org/officeDocument/2006/relationships/webSettings" Target="webSettings.xml"/><Relationship Id="rId15" Type="http://schemas.openxmlformats.org/officeDocument/2006/relationships/hyperlink" Target="http://www.thelatinlibrary.com/varro.ll5.html" TargetMode="External"/><Relationship Id="rId23" Type="http://schemas.openxmlformats.org/officeDocument/2006/relationships/hyperlink" Target="https://www.britannica.com/topic/Lupercalia" TargetMode="External"/><Relationship Id="rId28" Type="http://schemas.openxmlformats.org/officeDocument/2006/relationships/theme" Target="theme/theme1.xml"/><Relationship Id="rId10" Type="http://schemas.openxmlformats.org/officeDocument/2006/relationships/hyperlink" Target="http://penelope.uchicago.edu/Thayer/E/Roman/Texts/Plutarch/Lives/Caesar*.html" TargetMode="External"/><Relationship Id="rId19" Type="http://schemas.openxmlformats.org/officeDocument/2006/relationships/hyperlink" Target="http://www.thelatinlibrary.com/ovid/ovid.fasti2.shtml" TargetMode="External"/><Relationship Id="rId4" Type="http://schemas.openxmlformats.org/officeDocument/2006/relationships/settings" Target="settings.xml"/><Relationship Id="rId9" Type="http://schemas.openxmlformats.org/officeDocument/2006/relationships/hyperlink" Target="http://penelope.uchicago.edu/Thayer/E/Roman/Texts/Plutarch/Lives/Caesar*.html" TargetMode="External"/><Relationship Id="rId14" Type="http://schemas.openxmlformats.org/officeDocument/2006/relationships/hyperlink" Target="http://penelope.uchicago.edu/Thayer/L/Roman/Texts/Valerius_Maximus/2*.html" TargetMode="External"/><Relationship Id="rId22" Type="http://schemas.openxmlformats.org/officeDocument/2006/relationships/hyperlink" Target="https://www.thoughtco.com/ovid-overview-of-the-latin-poet-112463" TargetMode="External"/><Relationship Id="rId27" Type="http://schemas.openxmlformats.org/officeDocument/2006/relationships/fontTable" Target="fontTable.xm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5A834D90-B2E8-4DCE-A946-C31E6557C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6</Pages>
  <Words>2002</Words>
  <Characters>11415</Characters>
  <Application>Microsoft Office Word</Application>
  <DocSecurity>0</DocSecurity>
  <Lines>95</Lines>
  <Paragraphs>26</Paragraphs>
  <ScaleCrop>false</ScaleCrop>
  <HeadingPairs>
    <vt:vector size="4" baseType="variant">
      <vt:variant>
        <vt:lpstr>Title</vt:lpstr>
      </vt:variant>
      <vt:variant>
        <vt:i4>1</vt:i4>
      </vt:variant>
      <vt:variant>
        <vt:lpstr>Τίτλος</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13391</CharactersWithSpaces>
  <SharedDoc>false</SharedDoc>
  <HLinks>
    <vt:vector size="102" baseType="variant">
      <vt:variant>
        <vt:i4>5767174</vt:i4>
      </vt:variant>
      <vt:variant>
        <vt:i4>60</vt:i4>
      </vt:variant>
      <vt:variant>
        <vt:i4>0</vt:i4>
      </vt:variant>
      <vt:variant>
        <vt:i4>5</vt:i4>
      </vt:variant>
      <vt:variant>
        <vt:lpwstr>http://www.tovima.gr/opinions/article/?aid=131032</vt:lpwstr>
      </vt:variant>
      <vt:variant>
        <vt:lpwstr/>
      </vt:variant>
      <vt:variant>
        <vt:i4>2556031</vt:i4>
      </vt:variant>
      <vt:variant>
        <vt:i4>57</vt:i4>
      </vt:variant>
      <vt:variant>
        <vt:i4>0</vt:i4>
      </vt:variant>
      <vt:variant>
        <vt:i4>5</vt:i4>
      </vt:variant>
      <vt:variant>
        <vt:lpwstr>https://www.britannica.com/topic/Lupercalia</vt:lpwstr>
      </vt:variant>
      <vt:variant>
        <vt:lpwstr/>
      </vt:variant>
      <vt:variant>
        <vt:i4>1638420</vt:i4>
      </vt:variant>
      <vt:variant>
        <vt:i4>54</vt:i4>
      </vt:variant>
      <vt:variant>
        <vt:i4>0</vt:i4>
      </vt:variant>
      <vt:variant>
        <vt:i4>5</vt:i4>
      </vt:variant>
      <vt:variant>
        <vt:lpwstr>https://www.thoughtco.com/ovid-overview-of-the-latin-poet-112463</vt:lpwstr>
      </vt:variant>
      <vt:variant>
        <vt:lpwstr/>
      </vt:variant>
      <vt:variant>
        <vt:i4>327744</vt:i4>
      </vt:variant>
      <vt:variant>
        <vt:i4>51</vt:i4>
      </vt:variant>
      <vt:variant>
        <vt:i4>0</vt:i4>
      </vt:variant>
      <vt:variant>
        <vt:i4>5</vt:i4>
      </vt:variant>
      <vt:variant>
        <vt:lpwstr>http://www.perseus.tufts.edu/hopper/text?doc=Liv.%201.5&amp;lang=original</vt:lpwstr>
      </vt:variant>
      <vt:variant>
        <vt:lpwstr/>
      </vt:variant>
      <vt:variant>
        <vt:i4>7798817</vt:i4>
      </vt:variant>
      <vt:variant>
        <vt:i4>48</vt:i4>
      </vt:variant>
      <vt:variant>
        <vt:i4>0</vt:i4>
      </vt:variant>
      <vt:variant>
        <vt:i4>5</vt:i4>
      </vt:variant>
      <vt:variant>
        <vt:lpwstr>http://www.perseus.tufts.edu/hopper/morph?l=Inuus&amp;la=la&amp;can=inuus0&amp;prior=Fasti</vt:lpwstr>
      </vt:variant>
      <vt:variant>
        <vt:lpwstr/>
      </vt:variant>
      <vt:variant>
        <vt:i4>4587603</vt:i4>
      </vt:variant>
      <vt:variant>
        <vt:i4>45</vt:i4>
      </vt:variant>
      <vt:variant>
        <vt:i4>0</vt:i4>
      </vt:variant>
      <vt:variant>
        <vt:i4>5</vt:i4>
      </vt:variant>
      <vt:variant>
        <vt:lpwstr>http://www.thelatinlibrary.com/ovid/ovid.fasti2.shtml</vt:lpwstr>
      </vt:variant>
      <vt:variant>
        <vt:lpwstr/>
      </vt:variant>
      <vt:variant>
        <vt:i4>65555</vt:i4>
      </vt:variant>
      <vt:variant>
        <vt:i4>42</vt:i4>
      </vt:variant>
      <vt:variant>
        <vt:i4>0</vt:i4>
      </vt:variant>
      <vt:variant>
        <vt:i4>5</vt:i4>
      </vt:variant>
      <vt:variant>
        <vt:lpwstr>http://www.thelatinlibrary.com/victor.origio.html</vt:lpwstr>
      </vt:variant>
      <vt:variant>
        <vt:lpwstr/>
      </vt:variant>
      <vt:variant>
        <vt:i4>1966173</vt:i4>
      </vt:variant>
      <vt:variant>
        <vt:i4>39</vt:i4>
      </vt:variant>
      <vt:variant>
        <vt:i4>0</vt:i4>
      </vt:variant>
      <vt:variant>
        <vt:i4>5</vt:i4>
      </vt:variant>
      <vt:variant>
        <vt:lpwstr>https://www.britannica.com/biography/Saint-Gelasius-I</vt:lpwstr>
      </vt:variant>
      <vt:variant>
        <vt:lpwstr/>
      </vt:variant>
      <vt:variant>
        <vt:i4>5111889</vt:i4>
      </vt:variant>
      <vt:variant>
        <vt:i4>36</vt:i4>
      </vt:variant>
      <vt:variant>
        <vt:i4>0</vt:i4>
      </vt:variant>
      <vt:variant>
        <vt:i4>5</vt:i4>
      </vt:variant>
      <vt:variant>
        <vt:lpwstr>http://penelope.uchicago.edu/Thayer/E/Roman/Texts/secondary/SMIGRA*/Luperci.html</vt:lpwstr>
      </vt:variant>
      <vt:variant>
        <vt:lpwstr/>
      </vt:variant>
      <vt:variant>
        <vt:i4>3407917</vt:i4>
      </vt:variant>
      <vt:variant>
        <vt:i4>33</vt:i4>
      </vt:variant>
      <vt:variant>
        <vt:i4>0</vt:i4>
      </vt:variant>
      <vt:variant>
        <vt:i4>5</vt:i4>
      </vt:variant>
      <vt:variant>
        <vt:lpwstr>http://penelope.uchicago.edu/Thayer/E/Roman/Texts/Suetonius/12Caesars/Augustus*.html</vt:lpwstr>
      </vt:variant>
      <vt:variant>
        <vt:lpwstr>31</vt:lpwstr>
      </vt:variant>
      <vt:variant>
        <vt:i4>1900610</vt:i4>
      </vt:variant>
      <vt:variant>
        <vt:i4>30</vt:i4>
      </vt:variant>
      <vt:variant>
        <vt:i4>0</vt:i4>
      </vt:variant>
      <vt:variant>
        <vt:i4>5</vt:i4>
      </vt:variant>
      <vt:variant>
        <vt:lpwstr>http://www.thelatinlibrary.com/varro.ll5.html</vt:lpwstr>
      </vt:variant>
      <vt:variant>
        <vt:lpwstr/>
      </vt:variant>
      <vt:variant>
        <vt:i4>4391027</vt:i4>
      </vt:variant>
      <vt:variant>
        <vt:i4>27</vt:i4>
      </vt:variant>
      <vt:variant>
        <vt:i4>0</vt:i4>
      </vt:variant>
      <vt:variant>
        <vt:i4>5</vt:i4>
      </vt:variant>
      <vt:variant>
        <vt:lpwstr>http://penelope.uchicago.edu/Thayer/L/Roman/Texts/Valerius_Maximus/2*.html</vt:lpwstr>
      </vt:variant>
      <vt:variant>
        <vt:lpwstr>2.9</vt:lpwstr>
      </vt:variant>
      <vt:variant>
        <vt:i4>5832719</vt:i4>
      </vt:variant>
      <vt:variant>
        <vt:i4>24</vt:i4>
      </vt:variant>
      <vt:variant>
        <vt:i4>0</vt:i4>
      </vt:variant>
      <vt:variant>
        <vt:i4>5</vt:i4>
      </vt:variant>
      <vt:variant>
        <vt:lpwstr>https://www.britannica.com/topic/wool</vt:lpwstr>
      </vt:variant>
      <vt:variant>
        <vt:lpwstr/>
      </vt:variant>
      <vt:variant>
        <vt:i4>7667816</vt:i4>
      </vt:variant>
      <vt:variant>
        <vt:i4>21</vt:i4>
      </vt:variant>
      <vt:variant>
        <vt:i4>0</vt:i4>
      </vt:variant>
      <vt:variant>
        <vt:i4>5</vt:i4>
      </vt:variant>
      <vt:variant>
        <vt:lpwstr>http://www.perseus.tufts.edu/hopper/text?doc=Serv.+A.+8.343</vt:lpwstr>
      </vt:variant>
      <vt:variant>
        <vt:lpwstr/>
      </vt:variant>
      <vt:variant>
        <vt:i4>2359328</vt:i4>
      </vt:variant>
      <vt:variant>
        <vt:i4>18</vt:i4>
      </vt:variant>
      <vt:variant>
        <vt:i4>0</vt:i4>
      </vt:variant>
      <vt:variant>
        <vt:i4>5</vt:i4>
      </vt:variant>
      <vt:variant>
        <vt:lpwstr>http://penelope.uchicago.edu/Thayer/E/Roman/Texts/Plutarch/Lives/Romulus*.html</vt:lpwstr>
      </vt:variant>
      <vt:variant>
        <vt:lpwstr>21.4</vt:lpwstr>
      </vt:variant>
      <vt:variant>
        <vt:i4>7209072</vt:i4>
      </vt:variant>
      <vt:variant>
        <vt:i4>15</vt:i4>
      </vt:variant>
      <vt:variant>
        <vt:i4>0</vt:i4>
      </vt:variant>
      <vt:variant>
        <vt:i4>5</vt:i4>
      </vt:variant>
      <vt:variant>
        <vt:lpwstr>http://penelope.uchicago.edu/Thayer/E/Roman/Texts/Plutarch/Lives/Caesar*.html</vt:lpwstr>
      </vt:variant>
      <vt:variant>
        <vt:lpwstr>61</vt:lpwstr>
      </vt:variant>
      <vt:variant>
        <vt:i4>7209072</vt:i4>
      </vt:variant>
      <vt:variant>
        <vt:i4>12</vt:i4>
      </vt:variant>
      <vt:variant>
        <vt:i4>0</vt:i4>
      </vt:variant>
      <vt:variant>
        <vt:i4>5</vt:i4>
      </vt:variant>
      <vt:variant>
        <vt:lpwstr>http://penelope.uchicago.edu/Thayer/E/Roman/Texts/Plutarch/Lives/Caesar*.html</vt:lpwstr>
      </vt:variant>
      <vt:variant>
        <vt:lpwstr>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Christina Panera (1703560)</cp:lastModifiedBy>
  <cp:revision>13</cp:revision>
  <cp:lastPrinted>2018-04-23T15:15:00Z</cp:lastPrinted>
  <dcterms:created xsi:type="dcterms:W3CDTF">2018-04-23T15:17:00Z</dcterms:created>
  <dcterms:modified xsi:type="dcterms:W3CDTF">2018-04-25T10:42:00Z</dcterms:modified>
</cp:coreProperties>
</file>