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B572AD" w14:textId="67D476F6" w:rsidR="005D3462" w:rsidRPr="00374923" w:rsidRDefault="00423BE5">
      <w:pPr>
        <w:rPr>
          <w:sz w:val="20"/>
          <w:szCs w:val="20"/>
        </w:rPr>
      </w:pPr>
      <w:r w:rsidRPr="00374923">
        <w:rPr>
          <w:noProof/>
          <w:sz w:val="28"/>
          <w:szCs w:val="28"/>
        </w:rPr>
        <w:drawing>
          <wp:anchor distT="0" distB="0" distL="114300" distR="114300" simplePos="0" relativeHeight="251658240" behindDoc="0" locked="0" layoutInCell="1" allowOverlap="1" wp14:anchorId="6579AE94" wp14:editId="4BF3F466">
            <wp:simplePos x="0" y="0"/>
            <wp:positionH relativeFrom="margin">
              <wp:align>right</wp:align>
            </wp:positionH>
            <wp:positionV relativeFrom="paragraph">
              <wp:posOffset>0</wp:posOffset>
            </wp:positionV>
            <wp:extent cx="3048635" cy="3067050"/>
            <wp:effectExtent l="0" t="0" r="0" b="0"/>
            <wp:wrapSquare wrapText="bothSides"/>
            <wp:docPr id="1491536025" name="Picture 1" descr="A stone with a desig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536025" name="Picture 1" descr="A stone with a design on i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048635" cy="3067050"/>
                    </a:xfrm>
                    <a:prstGeom prst="rect">
                      <a:avLst/>
                    </a:prstGeom>
                  </pic:spPr>
                </pic:pic>
              </a:graphicData>
            </a:graphic>
            <wp14:sizeRelH relativeFrom="margin">
              <wp14:pctWidth>0</wp14:pctWidth>
            </wp14:sizeRelH>
            <wp14:sizeRelV relativeFrom="margin">
              <wp14:pctHeight>0</wp14:pctHeight>
            </wp14:sizeRelV>
          </wp:anchor>
        </w:drawing>
      </w:r>
      <w:r w:rsidR="00A15182" w:rsidRPr="00374923">
        <w:rPr>
          <w:b/>
          <w:bCs/>
          <w:sz w:val="28"/>
          <w:szCs w:val="28"/>
          <w:u w:val="single"/>
        </w:rPr>
        <w:t>Senoswret I scarab</w:t>
      </w:r>
    </w:p>
    <w:p w14:paraId="29193720" w14:textId="4BE40905" w:rsidR="00A62E03" w:rsidRPr="000178BF" w:rsidRDefault="00450575" w:rsidP="004B7E6D">
      <w:pPr>
        <w:jc w:val="both"/>
      </w:pPr>
      <w:r>
        <w:t xml:space="preserve">The Senoswret I </w:t>
      </w:r>
      <w:r w:rsidR="00B61A30">
        <w:t>scarab</w:t>
      </w:r>
      <w:r w:rsidR="00E76DEB">
        <w:t xml:space="preserve"> is a</w:t>
      </w:r>
      <w:r w:rsidR="00703437">
        <w:t xml:space="preserve"> glazed</w:t>
      </w:r>
      <w:r w:rsidR="00E76DEB">
        <w:t xml:space="preserve"> steatite scarab </w:t>
      </w:r>
      <w:r w:rsidR="007E362F">
        <w:t>carved with</w:t>
      </w:r>
      <w:r w:rsidR="000178BF">
        <w:t xml:space="preserve"> an </w:t>
      </w:r>
      <w:r w:rsidR="000178BF">
        <w:rPr>
          <w:i/>
          <w:iCs/>
        </w:rPr>
        <w:t>uzat</w:t>
      </w:r>
      <w:r w:rsidR="000178BF">
        <w:t xml:space="preserve"> eye, an </w:t>
      </w:r>
      <w:r w:rsidR="000178BF">
        <w:rPr>
          <w:i/>
          <w:iCs/>
        </w:rPr>
        <w:t>ankh</w:t>
      </w:r>
      <w:r w:rsidR="000178BF">
        <w:t xml:space="preserve"> and a </w:t>
      </w:r>
      <w:r w:rsidR="000178BF">
        <w:rPr>
          <w:i/>
          <w:iCs/>
        </w:rPr>
        <w:t>was</w:t>
      </w:r>
      <w:r w:rsidR="000178BF">
        <w:t xml:space="preserve"> sceptre</w:t>
      </w:r>
      <w:r w:rsidR="007F7139">
        <w:t xml:space="preserve"> around it, and</w:t>
      </w:r>
      <w:r w:rsidR="00FF46CD">
        <w:t xml:space="preserve"> seems to</w:t>
      </w:r>
      <w:r w:rsidR="000A1BF7">
        <w:t xml:space="preserve"> have</w:t>
      </w:r>
      <w:r w:rsidR="00FF46CD">
        <w:t xml:space="preserve"> be</w:t>
      </w:r>
      <w:r w:rsidR="000A1BF7">
        <w:t>en</w:t>
      </w:r>
      <w:r w:rsidR="00FF46CD">
        <w:t xml:space="preserve"> reworked.</w:t>
      </w:r>
      <w:r w:rsidR="002D51F4">
        <w:t xml:space="preserve"> The </w:t>
      </w:r>
      <w:r w:rsidR="002D51F4">
        <w:rPr>
          <w:i/>
          <w:iCs/>
        </w:rPr>
        <w:t>uzat</w:t>
      </w:r>
      <w:r w:rsidR="002D51F4">
        <w:t xml:space="preserve"> eyes represent </w:t>
      </w:r>
      <w:r w:rsidR="00CA7920">
        <w:t xml:space="preserve">wellbeing, healing and protection. The </w:t>
      </w:r>
      <w:r w:rsidR="00CA7920">
        <w:rPr>
          <w:i/>
          <w:iCs/>
        </w:rPr>
        <w:t>ankh</w:t>
      </w:r>
      <w:r w:rsidR="00CA7920">
        <w:t xml:space="preserve"> represents </w:t>
      </w:r>
      <w:r w:rsidR="00334741">
        <w:t xml:space="preserve">life. The </w:t>
      </w:r>
      <w:r w:rsidR="00334741">
        <w:rPr>
          <w:i/>
          <w:iCs/>
        </w:rPr>
        <w:t>was</w:t>
      </w:r>
      <w:r w:rsidR="00334741">
        <w:t xml:space="preserve"> sceptre represents </w:t>
      </w:r>
      <w:r w:rsidR="00831163">
        <w:t>power or dominion.</w:t>
      </w:r>
      <w:r w:rsidR="00E62B31">
        <w:t xml:space="preserve"> The scarab is around 1.65 centimetres in length and 1.15 centimetres in width.</w:t>
      </w:r>
      <w:r w:rsidR="00553D3D">
        <w:t xml:space="preserve"> </w:t>
      </w:r>
      <w:r w:rsidR="00DB7396">
        <w:t xml:space="preserve">It is believed to date from the </w:t>
      </w:r>
      <w:r w:rsidR="006919F5">
        <w:t>Twelfth Dynasty (1971-1926 BCE)</w:t>
      </w:r>
      <w:r w:rsidR="0039378E">
        <w:t>.</w:t>
      </w:r>
    </w:p>
    <w:p w14:paraId="693086A1" w14:textId="3BBAA5D8" w:rsidR="005C3C32" w:rsidRPr="00082679" w:rsidRDefault="00A12DEB">
      <w:pPr>
        <w:rPr>
          <w:b/>
          <w:bCs/>
          <w:sz w:val="28"/>
          <w:szCs w:val="28"/>
          <w:u w:val="single"/>
        </w:rPr>
      </w:pPr>
      <w:r w:rsidRPr="00082679">
        <w:rPr>
          <w:b/>
          <w:bCs/>
          <w:sz w:val="28"/>
          <w:szCs w:val="28"/>
          <w:u w:val="single"/>
        </w:rPr>
        <w:t>Description</w:t>
      </w:r>
    </w:p>
    <w:p w14:paraId="6F4427A2" w14:textId="380D56F1" w:rsidR="00A62E03" w:rsidRDefault="00057764" w:rsidP="004B7E6D">
      <w:pPr>
        <w:jc w:val="both"/>
      </w:pPr>
      <w:r>
        <w:rPr>
          <w:noProof/>
        </w:rPr>
        <mc:AlternateContent>
          <mc:Choice Requires="wps">
            <w:drawing>
              <wp:anchor distT="45720" distB="45720" distL="114300" distR="114300" simplePos="0" relativeHeight="251660288" behindDoc="0" locked="0" layoutInCell="1" allowOverlap="1" wp14:anchorId="623B6061" wp14:editId="46FE64E8">
                <wp:simplePos x="0" y="0"/>
                <wp:positionH relativeFrom="column">
                  <wp:posOffset>3048000</wp:posOffset>
                </wp:positionH>
                <wp:positionV relativeFrom="paragraph">
                  <wp:posOffset>269240</wp:posOffset>
                </wp:positionV>
                <wp:extent cx="2276475" cy="2762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6475" cy="276225"/>
                        </a:xfrm>
                        <a:prstGeom prst="rect">
                          <a:avLst/>
                        </a:prstGeom>
                        <a:solidFill>
                          <a:srgbClr val="FFFFFF"/>
                        </a:solidFill>
                        <a:ln w="9525">
                          <a:solidFill>
                            <a:schemeClr val="bg1"/>
                          </a:solidFill>
                          <a:miter lim="800000"/>
                          <a:headEnd/>
                          <a:tailEnd/>
                        </a:ln>
                      </wps:spPr>
                      <wps:txbx>
                        <w:txbxContent>
                          <w:p w14:paraId="5FBC45AD" w14:textId="54F4B550" w:rsidR="00057764" w:rsidRPr="004803A3" w:rsidRDefault="00057764">
                            <w:pPr>
                              <w:rPr>
                                <w:b/>
                                <w:bCs/>
                              </w:rPr>
                            </w:pPr>
                            <w:r>
                              <w:rPr>
                                <w:b/>
                                <w:bCs/>
                              </w:rPr>
                              <w:t>Figure 1:</w:t>
                            </w:r>
                            <w:r w:rsidR="000850B5">
                              <w:rPr>
                                <w:b/>
                                <w:bCs/>
                              </w:rPr>
                              <w:t xml:space="preserve"> </w:t>
                            </w:r>
                            <w:r w:rsidR="00240163">
                              <w:rPr>
                                <w:b/>
                                <w:bCs/>
                              </w:rPr>
                              <w:t xml:space="preserve">British Museum, </w:t>
                            </w:r>
                            <w:r w:rsidR="004803A3">
                              <w:rPr>
                                <w:b/>
                                <w:bCs/>
                                <w:i/>
                                <w:iCs/>
                              </w:rPr>
                              <w:t>scarab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3B6061" id="_x0000_t202" coordsize="21600,21600" o:spt="202" path="m,l,21600r21600,l21600,xe">
                <v:stroke joinstyle="miter"/>
                <v:path gradientshapeok="t" o:connecttype="rect"/>
              </v:shapetype>
              <v:shape id="Text Box 2" o:spid="_x0000_s1026" type="#_x0000_t202" style="position:absolute;left:0;text-align:left;margin-left:240pt;margin-top:21.2pt;width:179.25pt;height:21.7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" strokecolor="white [3212]">
                <v:textbox>
                  <w:txbxContent>
                    <w:p w14:paraId="5FBC45AD" w14:textId="54F4B550" w:rsidR="00057764" w:rsidRPr="004803A3" w:rsidRDefault="00057764">
                      <w:pPr>
                        <w:rPr>
                          <w:b/>
                          <w:bCs/>
                        </w:rPr>
                      </w:pPr>
                      <w:r>
                        <w:rPr>
                          <w:b/>
                          <w:bCs/>
                        </w:rPr>
                        <w:t>Figure 1:</w:t>
                      </w:r>
                      <w:r w:rsidR="000850B5">
                        <w:rPr>
                          <w:b/>
                          <w:bCs/>
                        </w:rPr>
                        <w:t xml:space="preserve"> </w:t>
                      </w:r>
                      <w:r w:rsidR="00240163">
                        <w:rPr>
                          <w:b/>
                          <w:bCs/>
                        </w:rPr>
                        <w:t xml:space="preserve">British Museum, </w:t>
                      </w:r>
                      <w:r w:rsidR="004803A3">
                        <w:rPr>
                          <w:b/>
                          <w:bCs/>
                          <w:i/>
                          <w:iCs/>
                        </w:rPr>
                        <w:t>scarab</w:t>
                      </w:r>
                    </w:p>
                  </w:txbxContent>
                </v:textbox>
                <w10:wrap type="square"/>
              </v:shape>
            </w:pict>
          </mc:Fallback>
        </mc:AlternateContent>
      </w:r>
      <w:r w:rsidR="0083795F">
        <w:t xml:space="preserve">The scarab </w:t>
      </w:r>
      <w:r w:rsidR="00B5550C">
        <w:t xml:space="preserve">sits in the centre, with two </w:t>
      </w:r>
      <w:r w:rsidR="00B5550C">
        <w:rPr>
          <w:i/>
          <w:iCs/>
        </w:rPr>
        <w:t>ankhs</w:t>
      </w:r>
      <w:r w:rsidR="00B5550C">
        <w:t xml:space="preserve"> on either</w:t>
      </w:r>
      <w:r w:rsidR="004A0C3D">
        <w:t xml:space="preserve"> side and the </w:t>
      </w:r>
      <w:r w:rsidR="004A0C3D">
        <w:rPr>
          <w:i/>
          <w:iCs/>
        </w:rPr>
        <w:t>uzat</w:t>
      </w:r>
      <w:r w:rsidR="004A0C3D">
        <w:t xml:space="preserve"> eyes above it. The </w:t>
      </w:r>
      <w:r w:rsidR="004A0C3D">
        <w:rPr>
          <w:i/>
          <w:iCs/>
        </w:rPr>
        <w:t>was</w:t>
      </w:r>
      <w:r w:rsidR="004A0C3D">
        <w:t xml:space="preserve"> sceptres</w:t>
      </w:r>
      <w:r w:rsidR="00E61F7E">
        <w:t xml:space="preserve"> sit below the scarab</w:t>
      </w:r>
      <w:r w:rsidR="002324F8">
        <w:t>, seemingly</w:t>
      </w:r>
      <w:r w:rsidR="00E61F7E">
        <w:t xml:space="preserve"> to hold it up</w:t>
      </w:r>
      <w:r w:rsidR="00D5729D">
        <w:t>, possibly with religious significance that does not translate into words.</w:t>
      </w:r>
    </w:p>
    <w:p w14:paraId="4D64FA4C" w14:textId="1D4DD8E9" w:rsidR="00F558C7" w:rsidRDefault="00F558C7" w:rsidP="004B7E6D">
      <w:pPr>
        <w:jc w:val="both"/>
      </w:pPr>
      <w:r>
        <w:t>Scarabs held religious significance for the people of Ancient Egypt and had a role in their funerary beliefs and practices.</w:t>
      </w:r>
      <w:r>
        <w:rPr>
          <w:rStyle w:val="FootnoteReference"/>
        </w:rPr>
        <w:footnoteReference w:id="1"/>
      </w:r>
      <w:r>
        <w:t xml:space="preserve"> They were seen as representing the god Khepri’s work, who was responsible for the sun’s travel across the sky during the day at daybreak and because of this, the scarab was seen as the symbol for eternal life, rebirth and regeneration.</w:t>
      </w:r>
      <w:r>
        <w:rPr>
          <w:rStyle w:val="FootnoteReference"/>
        </w:rPr>
        <w:footnoteReference w:id="2"/>
      </w:r>
    </w:p>
    <w:p w14:paraId="1889CF9D" w14:textId="3634841D" w:rsidR="00F558C7" w:rsidRDefault="000067E2" w:rsidP="004B7E6D">
      <w:pPr>
        <w:jc w:val="both"/>
      </w:pPr>
      <w:r>
        <w:t xml:space="preserve">The scarab is made from steatite, which is a type of soapstone or soaprock. It is very easy to carve and is relatively soft, so an ideal </w:t>
      </w:r>
      <w:r w:rsidR="00E30E51">
        <w:t>material</w:t>
      </w:r>
      <w:r>
        <w:t xml:space="preserve"> for a scarab carving. Soapstone is also heat-resistant and durable and has been used in things such as heating, cooking and storing warm items for a long time.</w:t>
      </w:r>
      <w:r>
        <w:rPr>
          <w:rStyle w:val="FootnoteReference"/>
        </w:rPr>
        <w:footnoteReference w:id="3"/>
      </w:r>
      <w:r>
        <w:t xml:space="preserve"> Ancient Egyptian scarabs were made from steatite in the most common cases, including this Senoswret I scarab.</w:t>
      </w:r>
    </w:p>
    <w:p w14:paraId="154B4A76" w14:textId="4ED46458" w:rsidR="000067E2" w:rsidRPr="004A0C3D" w:rsidRDefault="000067E2" w:rsidP="004B7E6D">
      <w:pPr>
        <w:jc w:val="both"/>
      </w:pPr>
      <w:r>
        <w:t>This particular scarab is made from glazed steatite, which means that it was put through the heating process in order to make it harder and possibly made into a jewellery or decoration, as there is piercing through the scarab longitudinally from the top to the bottom. This may suggest that it had string or rope through it at one point in order to turn it into jewellery or some sort of ornament.</w:t>
      </w:r>
    </w:p>
    <w:p w14:paraId="606A15CF" w14:textId="053ED067" w:rsidR="00A12DEB" w:rsidRPr="00082679" w:rsidRDefault="00585169">
      <w:pPr>
        <w:rPr>
          <w:b/>
          <w:bCs/>
          <w:sz w:val="24"/>
          <w:szCs w:val="24"/>
        </w:rPr>
      </w:pPr>
      <w:r w:rsidRPr="00082679">
        <w:rPr>
          <w:b/>
          <w:bCs/>
          <w:sz w:val="28"/>
          <w:szCs w:val="28"/>
          <w:u w:val="single"/>
        </w:rPr>
        <w:t>Provenance</w:t>
      </w:r>
    </w:p>
    <w:p w14:paraId="269AD21B" w14:textId="3A7E4B76" w:rsidR="00A62E03" w:rsidRDefault="00863AF1" w:rsidP="00674346">
      <w:pPr>
        <w:jc w:val="both"/>
      </w:pPr>
      <w:r>
        <w:t xml:space="preserve">The scarab was found </w:t>
      </w:r>
      <w:r w:rsidR="00B979C3">
        <w:t>in Enkomi, a late Bronze age settlement in Cyprus</w:t>
      </w:r>
      <w:r w:rsidR="006D2A80">
        <w:t>, and was a surface find.</w:t>
      </w:r>
      <w:r w:rsidR="00510D41">
        <w:t xml:space="preserve"> Enkomi was occupied from 1600-1200 BC</w:t>
      </w:r>
      <w:r w:rsidR="00373B99">
        <w:t xml:space="preserve">, which was the </w:t>
      </w:r>
      <w:r w:rsidR="00512DB4">
        <w:t>Late</w:t>
      </w:r>
      <w:r w:rsidR="00373B99">
        <w:t xml:space="preserve"> Bronze Age.</w:t>
      </w:r>
      <w:r w:rsidR="006D5542">
        <w:t xml:space="preserve"> Enkomi is known for hosting </w:t>
      </w:r>
      <w:r w:rsidR="00474A38">
        <w:t xml:space="preserve">rich tombs on its land </w:t>
      </w:r>
      <w:r w:rsidR="00787688">
        <w:t xml:space="preserve">which have been excavated over the years to find </w:t>
      </w:r>
      <w:r w:rsidR="00B062D3">
        <w:t>copper</w:t>
      </w:r>
      <w:r w:rsidR="001E2607">
        <w:t xml:space="preserve">, which </w:t>
      </w:r>
      <w:r w:rsidR="001E2607">
        <w:lastRenderedPageBreak/>
        <w:t xml:space="preserve">was smelted on the site in the </w:t>
      </w:r>
      <w:r w:rsidR="00451727">
        <w:t>Middle Bronze Age</w:t>
      </w:r>
      <w:r w:rsidR="00986846">
        <w:t>. T</w:t>
      </w:r>
      <w:r w:rsidR="007B514C">
        <w:t>his</w:t>
      </w:r>
      <w:r w:rsidR="00986846">
        <w:t xml:space="preserve"> </w:t>
      </w:r>
      <w:r w:rsidR="007B514C">
        <w:t>area</w:t>
      </w:r>
      <w:r w:rsidR="00986846">
        <w:t xml:space="preserve"> also had strong connections towards Ugarit</w:t>
      </w:r>
      <w:r w:rsidR="0047589A">
        <w:rPr>
          <w:rStyle w:val="FootnoteReference"/>
        </w:rPr>
        <w:footnoteReference w:id="4"/>
      </w:r>
      <w:r w:rsidR="00AE59F0">
        <w:t xml:space="preserve">, a site </w:t>
      </w:r>
      <w:r w:rsidR="0049657B">
        <w:t>on the coast of Syria</w:t>
      </w:r>
      <w:r w:rsidR="00996975">
        <w:t xml:space="preserve"> which was facing it.</w:t>
      </w:r>
    </w:p>
    <w:p w14:paraId="42A22DAE" w14:textId="08120D07" w:rsidR="009276DA" w:rsidRDefault="009276DA" w:rsidP="00674346">
      <w:pPr>
        <w:jc w:val="both"/>
      </w:pPr>
      <w:r w:rsidRPr="009276DA">
        <w:t xml:space="preserve">The Senoswret I scarab may </w:t>
      </w:r>
      <w:r w:rsidR="000C3174">
        <w:t xml:space="preserve">either </w:t>
      </w:r>
      <w:r>
        <w:t>hav</w:t>
      </w:r>
      <w:r w:rsidR="0060199D">
        <w:t>e</w:t>
      </w:r>
      <w:r>
        <w:t xml:space="preserve"> ended up at a site in Enkomi from </w:t>
      </w:r>
      <w:r w:rsidR="00D32C3A">
        <w:t>trading</w:t>
      </w:r>
      <w:r w:rsidR="00AD375B">
        <w:t xml:space="preserve"> or</w:t>
      </w:r>
      <w:r w:rsidR="00D32C3A">
        <w:t xml:space="preserve"> </w:t>
      </w:r>
      <w:r w:rsidR="00AD375B">
        <w:t>was</w:t>
      </w:r>
      <w:r w:rsidR="00D32C3A">
        <w:t xml:space="preserve"> made on the site during the Middle to Late Bronze Age</w:t>
      </w:r>
      <w:r w:rsidR="00857EB9">
        <w:t xml:space="preserve">, or may have been handed down through a family </w:t>
      </w:r>
      <w:r w:rsidR="00351A2D">
        <w:t>through a gifting process.</w:t>
      </w:r>
      <w:r w:rsidR="002B5CC8">
        <w:t xml:space="preserve"> In the Late Bronze Age, Cyprus was </w:t>
      </w:r>
      <w:r w:rsidR="00B61589">
        <w:t xml:space="preserve">linked with other cultures that </w:t>
      </w:r>
      <w:r w:rsidR="00AA75A8">
        <w:t>helped it to expand its reac</w:t>
      </w:r>
      <w:r w:rsidR="007D7766">
        <w:t xml:space="preserve">h, </w:t>
      </w:r>
      <w:r w:rsidR="00D97863">
        <w:t>including</w:t>
      </w:r>
      <w:r w:rsidR="0079728B">
        <w:t xml:space="preserve"> connections with other cultures </w:t>
      </w:r>
      <w:r w:rsidR="00BB5367">
        <w:t>within western Asia and Egypt.</w:t>
      </w:r>
      <w:r w:rsidR="00343E3D">
        <w:t xml:space="preserve"> The most key </w:t>
      </w:r>
      <w:r w:rsidR="004B19CE">
        <w:t>objects and items</w:t>
      </w:r>
      <w:r w:rsidR="00343E3D">
        <w:t xml:space="preserve"> that were shared between Cyprus and </w:t>
      </w:r>
      <w:r w:rsidR="004B19CE">
        <w:t xml:space="preserve">Ugarit </w:t>
      </w:r>
      <w:r w:rsidR="004F7754">
        <w:t>were pottery and</w:t>
      </w:r>
      <w:r w:rsidR="003F6100">
        <w:t xml:space="preserve"> metal items</w:t>
      </w:r>
      <w:r w:rsidR="000817D6">
        <w:rPr>
          <w:rStyle w:val="FootnoteReference"/>
        </w:rPr>
        <w:footnoteReference w:id="5"/>
      </w:r>
      <w:r w:rsidR="002C36AF">
        <w:t xml:space="preserve"> as well as Cyprus being the main source of copper </w:t>
      </w:r>
      <w:r w:rsidR="00DD791D">
        <w:t>which was</w:t>
      </w:r>
      <w:r w:rsidR="006B48BE">
        <w:t xml:space="preserve"> used</w:t>
      </w:r>
      <w:r w:rsidR="00DD791D">
        <w:t xml:space="preserve"> in Ugarit’s </w:t>
      </w:r>
      <w:r w:rsidR="00D85D33">
        <w:t>metalworking industry</w:t>
      </w:r>
      <w:r w:rsidR="00906909">
        <w:t>. Lots of excavations in Ugarit have turned up</w:t>
      </w:r>
      <w:r w:rsidR="009B1F79">
        <w:t xml:space="preserve"> and uncovered</w:t>
      </w:r>
      <w:r w:rsidR="00906909">
        <w:t xml:space="preserve"> things that seem to be more in line with the Cypriot </w:t>
      </w:r>
      <w:r w:rsidR="00D07F2E">
        <w:t>style than others</w:t>
      </w:r>
      <w:r w:rsidR="001B7E54">
        <w:t xml:space="preserve">, keeping in line with the idea that the culture may have bled over </w:t>
      </w:r>
      <w:r w:rsidR="008B2D4A">
        <w:t xml:space="preserve">within the time they had traded and shared </w:t>
      </w:r>
      <w:r w:rsidR="00710A1E">
        <w:t>materials between each other</w:t>
      </w:r>
      <w:r w:rsidR="0008380F">
        <w:t>; therefore allowing their cultures to blend and mix in that time.</w:t>
      </w:r>
      <w:r w:rsidR="00E8562B">
        <w:t xml:space="preserve"> This culture bleed </w:t>
      </w:r>
      <w:r w:rsidR="001F4926">
        <w:t xml:space="preserve">would have occurred </w:t>
      </w:r>
      <w:r w:rsidR="00070697">
        <w:t>and spread, with materials and styles being shared through both trade and travel</w:t>
      </w:r>
      <w:r w:rsidR="006C26B6">
        <w:t xml:space="preserve">. The distance between </w:t>
      </w:r>
      <w:r w:rsidR="007272F3">
        <w:t xml:space="preserve">settlements that were trading objects </w:t>
      </w:r>
      <w:r w:rsidR="001919E0">
        <w:t>is a main focal point</w:t>
      </w:r>
      <w:r w:rsidR="00E7494D">
        <w:t xml:space="preserve"> as styles would have been much different the further away </w:t>
      </w:r>
      <w:r w:rsidR="00846120">
        <w:t xml:space="preserve">from the original </w:t>
      </w:r>
      <w:r w:rsidR="00EE5255">
        <w:t>settlement you got</w:t>
      </w:r>
      <w:r w:rsidR="00F34363">
        <w:t xml:space="preserve">, and in turn other styles would have influenced </w:t>
      </w:r>
      <w:r w:rsidR="00760BCF">
        <w:t>theirs through trade and ideas spreading through word of mouth.</w:t>
      </w:r>
      <w:r w:rsidR="009A238D">
        <w:t xml:space="preserve"> Additionally, </w:t>
      </w:r>
      <w:r w:rsidR="00B14D7A">
        <w:t xml:space="preserve">changes in social </w:t>
      </w:r>
      <w:r w:rsidR="002863B5">
        <w:t xml:space="preserve">or societal styles </w:t>
      </w:r>
      <w:r w:rsidR="00635AFA">
        <w:t xml:space="preserve">may have </w:t>
      </w:r>
      <w:r w:rsidR="002F16E4">
        <w:t>affected th</w:t>
      </w:r>
      <w:r w:rsidR="00D17180">
        <w:t>is</w:t>
      </w:r>
      <w:r w:rsidR="000E7B54">
        <w:t>, so</w:t>
      </w:r>
      <w:r w:rsidR="006C5324">
        <w:t xml:space="preserve"> </w:t>
      </w:r>
      <w:r w:rsidR="002A4B38">
        <w:t xml:space="preserve">if they were found or </w:t>
      </w:r>
      <w:r w:rsidR="00746682">
        <w:t xml:space="preserve">traded from </w:t>
      </w:r>
      <w:r w:rsidR="0027168E">
        <w:t xml:space="preserve">a </w:t>
      </w:r>
      <w:r w:rsidR="00AC75E9">
        <w:t xml:space="preserve">settlement that was </w:t>
      </w:r>
      <w:r w:rsidR="00450780">
        <w:t>geographically very far away</w:t>
      </w:r>
      <w:r w:rsidR="00422F46">
        <w:t xml:space="preserve"> from the style’s original place of origin</w:t>
      </w:r>
      <w:r w:rsidR="00FA4902">
        <w:t xml:space="preserve">, it would have changed or altered to reflect this other settlement’s style </w:t>
      </w:r>
      <w:r w:rsidR="00D363F3">
        <w:t>whilst maybe still keeping some elements of the original that inspired it.</w:t>
      </w:r>
    </w:p>
    <w:p w14:paraId="0DD04EED" w14:textId="2DACD46E" w:rsidR="000C365F" w:rsidRDefault="00F05E76" w:rsidP="00674346">
      <w:pPr>
        <w:jc w:val="both"/>
      </w:pPr>
      <w:r>
        <w:t>There was possibly a gifting process that scarabs, such as the Senoswret I scarab</w:t>
      </w:r>
      <w:r w:rsidR="0040132A">
        <w:t>, may have gone through</w:t>
      </w:r>
      <w:r w:rsidR="008616A6">
        <w:t xml:space="preserve"> and could have been handed down through a family</w:t>
      </w:r>
      <w:r w:rsidR="00B7397F">
        <w:t xml:space="preserve"> as either a present, from father to son or from mother to daughter. Since scarabs hold religious significance, </w:t>
      </w:r>
      <w:r w:rsidR="00BD3FBF">
        <w:t xml:space="preserve">we can assume that if this happened, there would have been some religious </w:t>
      </w:r>
      <w:r w:rsidR="008051BF">
        <w:t xml:space="preserve">belief </w:t>
      </w:r>
      <w:r w:rsidR="004D6458">
        <w:t>held with this handing down</w:t>
      </w:r>
      <w:r w:rsidR="00413711">
        <w:t xml:space="preserve"> if it happened. It may have been given to someone in order to keep them safe from evil,</w:t>
      </w:r>
      <w:r w:rsidR="007805C1">
        <w:t xml:space="preserve"> or simply to provide protection </w:t>
      </w:r>
      <w:r w:rsidR="00EA4907">
        <w:t xml:space="preserve">from everyday things like bad karma or </w:t>
      </w:r>
      <w:r w:rsidR="00395CD4">
        <w:t>spirits.</w:t>
      </w:r>
      <w:r w:rsidR="00BC56E5">
        <w:t xml:space="preserve"> </w:t>
      </w:r>
      <w:r w:rsidR="00B74A3C">
        <w:t xml:space="preserve">In addition, </w:t>
      </w:r>
      <w:r w:rsidR="006F2BD5">
        <w:t>the Senoswret I scarab could have been made on site at Enkomi</w:t>
      </w:r>
      <w:r w:rsidR="00491777">
        <w:t xml:space="preserve"> if the soapstone was imported from another settlement further away</w:t>
      </w:r>
      <w:r w:rsidR="00406FB7">
        <w:t xml:space="preserve"> if it was tricky to access nearer its origin point or where it was excavated.</w:t>
      </w:r>
      <w:r w:rsidR="00456BA5">
        <w:t xml:space="preserve"> </w:t>
      </w:r>
      <w:r w:rsidR="00736183">
        <w:t>In</w:t>
      </w:r>
      <w:r w:rsidR="00562046">
        <w:t xml:space="preserve"> Diamantis</w:t>
      </w:r>
      <w:r w:rsidR="00736183">
        <w:t xml:space="preserve"> Pana</w:t>
      </w:r>
      <w:r w:rsidR="00562046">
        <w:t xml:space="preserve">giotopoulos’ </w:t>
      </w:r>
      <w:r w:rsidR="000C310A">
        <w:t xml:space="preserve">article </w:t>
      </w:r>
      <w:r w:rsidR="000C310A">
        <w:rPr>
          <w:i/>
          <w:iCs/>
        </w:rPr>
        <w:t>The Enigma of the Gifts</w:t>
      </w:r>
      <w:r w:rsidR="00010EAD">
        <w:rPr>
          <w:rStyle w:val="FootnoteReference"/>
          <w:i/>
          <w:iCs/>
        </w:rPr>
        <w:footnoteReference w:id="6"/>
      </w:r>
      <w:r w:rsidR="008565AB">
        <w:t xml:space="preserve">, he mentions that </w:t>
      </w:r>
      <w:r w:rsidR="00F77C37">
        <w:t xml:space="preserve">there were indeed “supplies” travelling over borders which were intended to be </w:t>
      </w:r>
      <w:r w:rsidR="00A75FA8">
        <w:t xml:space="preserve">trade commodities, gifts and </w:t>
      </w:r>
      <w:r w:rsidR="00E05E88">
        <w:t>also tributes or taxes</w:t>
      </w:r>
      <w:r w:rsidR="00197D60">
        <w:t xml:space="preserve"> for either land or, again, trade.</w:t>
      </w:r>
      <w:r w:rsidR="00AE390D">
        <w:t xml:space="preserve"> Gifts are mentioned again </w:t>
      </w:r>
      <w:r w:rsidR="00C92C24">
        <w:t xml:space="preserve">which were sent by </w:t>
      </w:r>
      <w:r w:rsidR="00320B96">
        <w:t>Ame</w:t>
      </w:r>
      <w:r w:rsidR="00000D98">
        <w:t xml:space="preserve">nophis </w:t>
      </w:r>
      <w:r w:rsidR="00C92C24">
        <w:t xml:space="preserve">IV on occasion of a royal marriage </w:t>
      </w:r>
      <w:r w:rsidR="00F03672">
        <w:t xml:space="preserve">between </w:t>
      </w:r>
      <w:r w:rsidR="00742D99">
        <w:t>Burna-buras II when</w:t>
      </w:r>
      <w:r w:rsidR="000A2A01">
        <w:t xml:space="preserve"> Amenophis’ daughter was marrying him.</w:t>
      </w:r>
      <w:r w:rsidR="006431EB">
        <w:t xml:space="preserve"> Panagiotopoulos gives details in his article </w:t>
      </w:r>
      <w:r w:rsidR="00D10257">
        <w:t xml:space="preserve">about what these gifts would have been made from, </w:t>
      </w:r>
      <w:r w:rsidR="00864749">
        <w:t>listing various metals such as silver</w:t>
      </w:r>
      <w:r w:rsidR="002326CE">
        <w:t xml:space="preserve">, and there is mention of </w:t>
      </w:r>
      <w:r w:rsidR="00642934">
        <w:t xml:space="preserve">where the gifts were made </w:t>
      </w:r>
      <w:r w:rsidR="005D1C8A">
        <w:t>or manufactured</w:t>
      </w:r>
      <w:r w:rsidR="00A63152">
        <w:t xml:space="preserve"> originally before they were brought to this event.</w:t>
      </w:r>
      <w:r w:rsidR="00274D71">
        <w:t xml:space="preserve"> He notes that there were sometimes inscriptions on the gifts that were given</w:t>
      </w:r>
      <w:r w:rsidR="002B074E">
        <w:t xml:space="preserve"> which </w:t>
      </w:r>
      <w:r w:rsidR="001617AC">
        <w:t>may have told the receiver where the materials</w:t>
      </w:r>
      <w:r w:rsidR="00722D36">
        <w:t xml:space="preserve"> were </w:t>
      </w:r>
      <w:r w:rsidR="0021613E">
        <w:t>gotten from</w:t>
      </w:r>
      <w:r w:rsidR="001617AC">
        <w:t xml:space="preserve"> or the objects were created</w:t>
      </w:r>
      <w:r w:rsidR="00722D36">
        <w:t>.</w:t>
      </w:r>
      <w:r w:rsidR="00A019EB">
        <w:t xml:space="preserve"> This article from Panagiotopoulos </w:t>
      </w:r>
      <w:r w:rsidR="0045731D">
        <w:t xml:space="preserve">mainly focuses on gifts </w:t>
      </w:r>
      <w:r w:rsidR="00836818">
        <w:t>being diplomatic</w:t>
      </w:r>
      <w:r w:rsidR="00E210E8">
        <w:t xml:space="preserve"> in nature, as they were </w:t>
      </w:r>
      <w:r w:rsidR="00331D5A">
        <w:t xml:space="preserve">given to high-ranking individuals as a possible means of gaining </w:t>
      </w:r>
      <w:r w:rsidR="009E3707">
        <w:t xml:space="preserve">rank or </w:t>
      </w:r>
      <w:r w:rsidR="000B0367">
        <w:t xml:space="preserve">siding with </w:t>
      </w:r>
      <w:r w:rsidR="006D281E">
        <w:t>them in a time of great unrest</w:t>
      </w:r>
      <w:r w:rsidR="00E47C6B">
        <w:t>, therefore earning their trust in the court.</w:t>
      </w:r>
      <w:r w:rsidR="00B12634">
        <w:t xml:space="preserve"> Some gifts given may have had different materials which differed, including lead</w:t>
      </w:r>
      <w:r w:rsidR="00A573D0">
        <w:t>, gold, silver and copper.</w:t>
      </w:r>
      <w:r w:rsidR="00264FA9">
        <w:t xml:space="preserve"> Other things were also seen as good gifts, for example grains, </w:t>
      </w:r>
      <w:r w:rsidR="00E055B4">
        <w:t>ivory, wood, slaves</w:t>
      </w:r>
      <w:r w:rsidR="009D341B">
        <w:t xml:space="preserve"> and gems.</w:t>
      </w:r>
      <w:r w:rsidR="00461CCF">
        <w:t xml:space="preserve"> These may have been brought by an emissary or someone representing whoever was giving the gift if they were a high enough status </w:t>
      </w:r>
      <w:r w:rsidR="00461CCF">
        <w:lastRenderedPageBreak/>
        <w:t xml:space="preserve">to be able to afford </w:t>
      </w:r>
      <w:r w:rsidR="00231159">
        <w:t>to send someone in their place.</w:t>
      </w:r>
      <w:r w:rsidR="007D1625">
        <w:t xml:space="preserve"> If the gifts were going to be used for diplomatic purposes, it would have fostered </w:t>
      </w:r>
      <w:r w:rsidR="00E75BE0">
        <w:t xml:space="preserve">and focused on a friendship </w:t>
      </w:r>
      <w:r w:rsidR="00682A12">
        <w:t xml:space="preserve">or </w:t>
      </w:r>
      <w:r w:rsidR="000B3B54">
        <w:t>simply put the gift giver under the receiver, now that they knew they could be provided for.</w:t>
      </w:r>
    </w:p>
    <w:p w14:paraId="6E74787D" w14:textId="0FFACCE4" w:rsidR="000C365F" w:rsidRPr="000C310A" w:rsidRDefault="00A0127B" w:rsidP="00674346">
      <w:pPr>
        <w:jc w:val="both"/>
      </w:pPr>
      <w:r>
        <w:t xml:space="preserve">As an addition, </w:t>
      </w:r>
      <w:r w:rsidR="00294445">
        <w:t>Panagiotopoulos</w:t>
      </w:r>
      <w:r w:rsidR="00A00491">
        <w:t xml:space="preserve"> brings up the specific type of gifts that were given</w:t>
      </w:r>
      <w:r w:rsidR="007457BB">
        <w:t xml:space="preserve">, and that they were mostly storage vessels </w:t>
      </w:r>
      <w:r w:rsidR="00E45C76">
        <w:t>or</w:t>
      </w:r>
      <w:r w:rsidR="00DC1544">
        <w:t xml:space="preserve"> high-value metals</w:t>
      </w:r>
      <w:r w:rsidR="00CD7E1A">
        <w:t xml:space="preserve">. In some cases, the metals were on the </w:t>
      </w:r>
      <w:r w:rsidR="004978B9">
        <w:t>vessels themselves</w:t>
      </w:r>
      <w:r w:rsidR="00B050B3">
        <w:t xml:space="preserve">, having been decorated </w:t>
      </w:r>
      <w:r w:rsidR="00584D0A">
        <w:t>which would have possibly raised their value even more</w:t>
      </w:r>
      <w:r w:rsidR="00754946">
        <w:t xml:space="preserve"> than now belonging to a high-ranking societal member.</w:t>
      </w:r>
      <w:r w:rsidR="007137AB">
        <w:t xml:space="preserve"> Vessels such as this have been found in tombs</w:t>
      </w:r>
      <w:r w:rsidR="00917AAE">
        <w:t>, mostly with high-ranking elite</w:t>
      </w:r>
      <w:r w:rsidR="00FB121C">
        <w:t xml:space="preserve"> of the time</w:t>
      </w:r>
      <w:r w:rsidR="004D4116">
        <w:t>.</w:t>
      </w:r>
      <w:r w:rsidR="008708FE">
        <w:rPr>
          <w:rStyle w:val="FootnoteReference"/>
        </w:rPr>
        <w:footnoteReference w:id="7"/>
      </w:r>
      <w:r w:rsidR="00D816B8">
        <w:t xml:space="preserve"> We can assume that this sort of gift-giving to higher elites and possibly even </w:t>
      </w:r>
      <w:r w:rsidR="006E0E33">
        <w:t xml:space="preserve">including rulers, </w:t>
      </w:r>
      <w:r w:rsidR="004B26BC">
        <w:t>was as mentioned before a diplomatic move</w:t>
      </w:r>
      <w:r w:rsidR="00C2565A">
        <w:t xml:space="preserve"> in order to gain favour and protection when wars or conflicts would arise.</w:t>
      </w:r>
    </w:p>
    <w:p w14:paraId="3530CDDD" w14:textId="7E00A31D" w:rsidR="00860DC4" w:rsidRPr="00650FA2" w:rsidRDefault="00860DC4" w:rsidP="00674346">
      <w:pPr>
        <w:jc w:val="both"/>
      </w:pPr>
      <w:r>
        <w:t>As there were similar objects found at other sites like this Senoswret I scar</w:t>
      </w:r>
      <w:r w:rsidR="006F3B03">
        <w:t>ab</w:t>
      </w:r>
      <w:r w:rsidR="002A079B">
        <w:t xml:space="preserve"> and the commemorative scarab</w:t>
      </w:r>
      <w:r w:rsidR="00676113">
        <w:t xml:space="preserve"> </w:t>
      </w:r>
      <w:r w:rsidR="00D55084">
        <w:t>(See Figure 2)</w:t>
      </w:r>
      <w:r w:rsidR="008253D1">
        <w:t xml:space="preserve">; we can assume that </w:t>
      </w:r>
      <w:r w:rsidR="00FF57B6">
        <w:t xml:space="preserve">other settlements </w:t>
      </w:r>
      <w:r w:rsidR="00B268A9">
        <w:t xml:space="preserve">had </w:t>
      </w:r>
      <w:r w:rsidR="000F2039">
        <w:t xml:space="preserve">much the same idea </w:t>
      </w:r>
      <w:r w:rsidR="002B1B8A">
        <w:t xml:space="preserve">for their scarabs </w:t>
      </w:r>
      <w:r w:rsidR="003C64A6">
        <w:t xml:space="preserve">and how to make </w:t>
      </w:r>
      <w:r w:rsidR="00B10D3B">
        <w:t xml:space="preserve">them stand out with their own styles and </w:t>
      </w:r>
      <w:r w:rsidR="007547CC">
        <w:t xml:space="preserve">ways of making them tell stories </w:t>
      </w:r>
      <w:r w:rsidR="00C82518">
        <w:t xml:space="preserve">for their leaders or </w:t>
      </w:r>
      <w:r w:rsidR="00752CA0">
        <w:t>simply for giving information</w:t>
      </w:r>
      <w:r w:rsidR="00AC3DDE">
        <w:t xml:space="preserve"> that would have been useful to those that used the scarabs</w:t>
      </w:r>
      <w:r w:rsidR="00190620">
        <w:t xml:space="preserve"> for those purposes.</w:t>
      </w:r>
      <w:r w:rsidR="00BF6700">
        <w:t xml:space="preserve"> This goes further into the theory of styles being influenced by other cultures</w:t>
      </w:r>
      <w:r w:rsidR="00326016">
        <w:t xml:space="preserve"> when trade was being imported and exported from</w:t>
      </w:r>
      <w:r w:rsidR="00957D8D">
        <w:t xml:space="preserve"> other settlements further away, possibly in other countries or over oceans.</w:t>
      </w:r>
      <w:r w:rsidR="00114786">
        <w:t xml:space="preserve"> </w:t>
      </w:r>
      <w:r w:rsidR="00D62424">
        <w:t>It is obvious that something like the Senoswret I scarab would have been made in bulk</w:t>
      </w:r>
      <w:r w:rsidR="00DA6016">
        <w:t xml:space="preserve"> or in a mould in order to make the process </w:t>
      </w:r>
      <w:r w:rsidR="005B00D1">
        <w:t>easier and quicker</w:t>
      </w:r>
      <w:r w:rsidR="00CC7811">
        <w:t>, either to sell or export</w:t>
      </w:r>
      <w:r w:rsidR="006B0AD0">
        <w:t xml:space="preserve"> as trade</w:t>
      </w:r>
      <w:r w:rsidR="004B724E">
        <w:t xml:space="preserve">, therefore keeping that cycle going and introducing other settlements </w:t>
      </w:r>
      <w:r w:rsidR="00DF2C6D">
        <w:t>to the material of soapstone</w:t>
      </w:r>
      <w:r w:rsidR="00EC45BD">
        <w:t xml:space="preserve"> in turn.</w:t>
      </w:r>
      <w:r w:rsidR="00D746D5">
        <w:t xml:space="preserve"> Given the possible high demand for religious objects, like a scarab necklace in order to keep evil spirits or bad karma</w:t>
      </w:r>
      <w:r w:rsidR="00C94F95">
        <w:t xml:space="preserve"> away</w:t>
      </w:r>
      <w:r w:rsidR="00A463B5">
        <w:t xml:space="preserve">, it could have been that scarabs were </w:t>
      </w:r>
      <w:r w:rsidR="008A118B">
        <w:t>indeed much wanted</w:t>
      </w:r>
      <w:r w:rsidR="006971EC">
        <w:t xml:space="preserve"> and given their connection to rebirth and eternal life</w:t>
      </w:r>
      <w:r w:rsidR="00FC0B81">
        <w:t xml:space="preserve"> they would have been highly revered</w:t>
      </w:r>
      <w:r w:rsidR="007E2031">
        <w:t>.</w:t>
      </w:r>
    </w:p>
    <w:p w14:paraId="7D158D7B" w14:textId="5D2A503A" w:rsidR="00226604" w:rsidRPr="002C2DE0" w:rsidRDefault="00226604">
      <w:pPr>
        <w:rPr>
          <w:b/>
          <w:bCs/>
        </w:rPr>
      </w:pPr>
      <w:r w:rsidRPr="002C2DE0">
        <w:rPr>
          <w:b/>
          <w:bCs/>
        </w:rPr>
        <w:t>Archaeological details</w:t>
      </w:r>
    </w:p>
    <w:p w14:paraId="5DB43B69" w14:textId="1B910463" w:rsidR="006B5EC3" w:rsidRDefault="00401FF5" w:rsidP="00D02795">
      <w:pPr>
        <w:jc w:val="both"/>
      </w:pPr>
      <w:r>
        <w:t xml:space="preserve">This steatite scarab was </w:t>
      </w:r>
      <w:r w:rsidR="004A10E2">
        <w:t xml:space="preserve">excavated in </w:t>
      </w:r>
      <w:r w:rsidR="00A33C19">
        <w:t>Enkomi</w:t>
      </w:r>
      <w:r w:rsidR="007B619E">
        <w:t xml:space="preserve">, specifically in the </w:t>
      </w:r>
      <w:r w:rsidR="0095243F">
        <w:t>Famagusta district</w:t>
      </w:r>
      <w:r w:rsidR="002E1B09">
        <w:t xml:space="preserve">, </w:t>
      </w:r>
      <w:r w:rsidR="00D6659F">
        <w:t>and was likely made between 1850-1550 BC</w:t>
      </w:r>
      <w:r w:rsidR="00D30834">
        <w:t>.</w:t>
      </w:r>
      <w:r w:rsidR="00136D02">
        <w:rPr>
          <w:rStyle w:val="FootnoteReference"/>
        </w:rPr>
        <w:footnoteReference w:id="8"/>
      </w:r>
      <w:r w:rsidR="005844C0">
        <w:t xml:space="preserve"> Th</w:t>
      </w:r>
      <w:r w:rsidR="001033C9">
        <w:t xml:space="preserve">is object was carved as well as pierced, </w:t>
      </w:r>
      <w:r w:rsidR="00FF438F">
        <w:t xml:space="preserve">glazed and </w:t>
      </w:r>
      <w:r w:rsidR="007520DD">
        <w:t xml:space="preserve">engraved with the markings of the scarab, </w:t>
      </w:r>
      <w:r w:rsidR="007520DD">
        <w:rPr>
          <w:i/>
          <w:iCs/>
        </w:rPr>
        <w:t>was</w:t>
      </w:r>
      <w:r w:rsidR="007520DD">
        <w:t xml:space="preserve"> sceptres</w:t>
      </w:r>
      <w:r w:rsidR="0088746F">
        <w:t xml:space="preserve">, </w:t>
      </w:r>
      <w:r w:rsidR="0088746F">
        <w:rPr>
          <w:i/>
          <w:iCs/>
        </w:rPr>
        <w:t>uzat</w:t>
      </w:r>
      <w:r w:rsidR="0088746F">
        <w:t xml:space="preserve"> eyes</w:t>
      </w:r>
      <w:r w:rsidR="00153719">
        <w:t xml:space="preserve"> and</w:t>
      </w:r>
      <w:r w:rsidR="007520DD">
        <w:t xml:space="preserve"> </w:t>
      </w:r>
      <w:r w:rsidR="007520DD">
        <w:rPr>
          <w:i/>
          <w:iCs/>
        </w:rPr>
        <w:t>ankh</w:t>
      </w:r>
      <w:r w:rsidR="007520DD">
        <w:t>.</w:t>
      </w:r>
      <w:r w:rsidR="00432C5A">
        <w:t xml:space="preserve"> </w:t>
      </w:r>
      <w:r w:rsidR="006D1C71">
        <w:t>It was acquired for the British Museum in 1899</w:t>
      </w:r>
      <w:r w:rsidR="00D51342">
        <w:t xml:space="preserve"> after it was bought from </w:t>
      </w:r>
      <w:r w:rsidR="00D75E94">
        <w:t>Percy Christian</w:t>
      </w:r>
      <w:r w:rsidR="008B0907">
        <w:rPr>
          <w:rStyle w:val="FootnoteReference"/>
        </w:rPr>
        <w:footnoteReference w:id="9"/>
      </w:r>
      <w:r w:rsidR="00D75E94">
        <w:t xml:space="preserve">, who was </w:t>
      </w:r>
      <w:r w:rsidR="00471723">
        <w:t xml:space="preserve">the overseer for excavations that were carried out in Cyprus </w:t>
      </w:r>
      <w:r w:rsidR="00154665">
        <w:t xml:space="preserve">between </w:t>
      </w:r>
      <w:r w:rsidR="005B25D5">
        <w:t xml:space="preserve">1893 and </w:t>
      </w:r>
      <w:r w:rsidR="003B38D6">
        <w:t>1899.</w:t>
      </w:r>
    </w:p>
    <w:p w14:paraId="28650348" w14:textId="66FC22C6" w:rsidR="00767267" w:rsidRDefault="00767267" w:rsidP="00D02795">
      <w:pPr>
        <w:jc w:val="both"/>
        <w:rPr>
          <w:b/>
          <w:bCs/>
        </w:rPr>
      </w:pPr>
      <w:r>
        <w:rPr>
          <w:b/>
          <w:bCs/>
        </w:rPr>
        <w:t>Trade</w:t>
      </w:r>
    </w:p>
    <w:p w14:paraId="0FC23345" w14:textId="0DC5E3BB" w:rsidR="004F1B89" w:rsidRPr="008314E7" w:rsidRDefault="002826BE" w:rsidP="00D02795">
      <w:pPr>
        <w:jc w:val="both"/>
      </w:pPr>
      <w:r>
        <w:t xml:space="preserve">The Senoswret I scarab was either made at Enkomi or was brought there, either through trade </w:t>
      </w:r>
      <w:r w:rsidR="00625FD1">
        <w:t xml:space="preserve">or from the settlers moving around </w:t>
      </w:r>
      <w:r w:rsidR="00D306B6">
        <w:t xml:space="preserve">when finding deposits </w:t>
      </w:r>
      <w:r w:rsidR="000B718F">
        <w:t>of minerals or materials that they wanted to export or import for trade.</w:t>
      </w:r>
      <w:r w:rsidR="00F7783F">
        <w:t xml:space="preserve"> We can look at the style of the object as a starting point</w:t>
      </w:r>
      <w:r w:rsidR="00EE2C08">
        <w:t xml:space="preserve"> and what it is made from</w:t>
      </w:r>
      <w:r w:rsidR="00C221C5">
        <w:t xml:space="preserve">, as soapstone was </w:t>
      </w:r>
      <w:r w:rsidR="00FC5523">
        <w:t xml:space="preserve">either a common material that they could have many amulets like that one made </w:t>
      </w:r>
      <w:r w:rsidR="006F06FD">
        <w:t>easily</w:t>
      </w:r>
      <w:r w:rsidR="006D1E73">
        <w:t xml:space="preserve">. This </w:t>
      </w:r>
      <w:r w:rsidR="00716408">
        <w:t xml:space="preserve">particular object </w:t>
      </w:r>
      <w:r w:rsidR="00C268B0">
        <w:t>would have been made, exported or shared around at Enkomi as a</w:t>
      </w:r>
      <w:r w:rsidR="006A05F2">
        <w:t>n object for selling an</w:t>
      </w:r>
      <w:r w:rsidR="00491BD2">
        <w:t>d therefore many of the locals would have owned one</w:t>
      </w:r>
      <w:r w:rsidR="00DC5602">
        <w:t xml:space="preserve"> of their own</w:t>
      </w:r>
      <w:r w:rsidR="00E971CA">
        <w:t xml:space="preserve">, or giving it away as a gift to those they had close such as relatives who either lived near or far away; therefore possibly giving us an explanation </w:t>
      </w:r>
      <w:r w:rsidR="00EF264E">
        <w:t>to the style change and influence on other cultures.</w:t>
      </w:r>
    </w:p>
    <w:p w14:paraId="6F1D847A" w14:textId="1EDACB7F" w:rsidR="00E05301" w:rsidRPr="00BB63EA" w:rsidRDefault="00F32BCD">
      <w:pPr>
        <w:rPr>
          <w:b/>
          <w:bCs/>
          <w:sz w:val="28"/>
          <w:szCs w:val="28"/>
          <w:u w:val="single"/>
        </w:rPr>
      </w:pPr>
      <w:r>
        <w:rPr>
          <w:b/>
          <w:bCs/>
          <w:sz w:val="28"/>
          <w:szCs w:val="28"/>
          <w:u w:val="single"/>
        </w:rPr>
        <w:lastRenderedPageBreak/>
        <w:t>Similar</w:t>
      </w:r>
      <w:r w:rsidR="00E05301" w:rsidRPr="00BB63EA">
        <w:rPr>
          <w:b/>
          <w:bCs/>
          <w:sz w:val="28"/>
          <w:szCs w:val="28"/>
          <w:u w:val="single"/>
        </w:rPr>
        <w:t xml:space="preserve"> objects</w:t>
      </w:r>
    </w:p>
    <w:p w14:paraId="6A854A34" w14:textId="6C1148D9" w:rsidR="00E05301" w:rsidRDefault="00A77C5A">
      <w:pPr>
        <w:rPr>
          <w:b/>
          <w:bCs/>
        </w:rPr>
      </w:pPr>
      <w:r>
        <w:rPr>
          <w:b/>
          <w:bCs/>
        </w:rPr>
        <w:t>Scarabs</w:t>
      </w:r>
      <w:r w:rsidR="00182090">
        <w:rPr>
          <w:b/>
          <w:bCs/>
        </w:rPr>
        <w:t xml:space="preserve"> in Ancient Egypt</w:t>
      </w:r>
    </w:p>
    <w:p w14:paraId="27C0C539" w14:textId="11D9BEFE" w:rsidR="000A3BAE" w:rsidRDefault="00794BE4" w:rsidP="00D02795">
      <w:pPr>
        <w:jc w:val="both"/>
      </w:pPr>
      <w:r>
        <w:t>There were different types of scarabs that had different uses;</w:t>
      </w:r>
      <w:r w:rsidR="002B5643">
        <w:t xml:space="preserve"> one example of this is </w:t>
      </w:r>
      <w:r w:rsidR="00076272">
        <w:t xml:space="preserve">the “royal name” scarab, which would have </w:t>
      </w:r>
      <w:r w:rsidR="00790B72">
        <w:t xml:space="preserve">been inscribed with the names of </w:t>
      </w:r>
      <w:r w:rsidR="00DC2BDD">
        <w:t>pharaohs, queens</w:t>
      </w:r>
      <w:r w:rsidR="003158C3">
        <w:t xml:space="preserve"> and the other members of the royal family.</w:t>
      </w:r>
      <w:r w:rsidR="00FD1025">
        <w:t xml:space="preserve"> These may have had significance in their own time period, but </w:t>
      </w:r>
      <w:r w:rsidR="00084754">
        <w:t xml:space="preserve">as of now we cannot be sure what they were used for apart from </w:t>
      </w:r>
      <w:r w:rsidR="00A67179">
        <w:t xml:space="preserve">showing the names of those who had a high enough position in order to </w:t>
      </w:r>
      <w:r w:rsidR="00A371F9">
        <w:t>have one made specifically for them or their family.</w:t>
      </w:r>
      <w:r w:rsidR="007B1433">
        <w:t xml:space="preserve"> </w:t>
      </w:r>
      <w:r w:rsidR="001C4B6F">
        <w:t>One</w:t>
      </w:r>
      <w:r w:rsidR="006E4ED0">
        <w:t xml:space="preserve"> of a series of</w:t>
      </w:r>
      <w:r w:rsidR="001C4B6F">
        <w:t xml:space="preserve"> scarab</w:t>
      </w:r>
      <w:r w:rsidR="006E4ED0">
        <w:t>s</w:t>
      </w:r>
      <w:r w:rsidR="001C4B6F">
        <w:t xml:space="preserve"> that w</w:t>
      </w:r>
      <w:r w:rsidR="005B5FC7">
        <w:t>ere</w:t>
      </w:r>
      <w:r w:rsidR="001C4B6F">
        <w:t xml:space="preserve"> issued to commemorate the deeds of </w:t>
      </w:r>
      <w:r w:rsidR="00456D43">
        <w:t xml:space="preserve">a </w:t>
      </w:r>
      <w:r w:rsidR="00F7303F">
        <w:t>pharaoh</w:t>
      </w:r>
      <w:r w:rsidR="00456D43">
        <w:t xml:space="preserve"> during his reign w</w:t>
      </w:r>
      <w:r w:rsidR="00A61519">
        <w:t>ere</w:t>
      </w:r>
      <w:r w:rsidR="00456D43">
        <w:t xml:space="preserve"> </w:t>
      </w:r>
      <w:r w:rsidR="001043A6">
        <w:t xml:space="preserve">the </w:t>
      </w:r>
      <w:r w:rsidR="0037334A">
        <w:t>commemorative scarabs of Amenhotep III</w:t>
      </w:r>
      <w:r w:rsidR="00EB1D03">
        <w:t xml:space="preserve"> (Fig 2)</w:t>
      </w:r>
      <w:r w:rsidR="00BA29D5">
        <w:t>.</w:t>
      </w:r>
      <w:r w:rsidR="009C1769">
        <w:rPr>
          <w:rStyle w:val="FootnoteReference"/>
        </w:rPr>
        <w:footnoteReference w:id="10"/>
      </w:r>
    </w:p>
    <w:p w14:paraId="7DE4C4BD" w14:textId="66C4D232" w:rsidR="001C4B6F" w:rsidRDefault="000A3BAE">
      <w:r w:rsidRPr="000A3BAE">
        <w:rPr>
          <w:noProof/>
        </w:rPr>
        <w:drawing>
          <wp:inline distT="0" distB="0" distL="0" distR="0" wp14:anchorId="158B4297" wp14:editId="0DA651BA">
            <wp:extent cx="2562196" cy="3145368"/>
            <wp:effectExtent l="0" t="0" r="0" b="0"/>
            <wp:docPr id="1121953269" name="Picture 1" descr="A stone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953269" name="Picture 1" descr="A stone with writing on i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577258" cy="3163858"/>
                    </a:xfrm>
                    <a:prstGeom prst="rect">
                      <a:avLst/>
                    </a:prstGeom>
                  </pic:spPr>
                </pic:pic>
              </a:graphicData>
            </a:graphic>
          </wp:inline>
        </w:drawing>
      </w:r>
    </w:p>
    <w:p w14:paraId="7BDA73B1" w14:textId="114C24CF" w:rsidR="00BA29D5" w:rsidRDefault="00E9500B">
      <w:pPr>
        <w:rPr>
          <w:b/>
          <w:bCs/>
          <w:i/>
          <w:iCs/>
        </w:rPr>
      </w:pPr>
      <w:r>
        <w:rPr>
          <w:b/>
          <w:bCs/>
        </w:rPr>
        <w:t xml:space="preserve">Figure 2: </w:t>
      </w:r>
      <w:r w:rsidR="00E96C90">
        <w:rPr>
          <w:b/>
          <w:bCs/>
        </w:rPr>
        <w:t xml:space="preserve">The Met Museum, </w:t>
      </w:r>
      <w:r w:rsidR="001C0212">
        <w:rPr>
          <w:b/>
          <w:bCs/>
          <w:i/>
          <w:iCs/>
        </w:rPr>
        <w:t>commemorative scarab</w:t>
      </w:r>
    </w:p>
    <w:p w14:paraId="56927334" w14:textId="2388D587" w:rsidR="000C2481" w:rsidRDefault="00A02D7A" w:rsidP="00841BA9">
      <w:pPr>
        <w:jc w:val="both"/>
      </w:pPr>
      <w:r>
        <w:t xml:space="preserve">This particular scarab, as pictured above, has hieroglyphics that depict </w:t>
      </w:r>
      <w:r w:rsidR="005218A5">
        <w:t xml:space="preserve">various </w:t>
      </w:r>
      <w:r w:rsidR="00493D0D">
        <w:t xml:space="preserve">royal events </w:t>
      </w:r>
      <w:r w:rsidR="008D7A22">
        <w:t xml:space="preserve">and also records </w:t>
      </w:r>
      <w:r w:rsidR="00090070">
        <w:t xml:space="preserve">the time when the pharaoh himself shot </w:t>
      </w:r>
      <w:r w:rsidR="008411CF">
        <w:t>one hundred and two lions</w:t>
      </w:r>
      <w:r w:rsidR="00834D41">
        <w:t xml:space="preserve">. It also provides </w:t>
      </w:r>
      <w:r w:rsidR="00D05531">
        <w:t>all five names that were used by Amenhotep III</w:t>
      </w:r>
      <w:r w:rsidR="0052496C">
        <w:t xml:space="preserve"> during his reign</w:t>
      </w:r>
      <w:r w:rsidR="0033157C">
        <w:t xml:space="preserve"> and states the name of his wife, </w:t>
      </w:r>
      <w:r w:rsidR="004C4633">
        <w:t>Queen Tiye.</w:t>
      </w:r>
      <w:r w:rsidR="007B3A64">
        <w:t xml:space="preserve"> The make of the scarab is </w:t>
      </w:r>
      <w:r w:rsidR="00894630">
        <w:t>from</w:t>
      </w:r>
      <w:r w:rsidR="005448D8">
        <w:t xml:space="preserve"> a dark blue green</w:t>
      </w:r>
      <w:r w:rsidR="00894630">
        <w:t xml:space="preserve"> glazed steatite</w:t>
      </w:r>
      <w:r w:rsidR="00BF62C6">
        <w:t xml:space="preserve"> and with markings on its back</w:t>
      </w:r>
      <w:r w:rsidR="001F7A5D">
        <w:t xml:space="preserve"> in order to imitate the wings, head and body of a scarab beetle.</w:t>
      </w:r>
      <w:r w:rsidR="00B85FED">
        <w:rPr>
          <w:rStyle w:val="FootnoteReference"/>
        </w:rPr>
        <w:footnoteReference w:id="11"/>
      </w:r>
    </w:p>
    <w:p w14:paraId="41D798FC" w14:textId="5FF0D235" w:rsidR="00ED63A0" w:rsidRDefault="00ED63A0" w:rsidP="00841BA9">
      <w:pPr>
        <w:jc w:val="both"/>
      </w:pPr>
      <w:r>
        <w:t>Funerary amulets, along with scarabs, were sometimes placed into the tomb of a deceased person</w:t>
      </w:r>
      <w:r w:rsidR="0012118D">
        <w:t xml:space="preserve">. There were </w:t>
      </w:r>
      <w:r w:rsidR="00FB4DA0">
        <w:t>many other</w:t>
      </w:r>
      <w:r w:rsidR="0012118D">
        <w:t xml:space="preserve"> types of associated scarabs to do with funerary beliefs and practices</w:t>
      </w:r>
      <w:r w:rsidR="00510CFC">
        <w:t>. Firstly there were naturalistic scarabs</w:t>
      </w:r>
      <w:r w:rsidR="00B0310C">
        <w:t xml:space="preserve">, which looked more </w:t>
      </w:r>
      <w:r w:rsidR="00FE5965">
        <w:t>lifelike</w:t>
      </w:r>
      <w:r w:rsidR="00B0310C">
        <w:t xml:space="preserve"> than their flat carved counterparts and served as </w:t>
      </w:r>
      <w:r w:rsidR="009941CA">
        <w:t>protection for the deceased and other mummies when they travelled to the underworld</w:t>
      </w:r>
      <w:r w:rsidR="00F3654E">
        <w:t>. (See Figure 3).</w:t>
      </w:r>
    </w:p>
    <w:p w14:paraId="54564517" w14:textId="4002994E" w:rsidR="00B42970" w:rsidRDefault="00ED1ED5" w:rsidP="00841BA9">
      <w:pPr>
        <w:jc w:val="both"/>
      </w:pPr>
      <w:r>
        <w:rPr>
          <w:noProof/>
        </w:rPr>
        <w:lastRenderedPageBreak/>
        <w:drawing>
          <wp:inline distT="0" distB="0" distL="0" distR="0" wp14:anchorId="7EE6F0D6" wp14:editId="391E87B3">
            <wp:extent cx="3191229" cy="1531620"/>
            <wp:effectExtent l="0" t="0" r="9525" b="0"/>
            <wp:docPr id="1255867963" name="Picture 1"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98085" cy="1534910"/>
                    </a:xfrm>
                    <a:prstGeom prst="rect">
                      <a:avLst/>
                    </a:prstGeom>
                    <a:noFill/>
                    <a:ln>
                      <a:noFill/>
                    </a:ln>
                  </pic:spPr>
                </pic:pic>
              </a:graphicData>
            </a:graphic>
          </wp:inline>
        </w:drawing>
      </w:r>
    </w:p>
    <w:p w14:paraId="66537F72" w14:textId="2FD5C083" w:rsidR="00ED1ED5" w:rsidRDefault="00ED1ED5" w:rsidP="002E67B7">
      <w:pPr>
        <w:rPr>
          <w:b/>
          <w:bCs/>
        </w:rPr>
      </w:pPr>
      <w:r w:rsidRPr="00D3194A">
        <w:rPr>
          <w:b/>
          <w:bCs/>
        </w:rPr>
        <w:t xml:space="preserve">Figure 3: </w:t>
      </w:r>
      <w:r w:rsidR="00DC3F03" w:rsidRPr="00D3194A">
        <w:rPr>
          <w:b/>
          <w:bCs/>
        </w:rPr>
        <w:t>Egyptian faience naturalistic scarab, 665–342 BC</w:t>
      </w:r>
      <w:r w:rsidR="00324A78" w:rsidRPr="00D3194A">
        <w:rPr>
          <w:b/>
          <w:bCs/>
        </w:rPr>
        <w:t>, Late Period</w:t>
      </w:r>
      <w:r w:rsidR="00D3194A" w:rsidRPr="00D3194A">
        <w:rPr>
          <w:b/>
          <w:bCs/>
        </w:rPr>
        <w:t>, Wa</w:t>
      </w:r>
      <w:r w:rsidR="00D3194A">
        <w:rPr>
          <w:b/>
          <w:bCs/>
        </w:rPr>
        <w:t>lters Art Museum</w:t>
      </w:r>
    </w:p>
    <w:p w14:paraId="7C9E259E" w14:textId="74133F42" w:rsidR="002E67B7" w:rsidRPr="005B6C7A" w:rsidRDefault="002D3A6B" w:rsidP="002E67B7">
      <w:pPr>
        <w:jc w:val="both"/>
      </w:pPr>
      <w:r>
        <w:t>Additionally, there were also royal name scarabs</w:t>
      </w:r>
      <w:r w:rsidR="003533EF">
        <w:t>.</w:t>
      </w:r>
      <w:r w:rsidR="004E69D6">
        <w:t xml:space="preserve"> (Figure 4</w:t>
      </w:r>
      <w:r w:rsidR="009F7D0E">
        <w:t>).</w:t>
      </w:r>
      <w:r w:rsidR="00B336D3">
        <w:t xml:space="preserve"> </w:t>
      </w:r>
      <w:r w:rsidR="003533EF">
        <w:t>These</w:t>
      </w:r>
      <w:r w:rsidR="00B336D3">
        <w:t xml:space="preserve"> became popular in the </w:t>
      </w:r>
      <w:r w:rsidR="00DE4951">
        <w:t>early Middle Kingdom</w:t>
      </w:r>
      <w:r w:rsidR="00BA6D01">
        <w:t xml:space="preserve">, </w:t>
      </w:r>
      <w:r w:rsidR="001C6340">
        <w:t xml:space="preserve">Second Intermediate Period and </w:t>
      </w:r>
      <w:r w:rsidR="00BA49A5">
        <w:t>18</w:t>
      </w:r>
      <w:r w:rsidR="00BA49A5" w:rsidRPr="00BA49A5">
        <w:rPr>
          <w:vertAlign w:val="superscript"/>
        </w:rPr>
        <w:t>th</w:t>
      </w:r>
      <w:r w:rsidR="00BA49A5">
        <w:t xml:space="preserve"> Dynasty</w:t>
      </w:r>
      <w:r w:rsidR="001B16F7">
        <w:t xml:space="preserve"> as they were inscribed with the names of royal officials</w:t>
      </w:r>
      <w:r w:rsidR="001B4498">
        <w:t xml:space="preserve">, family members and </w:t>
      </w:r>
      <w:r w:rsidR="006A3045">
        <w:t>non-royal individuals.</w:t>
      </w:r>
      <w:r w:rsidR="001346B7">
        <w:t xml:space="preserve"> This type of scarab became less used a</w:t>
      </w:r>
      <w:r w:rsidR="005F4312">
        <w:t xml:space="preserve">fter the Middle Kingdom period ended, but they kept their religious significance and </w:t>
      </w:r>
      <w:r w:rsidR="00CB6D18">
        <w:t>meaning</w:t>
      </w:r>
      <w:r w:rsidR="00767F5F">
        <w:t xml:space="preserve"> throughout other periods of time.</w:t>
      </w:r>
      <w:r w:rsidR="002365DD">
        <w:t xml:space="preserve"> </w:t>
      </w:r>
      <w:r w:rsidR="005F64C4">
        <w:t xml:space="preserve">In Figure 4, this certain scarab was inscribed with the name of </w:t>
      </w:r>
      <w:r w:rsidR="008A3167">
        <w:t>the “keeper of the seal”</w:t>
      </w:r>
      <w:r w:rsidR="00DC293F">
        <w:t>, Senebsumai</w:t>
      </w:r>
      <w:r w:rsidR="008B144C">
        <w:t>.</w:t>
      </w:r>
      <w:r w:rsidR="00B23643">
        <w:t xml:space="preserve"> The inscription reads “</w:t>
      </w:r>
      <w:r w:rsidR="00B23643">
        <w:rPr>
          <w:i/>
          <w:iCs/>
        </w:rPr>
        <w:t>Royal sealer, companion, keeper of the seal</w:t>
      </w:r>
      <w:r w:rsidR="005B6C7A">
        <w:rPr>
          <w:i/>
          <w:iCs/>
        </w:rPr>
        <w:t>, Senebsumai.</w:t>
      </w:r>
      <w:r w:rsidR="005B6C7A">
        <w:t>”</w:t>
      </w:r>
      <w:r w:rsidR="00D75A08">
        <w:t xml:space="preserve"> The royal sealer was somebody who </w:t>
      </w:r>
      <w:r w:rsidR="00BA74B8">
        <w:t xml:space="preserve">would have been called the “royal seal-bearer” officially, </w:t>
      </w:r>
      <w:r w:rsidR="00EA1EB3">
        <w:t xml:space="preserve">as it was an official title and </w:t>
      </w:r>
      <w:r w:rsidR="004F004F">
        <w:t>position within Ancient Egyptian society.</w:t>
      </w:r>
      <w:r w:rsidR="002E1D83">
        <w:t xml:space="preserve"> Literally translated, it would have meant “</w:t>
      </w:r>
      <w:r w:rsidR="00C83CA6">
        <w:t xml:space="preserve">sealer of the king of Lower Egypt”, </w:t>
      </w:r>
      <w:r w:rsidR="00553E68">
        <w:t>but the position was</w:t>
      </w:r>
      <w:r w:rsidR="000B6715">
        <w:t xml:space="preserve"> possibly</w:t>
      </w:r>
      <w:r w:rsidR="00553E68">
        <w:t xml:space="preserve"> not locked to one place </w:t>
      </w:r>
      <w:r w:rsidR="00772FEC">
        <w:t>or country.</w:t>
      </w:r>
    </w:p>
    <w:p w14:paraId="47B7CF3A" w14:textId="51244A01" w:rsidR="00252E38" w:rsidRDefault="00325D20" w:rsidP="002E67B7">
      <w:pPr>
        <w:jc w:val="both"/>
      </w:pPr>
      <w:r>
        <w:rPr>
          <w:noProof/>
        </w:rPr>
        <w:drawing>
          <wp:inline distT="0" distB="0" distL="0" distR="0" wp14:anchorId="53E3208E" wp14:editId="19B5488A">
            <wp:extent cx="1514475" cy="2265454"/>
            <wp:effectExtent l="0" t="0" r="0" b="1905"/>
            <wp:docPr id="791654512" name="Picture 2"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fin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28867" cy="2286982"/>
                    </a:xfrm>
                    <a:prstGeom prst="rect">
                      <a:avLst/>
                    </a:prstGeom>
                    <a:noFill/>
                    <a:ln>
                      <a:noFill/>
                    </a:ln>
                  </pic:spPr>
                </pic:pic>
              </a:graphicData>
            </a:graphic>
          </wp:inline>
        </w:drawing>
      </w:r>
    </w:p>
    <w:p w14:paraId="4E7102DC" w14:textId="6BAFDB08" w:rsidR="00D420F9" w:rsidRPr="002D3A6B" w:rsidRDefault="00325D20">
      <w:pPr>
        <w:rPr>
          <w:b/>
          <w:bCs/>
        </w:rPr>
      </w:pPr>
      <w:r>
        <w:rPr>
          <w:b/>
          <w:bCs/>
        </w:rPr>
        <w:t xml:space="preserve">Figure 4: </w:t>
      </w:r>
      <w:r w:rsidR="00106BD2" w:rsidRPr="00106BD2">
        <w:rPr>
          <w:b/>
          <w:bCs/>
        </w:rPr>
        <w:t>Scarab seal of the ancient Egyptian</w:t>
      </w:r>
      <w:r w:rsidR="004E6CAC" w:rsidRPr="00841E56">
        <w:rPr>
          <w:b/>
          <w:bCs/>
        </w:rPr>
        <w:t xml:space="preserve"> </w:t>
      </w:r>
      <w:hyperlink r:id="rId11" w:tooltip="Senebsumai" w:history="1">
        <w:r w:rsidR="00106BD2" w:rsidRPr="00841E56">
          <w:rPr>
            <w:rStyle w:val="Hyperlink"/>
            <w:b/>
            <w:bCs/>
            <w:color w:val="auto"/>
            <w:u w:val="none"/>
          </w:rPr>
          <w:t>Senebsumai</w:t>
        </w:r>
      </w:hyperlink>
      <w:r w:rsidR="00577D8A">
        <w:rPr>
          <w:b/>
          <w:bCs/>
        </w:rPr>
        <w:t xml:space="preserve">, </w:t>
      </w:r>
      <w:r w:rsidR="00F8660D">
        <w:rPr>
          <w:b/>
          <w:bCs/>
        </w:rPr>
        <w:t>Petrie Museum</w:t>
      </w:r>
    </w:p>
    <w:p w14:paraId="68DD5930" w14:textId="070512BE" w:rsidR="001A4BE2" w:rsidRDefault="00892A56">
      <w:pPr>
        <w:rPr>
          <w:b/>
          <w:bCs/>
        </w:rPr>
      </w:pPr>
      <w:r>
        <w:rPr>
          <w:b/>
          <w:bCs/>
          <w:sz w:val="28"/>
          <w:szCs w:val="28"/>
          <w:u w:val="single"/>
        </w:rPr>
        <w:t>Th</w:t>
      </w:r>
      <w:r w:rsidR="00DE216C">
        <w:rPr>
          <w:b/>
          <w:bCs/>
          <w:sz w:val="28"/>
          <w:szCs w:val="28"/>
          <w:u w:val="single"/>
        </w:rPr>
        <w:t>eories</w:t>
      </w:r>
    </w:p>
    <w:p w14:paraId="09486A17" w14:textId="79D9A9B7" w:rsidR="004016CB" w:rsidRDefault="00BB0B3A" w:rsidP="00841BA9">
      <w:pPr>
        <w:jc w:val="both"/>
      </w:pPr>
      <w:r>
        <w:t xml:space="preserve">In </w:t>
      </w:r>
      <w:r>
        <w:rPr>
          <w:i/>
          <w:iCs/>
        </w:rPr>
        <w:t>Cyprus and Egypt in the Late Bronze Ag</w:t>
      </w:r>
      <w:r w:rsidR="00267E2B">
        <w:rPr>
          <w:i/>
          <w:iCs/>
        </w:rPr>
        <w:t>e</w:t>
      </w:r>
      <w:r>
        <w:rPr>
          <w:rStyle w:val="FootnoteReference"/>
          <w:i/>
          <w:iCs/>
        </w:rPr>
        <w:footnoteReference w:id="12"/>
      </w:r>
      <w:r>
        <w:rPr>
          <w:i/>
          <w:iCs/>
        </w:rPr>
        <w:t>,</w:t>
      </w:r>
      <w:r>
        <w:t xml:space="preserve"> </w:t>
      </w:r>
      <w:r w:rsidR="00C663F5">
        <w:t>Knapp</w:t>
      </w:r>
      <w:r>
        <w:t xml:space="preserve"> discusses how the gain from distribution and trade would have helped and combined</w:t>
      </w:r>
      <w:r w:rsidR="008E7E35">
        <w:t xml:space="preserve"> each culture</w:t>
      </w:r>
      <w:r w:rsidR="007346CD">
        <w:t xml:space="preserve"> at this time</w:t>
      </w:r>
      <w:r w:rsidR="008E7E35">
        <w:t xml:space="preserve"> with something from the other. As mentioned earlier, this would have </w:t>
      </w:r>
      <w:r w:rsidR="007569C3">
        <w:t>encouraged each settlement to create objects that were inspired by other civilisations and their styles</w:t>
      </w:r>
      <w:r w:rsidR="003A3927">
        <w:t>, including this particular Senoswret I scarab.</w:t>
      </w:r>
      <w:r w:rsidR="00DD5ED6">
        <w:t xml:space="preserve"> There were tombs at Enkomi that were discovered </w:t>
      </w:r>
      <w:r w:rsidR="00401AFC">
        <w:t xml:space="preserve">to have objects made from </w:t>
      </w:r>
      <w:r w:rsidR="008B6470">
        <w:t>gold, silver faience and ivory</w:t>
      </w:r>
      <w:r w:rsidR="00603D17">
        <w:t xml:space="preserve">. All of these materials would have had </w:t>
      </w:r>
      <w:r w:rsidR="00D15C83">
        <w:t xml:space="preserve">exclusive value and </w:t>
      </w:r>
      <w:r w:rsidR="00237D0C">
        <w:t>possibly belonged to those in society that were of very high standing</w:t>
      </w:r>
      <w:r w:rsidR="00C96196">
        <w:t xml:space="preserve"> and that had enough </w:t>
      </w:r>
      <w:r w:rsidR="003F1BE4">
        <w:t xml:space="preserve">status in order to employ specialist </w:t>
      </w:r>
      <w:r w:rsidR="003F1BE4">
        <w:lastRenderedPageBreak/>
        <w:t>craftspeople to handle these materials.</w:t>
      </w:r>
      <w:r w:rsidR="0014504C">
        <w:t xml:space="preserve"> Other excavations that were carried out </w:t>
      </w:r>
      <w:r w:rsidR="005579A8">
        <w:t xml:space="preserve">in Late Cypriot </w:t>
      </w:r>
      <w:r w:rsidR="008758F5">
        <w:t xml:space="preserve">tombs at Enkomi </w:t>
      </w:r>
      <w:r w:rsidR="00A6337E">
        <w:t xml:space="preserve">were found to have </w:t>
      </w:r>
      <w:r w:rsidR="00DF1EC1">
        <w:t>ivory and glass</w:t>
      </w:r>
      <w:r w:rsidR="0097499E">
        <w:t xml:space="preserve">, as well as pottery and </w:t>
      </w:r>
      <w:r w:rsidR="00780BE4">
        <w:t>rings</w:t>
      </w:r>
      <w:r w:rsidR="0035103B">
        <w:t xml:space="preserve"> with carvings on that seemed to represent </w:t>
      </w:r>
      <w:r w:rsidR="005F7F3E">
        <w:t xml:space="preserve">Amenophis </w:t>
      </w:r>
      <w:r w:rsidR="00CF0D96">
        <w:t>III or IV</w:t>
      </w:r>
      <w:r w:rsidR="00143C74">
        <w:t>, who may have been the ruler at that time.</w:t>
      </w:r>
      <w:r w:rsidR="00CF2792">
        <w:t xml:space="preserve"> </w:t>
      </w:r>
      <w:r w:rsidR="00465F79">
        <w:t xml:space="preserve">These kinds of objects were </w:t>
      </w:r>
      <w:r w:rsidR="002A1165">
        <w:t>seen as “kingly things” which were used to display power and wealth</w:t>
      </w:r>
      <w:r w:rsidR="005C4B18">
        <w:t>, including the person’s status in their society.</w:t>
      </w:r>
      <w:r w:rsidR="00D15064">
        <w:t xml:space="preserve"> If their objects were made from </w:t>
      </w:r>
      <w:r w:rsidR="00521262">
        <w:t>exotic</w:t>
      </w:r>
      <w:r w:rsidR="00D15064">
        <w:t>, very expensive materials like ivory</w:t>
      </w:r>
      <w:r w:rsidR="00542016">
        <w:t xml:space="preserve"> then the demand would be very high and the supply quite low, leading to exclusivity and </w:t>
      </w:r>
      <w:r w:rsidR="00B0444E">
        <w:t>power to those who happened to get some of it.</w:t>
      </w:r>
      <w:r w:rsidR="00E36CA0">
        <w:t xml:space="preserve"> The </w:t>
      </w:r>
      <w:r w:rsidR="00A725C8">
        <w:t>imagery that was throughout this “international style”</w:t>
      </w:r>
      <w:r w:rsidR="009300FC">
        <w:t xml:space="preserve"> </w:t>
      </w:r>
      <w:r w:rsidR="00CC1158">
        <w:t>was very intentional</w:t>
      </w:r>
      <w:r w:rsidR="00290FA9">
        <w:t xml:space="preserve">, as it offered a blueprint </w:t>
      </w:r>
      <w:r w:rsidR="003032D5">
        <w:t xml:space="preserve">for </w:t>
      </w:r>
      <w:r w:rsidR="005F4439">
        <w:t xml:space="preserve">authority and power for those whose “luxury” items </w:t>
      </w:r>
      <w:r w:rsidR="003612DD">
        <w:t>had those specific details</w:t>
      </w:r>
      <w:r w:rsidR="00925D14">
        <w:t xml:space="preserve"> above others.</w:t>
      </w:r>
      <w:r w:rsidR="004016CB">
        <w:br w:type="page"/>
      </w:r>
    </w:p>
    <w:p w14:paraId="07BB47F1" w14:textId="47F366D1" w:rsidR="00EC4997" w:rsidRDefault="00FC42A2">
      <w:pPr>
        <w:rPr>
          <w:b/>
          <w:bCs/>
          <w:u w:val="single"/>
        </w:rPr>
      </w:pPr>
      <w:r>
        <w:rPr>
          <w:b/>
          <w:bCs/>
          <w:u w:val="single"/>
        </w:rPr>
        <w:lastRenderedPageBreak/>
        <w:t>B</w:t>
      </w:r>
      <w:r w:rsidR="004016CB">
        <w:rPr>
          <w:b/>
          <w:bCs/>
          <w:u w:val="single"/>
        </w:rPr>
        <w:t>ibliography</w:t>
      </w:r>
    </w:p>
    <w:p w14:paraId="161957CF" w14:textId="4EECE63A" w:rsidR="00FA08DF" w:rsidRDefault="00FA08DF">
      <w:r>
        <w:t xml:space="preserve">The British Museum, </w:t>
      </w:r>
      <w:r w:rsidR="00EE4131">
        <w:rPr>
          <w:i/>
          <w:iCs/>
        </w:rPr>
        <w:t>scarab</w:t>
      </w:r>
      <w:r w:rsidR="00EE4131">
        <w:t xml:space="preserve">, </w:t>
      </w:r>
      <w:r w:rsidR="00E53C43">
        <w:t>(</w:t>
      </w:r>
      <w:r w:rsidR="00EE4131">
        <w:t xml:space="preserve">Object Number </w:t>
      </w:r>
      <w:r w:rsidR="00EE4131" w:rsidRPr="00EE4131">
        <w:t>1899,0604.3</w:t>
      </w:r>
      <w:r w:rsidR="00E53C43">
        <w:t>)</w:t>
      </w:r>
    </w:p>
    <w:p w14:paraId="2E5B3355" w14:textId="20D2CEA5" w:rsidR="004B491D" w:rsidRDefault="00AE6451">
      <w:r>
        <w:t xml:space="preserve">The British Museum, </w:t>
      </w:r>
      <w:r w:rsidRPr="00AE6451">
        <w:t>Hall 1913 / Catalogue of Egyptian scarabs, etc.</w:t>
      </w:r>
      <w:r w:rsidR="009A5AE3">
        <w:t xml:space="preserve"> / BIB746</w:t>
      </w:r>
    </w:p>
    <w:p w14:paraId="021F232D" w14:textId="2AE2F80D" w:rsidR="00782E5B" w:rsidRPr="003B75C6" w:rsidRDefault="003B75C6">
      <w:r w:rsidRPr="003B75C6">
        <w:t xml:space="preserve">The Met Museum, </w:t>
      </w:r>
      <w:r w:rsidRPr="003B75C6">
        <w:rPr>
          <w:i/>
          <w:iCs/>
        </w:rPr>
        <w:t>Timeline o</w:t>
      </w:r>
      <w:r>
        <w:rPr>
          <w:i/>
          <w:iCs/>
        </w:rPr>
        <w:t>f Art History: Ugarit</w:t>
      </w:r>
      <w:r>
        <w:t>, October 1</w:t>
      </w:r>
      <w:r w:rsidRPr="003B75C6">
        <w:rPr>
          <w:vertAlign w:val="superscript"/>
        </w:rPr>
        <w:t>st</w:t>
      </w:r>
      <w:r>
        <w:t xml:space="preserve"> 2004</w:t>
      </w:r>
    </w:p>
    <w:p w14:paraId="11BBE905" w14:textId="63E3F18B" w:rsidR="004016CB" w:rsidRDefault="009E6277">
      <w:r w:rsidRPr="00525CF4">
        <w:t>Hansen, Gitte; Storemyr, Per (2017). </w:t>
      </w:r>
      <w:hyperlink r:id="rId12" w:history="1">
        <w:r w:rsidRPr="009E6277">
          <w:rPr>
            <w:rStyle w:val="Hyperlink"/>
            <w:i/>
            <w:iCs/>
            <w:color w:val="000000" w:themeColor="text1"/>
            <w:u w:val="none"/>
          </w:rPr>
          <w:t>A Versatile Resource – The Procurement and Use of Soapstone in Norway and The North Atlantic Region. In: Soapstone in the North Quarries, Products and People 7000 BC – AD 1700. UBAS – University of Bergen Archaeological Series 9</w:t>
        </w:r>
      </w:hyperlink>
      <w:r w:rsidRPr="009E6277">
        <w:rPr>
          <w:color w:val="000000" w:themeColor="text1"/>
        </w:rPr>
        <w:t>. Bergen, Norway. </w:t>
      </w:r>
      <w:hyperlink r:id="rId13" w:tooltip="ISBN (identifier)" w:history="1">
        <w:r w:rsidRPr="009E6277">
          <w:rPr>
            <w:rStyle w:val="Hyperlink"/>
            <w:color w:val="000000" w:themeColor="text1"/>
            <w:u w:val="none"/>
          </w:rPr>
          <w:t>ISBN</w:t>
        </w:r>
      </w:hyperlink>
      <w:r w:rsidRPr="009E6277">
        <w:rPr>
          <w:color w:val="000000" w:themeColor="text1"/>
        </w:rPr>
        <w:t> </w:t>
      </w:r>
      <w:hyperlink r:id="rId14" w:tooltip="Special:BookSources/978-82-90273-90-8" w:history="1">
        <w:r w:rsidRPr="009E6277">
          <w:rPr>
            <w:rStyle w:val="Hyperlink"/>
            <w:color w:val="000000" w:themeColor="text1"/>
            <w:u w:val="none"/>
          </w:rPr>
          <w:t>978-82-90273-90-8</w:t>
        </w:r>
      </w:hyperlink>
      <w:r w:rsidRPr="009E6277">
        <w:rPr>
          <w:color w:val="000000" w:themeColor="text1"/>
        </w:rPr>
        <w:t>.</w:t>
      </w:r>
    </w:p>
    <w:p w14:paraId="10609516" w14:textId="3A7CF653" w:rsidR="009E6277" w:rsidRDefault="00B660C8">
      <w:r w:rsidRPr="00B660C8">
        <w:t>Knapp, A., (2013) “Cyprus and Egypt in the Late Bronze Age”, </w:t>
      </w:r>
      <w:r w:rsidRPr="00B660C8">
        <w:rPr>
          <w:i/>
          <w:iCs/>
        </w:rPr>
        <w:t>Journal of Ancient Egyptian Interconnections</w:t>
      </w:r>
      <w:r w:rsidRPr="00B660C8">
        <w:t> 5(3), 1-9. doi: </w:t>
      </w:r>
      <w:hyperlink r:id="rId15" w:history="1">
        <w:r w:rsidRPr="00B660C8">
          <w:rPr>
            <w:rStyle w:val="Hyperlink"/>
          </w:rPr>
          <w:t>https://doi.org/10.2458/azu_jaei_v05i3_knapp</w:t>
        </w:r>
      </w:hyperlink>
    </w:p>
    <w:p w14:paraId="4B07B62D" w14:textId="7746989A" w:rsidR="000A7BE7" w:rsidRDefault="000A7BE7">
      <w:r>
        <w:t xml:space="preserve">The Ancient Near East Today, Cyprus and Ugarit; </w:t>
      </w:r>
      <w:hyperlink r:id="rId16" w:history="1">
        <w:r w:rsidR="00B965A5" w:rsidRPr="00737080">
          <w:rPr>
            <w:rStyle w:val="Hyperlink"/>
          </w:rPr>
          <w:t>https://anetoday.org/cyprus-and-ugarit/</w:t>
        </w:r>
      </w:hyperlink>
    </w:p>
    <w:p w14:paraId="2EBE0814" w14:textId="5E9069A3" w:rsidR="00E07DB6" w:rsidRDefault="00E07DB6">
      <w:r w:rsidRPr="00E07DB6">
        <w:t>Newberry, Percy E. (Percy Edward), 1869-1949. </w:t>
      </w:r>
      <w:r w:rsidRPr="00E07DB6">
        <w:rPr>
          <w:i/>
          <w:iCs/>
        </w:rPr>
        <w:t>Scarabs: an Introduction to the Study of Egyptian Seals And Signet Rings. </w:t>
      </w:r>
      <w:r w:rsidRPr="00E07DB6">
        <w:t>London: A. Constable, 1908.</w:t>
      </w:r>
    </w:p>
    <w:p w14:paraId="331F17ED" w14:textId="45632299" w:rsidR="00987B3C" w:rsidRPr="00987B3C" w:rsidRDefault="00987B3C">
      <w:r>
        <w:t xml:space="preserve">The Met Museum, </w:t>
      </w:r>
      <w:r>
        <w:rPr>
          <w:i/>
          <w:iCs/>
        </w:rPr>
        <w:t>Ancient Egyptian Amulets</w:t>
      </w:r>
      <w:r>
        <w:t>, Isabel Stunkel, 2019</w:t>
      </w:r>
    </w:p>
    <w:p w14:paraId="27D26E45" w14:textId="7D99B1A2" w:rsidR="00B965A5" w:rsidRDefault="008D2AC8">
      <w:r>
        <w:t xml:space="preserve">The Met Museum, </w:t>
      </w:r>
      <w:r>
        <w:rPr>
          <w:i/>
          <w:iCs/>
        </w:rPr>
        <w:t>commemorative scarab,</w:t>
      </w:r>
      <w:r>
        <w:t xml:space="preserve"> Object Number </w:t>
      </w:r>
      <w:r w:rsidRPr="009C1769">
        <w:t>EA64661</w:t>
      </w:r>
    </w:p>
    <w:p w14:paraId="23E343FA" w14:textId="60B38AA9" w:rsidR="00A76F49" w:rsidRDefault="00A76F49">
      <w:r w:rsidRPr="00A76F49">
        <w:t>Egyptian faience naturalistic scarab, 665–342 BC, Late Period, Walters Art Museum</w:t>
      </w:r>
    </w:p>
    <w:p w14:paraId="6D93FB04" w14:textId="6111C069" w:rsidR="00ED6ABD" w:rsidRDefault="00ED6ABD">
      <w:r w:rsidRPr="00ED6ABD">
        <w:t xml:space="preserve">Scarab seal of the ancient Egyptian </w:t>
      </w:r>
      <w:hyperlink r:id="rId17" w:tooltip="Senebsumai" w:history="1">
        <w:r w:rsidRPr="00ED6ABD">
          <w:rPr>
            <w:rStyle w:val="Hyperlink"/>
            <w:color w:val="auto"/>
            <w:u w:val="none"/>
          </w:rPr>
          <w:t>Senebsumai</w:t>
        </w:r>
      </w:hyperlink>
      <w:r w:rsidRPr="00ED6ABD">
        <w:t>, Petrie Museum</w:t>
      </w:r>
    </w:p>
    <w:p w14:paraId="69117FD6" w14:textId="67367212" w:rsidR="00AB5619" w:rsidRDefault="00AB5619">
      <w:r w:rsidRPr="00AB5619">
        <w:t>Panagiotopoulos, D.H., Kaiser, I.H. and Kouka, Ourania [Hrsg (2022). The enigma of the gifts. A ‘thick description’ of an entry from the 42nd regnal year of the ‘annals’ of Thutmose III (Urk. IV 733: 4-8). </w:t>
      </w:r>
      <w:r w:rsidRPr="00AB5619">
        <w:rPr>
          <w:i/>
          <w:iCs/>
        </w:rPr>
        <w:t>heiDOK (Heidelberg University)</w:t>
      </w:r>
      <w:r w:rsidRPr="00AB5619">
        <w:t>. doi:https://doi.org/10.11588/propylaeumdok.00005430.</w:t>
      </w:r>
    </w:p>
    <w:p w14:paraId="26A0D55D" w14:textId="2902A045" w:rsidR="00C00585" w:rsidRPr="00C00585" w:rsidRDefault="00C00585">
      <w:r w:rsidRPr="00C00585">
        <w:t>Kelder, J.M. 2009. Royal Gift Exchange Between Mycenae and Egypt: Olives as ‘Greeting Gifts’ in the Late Bronze Age Eastern Mediterranean. American Journal of Archaeology 113: 339–52.</w:t>
      </w:r>
    </w:p>
    <w:sectPr w:rsidR="00C00585" w:rsidRPr="00C005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0B7C93" w14:textId="77777777" w:rsidR="005B12FC" w:rsidRDefault="005B12FC" w:rsidP="00143AA9">
      <w:pPr>
        <w:spacing w:after="0" w:line="240" w:lineRule="auto"/>
      </w:pPr>
      <w:r>
        <w:separator/>
      </w:r>
    </w:p>
  </w:endnote>
  <w:endnote w:type="continuationSeparator" w:id="0">
    <w:p w14:paraId="32C91D67" w14:textId="77777777" w:rsidR="005B12FC" w:rsidRDefault="005B12FC" w:rsidP="00143A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6D8893" w14:textId="77777777" w:rsidR="005B12FC" w:rsidRDefault="005B12FC" w:rsidP="00143AA9">
      <w:pPr>
        <w:spacing w:after="0" w:line="240" w:lineRule="auto"/>
      </w:pPr>
      <w:r>
        <w:separator/>
      </w:r>
    </w:p>
  </w:footnote>
  <w:footnote w:type="continuationSeparator" w:id="0">
    <w:p w14:paraId="262B8841" w14:textId="77777777" w:rsidR="005B12FC" w:rsidRDefault="005B12FC" w:rsidP="00143AA9">
      <w:pPr>
        <w:spacing w:after="0" w:line="240" w:lineRule="auto"/>
      </w:pPr>
      <w:r>
        <w:continuationSeparator/>
      </w:r>
    </w:p>
  </w:footnote>
  <w:footnote w:id="1">
    <w:p w14:paraId="1B1D460B" w14:textId="77777777" w:rsidR="00F558C7" w:rsidRDefault="00F558C7" w:rsidP="00F558C7">
      <w:pPr>
        <w:pStyle w:val="FootnoteText"/>
      </w:pPr>
      <w:r>
        <w:rPr>
          <w:rStyle w:val="FootnoteReference"/>
        </w:rPr>
        <w:footnoteRef/>
      </w:r>
      <w:r>
        <w:t xml:space="preserve"> </w:t>
      </w:r>
      <w:r w:rsidRPr="0008236E">
        <w:t>Newberry, Percy E. (Percy Edward), 1869-1949. </w:t>
      </w:r>
      <w:r w:rsidRPr="0008236E">
        <w:rPr>
          <w:i/>
          <w:iCs/>
        </w:rPr>
        <w:t>Scarabs: an Introduction to the Study of Egyptian Seals And Signet Rings</w:t>
      </w:r>
      <w:r w:rsidRPr="0008236E">
        <w:rPr>
          <w:u w:val="single"/>
        </w:rPr>
        <w:t>.</w:t>
      </w:r>
      <w:r w:rsidRPr="0008236E">
        <w:t> London: A. Constable, 1908.</w:t>
      </w:r>
    </w:p>
  </w:footnote>
  <w:footnote w:id="2">
    <w:p w14:paraId="4D14DF39" w14:textId="77777777" w:rsidR="00F558C7" w:rsidRPr="0018340F" w:rsidRDefault="00F558C7" w:rsidP="00F558C7">
      <w:pPr>
        <w:pStyle w:val="FootnoteText"/>
      </w:pPr>
      <w:r>
        <w:rPr>
          <w:rStyle w:val="FootnoteReference"/>
        </w:rPr>
        <w:footnoteRef/>
      </w:r>
      <w:r>
        <w:t xml:space="preserve"> The Met Museum, </w:t>
      </w:r>
      <w:r>
        <w:rPr>
          <w:i/>
          <w:iCs/>
        </w:rPr>
        <w:t xml:space="preserve">Ancient Egyptian Amulets; </w:t>
      </w:r>
      <w:r>
        <w:t xml:space="preserve"> Isabel Stunkel, 2019</w:t>
      </w:r>
    </w:p>
  </w:footnote>
  <w:footnote w:id="3">
    <w:p w14:paraId="6C85693E" w14:textId="77777777" w:rsidR="000067E2" w:rsidRPr="00023B6E" w:rsidRDefault="000067E2" w:rsidP="000067E2">
      <w:pPr>
        <w:pStyle w:val="FootnoteText"/>
      </w:pPr>
      <w:r>
        <w:rPr>
          <w:rStyle w:val="FootnoteReference"/>
        </w:rPr>
        <w:footnoteRef/>
      </w:r>
      <w:r w:rsidRPr="00023B6E">
        <w:t xml:space="preserve"> Hansen, Gitte; Storemyr, Per (2017). Bergen, Norway. </w:t>
      </w:r>
      <w:hyperlink r:id="rId1" w:tooltip="ISBN (identifier)" w:history="1">
        <w:r w:rsidRPr="00023B6E">
          <w:rPr>
            <w:rStyle w:val="Hyperlink"/>
          </w:rPr>
          <w:t>ISBN</w:t>
        </w:r>
      </w:hyperlink>
      <w:r w:rsidRPr="00023B6E">
        <w:t> </w:t>
      </w:r>
      <w:hyperlink r:id="rId2" w:tooltip="Special:BookSources/978-82-90273-90-8" w:history="1">
        <w:r w:rsidRPr="00023B6E">
          <w:rPr>
            <w:rStyle w:val="Hyperlink"/>
          </w:rPr>
          <w:t>978-82-90273-90-8</w:t>
        </w:r>
      </w:hyperlink>
      <w:r w:rsidRPr="00023B6E">
        <w:t>.</w:t>
      </w:r>
    </w:p>
  </w:footnote>
  <w:footnote w:id="4">
    <w:p w14:paraId="50DAECC1" w14:textId="6EE72A12" w:rsidR="0047589A" w:rsidRPr="00023B6E" w:rsidRDefault="0047589A">
      <w:pPr>
        <w:pStyle w:val="FootnoteText"/>
      </w:pPr>
      <w:r>
        <w:rPr>
          <w:rStyle w:val="FootnoteReference"/>
        </w:rPr>
        <w:footnoteRef/>
      </w:r>
      <w:r w:rsidRPr="00023B6E">
        <w:t xml:space="preserve"> The Met Museum, </w:t>
      </w:r>
      <w:r w:rsidRPr="00023B6E">
        <w:rPr>
          <w:i/>
          <w:iCs/>
        </w:rPr>
        <w:t>Ugarit</w:t>
      </w:r>
      <w:r w:rsidR="00743ECB" w:rsidRPr="00023B6E">
        <w:t>, 2004</w:t>
      </w:r>
    </w:p>
  </w:footnote>
  <w:footnote w:id="5">
    <w:p w14:paraId="5F6FC77E" w14:textId="16D3C8D0" w:rsidR="000817D6" w:rsidRPr="000817D6" w:rsidRDefault="000817D6">
      <w:pPr>
        <w:pStyle w:val="FootnoteText"/>
      </w:pPr>
      <w:r>
        <w:rPr>
          <w:rStyle w:val="FootnoteReference"/>
        </w:rPr>
        <w:footnoteRef/>
      </w:r>
      <w:r>
        <w:t xml:space="preserve"> </w:t>
      </w:r>
      <w:r>
        <w:rPr>
          <w:i/>
          <w:iCs/>
        </w:rPr>
        <w:t xml:space="preserve">The Ancient Near East Today, </w:t>
      </w:r>
      <w:r>
        <w:t>Cyprus and Ugarit</w:t>
      </w:r>
    </w:p>
  </w:footnote>
  <w:footnote w:id="6">
    <w:p w14:paraId="08D04C6D" w14:textId="47228F6D" w:rsidR="00010EAD" w:rsidRDefault="00010EAD">
      <w:pPr>
        <w:pStyle w:val="FootnoteText"/>
      </w:pPr>
      <w:r>
        <w:rPr>
          <w:rStyle w:val="FootnoteReference"/>
        </w:rPr>
        <w:footnoteRef/>
      </w:r>
      <w:r>
        <w:t xml:space="preserve"> </w:t>
      </w:r>
      <w:r w:rsidRPr="00010EAD">
        <w:t>(Panagiotopoulos, Kaiser and Kouka, Ourania [Hrsg, 2022)</w:t>
      </w:r>
    </w:p>
  </w:footnote>
  <w:footnote w:id="7">
    <w:p w14:paraId="681FB91E" w14:textId="63891576" w:rsidR="008708FE" w:rsidRDefault="008708FE">
      <w:pPr>
        <w:pStyle w:val="FootnoteText"/>
      </w:pPr>
      <w:r>
        <w:rPr>
          <w:rStyle w:val="FootnoteReference"/>
        </w:rPr>
        <w:footnoteRef/>
      </w:r>
      <w:r>
        <w:t xml:space="preserve"> </w:t>
      </w:r>
      <w:r w:rsidRPr="008708FE">
        <w:t>Kelder, J.M. 2009. Royal Gift Exchange Between Mycenae and Egypt: Olives as ‘Greeting Gifts’ in the Late Bronze Age Eastern Mediterranean. American Journal of Archaeology 113: 339–52.</w:t>
      </w:r>
    </w:p>
  </w:footnote>
  <w:footnote w:id="8">
    <w:p w14:paraId="411C494D" w14:textId="59050B9F" w:rsidR="00136D02" w:rsidRPr="00136D02" w:rsidRDefault="00136D02">
      <w:pPr>
        <w:pStyle w:val="FootnoteText"/>
      </w:pPr>
      <w:r>
        <w:rPr>
          <w:rStyle w:val="FootnoteReference"/>
        </w:rPr>
        <w:footnoteRef/>
      </w:r>
      <w:r>
        <w:t xml:space="preserve"> The </w:t>
      </w:r>
      <w:r w:rsidR="00D05C71">
        <w:t>British</w:t>
      </w:r>
      <w:r>
        <w:t xml:space="preserve"> Museum, </w:t>
      </w:r>
      <w:r>
        <w:rPr>
          <w:i/>
          <w:iCs/>
        </w:rPr>
        <w:t>scarab</w:t>
      </w:r>
      <w:r>
        <w:t xml:space="preserve">, </w:t>
      </w:r>
      <w:r w:rsidR="00603D23">
        <w:t xml:space="preserve">Object Number </w:t>
      </w:r>
      <w:r w:rsidR="00603D23" w:rsidRPr="00EE4131">
        <w:t>1899,0604.3</w:t>
      </w:r>
    </w:p>
  </w:footnote>
  <w:footnote w:id="9">
    <w:p w14:paraId="2B63EE9A" w14:textId="524CD7C8" w:rsidR="008B0907" w:rsidRDefault="008B0907">
      <w:pPr>
        <w:pStyle w:val="FootnoteText"/>
      </w:pPr>
      <w:r>
        <w:rPr>
          <w:rStyle w:val="FootnoteReference"/>
        </w:rPr>
        <w:footnoteRef/>
      </w:r>
      <w:r>
        <w:t xml:space="preserve"> The British Museum; Christian, Percy</w:t>
      </w:r>
    </w:p>
  </w:footnote>
  <w:footnote w:id="10">
    <w:p w14:paraId="32C216C8" w14:textId="39B9C4A6" w:rsidR="009C1769" w:rsidRPr="009C1769" w:rsidRDefault="009C1769">
      <w:pPr>
        <w:pStyle w:val="FootnoteText"/>
      </w:pPr>
      <w:r>
        <w:rPr>
          <w:rStyle w:val="FootnoteReference"/>
        </w:rPr>
        <w:footnoteRef/>
      </w:r>
      <w:r>
        <w:t xml:space="preserve"> The Met Museum, </w:t>
      </w:r>
      <w:r>
        <w:rPr>
          <w:i/>
          <w:iCs/>
        </w:rPr>
        <w:t>commemorative scarab,</w:t>
      </w:r>
      <w:r>
        <w:t xml:space="preserve"> Object Number </w:t>
      </w:r>
      <w:r w:rsidRPr="009C1769">
        <w:t>EA64661</w:t>
      </w:r>
    </w:p>
  </w:footnote>
  <w:footnote w:id="11">
    <w:p w14:paraId="5374603A" w14:textId="2EF292E3" w:rsidR="00B85FED" w:rsidRDefault="00B85FED">
      <w:pPr>
        <w:pStyle w:val="FootnoteText"/>
      </w:pPr>
      <w:r>
        <w:rPr>
          <w:rStyle w:val="FootnoteReference"/>
        </w:rPr>
        <w:footnoteRef/>
      </w:r>
      <w:r>
        <w:t xml:space="preserve"> The Met Museum, </w:t>
      </w:r>
      <w:r>
        <w:rPr>
          <w:i/>
          <w:iCs/>
        </w:rPr>
        <w:t>commemorative scarab</w:t>
      </w:r>
    </w:p>
  </w:footnote>
  <w:footnote w:id="12">
    <w:p w14:paraId="5AE93249" w14:textId="77777777" w:rsidR="00BB0B3A" w:rsidRDefault="00BB0B3A" w:rsidP="00BB0B3A">
      <w:pPr>
        <w:pStyle w:val="FootnoteText"/>
      </w:pPr>
      <w:r>
        <w:rPr>
          <w:rStyle w:val="FootnoteReference"/>
        </w:rPr>
        <w:footnoteRef/>
      </w:r>
      <w:r>
        <w:t xml:space="preserve"> </w:t>
      </w:r>
      <w:r w:rsidRPr="00B660C8">
        <w:t>Knapp, A., (2013) “Cyprus and Egypt in the Late Bronze Age”, </w:t>
      </w:r>
      <w:r w:rsidRPr="00B660C8">
        <w:rPr>
          <w:i/>
          <w:iCs/>
        </w:rPr>
        <w:t>Journal of Ancient Egyptian Interconnections</w:t>
      </w:r>
      <w:r w:rsidRPr="00B660C8">
        <w:t> 5(3), 1-9. doi: </w:t>
      </w:r>
      <w:hyperlink r:id="rId3" w:history="1">
        <w:r w:rsidRPr="00B660C8">
          <w:rPr>
            <w:rStyle w:val="Hyperlink"/>
          </w:rPr>
          <w:t>https://doi.org/10.2458/azu_jaei_v05i3_knapp</w:t>
        </w:r>
      </w:hyperlink>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AA9"/>
    <w:rsid w:val="00000D98"/>
    <w:rsid w:val="000067E2"/>
    <w:rsid w:val="00010EAD"/>
    <w:rsid w:val="000135FE"/>
    <w:rsid w:val="000178BF"/>
    <w:rsid w:val="00023B6E"/>
    <w:rsid w:val="00055117"/>
    <w:rsid w:val="00057764"/>
    <w:rsid w:val="00070697"/>
    <w:rsid w:val="00076272"/>
    <w:rsid w:val="000817D6"/>
    <w:rsid w:val="0008236E"/>
    <w:rsid w:val="00082679"/>
    <w:rsid w:val="0008380F"/>
    <w:rsid w:val="00084754"/>
    <w:rsid w:val="000850B5"/>
    <w:rsid w:val="00085ED1"/>
    <w:rsid w:val="00090070"/>
    <w:rsid w:val="000955DD"/>
    <w:rsid w:val="000971BD"/>
    <w:rsid w:val="00097852"/>
    <w:rsid w:val="000A0EDC"/>
    <w:rsid w:val="000A1BF7"/>
    <w:rsid w:val="000A2A01"/>
    <w:rsid w:val="000A3BAE"/>
    <w:rsid w:val="000A7BE7"/>
    <w:rsid w:val="000B0367"/>
    <w:rsid w:val="000B3B54"/>
    <w:rsid w:val="000B5F73"/>
    <w:rsid w:val="000B6715"/>
    <w:rsid w:val="000B718F"/>
    <w:rsid w:val="000C2481"/>
    <w:rsid w:val="000C2A04"/>
    <w:rsid w:val="000C310A"/>
    <w:rsid w:val="000C3174"/>
    <w:rsid w:val="000C365F"/>
    <w:rsid w:val="000C6B83"/>
    <w:rsid w:val="000E7B54"/>
    <w:rsid w:val="000F2039"/>
    <w:rsid w:val="001033C9"/>
    <w:rsid w:val="001043A6"/>
    <w:rsid w:val="00106BD2"/>
    <w:rsid w:val="00114786"/>
    <w:rsid w:val="0012118D"/>
    <w:rsid w:val="00127AA9"/>
    <w:rsid w:val="001346B7"/>
    <w:rsid w:val="00136D02"/>
    <w:rsid w:val="00143AA9"/>
    <w:rsid w:val="00143C74"/>
    <w:rsid w:val="0014504C"/>
    <w:rsid w:val="00153719"/>
    <w:rsid w:val="00154665"/>
    <w:rsid w:val="001617AC"/>
    <w:rsid w:val="00164411"/>
    <w:rsid w:val="00171E66"/>
    <w:rsid w:val="00181B7D"/>
    <w:rsid w:val="00182090"/>
    <w:rsid w:val="0018340F"/>
    <w:rsid w:val="00190620"/>
    <w:rsid w:val="001919E0"/>
    <w:rsid w:val="00196736"/>
    <w:rsid w:val="00196CEC"/>
    <w:rsid w:val="00197D60"/>
    <w:rsid w:val="001A2DE9"/>
    <w:rsid w:val="001A4BE2"/>
    <w:rsid w:val="001A7DD0"/>
    <w:rsid w:val="001B14A6"/>
    <w:rsid w:val="001B16F7"/>
    <w:rsid w:val="001B4498"/>
    <w:rsid w:val="001B7E54"/>
    <w:rsid w:val="001C0212"/>
    <w:rsid w:val="001C4B6F"/>
    <w:rsid w:val="001C6340"/>
    <w:rsid w:val="001D1318"/>
    <w:rsid w:val="001E2607"/>
    <w:rsid w:val="001E68C4"/>
    <w:rsid w:val="001F36FB"/>
    <w:rsid w:val="001F4926"/>
    <w:rsid w:val="001F7A5D"/>
    <w:rsid w:val="0021613E"/>
    <w:rsid w:val="00221DFF"/>
    <w:rsid w:val="00226604"/>
    <w:rsid w:val="00231159"/>
    <w:rsid w:val="002324F8"/>
    <w:rsid w:val="002326CE"/>
    <w:rsid w:val="002365DD"/>
    <w:rsid w:val="00237D0C"/>
    <w:rsid w:val="00240163"/>
    <w:rsid w:val="00252E38"/>
    <w:rsid w:val="0026365C"/>
    <w:rsid w:val="00264FA9"/>
    <w:rsid w:val="00267E2B"/>
    <w:rsid w:val="0027168E"/>
    <w:rsid w:val="00274D71"/>
    <w:rsid w:val="002826BE"/>
    <w:rsid w:val="002863B5"/>
    <w:rsid w:val="00290FA9"/>
    <w:rsid w:val="00294445"/>
    <w:rsid w:val="002951CC"/>
    <w:rsid w:val="0029679C"/>
    <w:rsid w:val="002A079B"/>
    <w:rsid w:val="002A1165"/>
    <w:rsid w:val="002A4B38"/>
    <w:rsid w:val="002A57D6"/>
    <w:rsid w:val="002A6EC1"/>
    <w:rsid w:val="002B074E"/>
    <w:rsid w:val="002B1B8A"/>
    <w:rsid w:val="002B4B6C"/>
    <w:rsid w:val="002B5643"/>
    <w:rsid w:val="002B5CC8"/>
    <w:rsid w:val="002B6BC9"/>
    <w:rsid w:val="002B6C3B"/>
    <w:rsid w:val="002B6D04"/>
    <w:rsid w:val="002C2DE0"/>
    <w:rsid w:val="002C36AF"/>
    <w:rsid w:val="002D3A6B"/>
    <w:rsid w:val="002D51F4"/>
    <w:rsid w:val="002D651C"/>
    <w:rsid w:val="002E1B09"/>
    <w:rsid w:val="002E1D83"/>
    <w:rsid w:val="002E67B7"/>
    <w:rsid w:val="002F16E4"/>
    <w:rsid w:val="003032D5"/>
    <w:rsid w:val="00306A5C"/>
    <w:rsid w:val="003158C3"/>
    <w:rsid w:val="00320B96"/>
    <w:rsid w:val="0032408C"/>
    <w:rsid w:val="00324A78"/>
    <w:rsid w:val="00325D20"/>
    <w:rsid w:val="00326016"/>
    <w:rsid w:val="0033157C"/>
    <w:rsid w:val="00331D5A"/>
    <w:rsid w:val="00334741"/>
    <w:rsid w:val="00342BCC"/>
    <w:rsid w:val="00343E3D"/>
    <w:rsid w:val="0035103B"/>
    <w:rsid w:val="00351A2D"/>
    <w:rsid w:val="003533EF"/>
    <w:rsid w:val="003539DB"/>
    <w:rsid w:val="003612DD"/>
    <w:rsid w:val="00361D5B"/>
    <w:rsid w:val="003672DF"/>
    <w:rsid w:val="0037334A"/>
    <w:rsid w:val="00373B99"/>
    <w:rsid w:val="00374923"/>
    <w:rsid w:val="0037526F"/>
    <w:rsid w:val="00391CA1"/>
    <w:rsid w:val="0039378E"/>
    <w:rsid w:val="00395CD4"/>
    <w:rsid w:val="003A3927"/>
    <w:rsid w:val="003B3289"/>
    <w:rsid w:val="003B38D6"/>
    <w:rsid w:val="003B75C6"/>
    <w:rsid w:val="003C55E6"/>
    <w:rsid w:val="003C64A6"/>
    <w:rsid w:val="003E3F51"/>
    <w:rsid w:val="003F1BE4"/>
    <w:rsid w:val="003F6100"/>
    <w:rsid w:val="003F7E74"/>
    <w:rsid w:val="0040132A"/>
    <w:rsid w:val="004016CB"/>
    <w:rsid w:val="00401AFC"/>
    <w:rsid w:val="00401FF5"/>
    <w:rsid w:val="00406FB7"/>
    <w:rsid w:val="0041100D"/>
    <w:rsid w:val="004122C7"/>
    <w:rsid w:val="00413711"/>
    <w:rsid w:val="00417458"/>
    <w:rsid w:val="0042069A"/>
    <w:rsid w:val="0042147E"/>
    <w:rsid w:val="00422F46"/>
    <w:rsid w:val="00423BE5"/>
    <w:rsid w:val="00432C5A"/>
    <w:rsid w:val="00436406"/>
    <w:rsid w:val="00437475"/>
    <w:rsid w:val="00450575"/>
    <w:rsid w:val="00450780"/>
    <w:rsid w:val="00451727"/>
    <w:rsid w:val="00456BA5"/>
    <w:rsid w:val="00456D43"/>
    <w:rsid w:val="0045731D"/>
    <w:rsid w:val="00461CCF"/>
    <w:rsid w:val="00465F79"/>
    <w:rsid w:val="00471723"/>
    <w:rsid w:val="00474A38"/>
    <w:rsid w:val="00474A5A"/>
    <w:rsid w:val="0047589A"/>
    <w:rsid w:val="00477057"/>
    <w:rsid w:val="004803A3"/>
    <w:rsid w:val="00487526"/>
    <w:rsid w:val="00491777"/>
    <w:rsid w:val="00491BD2"/>
    <w:rsid w:val="00493D0D"/>
    <w:rsid w:val="0049657B"/>
    <w:rsid w:val="004978B9"/>
    <w:rsid w:val="004A0C3D"/>
    <w:rsid w:val="004A10E2"/>
    <w:rsid w:val="004B0354"/>
    <w:rsid w:val="004B19CE"/>
    <w:rsid w:val="004B26BC"/>
    <w:rsid w:val="004B491D"/>
    <w:rsid w:val="004B724E"/>
    <w:rsid w:val="004B7E6D"/>
    <w:rsid w:val="004C0BF7"/>
    <w:rsid w:val="004C4633"/>
    <w:rsid w:val="004D4116"/>
    <w:rsid w:val="004D6458"/>
    <w:rsid w:val="004E69D6"/>
    <w:rsid w:val="004E6CAC"/>
    <w:rsid w:val="004F004F"/>
    <w:rsid w:val="004F1B89"/>
    <w:rsid w:val="004F7754"/>
    <w:rsid w:val="0050122C"/>
    <w:rsid w:val="00510CFC"/>
    <w:rsid w:val="00510D41"/>
    <w:rsid w:val="00512DB4"/>
    <w:rsid w:val="00513911"/>
    <w:rsid w:val="00517AD4"/>
    <w:rsid w:val="00521262"/>
    <w:rsid w:val="005218A5"/>
    <w:rsid w:val="00522EEE"/>
    <w:rsid w:val="0052496C"/>
    <w:rsid w:val="00525CF4"/>
    <w:rsid w:val="00542016"/>
    <w:rsid w:val="005448D8"/>
    <w:rsid w:val="00553D3D"/>
    <w:rsid w:val="00553E68"/>
    <w:rsid w:val="005579A8"/>
    <w:rsid w:val="005611E8"/>
    <w:rsid w:val="00562046"/>
    <w:rsid w:val="00576327"/>
    <w:rsid w:val="00577D8A"/>
    <w:rsid w:val="00580F94"/>
    <w:rsid w:val="005844C0"/>
    <w:rsid w:val="00584D0A"/>
    <w:rsid w:val="00585169"/>
    <w:rsid w:val="00585637"/>
    <w:rsid w:val="005A364A"/>
    <w:rsid w:val="005A70F1"/>
    <w:rsid w:val="005B00D1"/>
    <w:rsid w:val="005B12FC"/>
    <w:rsid w:val="005B1331"/>
    <w:rsid w:val="005B25D5"/>
    <w:rsid w:val="005B3A26"/>
    <w:rsid w:val="005B5FC7"/>
    <w:rsid w:val="005B6C7A"/>
    <w:rsid w:val="005C3C32"/>
    <w:rsid w:val="005C4B18"/>
    <w:rsid w:val="005D1C8A"/>
    <w:rsid w:val="005D3462"/>
    <w:rsid w:val="005E45EF"/>
    <w:rsid w:val="005F4312"/>
    <w:rsid w:val="005F4439"/>
    <w:rsid w:val="005F64C4"/>
    <w:rsid w:val="005F673E"/>
    <w:rsid w:val="005F7F3E"/>
    <w:rsid w:val="0060199D"/>
    <w:rsid w:val="00603D17"/>
    <w:rsid w:val="00603D23"/>
    <w:rsid w:val="00625FD1"/>
    <w:rsid w:val="00635AFA"/>
    <w:rsid w:val="0063796F"/>
    <w:rsid w:val="00642934"/>
    <w:rsid w:val="006431EB"/>
    <w:rsid w:val="00646357"/>
    <w:rsid w:val="00650823"/>
    <w:rsid w:val="00650FA2"/>
    <w:rsid w:val="00652FD5"/>
    <w:rsid w:val="00670F87"/>
    <w:rsid w:val="00674346"/>
    <w:rsid w:val="00676113"/>
    <w:rsid w:val="0068000E"/>
    <w:rsid w:val="00682A12"/>
    <w:rsid w:val="00684E6E"/>
    <w:rsid w:val="00686DDD"/>
    <w:rsid w:val="006919F5"/>
    <w:rsid w:val="006924B7"/>
    <w:rsid w:val="006971EC"/>
    <w:rsid w:val="006A05F2"/>
    <w:rsid w:val="006A3045"/>
    <w:rsid w:val="006A63AB"/>
    <w:rsid w:val="006B0AD0"/>
    <w:rsid w:val="006B48BE"/>
    <w:rsid w:val="006B5EC3"/>
    <w:rsid w:val="006C26B6"/>
    <w:rsid w:val="006C5324"/>
    <w:rsid w:val="006C5690"/>
    <w:rsid w:val="006D1C71"/>
    <w:rsid w:val="006D1E73"/>
    <w:rsid w:val="006D281E"/>
    <w:rsid w:val="006D2A80"/>
    <w:rsid w:val="006D459C"/>
    <w:rsid w:val="006D5542"/>
    <w:rsid w:val="006D673A"/>
    <w:rsid w:val="006E0E33"/>
    <w:rsid w:val="006E4ED0"/>
    <w:rsid w:val="006E4FBB"/>
    <w:rsid w:val="006F06FD"/>
    <w:rsid w:val="006F2BD5"/>
    <w:rsid w:val="006F3B03"/>
    <w:rsid w:val="00703437"/>
    <w:rsid w:val="00710A1E"/>
    <w:rsid w:val="007137AB"/>
    <w:rsid w:val="007149C8"/>
    <w:rsid w:val="00716408"/>
    <w:rsid w:val="00722D36"/>
    <w:rsid w:val="007272F3"/>
    <w:rsid w:val="007346CD"/>
    <w:rsid w:val="00736183"/>
    <w:rsid w:val="007410A5"/>
    <w:rsid w:val="00742D99"/>
    <w:rsid w:val="00743ECB"/>
    <w:rsid w:val="00745484"/>
    <w:rsid w:val="007457BB"/>
    <w:rsid w:val="00746682"/>
    <w:rsid w:val="007520DD"/>
    <w:rsid w:val="00752CA0"/>
    <w:rsid w:val="007547CC"/>
    <w:rsid w:val="00754946"/>
    <w:rsid w:val="007569C3"/>
    <w:rsid w:val="00760BCF"/>
    <w:rsid w:val="00767267"/>
    <w:rsid w:val="00767F5F"/>
    <w:rsid w:val="00772FEC"/>
    <w:rsid w:val="00774B04"/>
    <w:rsid w:val="007805C1"/>
    <w:rsid w:val="00780BE4"/>
    <w:rsid w:val="00782E5B"/>
    <w:rsid w:val="00784F68"/>
    <w:rsid w:val="00785CB3"/>
    <w:rsid w:val="0078610B"/>
    <w:rsid w:val="00787688"/>
    <w:rsid w:val="00790B72"/>
    <w:rsid w:val="00794BE4"/>
    <w:rsid w:val="00795636"/>
    <w:rsid w:val="0079728B"/>
    <w:rsid w:val="007B1433"/>
    <w:rsid w:val="007B3A64"/>
    <w:rsid w:val="007B514C"/>
    <w:rsid w:val="007B5E50"/>
    <w:rsid w:val="007B619E"/>
    <w:rsid w:val="007B7F26"/>
    <w:rsid w:val="007C2C9C"/>
    <w:rsid w:val="007C71CC"/>
    <w:rsid w:val="007D1625"/>
    <w:rsid w:val="007D50B7"/>
    <w:rsid w:val="007D7766"/>
    <w:rsid w:val="007E2031"/>
    <w:rsid w:val="007E362F"/>
    <w:rsid w:val="007E7F44"/>
    <w:rsid w:val="007F023C"/>
    <w:rsid w:val="007F2DEB"/>
    <w:rsid w:val="007F6AC9"/>
    <w:rsid w:val="007F7139"/>
    <w:rsid w:val="008051BF"/>
    <w:rsid w:val="0080796E"/>
    <w:rsid w:val="008205EB"/>
    <w:rsid w:val="008253D1"/>
    <w:rsid w:val="00831163"/>
    <w:rsid w:val="008314E7"/>
    <w:rsid w:val="00834D41"/>
    <w:rsid w:val="00836818"/>
    <w:rsid w:val="0083795F"/>
    <w:rsid w:val="008411CF"/>
    <w:rsid w:val="00841BA9"/>
    <w:rsid w:val="00841E56"/>
    <w:rsid w:val="008429E8"/>
    <w:rsid w:val="00846120"/>
    <w:rsid w:val="008465E6"/>
    <w:rsid w:val="00850492"/>
    <w:rsid w:val="008565AB"/>
    <w:rsid w:val="00857EB9"/>
    <w:rsid w:val="00860DC4"/>
    <w:rsid w:val="008616A6"/>
    <w:rsid w:val="008619C8"/>
    <w:rsid w:val="00863AF1"/>
    <w:rsid w:val="00864749"/>
    <w:rsid w:val="00867AD8"/>
    <w:rsid w:val="008708FE"/>
    <w:rsid w:val="008758F5"/>
    <w:rsid w:val="00884F0E"/>
    <w:rsid w:val="0088746F"/>
    <w:rsid w:val="00892A56"/>
    <w:rsid w:val="00894630"/>
    <w:rsid w:val="008A118B"/>
    <w:rsid w:val="008A3167"/>
    <w:rsid w:val="008A3A6F"/>
    <w:rsid w:val="008B0907"/>
    <w:rsid w:val="008B144C"/>
    <w:rsid w:val="008B2D4A"/>
    <w:rsid w:val="008B6470"/>
    <w:rsid w:val="008C1A28"/>
    <w:rsid w:val="008D2AC8"/>
    <w:rsid w:val="008D7A22"/>
    <w:rsid w:val="008E0C3F"/>
    <w:rsid w:val="008E17AC"/>
    <w:rsid w:val="008E6818"/>
    <w:rsid w:val="008E7E35"/>
    <w:rsid w:val="008F25FC"/>
    <w:rsid w:val="00900ABE"/>
    <w:rsid w:val="00903BB1"/>
    <w:rsid w:val="00906909"/>
    <w:rsid w:val="00917AAE"/>
    <w:rsid w:val="00925D14"/>
    <w:rsid w:val="009276DA"/>
    <w:rsid w:val="009300FC"/>
    <w:rsid w:val="0093059B"/>
    <w:rsid w:val="009332EF"/>
    <w:rsid w:val="00934EFC"/>
    <w:rsid w:val="00947A8F"/>
    <w:rsid w:val="0095243F"/>
    <w:rsid w:val="00956686"/>
    <w:rsid w:val="00957D8D"/>
    <w:rsid w:val="0097499E"/>
    <w:rsid w:val="0098019D"/>
    <w:rsid w:val="00986846"/>
    <w:rsid w:val="00987B3C"/>
    <w:rsid w:val="009941CA"/>
    <w:rsid w:val="00996975"/>
    <w:rsid w:val="009A238D"/>
    <w:rsid w:val="009A5AE3"/>
    <w:rsid w:val="009B1F79"/>
    <w:rsid w:val="009B6F22"/>
    <w:rsid w:val="009C1769"/>
    <w:rsid w:val="009C2D57"/>
    <w:rsid w:val="009C6199"/>
    <w:rsid w:val="009D341B"/>
    <w:rsid w:val="009D7D52"/>
    <w:rsid w:val="009E3707"/>
    <w:rsid w:val="009E4A7B"/>
    <w:rsid w:val="009E6277"/>
    <w:rsid w:val="009F7D0E"/>
    <w:rsid w:val="00A00491"/>
    <w:rsid w:val="00A0127B"/>
    <w:rsid w:val="00A019EB"/>
    <w:rsid w:val="00A02D7A"/>
    <w:rsid w:val="00A06344"/>
    <w:rsid w:val="00A10B70"/>
    <w:rsid w:val="00A11032"/>
    <w:rsid w:val="00A12DEB"/>
    <w:rsid w:val="00A15182"/>
    <w:rsid w:val="00A2589E"/>
    <w:rsid w:val="00A33C19"/>
    <w:rsid w:val="00A371F9"/>
    <w:rsid w:val="00A463B5"/>
    <w:rsid w:val="00A55616"/>
    <w:rsid w:val="00A573D0"/>
    <w:rsid w:val="00A611AB"/>
    <w:rsid w:val="00A61519"/>
    <w:rsid w:val="00A62E03"/>
    <w:rsid w:val="00A63152"/>
    <w:rsid w:val="00A6337E"/>
    <w:rsid w:val="00A65359"/>
    <w:rsid w:val="00A67179"/>
    <w:rsid w:val="00A725C8"/>
    <w:rsid w:val="00A75FA8"/>
    <w:rsid w:val="00A76F49"/>
    <w:rsid w:val="00A77C5A"/>
    <w:rsid w:val="00AA6A1E"/>
    <w:rsid w:val="00AA75A8"/>
    <w:rsid w:val="00AB5619"/>
    <w:rsid w:val="00AC3DDE"/>
    <w:rsid w:val="00AC59E9"/>
    <w:rsid w:val="00AC75E9"/>
    <w:rsid w:val="00AD375B"/>
    <w:rsid w:val="00AD79EA"/>
    <w:rsid w:val="00AE390D"/>
    <w:rsid w:val="00AE59F0"/>
    <w:rsid w:val="00AE6451"/>
    <w:rsid w:val="00AF290A"/>
    <w:rsid w:val="00B004BC"/>
    <w:rsid w:val="00B020CA"/>
    <w:rsid w:val="00B029FC"/>
    <w:rsid w:val="00B0310C"/>
    <w:rsid w:val="00B0444E"/>
    <w:rsid w:val="00B050B3"/>
    <w:rsid w:val="00B05330"/>
    <w:rsid w:val="00B062D3"/>
    <w:rsid w:val="00B10D3B"/>
    <w:rsid w:val="00B12634"/>
    <w:rsid w:val="00B14D7A"/>
    <w:rsid w:val="00B15C4F"/>
    <w:rsid w:val="00B178F2"/>
    <w:rsid w:val="00B20335"/>
    <w:rsid w:val="00B23643"/>
    <w:rsid w:val="00B268A9"/>
    <w:rsid w:val="00B27FB5"/>
    <w:rsid w:val="00B336D3"/>
    <w:rsid w:val="00B42970"/>
    <w:rsid w:val="00B47960"/>
    <w:rsid w:val="00B5472E"/>
    <w:rsid w:val="00B5550C"/>
    <w:rsid w:val="00B61589"/>
    <w:rsid w:val="00B61A30"/>
    <w:rsid w:val="00B660C8"/>
    <w:rsid w:val="00B7397F"/>
    <w:rsid w:val="00B74A3C"/>
    <w:rsid w:val="00B82022"/>
    <w:rsid w:val="00B85FED"/>
    <w:rsid w:val="00B959E8"/>
    <w:rsid w:val="00B965A5"/>
    <w:rsid w:val="00B973DB"/>
    <w:rsid w:val="00B979C3"/>
    <w:rsid w:val="00BA29D5"/>
    <w:rsid w:val="00BA49A5"/>
    <w:rsid w:val="00BA6D01"/>
    <w:rsid w:val="00BA74B8"/>
    <w:rsid w:val="00BB0B3A"/>
    <w:rsid w:val="00BB5367"/>
    <w:rsid w:val="00BB63EA"/>
    <w:rsid w:val="00BC311D"/>
    <w:rsid w:val="00BC56E5"/>
    <w:rsid w:val="00BD3FBF"/>
    <w:rsid w:val="00BD581E"/>
    <w:rsid w:val="00BD7707"/>
    <w:rsid w:val="00BF540B"/>
    <w:rsid w:val="00BF62C6"/>
    <w:rsid w:val="00BF6700"/>
    <w:rsid w:val="00C00585"/>
    <w:rsid w:val="00C02DB4"/>
    <w:rsid w:val="00C160EA"/>
    <w:rsid w:val="00C221C5"/>
    <w:rsid w:val="00C2565A"/>
    <w:rsid w:val="00C268B0"/>
    <w:rsid w:val="00C42C1F"/>
    <w:rsid w:val="00C46504"/>
    <w:rsid w:val="00C51ECC"/>
    <w:rsid w:val="00C54EDA"/>
    <w:rsid w:val="00C663F5"/>
    <w:rsid w:val="00C7196C"/>
    <w:rsid w:val="00C82518"/>
    <w:rsid w:val="00C83CA6"/>
    <w:rsid w:val="00C864A2"/>
    <w:rsid w:val="00C92C24"/>
    <w:rsid w:val="00C94897"/>
    <w:rsid w:val="00C94F95"/>
    <w:rsid w:val="00C95A79"/>
    <w:rsid w:val="00C96196"/>
    <w:rsid w:val="00CA4A3D"/>
    <w:rsid w:val="00CA7920"/>
    <w:rsid w:val="00CB6CD6"/>
    <w:rsid w:val="00CB6D18"/>
    <w:rsid w:val="00CC1158"/>
    <w:rsid w:val="00CC4077"/>
    <w:rsid w:val="00CC7811"/>
    <w:rsid w:val="00CD7E1A"/>
    <w:rsid w:val="00CF0D96"/>
    <w:rsid w:val="00CF2792"/>
    <w:rsid w:val="00D02795"/>
    <w:rsid w:val="00D05531"/>
    <w:rsid w:val="00D05C71"/>
    <w:rsid w:val="00D07F2E"/>
    <w:rsid w:val="00D10257"/>
    <w:rsid w:val="00D10518"/>
    <w:rsid w:val="00D15064"/>
    <w:rsid w:val="00D15C83"/>
    <w:rsid w:val="00D17180"/>
    <w:rsid w:val="00D178B7"/>
    <w:rsid w:val="00D267FA"/>
    <w:rsid w:val="00D306B6"/>
    <w:rsid w:val="00D30834"/>
    <w:rsid w:val="00D3194A"/>
    <w:rsid w:val="00D32C3A"/>
    <w:rsid w:val="00D363F3"/>
    <w:rsid w:val="00D420F9"/>
    <w:rsid w:val="00D51342"/>
    <w:rsid w:val="00D51868"/>
    <w:rsid w:val="00D55084"/>
    <w:rsid w:val="00D5729D"/>
    <w:rsid w:val="00D62424"/>
    <w:rsid w:val="00D62C57"/>
    <w:rsid w:val="00D6659F"/>
    <w:rsid w:val="00D746D5"/>
    <w:rsid w:val="00D74EBA"/>
    <w:rsid w:val="00D75A08"/>
    <w:rsid w:val="00D75E94"/>
    <w:rsid w:val="00D816B8"/>
    <w:rsid w:val="00D81ED5"/>
    <w:rsid w:val="00D85D33"/>
    <w:rsid w:val="00D97863"/>
    <w:rsid w:val="00DA20D6"/>
    <w:rsid w:val="00DA6016"/>
    <w:rsid w:val="00DA6EE7"/>
    <w:rsid w:val="00DB6398"/>
    <w:rsid w:val="00DB7396"/>
    <w:rsid w:val="00DC1544"/>
    <w:rsid w:val="00DC1AE5"/>
    <w:rsid w:val="00DC293F"/>
    <w:rsid w:val="00DC2BDD"/>
    <w:rsid w:val="00DC3F03"/>
    <w:rsid w:val="00DC5602"/>
    <w:rsid w:val="00DC6A59"/>
    <w:rsid w:val="00DD5ED6"/>
    <w:rsid w:val="00DD791D"/>
    <w:rsid w:val="00DE216C"/>
    <w:rsid w:val="00DE4951"/>
    <w:rsid w:val="00DF14CB"/>
    <w:rsid w:val="00DF1EC1"/>
    <w:rsid w:val="00DF2C6D"/>
    <w:rsid w:val="00DF3D85"/>
    <w:rsid w:val="00E05301"/>
    <w:rsid w:val="00E055B4"/>
    <w:rsid w:val="00E05E88"/>
    <w:rsid w:val="00E07DB6"/>
    <w:rsid w:val="00E176A5"/>
    <w:rsid w:val="00E210E8"/>
    <w:rsid w:val="00E30B16"/>
    <w:rsid w:val="00E30E51"/>
    <w:rsid w:val="00E36CA0"/>
    <w:rsid w:val="00E45C76"/>
    <w:rsid w:val="00E47C6B"/>
    <w:rsid w:val="00E5043F"/>
    <w:rsid w:val="00E53C43"/>
    <w:rsid w:val="00E618D1"/>
    <w:rsid w:val="00E61F7E"/>
    <w:rsid w:val="00E62B31"/>
    <w:rsid w:val="00E70E8A"/>
    <w:rsid w:val="00E7494D"/>
    <w:rsid w:val="00E75BE0"/>
    <w:rsid w:val="00E76DEB"/>
    <w:rsid w:val="00E82A2C"/>
    <w:rsid w:val="00E8562B"/>
    <w:rsid w:val="00E9500B"/>
    <w:rsid w:val="00E96C90"/>
    <w:rsid w:val="00E971CA"/>
    <w:rsid w:val="00EA1EB3"/>
    <w:rsid w:val="00EA4907"/>
    <w:rsid w:val="00EB1D03"/>
    <w:rsid w:val="00EC38DC"/>
    <w:rsid w:val="00EC45BD"/>
    <w:rsid w:val="00EC4997"/>
    <w:rsid w:val="00ED1ED5"/>
    <w:rsid w:val="00ED63A0"/>
    <w:rsid w:val="00ED6ABD"/>
    <w:rsid w:val="00EE2C08"/>
    <w:rsid w:val="00EE4131"/>
    <w:rsid w:val="00EE5255"/>
    <w:rsid w:val="00EF264E"/>
    <w:rsid w:val="00F03129"/>
    <w:rsid w:val="00F03672"/>
    <w:rsid w:val="00F05E76"/>
    <w:rsid w:val="00F07895"/>
    <w:rsid w:val="00F25FC1"/>
    <w:rsid w:val="00F26308"/>
    <w:rsid w:val="00F32BCD"/>
    <w:rsid w:val="00F34363"/>
    <w:rsid w:val="00F3654E"/>
    <w:rsid w:val="00F37238"/>
    <w:rsid w:val="00F538EB"/>
    <w:rsid w:val="00F53C4A"/>
    <w:rsid w:val="00F558C7"/>
    <w:rsid w:val="00F56F28"/>
    <w:rsid w:val="00F71A28"/>
    <w:rsid w:val="00F7230F"/>
    <w:rsid w:val="00F7303F"/>
    <w:rsid w:val="00F7783F"/>
    <w:rsid w:val="00F77C37"/>
    <w:rsid w:val="00F8251F"/>
    <w:rsid w:val="00F8660D"/>
    <w:rsid w:val="00FA08DF"/>
    <w:rsid w:val="00FA4902"/>
    <w:rsid w:val="00FB121C"/>
    <w:rsid w:val="00FB4DA0"/>
    <w:rsid w:val="00FC0B81"/>
    <w:rsid w:val="00FC3029"/>
    <w:rsid w:val="00FC42A2"/>
    <w:rsid w:val="00FC5523"/>
    <w:rsid w:val="00FD1025"/>
    <w:rsid w:val="00FE0343"/>
    <w:rsid w:val="00FE18B3"/>
    <w:rsid w:val="00FE5965"/>
    <w:rsid w:val="00FF438F"/>
    <w:rsid w:val="00FF46CD"/>
    <w:rsid w:val="00FF57B6"/>
    <w:rsid w:val="00FF7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99D61"/>
  <w15:chartTrackingRefBased/>
  <w15:docId w15:val="{7FD1D655-F8BF-4126-981E-1ACCA969B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3D85"/>
  </w:style>
  <w:style w:type="paragraph" w:styleId="Heading1">
    <w:name w:val="heading 1"/>
    <w:basedOn w:val="Normal"/>
    <w:next w:val="Normal"/>
    <w:link w:val="Heading1Char"/>
    <w:uiPriority w:val="9"/>
    <w:qFormat/>
    <w:rsid w:val="00127A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7A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7A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7A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7A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7A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7A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7A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7A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A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A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A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A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A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A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A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A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AA9"/>
    <w:rPr>
      <w:rFonts w:eastAsiaTheme="majorEastAsia" w:cstheme="majorBidi"/>
      <w:color w:val="272727" w:themeColor="text1" w:themeTint="D8"/>
    </w:rPr>
  </w:style>
  <w:style w:type="paragraph" w:styleId="Title">
    <w:name w:val="Title"/>
    <w:basedOn w:val="Normal"/>
    <w:next w:val="Normal"/>
    <w:link w:val="TitleChar"/>
    <w:uiPriority w:val="10"/>
    <w:qFormat/>
    <w:rsid w:val="00127A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A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A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7A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AA9"/>
    <w:pPr>
      <w:spacing w:before="160"/>
      <w:jc w:val="center"/>
    </w:pPr>
    <w:rPr>
      <w:i/>
      <w:iCs/>
      <w:color w:val="404040" w:themeColor="text1" w:themeTint="BF"/>
    </w:rPr>
  </w:style>
  <w:style w:type="character" w:customStyle="1" w:styleId="QuoteChar">
    <w:name w:val="Quote Char"/>
    <w:basedOn w:val="DefaultParagraphFont"/>
    <w:link w:val="Quote"/>
    <w:uiPriority w:val="29"/>
    <w:rsid w:val="00127AA9"/>
    <w:rPr>
      <w:i/>
      <w:iCs/>
      <w:color w:val="404040" w:themeColor="text1" w:themeTint="BF"/>
    </w:rPr>
  </w:style>
  <w:style w:type="paragraph" w:styleId="ListParagraph">
    <w:name w:val="List Paragraph"/>
    <w:basedOn w:val="Normal"/>
    <w:uiPriority w:val="34"/>
    <w:qFormat/>
    <w:rsid w:val="00127AA9"/>
    <w:pPr>
      <w:ind w:left="720"/>
      <w:contextualSpacing/>
    </w:pPr>
  </w:style>
  <w:style w:type="character" w:styleId="IntenseEmphasis">
    <w:name w:val="Intense Emphasis"/>
    <w:basedOn w:val="DefaultParagraphFont"/>
    <w:uiPriority w:val="21"/>
    <w:qFormat/>
    <w:rsid w:val="00127AA9"/>
    <w:rPr>
      <w:i/>
      <w:iCs/>
      <w:color w:val="0F4761" w:themeColor="accent1" w:themeShade="BF"/>
    </w:rPr>
  </w:style>
  <w:style w:type="paragraph" w:styleId="IntenseQuote">
    <w:name w:val="Intense Quote"/>
    <w:basedOn w:val="Normal"/>
    <w:next w:val="Normal"/>
    <w:link w:val="IntenseQuoteChar"/>
    <w:uiPriority w:val="30"/>
    <w:qFormat/>
    <w:rsid w:val="00127A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7AA9"/>
    <w:rPr>
      <w:i/>
      <w:iCs/>
      <w:color w:val="0F4761" w:themeColor="accent1" w:themeShade="BF"/>
    </w:rPr>
  </w:style>
  <w:style w:type="character" w:styleId="IntenseReference">
    <w:name w:val="Intense Reference"/>
    <w:basedOn w:val="DefaultParagraphFont"/>
    <w:uiPriority w:val="32"/>
    <w:qFormat/>
    <w:rsid w:val="00127AA9"/>
    <w:rPr>
      <w:b/>
      <w:bCs/>
      <w:smallCaps/>
      <w:color w:val="0F4761" w:themeColor="accent1" w:themeShade="BF"/>
      <w:spacing w:val="5"/>
    </w:rPr>
  </w:style>
  <w:style w:type="character" w:styleId="Hyperlink">
    <w:name w:val="Hyperlink"/>
    <w:basedOn w:val="DefaultParagraphFont"/>
    <w:uiPriority w:val="99"/>
    <w:unhideWhenUsed/>
    <w:rsid w:val="00EC4997"/>
    <w:rPr>
      <w:color w:val="467886" w:themeColor="hyperlink"/>
      <w:u w:val="single"/>
    </w:rPr>
  </w:style>
  <w:style w:type="character" w:styleId="UnresolvedMention">
    <w:name w:val="Unresolved Mention"/>
    <w:basedOn w:val="DefaultParagraphFont"/>
    <w:uiPriority w:val="99"/>
    <w:semiHidden/>
    <w:unhideWhenUsed/>
    <w:rsid w:val="00EC4997"/>
    <w:rPr>
      <w:color w:val="605E5C"/>
      <w:shd w:val="clear" w:color="auto" w:fill="E1DFDD"/>
    </w:rPr>
  </w:style>
  <w:style w:type="character" w:styleId="FollowedHyperlink">
    <w:name w:val="FollowedHyperlink"/>
    <w:basedOn w:val="DefaultParagraphFont"/>
    <w:uiPriority w:val="99"/>
    <w:semiHidden/>
    <w:unhideWhenUsed/>
    <w:rsid w:val="007F6AC9"/>
    <w:rPr>
      <w:color w:val="96607D" w:themeColor="followedHyperlink"/>
      <w:u w:val="single"/>
    </w:rPr>
  </w:style>
  <w:style w:type="paragraph" w:styleId="FootnoteText">
    <w:name w:val="footnote text"/>
    <w:basedOn w:val="Normal"/>
    <w:link w:val="FootnoteTextChar"/>
    <w:uiPriority w:val="99"/>
    <w:semiHidden/>
    <w:unhideWhenUsed/>
    <w:rsid w:val="00143AA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43AA9"/>
    <w:rPr>
      <w:sz w:val="20"/>
      <w:szCs w:val="20"/>
    </w:rPr>
  </w:style>
  <w:style w:type="character" w:styleId="FootnoteReference">
    <w:name w:val="footnote reference"/>
    <w:basedOn w:val="DefaultParagraphFont"/>
    <w:uiPriority w:val="99"/>
    <w:semiHidden/>
    <w:unhideWhenUsed/>
    <w:rsid w:val="00143AA9"/>
    <w:rPr>
      <w:vertAlign w:val="superscript"/>
    </w:rPr>
  </w:style>
  <w:style w:type="character" w:styleId="CommentReference">
    <w:name w:val="annotation reference"/>
    <w:basedOn w:val="DefaultParagraphFont"/>
    <w:uiPriority w:val="99"/>
    <w:semiHidden/>
    <w:unhideWhenUsed/>
    <w:rsid w:val="003C55E6"/>
    <w:rPr>
      <w:sz w:val="16"/>
      <w:szCs w:val="16"/>
    </w:rPr>
  </w:style>
  <w:style w:type="paragraph" w:styleId="CommentText">
    <w:name w:val="annotation text"/>
    <w:basedOn w:val="Normal"/>
    <w:link w:val="CommentTextChar"/>
    <w:uiPriority w:val="99"/>
    <w:unhideWhenUsed/>
    <w:rsid w:val="003C55E6"/>
    <w:pPr>
      <w:spacing w:line="240" w:lineRule="auto"/>
    </w:pPr>
    <w:rPr>
      <w:sz w:val="20"/>
      <w:szCs w:val="20"/>
    </w:rPr>
  </w:style>
  <w:style w:type="character" w:customStyle="1" w:styleId="CommentTextChar">
    <w:name w:val="Comment Text Char"/>
    <w:basedOn w:val="DefaultParagraphFont"/>
    <w:link w:val="CommentText"/>
    <w:uiPriority w:val="99"/>
    <w:rsid w:val="003C55E6"/>
    <w:rPr>
      <w:sz w:val="20"/>
      <w:szCs w:val="20"/>
    </w:rPr>
  </w:style>
  <w:style w:type="paragraph" w:styleId="CommentSubject">
    <w:name w:val="annotation subject"/>
    <w:basedOn w:val="CommentText"/>
    <w:next w:val="CommentText"/>
    <w:link w:val="CommentSubjectChar"/>
    <w:uiPriority w:val="99"/>
    <w:semiHidden/>
    <w:unhideWhenUsed/>
    <w:rsid w:val="003C55E6"/>
    <w:rPr>
      <w:b/>
      <w:bCs/>
    </w:rPr>
  </w:style>
  <w:style w:type="character" w:customStyle="1" w:styleId="CommentSubjectChar">
    <w:name w:val="Comment Subject Char"/>
    <w:basedOn w:val="CommentTextChar"/>
    <w:link w:val="CommentSubject"/>
    <w:uiPriority w:val="99"/>
    <w:semiHidden/>
    <w:rsid w:val="003C55E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n.wikipedia.org/wiki/ISBN_(identifier)"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bora.uib.no/handle/1956/16580" TargetMode="External"/><Relationship Id="rId17" Type="http://schemas.openxmlformats.org/officeDocument/2006/relationships/hyperlink" Target="https://en.wikipedia.org/wiki/Senebsumai" TargetMode="External"/><Relationship Id="rId2" Type="http://schemas.openxmlformats.org/officeDocument/2006/relationships/styles" Target="styles.xml"/><Relationship Id="rId16" Type="http://schemas.openxmlformats.org/officeDocument/2006/relationships/hyperlink" Target="https://anetoday.org/cyprus-and-ugari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n.wikipedia.org/wiki/Senebsumai" TargetMode="External"/><Relationship Id="rId5" Type="http://schemas.openxmlformats.org/officeDocument/2006/relationships/footnotes" Target="footnotes.xml"/><Relationship Id="rId15" Type="http://schemas.openxmlformats.org/officeDocument/2006/relationships/hyperlink" Target="https://doi.org/10.2458/azu_jaei_v05i3_knapp" TargetMode="Externa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en.wikipedia.org/wiki/Special:BookSources/978-82-90273-90-8"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doi.org/10.2458/azu_jaei_v05i3_knapp" TargetMode="External"/><Relationship Id="rId2" Type="http://schemas.openxmlformats.org/officeDocument/2006/relationships/hyperlink" Target="https://en.wikipedia.org/wiki/Special:BookSources/978-82-90273-90-8" TargetMode="External"/><Relationship Id="rId1" Type="http://schemas.openxmlformats.org/officeDocument/2006/relationships/hyperlink" Target="https://en.wikipedia.org/wiki/ISBN_(identifi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3936EB-B704-45F2-B7CB-436A7BBDB0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2373</Words>
  <Characters>13532</Characters>
  <Application>Microsoft Office Word</Application>
  <DocSecurity>0</DocSecurity>
  <Lines>112</Lines>
  <Paragraphs>31</Paragraphs>
  <ScaleCrop>false</ScaleCrop>
  <Company/>
  <LinksUpToDate>false</LinksUpToDate>
  <CharactersWithSpaces>15874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Woolston</dc:creator>
  <cp:keywords/>
  <dc:description/>
  <cp:lastModifiedBy>Ellie Woolston</cp:lastModifiedBy>
  <cp:revision>667</cp:revision>
  <dcterms:created xsi:type="dcterms:W3CDTF">2025-11-26T11:01:00Z</dcterms:created>
  <dcterms:modified xsi:type="dcterms:W3CDTF">2025-12-05T13:50:00Z</dcterms:modified>
</cp:coreProperties>
</file>