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607D19" w14:textId="0DC95C94" w:rsidR="00BF35D1" w:rsidRDefault="003213B9" w:rsidP="00957BB6">
      <w:pPr>
        <w:spacing w:after="0" w:line="240" w:lineRule="auto"/>
        <w:jc w:val="both"/>
        <w:rPr>
          <w:rFonts w:ascii="Arial" w:hAnsi="Arial" w:cs="Arial"/>
          <w:sz w:val="24"/>
          <w:szCs w:val="24"/>
        </w:rPr>
      </w:pPr>
      <w:r>
        <w:rPr>
          <w:rFonts w:ascii="Arial" w:hAnsi="Arial" w:cs="Arial"/>
          <w:sz w:val="24"/>
          <w:szCs w:val="24"/>
        </w:rPr>
        <w:t xml:space="preserve">ECED7006 </w:t>
      </w:r>
    </w:p>
    <w:p w14:paraId="5D9DE22C" w14:textId="668169EB" w:rsidR="003213B9" w:rsidRDefault="00BF35D1" w:rsidP="00957BB6">
      <w:pPr>
        <w:spacing w:after="0" w:line="240" w:lineRule="auto"/>
        <w:jc w:val="both"/>
        <w:rPr>
          <w:rFonts w:ascii="Arial" w:hAnsi="Arial" w:cs="Arial"/>
          <w:sz w:val="24"/>
          <w:szCs w:val="24"/>
        </w:rPr>
      </w:pPr>
      <w:r>
        <w:rPr>
          <w:rFonts w:ascii="Arial" w:hAnsi="Arial" w:cs="Arial"/>
          <w:sz w:val="24"/>
          <w:szCs w:val="24"/>
        </w:rPr>
        <w:t>2106780</w:t>
      </w:r>
    </w:p>
    <w:p w14:paraId="389F7687" w14:textId="76D5083B" w:rsidR="00DA3D7A" w:rsidRPr="00BF35D1" w:rsidRDefault="00BE5AB5" w:rsidP="00957BB6">
      <w:pPr>
        <w:spacing w:line="360" w:lineRule="auto"/>
        <w:jc w:val="both"/>
        <w:rPr>
          <w:rFonts w:ascii="Arial" w:hAnsi="Arial" w:cs="Arial"/>
          <w:b/>
          <w:bCs/>
          <w:sz w:val="24"/>
          <w:szCs w:val="24"/>
        </w:rPr>
      </w:pPr>
      <w:r w:rsidRPr="00BF35D1">
        <w:rPr>
          <w:rFonts w:ascii="Arial" w:hAnsi="Arial" w:cs="Arial"/>
          <w:b/>
          <w:bCs/>
          <w:sz w:val="24"/>
          <w:szCs w:val="24"/>
        </w:rPr>
        <w:t>Select and critically discuss, three images which can be seen to perpetuate stereotypical attitudes for a group of your choosing</w:t>
      </w:r>
      <w:r w:rsidR="00BF35D1" w:rsidRPr="00BF35D1">
        <w:rPr>
          <w:rFonts w:ascii="Arial" w:hAnsi="Arial" w:cs="Arial"/>
          <w:b/>
          <w:bCs/>
          <w:sz w:val="24"/>
          <w:szCs w:val="24"/>
        </w:rPr>
        <w:t xml:space="preserve"> </w:t>
      </w:r>
    </w:p>
    <w:p w14:paraId="56514E33" w14:textId="4015E093" w:rsidR="00F7628D" w:rsidRDefault="00F7628D" w:rsidP="00957BB6">
      <w:pPr>
        <w:spacing w:line="360" w:lineRule="auto"/>
        <w:jc w:val="both"/>
        <w:rPr>
          <w:rFonts w:ascii="Arial" w:hAnsi="Arial" w:cs="Arial"/>
          <w:b/>
          <w:bCs/>
          <w:sz w:val="24"/>
          <w:szCs w:val="24"/>
          <w:u w:val="single"/>
        </w:rPr>
      </w:pPr>
      <w:bookmarkStart w:id="0" w:name="_Hlk124252550"/>
      <w:r>
        <w:rPr>
          <w:rFonts w:ascii="Arial" w:hAnsi="Arial" w:cs="Arial"/>
          <w:b/>
          <w:bCs/>
          <w:sz w:val="24"/>
          <w:szCs w:val="24"/>
          <w:u w:val="single"/>
        </w:rPr>
        <w:t>Image 1</w:t>
      </w:r>
    </w:p>
    <w:p w14:paraId="627E35B9" w14:textId="22552FDA" w:rsidR="00A54E0C" w:rsidRPr="00474D13" w:rsidRDefault="00BF35D1" w:rsidP="00957BB6">
      <w:pPr>
        <w:spacing w:line="360" w:lineRule="auto"/>
        <w:jc w:val="both"/>
        <w:rPr>
          <w:rFonts w:ascii="Arial" w:hAnsi="Arial" w:cs="Arial"/>
          <w:b/>
          <w:bCs/>
          <w:sz w:val="24"/>
          <w:szCs w:val="24"/>
          <w:u w:val="single"/>
        </w:rPr>
      </w:pPr>
      <w:r>
        <w:rPr>
          <w:noProof/>
        </w:rPr>
        <w:drawing>
          <wp:anchor distT="0" distB="0" distL="114300" distR="114300" simplePos="0" relativeHeight="251661312" behindDoc="0" locked="0" layoutInCell="1" allowOverlap="1" wp14:anchorId="3FBDD411" wp14:editId="39197B30">
            <wp:simplePos x="0" y="0"/>
            <wp:positionH relativeFrom="margin">
              <wp:align>left</wp:align>
            </wp:positionH>
            <wp:positionV relativeFrom="paragraph">
              <wp:posOffset>29210</wp:posOffset>
            </wp:positionV>
            <wp:extent cx="3684270" cy="2762250"/>
            <wp:effectExtent l="0" t="0" r="0" b="0"/>
            <wp:wrapSquare wrapText="bothSides"/>
            <wp:docPr id="4" name="Picture 4" descr="Sunday with Trixie Mattel: 'I refuse to stop – every day is a Monday' |  Sunday with…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unday with Trixie Mattel: 'I refuse to stop – every day is a Monday' |  Sunday with… | The Guardian"/>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684270" cy="2762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5BC565" w14:textId="182CD209" w:rsidR="00474D13" w:rsidRPr="00474D13" w:rsidRDefault="00BF35D1" w:rsidP="00957BB6">
      <w:pPr>
        <w:spacing w:line="360" w:lineRule="auto"/>
        <w:jc w:val="both"/>
        <w:rPr>
          <w:rFonts w:ascii="Arial" w:hAnsi="Arial" w:cs="Arial"/>
          <w:sz w:val="24"/>
          <w:szCs w:val="24"/>
        </w:rPr>
      </w:pPr>
      <w:r>
        <w:rPr>
          <w:rFonts w:ascii="Arial" w:hAnsi="Arial" w:cs="Arial"/>
          <w:sz w:val="24"/>
          <w:szCs w:val="24"/>
        </w:rPr>
        <w:t>(</w:t>
      </w:r>
      <w:r w:rsidR="00474D13">
        <w:rPr>
          <w:rFonts w:ascii="Arial" w:hAnsi="Arial" w:cs="Arial"/>
          <w:sz w:val="24"/>
          <w:szCs w:val="24"/>
        </w:rPr>
        <w:t>Carrasquillo, 2021</w:t>
      </w:r>
      <w:r>
        <w:rPr>
          <w:rFonts w:ascii="Arial" w:hAnsi="Arial" w:cs="Arial"/>
          <w:sz w:val="24"/>
          <w:szCs w:val="24"/>
        </w:rPr>
        <w:t>)</w:t>
      </w:r>
      <w:r w:rsidR="00474D13">
        <w:rPr>
          <w:rFonts w:ascii="Arial" w:hAnsi="Arial" w:cs="Arial"/>
          <w:sz w:val="24"/>
          <w:szCs w:val="24"/>
        </w:rPr>
        <w:t xml:space="preserve"> </w:t>
      </w:r>
    </w:p>
    <w:p w14:paraId="3ACBC6FA" w14:textId="77777777" w:rsidR="00BF35D1" w:rsidRDefault="00BF35D1" w:rsidP="00957BB6">
      <w:pPr>
        <w:spacing w:line="360" w:lineRule="auto"/>
        <w:jc w:val="both"/>
        <w:rPr>
          <w:rFonts w:ascii="Arial" w:hAnsi="Arial" w:cs="Arial"/>
          <w:b/>
          <w:bCs/>
          <w:sz w:val="24"/>
          <w:szCs w:val="24"/>
          <w:u w:val="single"/>
        </w:rPr>
      </w:pPr>
    </w:p>
    <w:p w14:paraId="49BEA7F6" w14:textId="77777777" w:rsidR="00BF35D1" w:rsidRDefault="00BF35D1" w:rsidP="00957BB6">
      <w:pPr>
        <w:spacing w:line="360" w:lineRule="auto"/>
        <w:jc w:val="both"/>
        <w:rPr>
          <w:rFonts w:ascii="Arial" w:hAnsi="Arial" w:cs="Arial"/>
          <w:b/>
          <w:bCs/>
          <w:sz w:val="24"/>
          <w:szCs w:val="24"/>
          <w:u w:val="single"/>
        </w:rPr>
      </w:pPr>
    </w:p>
    <w:p w14:paraId="20A601C5" w14:textId="77777777" w:rsidR="00BF35D1" w:rsidRDefault="00BF35D1" w:rsidP="00957BB6">
      <w:pPr>
        <w:spacing w:line="360" w:lineRule="auto"/>
        <w:jc w:val="both"/>
        <w:rPr>
          <w:rFonts w:ascii="Arial" w:hAnsi="Arial" w:cs="Arial"/>
          <w:b/>
          <w:bCs/>
          <w:sz w:val="24"/>
          <w:szCs w:val="24"/>
          <w:u w:val="single"/>
        </w:rPr>
      </w:pPr>
    </w:p>
    <w:p w14:paraId="30675938" w14:textId="77777777" w:rsidR="00BF35D1" w:rsidRDefault="00BF35D1" w:rsidP="00957BB6">
      <w:pPr>
        <w:spacing w:line="360" w:lineRule="auto"/>
        <w:jc w:val="both"/>
        <w:rPr>
          <w:rFonts w:ascii="Arial" w:hAnsi="Arial" w:cs="Arial"/>
          <w:b/>
          <w:bCs/>
          <w:sz w:val="24"/>
          <w:szCs w:val="24"/>
          <w:u w:val="single"/>
        </w:rPr>
      </w:pPr>
    </w:p>
    <w:p w14:paraId="4479FBF7" w14:textId="77777777" w:rsidR="00BF35D1" w:rsidRDefault="00BF35D1" w:rsidP="00957BB6">
      <w:pPr>
        <w:spacing w:line="360" w:lineRule="auto"/>
        <w:jc w:val="both"/>
        <w:rPr>
          <w:rFonts w:ascii="Arial" w:hAnsi="Arial" w:cs="Arial"/>
          <w:b/>
          <w:bCs/>
          <w:sz w:val="24"/>
          <w:szCs w:val="24"/>
          <w:u w:val="single"/>
        </w:rPr>
      </w:pPr>
    </w:p>
    <w:p w14:paraId="782EE536" w14:textId="77777777" w:rsidR="00BF35D1" w:rsidRDefault="00BF35D1" w:rsidP="00957BB6">
      <w:pPr>
        <w:spacing w:line="360" w:lineRule="auto"/>
        <w:jc w:val="both"/>
        <w:rPr>
          <w:rFonts w:ascii="Arial" w:hAnsi="Arial" w:cs="Arial"/>
          <w:b/>
          <w:bCs/>
          <w:sz w:val="24"/>
          <w:szCs w:val="24"/>
          <w:u w:val="single"/>
        </w:rPr>
      </w:pPr>
    </w:p>
    <w:p w14:paraId="684B073E" w14:textId="77777777" w:rsidR="00BF35D1" w:rsidRDefault="00BF35D1" w:rsidP="00957BB6">
      <w:pPr>
        <w:spacing w:line="360" w:lineRule="auto"/>
        <w:jc w:val="both"/>
        <w:rPr>
          <w:rFonts w:ascii="Arial" w:hAnsi="Arial" w:cs="Arial"/>
          <w:b/>
          <w:bCs/>
          <w:sz w:val="24"/>
          <w:szCs w:val="24"/>
          <w:u w:val="single"/>
        </w:rPr>
      </w:pPr>
    </w:p>
    <w:p w14:paraId="15747CB2" w14:textId="38EEC323" w:rsidR="00DA3D7A" w:rsidRPr="00A54E0C" w:rsidRDefault="00DA3D7A" w:rsidP="00957BB6">
      <w:pPr>
        <w:spacing w:line="360" w:lineRule="auto"/>
        <w:jc w:val="both"/>
        <w:rPr>
          <w:rFonts w:ascii="Arial" w:hAnsi="Arial" w:cs="Arial"/>
          <w:sz w:val="24"/>
          <w:szCs w:val="24"/>
        </w:rPr>
      </w:pPr>
      <w:r>
        <w:rPr>
          <w:rFonts w:ascii="Arial" w:hAnsi="Arial" w:cs="Arial"/>
          <w:b/>
          <w:bCs/>
          <w:sz w:val="24"/>
          <w:szCs w:val="24"/>
          <w:u w:val="single"/>
        </w:rPr>
        <w:t>Image 2</w:t>
      </w:r>
    </w:p>
    <w:p w14:paraId="26918BC7" w14:textId="3AC0EDE8" w:rsidR="00DA3D7A" w:rsidRDefault="00BF35D1" w:rsidP="00957BB6">
      <w:pPr>
        <w:spacing w:line="360" w:lineRule="auto"/>
        <w:jc w:val="both"/>
        <w:rPr>
          <w:rFonts w:ascii="Arial" w:hAnsi="Arial" w:cs="Arial"/>
          <w:b/>
          <w:bCs/>
          <w:sz w:val="24"/>
          <w:szCs w:val="24"/>
          <w:u w:val="single"/>
        </w:rPr>
      </w:pPr>
      <w:r>
        <w:rPr>
          <w:noProof/>
        </w:rPr>
        <w:drawing>
          <wp:anchor distT="0" distB="0" distL="114300" distR="114300" simplePos="0" relativeHeight="251658240" behindDoc="0" locked="0" layoutInCell="1" allowOverlap="1" wp14:anchorId="10EA4DA8" wp14:editId="1673AF1B">
            <wp:simplePos x="0" y="0"/>
            <wp:positionH relativeFrom="margin">
              <wp:align>left</wp:align>
            </wp:positionH>
            <wp:positionV relativeFrom="paragraph">
              <wp:posOffset>193040</wp:posOffset>
            </wp:positionV>
            <wp:extent cx="3692525" cy="2628900"/>
            <wp:effectExtent l="0" t="0" r="317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92525" cy="2628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6CA358" w14:textId="3D34B53A" w:rsidR="00DA3D7A" w:rsidRDefault="00BF35D1" w:rsidP="00957BB6">
      <w:pPr>
        <w:spacing w:line="360" w:lineRule="auto"/>
        <w:jc w:val="both"/>
        <w:rPr>
          <w:rFonts w:ascii="Arial" w:hAnsi="Arial" w:cs="Arial"/>
          <w:sz w:val="24"/>
          <w:szCs w:val="24"/>
        </w:rPr>
      </w:pPr>
      <w:r>
        <w:rPr>
          <w:rFonts w:ascii="Arial" w:hAnsi="Arial" w:cs="Arial"/>
          <w:sz w:val="24"/>
          <w:szCs w:val="24"/>
        </w:rPr>
        <w:t>(</w:t>
      </w:r>
      <w:r w:rsidR="00DA3D7A">
        <w:rPr>
          <w:rFonts w:ascii="Arial" w:hAnsi="Arial" w:cs="Arial"/>
          <w:sz w:val="24"/>
          <w:szCs w:val="24"/>
        </w:rPr>
        <w:t>Photo provided by Aquaria, 2020)</w:t>
      </w:r>
    </w:p>
    <w:p w14:paraId="1AE91448" w14:textId="1EF4FC0D" w:rsidR="00BF35D1" w:rsidRDefault="00BF35D1" w:rsidP="00957BB6">
      <w:pPr>
        <w:spacing w:line="360" w:lineRule="auto"/>
        <w:jc w:val="both"/>
        <w:rPr>
          <w:rFonts w:ascii="Arial" w:hAnsi="Arial" w:cs="Arial"/>
          <w:b/>
          <w:bCs/>
          <w:sz w:val="24"/>
          <w:szCs w:val="24"/>
          <w:u w:val="single"/>
        </w:rPr>
      </w:pPr>
    </w:p>
    <w:p w14:paraId="13644E78" w14:textId="77777777" w:rsidR="00BF35D1" w:rsidRDefault="00BF35D1" w:rsidP="00957BB6">
      <w:pPr>
        <w:spacing w:line="360" w:lineRule="auto"/>
        <w:jc w:val="both"/>
        <w:rPr>
          <w:rFonts w:ascii="Arial" w:hAnsi="Arial" w:cs="Arial"/>
          <w:b/>
          <w:bCs/>
          <w:sz w:val="24"/>
          <w:szCs w:val="24"/>
          <w:u w:val="single"/>
        </w:rPr>
      </w:pPr>
    </w:p>
    <w:p w14:paraId="7FAB30FF" w14:textId="4FEDC81F" w:rsidR="00BF35D1" w:rsidRDefault="00BF35D1" w:rsidP="00957BB6">
      <w:pPr>
        <w:spacing w:line="360" w:lineRule="auto"/>
        <w:jc w:val="both"/>
        <w:rPr>
          <w:rFonts w:ascii="Arial" w:hAnsi="Arial" w:cs="Arial"/>
          <w:b/>
          <w:bCs/>
          <w:sz w:val="24"/>
          <w:szCs w:val="24"/>
          <w:u w:val="single"/>
        </w:rPr>
      </w:pPr>
    </w:p>
    <w:p w14:paraId="06201DCE" w14:textId="56C19893" w:rsidR="00BF35D1" w:rsidRDefault="00BF35D1" w:rsidP="00957BB6">
      <w:pPr>
        <w:spacing w:line="360" w:lineRule="auto"/>
        <w:jc w:val="both"/>
        <w:rPr>
          <w:rFonts w:ascii="Arial" w:hAnsi="Arial" w:cs="Arial"/>
          <w:b/>
          <w:bCs/>
          <w:sz w:val="24"/>
          <w:szCs w:val="24"/>
          <w:u w:val="single"/>
        </w:rPr>
      </w:pPr>
    </w:p>
    <w:p w14:paraId="259BCD59" w14:textId="77777777" w:rsidR="00BF35D1" w:rsidRDefault="00BF35D1" w:rsidP="00957BB6">
      <w:pPr>
        <w:spacing w:line="360" w:lineRule="auto"/>
        <w:jc w:val="both"/>
        <w:rPr>
          <w:rFonts w:ascii="Arial" w:hAnsi="Arial" w:cs="Arial"/>
          <w:b/>
          <w:bCs/>
          <w:sz w:val="24"/>
          <w:szCs w:val="24"/>
          <w:u w:val="single"/>
        </w:rPr>
      </w:pPr>
    </w:p>
    <w:p w14:paraId="54617151" w14:textId="77777777" w:rsidR="00BF35D1" w:rsidRDefault="00BF35D1" w:rsidP="00957BB6">
      <w:pPr>
        <w:spacing w:line="360" w:lineRule="auto"/>
        <w:jc w:val="both"/>
        <w:rPr>
          <w:rFonts w:ascii="Arial" w:hAnsi="Arial" w:cs="Arial"/>
          <w:b/>
          <w:bCs/>
          <w:sz w:val="24"/>
          <w:szCs w:val="24"/>
          <w:u w:val="single"/>
        </w:rPr>
      </w:pPr>
    </w:p>
    <w:p w14:paraId="6477CEE6" w14:textId="2197B4BC" w:rsidR="00BF35D1" w:rsidRDefault="00BF35D1" w:rsidP="00957BB6">
      <w:pPr>
        <w:spacing w:line="360" w:lineRule="auto"/>
        <w:jc w:val="both"/>
        <w:rPr>
          <w:rFonts w:ascii="Arial" w:hAnsi="Arial" w:cs="Arial"/>
          <w:b/>
          <w:bCs/>
          <w:sz w:val="24"/>
          <w:szCs w:val="24"/>
          <w:u w:val="single"/>
        </w:rPr>
      </w:pPr>
    </w:p>
    <w:p w14:paraId="53FD5109" w14:textId="77777777" w:rsidR="00BF35D1" w:rsidRDefault="00BF35D1" w:rsidP="00957BB6">
      <w:pPr>
        <w:spacing w:line="360" w:lineRule="auto"/>
        <w:jc w:val="both"/>
        <w:rPr>
          <w:rFonts w:ascii="Arial" w:hAnsi="Arial" w:cs="Arial"/>
          <w:b/>
          <w:bCs/>
          <w:sz w:val="24"/>
          <w:szCs w:val="24"/>
          <w:u w:val="single"/>
        </w:rPr>
      </w:pPr>
    </w:p>
    <w:p w14:paraId="1C4D4D2E" w14:textId="63493F4B" w:rsidR="00F7628D" w:rsidRPr="00F7628D" w:rsidRDefault="00F7628D" w:rsidP="00957BB6">
      <w:pPr>
        <w:spacing w:line="360" w:lineRule="auto"/>
        <w:jc w:val="both"/>
        <w:rPr>
          <w:rFonts w:ascii="Arial" w:hAnsi="Arial" w:cs="Arial"/>
          <w:b/>
          <w:bCs/>
          <w:sz w:val="24"/>
          <w:szCs w:val="24"/>
          <w:u w:val="single"/>
        </w:rPr>
      </w:pPr>
      <w:r>
        <w:rPr>
          <w:rFonts w:ascii="Arial" w:hAnsi="Arial" w:cs="Arial"/>
          <w:b/>
          <w:bCs/>
          <w:sz w:val="24"/>
          <w:szCs w:val="24"/>
          <w:u w:val="single"/>
        </w:rPr>
        <w:lastRenderedPageBreak/>
        <w:t>Image 3</w:t>
      </w:r>
    </w:p>
    <w:p w14:paraId="32D06439" w14:textId="53329FEC" w:rsidR="00DA3D7A" w:rsidRDefault="00BF35D1" w:rsidP="00957BB6">
      <w:pPr>
        <w:spacing w:line="360" w:lineRule="auto"/>
        <w:jc w:val="both"/>
        <w:rPr>
          <w:rFonts w:ascii="Arial" w:hAnsi="Arial" w:cs="Arial"/>
          <w:b/>
          <w:bCs/>
          <w:sz w:val="24"/>
          <w:szCs w:val="24"/>
          <w:u w:val="single"/>
        </w:rPr>
      </w:pPr>
      <w:r>
        <w:rPr>
          <w:noProof/>
        </w:rPr>
        <w:drawing>
          <wp:anchor distT="0" distB="0" distL="114300" distR="114300" simplePos="0" relativeHeight="251660288" behindDoc="0" locked="0" layoutInCell="1" allowOverlap="1" wp14:anchorId="6F2FE99D" wp14:editId="0C08F7BE">
            <wp:simplePos x="0" y="0"/>
            <wp:positionH relativeFrom="margin">
              <wp:align>left</wp:align>
            </wp:positionH>
            <wp:positionV relativeFrom="paragraph">
              <wp:posOffset>15240</wp:posOffset>
            </wp:positionV>
            <wp:extent cx="2478405" cy="3095625"/>
            <wp:effectExtent l="0" t="0" r="0" b="9525"/>
            <wp:wrapSquare wrapText="bothSides"/>
            <wp:docPr id="2" name="Picture 2" descr="FATT BUTCHER – Adam Car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ATT BUTCHER – Adam Carve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78405" cy="30956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E49B11" w14:textId="7FE0192C" w:rsidR="00A54E0C" w:rsidRDefault="00A54E0C" w:rsidP="00957BB6">
      <w:pPr>
        <w:spacing w:line="360" w:lineRule="auto"/>
        <w:jc w:val="both"/>
        <w:rPr>
          <w:rFonts w:ascii="Arial" w:hAnsi="Arial" w:cs="Arial"/>
          <w:sz w:val="24"/>
          <w:szCs w:val="24"/>
        </w:rPr>
      </w:pPr>
    </w:p>
    <w:p w14:paraId="5388DC3C" w14:textId="1C67E602" w:rsidR="00A54E0C" w:rsidRDefault="00A54E0C" w:rsidP="00957BB6">
      <w:pPr>
        <w:spacing w:line="360" w:lineRule="auto"/>
        <w:jc w:val="both"/>
        <w:rPr>
          <w:rFonts w:ascii="Arial" w:hAnsi="Arial" w:cs="Arial"/>
          <w:sz w:val="24"/>
          <w:szCs w:val="24"/>
        </w:rPr>
      </w:pPr>
    </w:p>
    <w:p w14:paraId="01B0257C" w14:textId="566FB1F0" w:rsidR="00642213" w:rsidRPr="00642213" w:rsidRDefault="00BF35D1" w:rsidP="00957BB6">
      <w:pPr>
        <w:spacing w:line="360" w:lineRule="auto"/>
        <w:jc w:val="both"/>
        <w:rPr>
          <w:rFonts w:ascii="Arial" w:hAnsi="Arial" w:cs="Arial"/>
          <w:sz w:val="24"/>
          <w:szCs w:val="24"/>
        </w:rPr>
      </w:pPr>
      <w:r>
        <w:rPr>
          <w:rFonts w:ascii="Arial" w:hAnsi="Arial" w:cs="Arial"/>
          <w:sz w:val="24"/>
          <w:szCs w:val="24"/>
        </w:rPr>
        <w:t>(</w:t>
      </w:r>
      <w:r w:rsidR="001C19B5">
        <w:rPr>
          <w:rFonts w:ascii="Arial" w:hAnsi="Arial" w:cs="Arial"/>
          <w:sz w:val="24"/>
          <w:szCs w:val="24"/>
        </w:rPr>
        <w:t>Mitsis</w:t>
      </w:r>
      <w:r w:rsidR="00642213">
        <w:rPr>
          <w:rFonts w:ascii="Arial" w:hAnsi="Arial" w:cs="Arial"/>
          <w:sz w:val="24"/>
          <w:szCs w:val="24"/>
        </w:rPr>
        <w:t>,</w:t>
      </w:r>
      <w:r>
        <w:rPr>
          <w:rFonts w:ascii="Arial" w:hAnsi="Arial" w:cs="Arial"/>
          <w:sz w:val="24"/>
          <w:szCs w:val="24"/>
        </w:rPr>
        <w:t xml:space="preserve"> </w:t>
      </w:r>
      <w:r w:rsidR="00642213">
        <w:rPr>
          <w:rFonts w:ascii="Arial" w:hAnsi="Arial" w:cs="Arial"/>
          <w:sz w:val="24"/>
          <w:szCs w:val="24"/>
        </w:rPr>
        <w:t>2021)</w:t>
      </w:r>
    </w:p>
    <w:p w14:paraId="1F3CCC8D" w14:textId="77777777" w:rsidR="00BF35D1" w:rsidRDefault="00BF35D1" w:rsidP="00957BB6">
      <w:pPr>
        <w:spacing w:line="360" w:lineRule="auto"/>
        <w:jc w:val="both"/>
        <w:rPr>
          <w:rFonts w:ascii="Arial" w:hAnsi="Arial" w:cs="Arial"/>
          <w:b/>
          <w:bCs/>
          <w:sz w:val="24"/>
          <w:szCs w:val="24"/>
        </w:rPr>
      </w:pPr>
    </w:p>
    <w:bookmarkEnd w:id="0"/>
    <w:p w14:paraId="1B279ED8" w14:textId="77777777" w:rsidR="00BF35D1" w:rsidRDefault="00BF35D1" w:rsidP="00957BB6">
      <w:pPr>
        <w:spacing w:line="360" w:lineRule="auto"/>
        <w:jc w:val="both"/>
        <w:rPr>
          <w:rFonts w:ascii="Arial" w:hAnsi="Arial" w:cs="Arial"/>
          <w:b/>
          <w:bCs/>
          <w:sz w:val="24"/>
          <w:szCs w:val="24"/>
        </w:rPr>
      </w:pPr>
    </w:p>
    <w:p w14:paraId="23A5993D" w14:textId="77777777" w:rsidR="00BF35D1" w:rsidRDefault="00BF35D1" w:rsidP="00957BB6">
      <w:pPr>
        <w:spacing w:line="360" w:lineRule="auto"/>
        <w:jc w:val="both"/>
        <w:rPr>
          <w:rFonts w:ascii="Arial" w:hAnsi="Arial" w:cs="Arial"/>
          <w:b/>
          <w:bCs/>
          <w:sz w:val="24"/>
          <w:szCs w:val="24"/>
        </w:rPr>
      </w:pPr>
    </w:p>
    <w:p w14:paraId="1609BA1D" w14:textId="77777777" w:rsidR="00BF35D1" w:rsidRDefault="00BF35D1" w:rsidP="00957BB6">
      <w:pPr>
        <w:spacing w:line="360" w:lineRule="auto"/>
        <w:jc w:val="both"/>
        <w:rPr>
          <w:rFonts w:ascii="Arial" w:hAnsi="Arial" w:cs="Arial"/>
          <w:b/>
          <w:bCs/>
          <w:sz w:val="24"/>
          <w:szCs w:val="24"/>
        </w:rPr>
      </w:pPr>
    </w:p>
    <w:p w14:paraId="3BF59400" w14:textId="77777777" w:rsidR="00BF35D1" w:rsidRDefault="00BF35D1" w:rsidP="00957BB6">
      <w:pPr>
        <w:spacing w:line="360" w:lineRule="auto"/>
        <w:jc w:val="both"/>
        <w:rPr>
          <w:rFonts w:ascii="Arial" w:hAnsi="Arial" w:cs="Arial"/>
          <w:b/>
          <w:bCs/>
          <w:sz w:val="24"/>
          <w:szCs w:val="24"/>
        </w:rPr>
      </w:pPr>
    </w:p>
    <w:p w14:paraId="4DA9C118" w14:textId="335B94FD" w:rsidR="00595408" w:rsidRDefault="007825E4" w:rsidP="00957BB6">
      <w:pPr>
        <w:spacing w:line="360" w:lineRule="auto"/>
        <w:jc w:val="both"/>
        <w:rPr>
          <w:rFonts w:ascii="Arial" w:hAnsi="Arial" w:cs="Arial"/>
          <w:sz w:val="24"/>
          <w:szCs w:val="24"/>
        </w:rPr>
      </w:pPr>
      <w:r>
        <w:rPr>
          <w:rFonts w:ascii="Arial" w:hAnsi="Arial" w:cs="Arial"/>
          <w:sz w:val="24"/>
          <w:szCs w:val="24"/>
        </w:rPr>
        <w:t>Stereotypes are expectations</w:t>
      </w:r>
      <w:r w:rsidR="00FA7C7B">
        <w:rPr>
          <w:rFonts w:ascii="Arial" w:hAnsi="Arial" w:cs="Arial"/>
          <w:sz w:val="24"/>
          <w:szCs w:val="24"/>
        </w:rPr>
        <w:t>, often negative and rumour</w:t>
      </w:r>
      <w:r w:rsidR="003F0170">
        <w:rPr>
          <w:rFonts w:ascii="Arial" w:hAnsi="Arial" w:cs="Arial"/>
          <w:sz w:val="24"/>
          <w:szCs w:val="24"/>
        </w:rPr>
        <w:t xml:space="preserve"> based</w:t>
      </w:r>
      <w:r w:rsidR="00FA7C7B">
        <w:rPr>
          <w:rFonts w:ascii="Arial" w:hAnsi="Arial" w:cs="Arial"/>
          <w:sz w:val="24"/>
          <w:szCs w:val="24"/>
        </w:rPr>
        <w:t xml:space="preserve"> (Fiske and Taylor, 1991; Neuberg, 1990)</w:t>
      </w:r>
      <w:r>
        <w:rPr>
          <w:rFonts w:ascii="Arial" w:hAnsi="Arial" w:cs="Arial"/>
          <w:sz w:val="24"/>
          <w:szCs w:val="24"/>
        </w:rPr>
        <w:t xml:space="preserve"> about social groups </w:t>
      </w:r>
      <w:r w:rsidRPr="007825E4">
        <w:rPr>
          <w:rFonts w:ascii="Arial" w:hAnsi="Arial" w:cs="Arial"/>
          <w:sz w:val="24"/>
          <w:szCs w:val="24"/>
          <w:shd w:val="clear" w:color="auto" w:fill="FFFFFF"/>
        </w:rPr>
        <w:t xml:space="preserve">(Ellemers, 2018; Greenwald and Banaji, 1995; Muntoni </w:t>
      </w:r>
      <w:r w:rsidRPr="007825E4">
        <w:rPr>
          <w:rFonts w:ascii="Arial" w:hAnsi="Arial" w:cs="Arial"/>
          <w:i/>
          <w:iCs/>
          <w:sz w:val="24"/>
          <w:szCs w:val="24"/>
          <w:shd w:val="clear" w:color="auto" w:fill="FFFFFF"/>
        </w:rPr>
        <w:t xml:space="preserve">et al., </w:t>
      </w:r>
      <w:r w:rsidRPr="007825E4">
        <w:rPr>
          <w:rFonts w:ascii="Arial" w:hAnsi="Arial" w:cs="Arial"/>
          <w:sz w:val="24"/>
          <w:szCs w:val="24"/>
          <w:shd w:val="clear" w:color="auto" w:fill="FFFFFF"/>
        </w:rPr>
        <w:t>2021)</w:t>
      </w:r>
      <w:r>
        <w:rPr>
          <w:rFonts w:ascii="Arial" w:hAnsi="Arial" w:cs="Arial"/>
          <w:sz w:val="24"/>
          <w:szCs w:val="24"/>
        </w:rPr>
        <w:t>, which provide guidance on how to interact with individuals (</w:t>
      </w:r>
      <w:r w:rsidRPr="00595408">
        <w:rPr>
          <w:rFonts w:ascii="Arial" w:hAnsi="Arial" w:cs="Arial"/>
          <w:sz w:val="24"/>
          <w:szCs w:val="24"/>
        </w:rPr>
        <w:t>Schneider, 2004)</w:t>
      </w:r>
      <w:r>
        <w:rPr>
          <w:rFonts w:ascii="Arial" w:hAnsi="Arial" w:cs="Arial"/>
          <w:sz w:val="24"/>
          <w:szCs w:val="24"/>
        </w:rPr>
        <w:t>.</w:t>
      </w:r>
      <w:r w:rsidR="001C19B5">
        <w:rPr>
          <w:rFonts w:ascii="Arial" w:hAnsi="Arial" w:cs="Arial"/>
          <w:sz w:val="24"/>
          <w:szCs w:val="24"/>
        </w:rPr>
        <w:t xml:space="preserve"> </w:t>
      </w:r>
      <w:r w:rsidR="00FA7C7B">
        <w:rPr>
          <w:rFonts w:ascii="Arial" w:hAnsi="Arial" w:cs="Arial"/>
          <w:sz w:val="24"/>
          <w:szCs w:val="24"/>
        </w:rPr>
        <w:t>R</w:t>
      </w:r>
      <w:r w:rsidR="00FD772E">
        <w:rPr>
          <w:rFonts w:ascii="Arial" w:hAnsi="Arial" w:cs="Arial"/>
          <w:sz w:val="24"/>
          <w:szCs w:val="24"/>
        </w:rPr>
        <w:t xml:space="preserve">esearch has suggested that stereotypes are </w:t>
      </w:r>
      <w:r w:rsidR="00951FF8">
        <w:rPr>
          <w:rFonts w:ascii="Arial" w:hAnsi="Arial" w:cs="Arial"/>
          <w:sz w:val="24"/>
          <w:szCs w:val="24"/>
        </w:rPr>
        <w:t>different</w:t>
      </w:r>
      <w:r w:rsidR="00FD772E">
        <w:rPr>
          <w:rFonts w:ascii="Arial" w:hAnsi="Arial" w:cs="Arial"/>
          <w:sz w:val="24"/>
          <w:szCs w:val="24"/>
        </w:rPr>
        <w:t xml:space="preserve"> from discrimination, which </w:t>
      </w:r>
      <w:r w:rsidR="00347926">
        <w:rPr>
          <w:rFonts w:ascii="Arial" w:hAnsi="Arial" w:cs="Arial"/>
          <w:sz w:val="24"/>
          <w:szCs w:val="24"/>
        </w:rPr>
        <w:t>is</w:t>
      </w:r>
      <w:r w:rsidR="00FD772E">
        <w:rPr>
          <w:rFonts w:ascii="Arial" w:hAnsi="Arial" w:cs="Arial"/>
          <w:sz w:val="24"/>
          <w:szCs w:val="24"/>
        </w:rPr>
        <w:t xml:space="preserve"> behavioural </w:t>
      </w:r>
      <w:r w:rsidR="00FD772E" w:rsidRPr="00333449">
        <w:rPr>
          <w:rFonts w:ascii="Arial" w:hAnsi="Arial" w:cs="Arial"/>
          <w:sz w:val="24"/>
          <w:szCs w:val="24"/>
        </w:rPr>
        <w:t>(Fiske, 1998, 2004; Nelson, 2002</w:t>
      </w:r>
      <w:r w:rsidR="00FD772E">
        <w:rPr>
          <w:rFonts w:ascii="Arial" w:hAnsi="Arial" w:cs="Arial"/>
          <w:sz w:val="24"/>
          <w:szCs w:val="24"/>
        </w:rPr>
        <w:t>; Posthuma and Campion, 2009</w:t>
      </w:r>
      <w:r w:rsidR="00FD772E" w:rsidRPr="00333449">
        <w:rPr>
          <w:rFonts w:ascii="Arial" w:hAnsi="Arial" w:cs="Arial"/>
          <w:sz w:val="24"/>
          <w:szCs w:val="24"/>
        </w:rPr>
        <w:t>)</w:t>
      </w:r>
      <w:r w:rsidR="00FA7C7B">
        <w:rPr>
          <w:rFonts w:ascii="Arial" w:hAnsi="Arial" w:cs="Arial"/>
          <w:sz w:val="24"/>
          <w:szCs w:val="24"/>
        </w:rPr>
        <w:t>, although</w:t>
      </w:r>
      <w:r w:rsidR="00FD772E">
        <w:rPr>
          <w:rFonts w:ascii="Arial" w:hAnsi="Arial" w:cs="Arial"/>
          <w:sz w:val="24"/>
          <w:szCs w:val="24"/>
        </w:rPr>
        <w:t xml:space="preserve"> </w:t>
      </w:r>
      <w:r w:rsidR="00FA7C7B">
        <w:rPr>
          <w:rFonts w:ascii="Arial" w:hAnsi="Arial" w:cs="Arial"/>
          <w:sz w:val="24"/>
          <w:szCs w:val="24"/>
        </w:rPr>
        <w:t>l</w:t>
      </w:r>
      <w:r w:rsidR="000A68AE">
        <w:rPr>
          <w:rFonts w:ascii="Arial" w:hAnsi="Arial" w:cs="Arial"/>
          <w:sz w:val="24"/>
          <w:szCs w:val="24"/>
        </w:rPr>
        <w:t xml:space="preserve">ater scholars argued that stereotypes can </w:t>
      </w:r>
      <w:r w:rsidR="00171406">
        <w:rPr>
          <w:rFonts w:ascii="Arial" w:hAnsi="Arial" w:cs="Arial"/>
          <w:sz w:val="24"/>
          <w:szCs w:val="24"/>
        </w:rPr>
        <w:t>cause</w:t>
      </w:r>
      <w:r w:rsidR="000A68AE">
        <w:rPr>
          <w:rFonts w:ascii="Arial" w:hAnsi="Arial" w:cs="Arial"/>
          <w:sz w:val="24"/>
          <w:szCs w:val="24"/>
        </w:rPr>
        <w:t xml:space="preserve"> discrimination, as they can</w:t>
      </w:r>
      <w:r w:rsidR="003F0170">
        <w:rPr>
          <w:rFonts w:ascii="Arial" w:hAnsi="Arial" w:cs="Arial"/>
          <w:sz w:val="24"/>
          <w:szCs w:val="24"/>
        </w:rPr>
        <w:t xml:space="preserve"> affect</w:t>
      </w:r>
      <w:r w:rsidR="000A68AE">
        <w:rPr>
          <w:rFonts w:ascii="Arial" w:hAnsi="Arial" w:cs="Arial"/>
          <w:sz w:val="24"/>
          <w:szCs w:val="24"/>
        </w:rPr>
        <w:t xml:space="preserve"> impartiality</w:t>
      </w:r>
      <w:r w:rsidR="00171406">
        <w:rPr>
          <w:rFonts w:ascii="Arial" w:hAnsi="Arial" w:cs="Arial"/>
          <w:sz w:val="24"/>
          <w:szCs w:val="24"/>
        </w:rPr>
        <w:t xml:space="preserve"> and </w:t>
      </w:r>
      <w:r w:rsidR="00FA7C7B">
        <w:rPr>
          <w:rFonts w:ascii="Arial" w:hAnsi="Arial" w:cs="Arial"/>
          <w:sz w:val="24"/>
          <w:szCs w:val="24"/>
        </w:rPr>
        <w:t>cause</w:t>
      </w:r>
      <w:r w:rsidR="00171406">
        <w:rPr>
          <w:rFonts w:ascii="Arial" w:hAnsi="Arial" w:cs="Arial"/>
          <w:sz w:val="24"/>
          <w:szCs w:val="24"/>
        </w:rPr>
        <w:t xml:space="preserve"> unfavourable treatment</w:t>
      </w:r>
      <w:r w:rsidR="000A68AE">
        <w:rPr>
          <w:rFonts w:ascii="Arial" w:hAnsi="Arial" w:cs="Arial"/>
          <w:sz w:val="24"/>
          <w:szCs w:val="24"/>
        </w:rPr>
        <w:t xml:space="preserve"> </w:t>
      </w:r>
      <w:r w:rsidR="000A68AE" w:rsidRPr="00D27405">
        <w:rPr>
          <w:rFonts w:ascii="Arial" w:hAnsi="Arial" w:cs="Arial"/>
          <w:sz w:val="24"/>
          <w:szCs w:val="24"/>
        </w:rPr>
        <w:t>(</w:t>
      </w:r>
      <w:r w:rsidR="000A68AE">
        <w:rPr>
          <w:rFonts w:ascii="Arial" w:hAnsi="Arial" w:cs="Arial"/>
          <w:sz w:val="24"/>
          <w:szCs w:val="24"/>
        </w:rPr>
        <w:t xml:space="preserve">Carlana, 2019; </w:t>
      </w:r>
      <w:r w:rsidR="000A68AE" w:rsidRPr="00D27405">
        <w:rPr>
          <w:rFonts w:ascii="Arial" w:hAnsi="Arial" w:cs="Arial"/>
          <w:sz w:val="24"/>
          <w:szCs w:val="24"/>
        </w:rPr>
        <w:t>Glover</w:t>
      </w:r>
      <w:r w:rsidR="000A68AE">
        <w:rPr>
          <w:rFonts w:ascii="Arial" w:hAnsi="Arial" w:cs="Arial"/>
          <w:sz w:val="24"/>
          <w:szCs w:val="24"/>
        </w:rPr>
        <w:t xml:space="preserve"> </w:t>
      </w:r>
      <w:r w:rsidR="000A68AE">
        <w:rPr>
          <w:rFonts w:ascii="Arial" w:hAnsi="Arial" w:cs="Arial"/>
          <w:i/>
          <w:iCs/>
          <w:sz w:val="24"/>
          <w:szCs w:val="24"/>
        </w:rPr>
        <w:t>et al.</w:t>
      </w:r>
      <w:r w:rsidR="000A68AE" w:rsidRPr="00D27405">
        <w:rPr>
          <w:rFonts w:ascii="Arial" w:hAnsi="Arial" w:cs="Arial"/>
          <w:sz w:val="24"/>
          <w:szCs w:val="24"/>
        </w:rPr>
        <w:t>, 2017)</w:t>
      </w:r>
      <w:r w:rsidR="003F0170">
        <w:rPr>
          <w:rFonts w:ascii="Arial" w:hAnsi="Arial" w:cs="Arial"/>
          <w:sz w:val="24"/>
          <w:szCs w:val="24"/>
        </w:rPr>
        <w:t xml:space="preserve"> and this view is used throughout this submission</w:t>
      </w:r>
      <w:r w:rsidR="000A68AE" w:rsidRPr="00D27405">
        <w:rPr>
          <w:rFonts w:ascii="Arial" w:hAnsi="Arial" w:cs="Arial"/>
          <w:sz w:val="24"/>
          <w:szCs w:val="24"/>
        </w:rPr>
        <w:t>.</w:t>
      </w:r>
      <w:r w:rsidR="000A68AE">
        <w:rPr>
          <w:rFonts w:ascii="Arial" w:hAnsi="Arial" w:cs="Arial"/>
          <w:sz w:val="24"/>
          <w:szCs w:val="24"/>
        </w:rPr>
        <w:t xml:space="preserve"> </w:t>
      </w:r>
    </w:p>
    <w:p w14:paraId="06118B12" w14:textId="385743D4" w:rsidR="0008664D" w:rsidRDefault="0008664D" w:rsidP="00957BB6">
      <w:pPr>
        <w:spacing w:line="360" w:lineRule="auto"/>
        <w:jc w:val="both"/>
        <w:rPr>
          <w:rFonts w:ascii="Arial" w:hAnsi="Arial" w:cs="Arial"/>
          <w:sz w:val="24"/>
          <w:szCs w:val="24"/>
        </w:rPr>
      </w:pPr>
      <w:r>
        <w:rPr>
          <w:rFonts w:ascii="Arial" w:hAnsi="Arial" w:cs="Arial"/>
          <w:sz w:val="24"/>
          <w:szCs w:val="24"/>
        </w:rPr>
        <w:t>Drag performances have a history as a key part of LGBTQ</w:t>
      </w:r>
      <w:r w:rsidR="00E43D2C">
        <w:rPr>
          <w:rFonts w:ascii="Arial" w:hAnsi="Arial" w:cs="Arial"/>
          <w:sz w:val="24"/>
          <w:szCs w:val="24"/>
        </w:rPr>
        <w:t>+</w:t>
      </w:r>
      <w:r>
        <w:rPr>
          <w:rFonts w:ascii="Arial" w:hAnsi="Arial" w:cs="Arial"/>
          <w:sz w:val="24"/>
          <w:szCs w:val="24"/>
        </w:rPr>
        <w:t xml:space="preserve"> spaces, representing people whose gender and/or sexuality has left them</w:t>
      </w:r>
      <w:r w:rsidR="00FA7C7B">
        <w:rPr>
          <w:rFonts w:ascii="Arial" w:hAnsi="Arial" w:cs="Arial"/>
          <w:sz w:val="24"/>
          <w:szCs w:val="24"/>
        </w:rPr>
        <w:t xml:space="preserve"> </w:t>
      </w:r>
      <w:r>
        <w:rPr>
          <w:rFonts w:ascii="Arial" w:hAnsi="Arial" w:cs="Arial"/>
          <w:sz w:val="24"/>
          <w:szCs w:val="24"/>
        </w:rPr>
        <w:t xml:space="preserve">marginalised (Barnett and Johnson, 2013a, 2013b; Newton, 1972). In recent years, drag performances have received increased media attention (Schact and Underwood, 2004; Vidal-Ortiz, 2008; Zervigon, 2009), becoming widely recognised (Barnett and Johnson, 2013a), </w:t>
      </w:r>
      <w:r w:rsidR="00FA7C7B">
        <w:rPr>
          <w:rFonts w:ascii="Arial" w:hAnsi="Arial" w:cs="Arial"/>
          <w:sz w:val="24"/>
          <w:szCs w:val="24"/>
        </w:rPr>
        <w:t>through</w:t>
      </w:r>
      <w:r>
        <w:rPr>
          <w:rFonts w:ascii="Arial" w:hAnsi="Arial" w:cs="Arial"/>
          <w:sz w:val="24"/>
          <w:szCs w:val="24"/>
        </w:rPr>
        <w:t xml:space="preserve"> shows such as </w:t>
      </w:r>
      <w:r>
        <w:rPr>
          <w:rFonts w:ascii="Arial" w:hAnsi="Arial" w:cs="Arial"/>
          <w:i/>
          <w:iCs/>
          <w:sz w:val="24"/>
          <w:szCs w:val="24"/>
        </w:rPr>
        <w:t xml:space="preserve">RuPaul’s Drag Race </w:t>
      </w:r>
      <w:r>
        <w:rPr>
          <w:rFonts w:ascii="Arial" w:hAnsi="Arial" w:cs="Arial"/>
          <w:sz w:val="24"/>
          <w:szCs w:val="24"/>
        </w:rPr>
        <w:t>(Simmons, 2014</w:t>
      </w:r>
      <w:r w:rsidR="00FA7C7B">
        <w:rPr>
          <w:rFonts w:ascii="Arial" w:hAnsi="Arial" w:cs="Arial"/>
          <w:sz w:val="24"/>
          <w:szCs w:val="24"/>
        </w:rPr>
        <w:t>)</w:t>
      </w:r>
      <w:r>
        <w:rPr>
          <w:rFonts w:ascii="Arial" w:hAnsi="Arial" w:cs="Arial"/>
          <w:sz w:val="24"/>
          <w:szCs w:val="24"/>
        </w:rPr>
        <w:t>.</w:t>
      </w:r>
      <w:r w:rsidR="00642B5A">
        <w:rPr>
          <w:rFonts w:ascii="Arial" w:hAnsi="Arial" w:cs="Arial"/>
          <w:sz w:val="24"/>
          <w:szCs w:val="24"/>
        </w:rPr>
        <w:t xml:space="preserve"> </w:t>
      </w:r>
      <w:r w:rsidR="003F0170">
        <w:rPr>
          <w:rFonts w:ascii="Arial" w:hAnsi="Arial" w:cs="Arial"/>
          <w:sz w:val="24"/>
          <w:szCs w:val="24"/>
        </w:rPr>
        <w:t>Increased</w:t>
      </w:r>
      <w:r w:rsidR="00642B5A">
        <w:rPr>
          <w:rFonts w:ascii="Arial" w:hAnsi="Arial" w:cs="Arial"/>
          <w:sz w:val="24"/>
          <w:szCs w:val="24"/>
        </w:rPr>
        <w:t xml:space="preserve"> attention</w:t>
      </w:r>
      <w:r w:rsidR="003F0170">
        <w:rPr>
          <w:rFonts w:ascii="Arial" w:hAnsi="Arial" w:cs="Arial"/>
          <w:sz w:val="24"/>
          <w:szCs w:val="24"/>
        </w:rPr>
        <w:t xml:space="preserve"> on drag queens and the popularity of queer studies</w:t>
      </w:r>
      <w:r w:rsidR="00642B5A">
        <w:rPr>
          <w:rFonts w:ascii="Arial" w:hAnsi="Arial" w:cs="Arial"/>
          <w:sz w:val="24"/>
          <w:szCs w:val="24"/>
        </w:rPr>
        <w:t xml:space="preserve"> </w:t>
      </w:r>
      <w:r w:rsidR="003F0170">
        <w:rPr>
          <w:rFonts w:ascii="Arial" w:hAnsi="Arial" w:cs="Arial"/>
          <w:sz w:val="24"/>
          <w:szCs w:val="24"/>
        </w:rPr>
        <w:t xml:space="preserve">has led to more </w:t>
      </w:r>
      <w:r w:rsidR="00642B5A">
        <w:rPr>
          <w:rFonts w:ascii="Arial" w:hAnsi="Arial" w:cs="Arial"/>
          <w:sz w:val="24"/>
          <w:szCs w:val="24"/>
        </w:rPr>
        <w:t>literature on drag queens</w:t>
      </w:r>
      <w:r w:rsidR="003F0170">
        <w:rPr>
          <w:rFonts w:ascii="Arial" w:hAnsi="Arial" w:cs="Arial"/>
          <w:sz w:val="24"/>
          <w:szCs w:val="24"/>
        </w:rPr>
        <w:t xml:space="preserve"> </w:t>
      </w:r>
      <w:r w:rsidR="00642B5A">
        <w:rPr>
          <w:rFonts w:ascii="Arial" w:hAnsi="Arial" w:cs="Arial"/>
          <w:sz w:val="24"/>
          <w:szCs w:val="24"/>
        </w:rPr>
        <w:t>(Greaf, 2016).</w:t>
      </w:r>
      <w:r>
        <w:rPr>
          <w:rFonts w:ascii="Arial" w:hAnsi="Arial" w:cs="Arial"/>
          <w:sz w:val="24"/>
          <w:szCs w:val="24"/>
        </w:rPr>
        <w:t xml:space="preserve"> The majority of mainstream drag performances involve drag queens</w:t>
      </w:r>
      <w:r w:rsidR="007A46EE">
        <w:rPr>
          <w:rFonts w:ascii="Arial" w:hAnsi="Arial" w:cs="Arial"/>
          <w:sz w:val="24"/>
          <w:szCs w:val="24"/>
        </w:rPr>
        <w:t>,</w:t>
      </w:r>
      <w:r>
        <w:rPr>
          <w:rFonts w:ascii="Arial" w:hAnsi="Arial" w:cs="Arial"/>
          <w:sz w:val="24"/>
          <w:szCs w:val="24"/>
        </w:rPr>
        <w:t xml:space="preserve"> rather than drag kings</w:t>
      </w:r>
      <w:r w:rsidR="00FA7C7B">
        <w:rPr>
          <w:rFonts w:ascii="Arial" w:hAnsi="Arial" w:cs="Arial"/>
          <w:sz w:val="24"/>
          <w:szCs w:val="24"/>
        </w:rPr>
        <w:t xml:space="preserve"> </w:t>
      </w:r>
      <w:r w:rsidR="00FA7C7B" w:rsidRPr="00C77EA6">
        <w:rPr>
          <w:rFonts w:ascii="Arial" w:hAnsi="Arial" w:cs="Arial"/>
          <w:sz w:val="24"/>
          <w:szCs w:val="24"/>
        </w:rPr>
        <w:t xml:space="preserve">(Ellis </w:t>
      </w:r>
      <w:r w:rsidR="00FA7C7B" w:rsidRPr="00C77EA6">
        <w:rPr>
          <w:rFonts w:ascii="Arial" w:hAnsi="Arial" w:cs="Arial"/>
          <w:i/>
          <w:iCs/>
          <w:sz w:val="24"/>
          <w:szCs w:val="24"/>
        </w:rPr>
        <w:t xml:space="preserve">et al., </w:t>
      </w:r>
      <w:r w:rsidR="00FA7C7B" w:rsidRPr="00C77EA6">
        <w:rPr>
          <w:rFonts w:ascii="Arial" w:hAnsi="Arial" w:cs="Arial"/>
          <w:sz w:val="24"/>
          <w:szCs w:val="24"/>
        </w:rPr>
        <w:t>2022; Rupp et al., 2010)</w:t>
      </w:r>
      <w:r>
        <w:rPr>
          <w:rFonts w:ascii="Arial" w:hAnsi="Arial" w:cs="Arial"/>
          <w:sz w:val="24"/>
          <w:szCs w:val="24"/>
        </w:rPr>
        <w:t>, and drag queens will</w:t>
      </w:r>
      <w:r w:rsidR="00FA7C7B">
        <w:rPr>
          <w:rFonts w:ascii="Arial" w:hAnsi="Arial" w:cs="Arial"/>
          <w:sz w:val="24"/>
          <w:szCs w:val="24"/>
        </w:rPr>
        <w:t xml:space="preserve"> therefore be</w:t>
      </w:r>
      <w:r>
        <w:rPr>
          <w:rFonts w:ascii="Arial" w:hAnsi="Arial" w:cs="Arial"/>
          <w:sz w:val="24"/>
          <w:szCs w:val="24"/>
        </w:rPr>
        <w:t xml:space="preserve"> the focus of this submission</w:t>
      </w:r>
      <w:r w:rsidR="00FA7C7B">
        <w:rPr>
          <w:rFonts w:ascii="Arial" w:hAnsi="Arial" w:cs="Arial"/>
          <w:sz w:val="24"/>
          <w:szCs w:val="24"/>
        </w:rPr>
        <w:t>.</w:t>
      </w:r>
    </w:p>
    <w:p w14:paraId="26B2A43A" w14:textId="097C529C" w:rsidR="0008664D" w:rsidRDefault="003F0170" w:rsidP="00957BB6">
      <w:pPr>
        <w:spacing w:line="360" w:lineRule="auto"/>
        <w:jc w:val="both"/>
        <w:rPr>
          <w:rFonts w:ascii="Arial" w:hAnsi="Arial" w:cs="Arial"/>
          <w:sz w:val="24"/>
          <w:szCs w:val="24"/>
        </w:rPr>
      </w:pPr>
      <w:r>
        <w:rPr>
          <w:rFonts w:ascii="Arial" w:hAnsi="Arial" w:cs="Arial"/>
          <w:sz w:val="24"/>
          <w:szCs w:val="24"/>
        </w:rPr>
        <w:lastRenderedPageBreak/>
        <w:t>The</w:t>
      </w:r>
      <w:r w:rsidR="0008664D">
        <w:rPr>
          <w:rFonts w:ascii="Arial" w:hAnsi="Arial" w:cs="Arial"/>
          <w:sz w:val="24"/>
          <w:szCs w:val="24"/>
        </w:rPr>
        <w:t xml:space="preserve"> term drag queen needs to </w:t>
      </w:r>
      <w:r w:rsidR="00480FFB">
        <w:rPr>
          <w:rFonts w:ascii="Arial" w:hAnsi="Arial" w:cs="Arial"/>
          <w:sz w:val="24"/>
          <w:szCs w:val="24"/>
        </w:rPr>
        <w:t>be defined, as there is little consistency (Schmid and Payam, 2022)</w:t>
      </w:r>
      <w:r w:rsidR="00480FFB" w:rsidRPr="009F65AF">
        <w:rPr>
          <w:rFonts w:ascii="Arial" w:hAnsi="Arial" w:cs="Arial"/>
          <w:sz w:val="24"/>
          <w:szCs w:val="24"/>
        </w:rPr>
        <w:t>.</w:t>
      </w:r>
      <w:r w:rsidR="00480FFB">
        <w:rPr>
          <w:rFonts w:ascii="Arial" w:hAnsi="Arial" w:cs="Arial"/>
          <w:sz w:val="24"/>
          <w:szCs w:val="24"/>
        </w:rPr>
        <w:t xml:space="preserve"> Previous terms that have been used include cross-dresser and female impersonator (Barnett and Johnson, 2013a), but drag queen is used throughout this submission</w:t>
      </w:r>
      <w:r w:rsidR="007A46EE">
        <w:rPr>
          <w:rFonts w:ascii="Arial" w:hAnsi="Arial" w:cs="Arial"/>
          <w:sz w:val="24"/>
          <w:szCs w:val="24"/>
        </w:rPr>
        <w:t>,</w:t>
      </w:r>
      <w:r w:rsidR="00480FFB">
        <w:rPr>
          <w:rFonts w:ascii="Arial" w:hAnsi="Arial" w:cs="Arial"/>
          <w:sz w:val="24"/>
          <w:szCs w:val="24"/>
        </w:rPr>
        <w:t xml:space="preserve"> as it is the most recognised marker (Carretta </w:t>
      </w:r>
      <w:r w:rsidR="00480FFB">
        <w:rPr>
          <w:rFonts w:ascii="Arial" w:hAnsi="Arial" w:cs="Arial"/>
          <w:i/>
          <w:iCs/>
          <w:sz w:val="24"/>
          <w:szCs w:val="24"/>
        </w:rPr>
        <w:t xml:space="preserve">et al., </w:t>
      </w:r>
      <w:r w:rsidR="00480FFB">
        <w:rPr>
          <w:rFonts w:ascii="Arial" w:hAnsi="Arial" w:cs="Arial"/>
          <w:sz w:val="24"/>
          <w:szCs w:val="24"/>
        </w:rPr>
        <w:t>2019; Holcomb, 2007)</w:t>
      </w:r>
      <w:r w:rsidR="00604521">
        <w:rPr>
          <w:rFonts w:ascii="Arial" w:hAnsi="Arial" w:cs="Arial"/>
          <w:sz w:val="24"/>
          <w:szCs w:val="24"/>
        </w:rPr>
        <w:t xml:space="preserve">. Drag can refer to appearing to be a different gender (Barnett and Johnson, 2013a), or changing persona (Greaf, 2016), although Taylor and Rupp (2004) define </w:t>
      </w:r>
      <w:r w:rsidR="007130D6">
        <w:rPr>
          <w:rFonts w:ascii="Arial" w:hAnsi="Arial" w:cs="Arial"/>
          <w:sz w:val="24"/>
          <w:szCs w:val="24"/>
        </w:rPr>
        <w:t>drag queens</w:t>
      </w:r>
      <w:r w:rsidR="00604521">
        <w:rPr>
          <w:rFonts w:ascii="Arial" w:hAnsi="Arial" w:cs="Arial"/>
          <w:sz w:val="24"/>
          <w:szCs w:val="24"/>
        </w:rPr>
        <w:t xml:space="preserve"> as </w:t>
      </w:r>
      <w:r w:rsidR="007130D6">
        <w:rPr>
          <w:rFonts w:ascii="Arial" w:hAnsi="Arial" w:cs="Arial"/>
          <w:sz w:val="24"/>
          <w:szCs w:val="24"/>
        </w:rPr>
        <w:t xml:space="preserve">usually gay </w:t>
      </w:r>
      <w:r w:rsidR="00604521">
        <w:rPr>
          <w:rFonts w:ascii="Arial" w:hAnsi="Arial" w:cs="Arial"/>
          <w:sz w:val="24"/>
          <w:szCs w:val="24"/>
        </w:rPr>
        <w:t xml:space="preserve">men who perform as women, but do not wish to </w:t>
      </w:r>
      <w:r w:rsidR="00951FF8">
        <w:rPr>
          <w:rFonts w:ascii="Arial" w:hAnsi="Arial" w:cs="Arial"/>
          <w:sz w:val="24"/>
          <w:szCs w:val="24"/>
        </w:rPr>
        <w:t>transition</w:t>
      </w:r>
      <w:r w:rsidR="007130D6">
        <w:rPr>
          <w:rFonts w:ascii="Arial" w:hAnsi="Arial" w:cs="Arial"/>
          <w:sz w:val="24"/>
          <w:szCs w:val="24"/>
        </w:rPr>
        <w:t xml:space="preserve"> </w:t>
      </w:r>
      <w:r w:rsidR="00604521">
        <w:rPr>
          <w:rFonts w:ascii="Arial" w:hAnsi="Arial" w:cs="Arial"/>
          <w:sz w:val="24"/>
          <w:szCs w:val="24"/>
        </w:rPr>
        <w:t xml:space="preserve">(p.115; Rupp </w:t>
      </w:r>
      <w:r w:rsidR="00604521">
        <w:rPr>
          <w:rFonts w:ascii="Arial" w:hAnsi="Arial" w:cs="Arial"/>
          <w:i/>
          <w:iCs/>
          <w:sz w:val="24"/>
          <w:szCs w:val="24"/>
        </w:rPr>
        <w:t xml:space="preserve">et al,. </w:t>
      </w:r>
      <w:r w:rsidR="00604521">
        <w:rPr>
          <w:rFonts w:ascii="Arial" w:hAnsi="Arial" w:cs="Arial"/>
          <w:sz w:val="24"/>
          <w:szCs w:val="24"/>
        </w:rPr>
        <w:t>2010</w:t>
      </w:r>
      <w:r w:rsidR="007130D6">
        <w:rPr>
          <w:rFonts w:ascii="Arial" w:hAnsi="Arial" w:cs="Arial"/>
          <w:sz w:val="24"/>
          <w:szCs w:val="24"/>
        </w:rPr>
        <w:t>; Schmid and Payam, 2022</w:t>
      </w:r>
      <w:r w:rsidR="00604521">
        <w:rPr>
          <w:rFonts w:ascii="Arial" w:hAnsi="Arial" w:cs="Arial"/>
          <w:sz w:val="24"/>
          <w:szCs w:val="24"/>
        </w:rPr>
        <w:t xml:space="preserve">). This definition is </w:t>
      </w:r>
      <w:r w:rsidR="007130D6">
        <w:rPr>
          <w:rFonts w:ascii="Arial" w:hAnsi="Arial" w:cs="Arial"/>
          <w:sz w:val="24"/>
          <w:szCs w:val="24"/>
        </w:rPr>
        <w:t>exclusive</w:t>
      </w:r>
      <w:r w:rsidR="00604521">
        <w:rPr>
          <w:rFonts w:ascii="Arial" w:hAnsi="Arial" w:cs="Arial"/>
          <w:sz w:val="24"/>
          <w:szCs w:val="24"/>
        </w:rPr>
        <w:t>, however, as it uses binary gender categories, whereas</w:t>
      </w:r>
      <w:r w:rsidR="007130D6">
        <w:rPr>
          <w:rFonts w:ascii="Arial" w:hAnsi="Arial" w:cs="Arial"/>
          <w:sz w:val="24"/>
          <w:szCs w:val="24"/>
        </w:rPr>
        <w:t xml:space="preserve"> drag queens </w:t>
      </w:r>
      <w:r>
        <w:rPr>
          <w:rFonts w:ascii="Arial" w:hAnsi="Arial" w:cs="Arial"/>
          <w:sz w:val="24"/>
          <w:szCs w:val="24"/>
        </w:rPr>
        <w:t>represent</w:t>
      </w:r>
      <w:r w:rsidR="00604521">
        <w:rPr>
          <w:rFonts w:ascii="Arial" w:hAnsi="Arial" w:cs="Arial"/>
          <w:sz w:val="24"/>
          <w:szCs w:val="24"/>
        </w:rPr>
        <w:t xml:space="preserve"> a variety of gender identities </w:t>
      </w:r>
      <w:r w:rsidR="00604521" w:rsidRPr="00584C65">
        <w:rPr>
          <w:rFonts w:ascii="Arial" w:hAnsi="Arial" w:cs="Arial"/>
          <w:sz w:val="24"/>
          <w:szCs w:val="24"/>
        </w:rPr>
        <w:t xml:space="preserve">(Berkowitz </w:t>
      </w:r>
      <w:r w:rsidR="00604521" w:rsidRPr="00604521">
        <w:rPr>
          <w:rFonts w:ascii="Arial" w:hAnsi="Arial" w:cs="Arial"/>
          <w:i/>
          <w:iCs/>
          <w:sz w:val="24"/>
          <w:szCs w:val="24"/>
        </w:rPr>
        <w:t>et al</w:t>
      </w:r>
      <w:r w:rsidR="00604521" w:rsidRPr="00584C65">
        <w:rPr>
          <w:rFonts w:ascii="Arial" w:hAnsi="Arial" w:cs="Arial"/>
          <w:sz w:val="24"/>
          <w:szCs w:val="24"/>
        </w:rPr>
        <w:t>.,</w:t>
      </w:r>
      <w:r w:rsidR="00434CC9">
        <w:rPr>
          <w:rFonts w:ascii="Arial" w:hAnsi="Arial" w:cs="Arial"/>
          <w:sz w:val="24"/>
          <w:szCs w:val="24"/>
        </w:rPr>
        <w:t xml:space="preserve"> </w:t>
      </w:r>
      <w:r w:rsidR="00604521">
        <w:rPr>
          <w:rFonts w:ascii="Arial" w:hAnsi="Arial" w:cs="Arial"/>
          <w:sz w:val="24"/>
          <w:szCs w:val="24"/>
        </w:rPr>
        <w:t>2007</w:t>
      </w:r>
      <w:r w:rsidR="007130D6">
        <w:rPr>
          <w:rFonts w:ascii="Arial" w:hAnsi="Arial" w:cs="Arial"/>
          <w:sz w:val="24"/>
          <w:szCs w:val="24"/>
        </w:rPr>
        <w:t>; Schmid and Payam, 2022</w:t>
      </w:r>
      <w:r w:rsidR="00604521">
        <w:rPr>
          <w:rFonts w:ascii="Arial" w:hAnsi="Arial" w:cs="Arial"/>
          <w:sz w:val="24"/>
          <w:szCs w:val="24"/>
        </w:rPr>
        <w:t>).</w:t>
      </w:r>
      <w:r w:rsidR="00434CC9">
        <w:rPr>
          <w:rFonts w:ascii="Arial" w:hAnsi="Arial" w:cs="Arial"/>
          <w:sz w:val="24"/>
          <w:szCs w:val="24"/>
        </w:rPr>
        <w:t xml:space="preserve"> Consequently, Knutson </w:t>
      </w:r>
      <w:r w:rsidR="00434CC9">
        <w:rPr>
          <w:rFonts w:ascii="Arial" w:hAnsi="Arial" w:cs="Arial"/>
          <w:i/>
          <w:iCs/>
          <w:sz w:val="24"/>
          <w:szCs w:val="24"/>
        </w:rPr>
        <w:t xml:space="preserve">et al’s. </w:t>
      </w:r>
      <w:r w:rsidR="00434CC9">
        <w:rPr>
          <w:rFonts w:ascii="Arial" w:hAnsi="Arial" w:cs="Arial"/>
          <w:sz w:val="24"/>
          <w:szCs w:val="24"/>
        </w:rPr>
        <w:t>(2018) definition</w:t>
      </w:r>
      <w:r>
        <w:rPr>
          <w:rFonts w:ascii="Arial" w:hAnsi="Arial" w:cs="Arial"/>
          <w:sz w:val="24"/>
          <w:szCs w:val="24"/>
        </w:rPr>
        <w:t>,</w:t>
      </w:r>
      <w:r w:rsidR="00434CC9">
        <w:rPr>
          <w:rFonts w:ascii="Arial" w:hAnsi="Arial" w:cs="Arial"/>
          <w:sz w:val="24"/>
          <w:szCs w:val="24"/>
        </w:rPr>
        <w:t xml:space="preserve"> of self-identification as a drag queen being the key indicator, is used throughout. Self-identification links to Social Identity Theory</w:t>
      </w:r>
      <w:r w:rsidR="00BC1D12">
        <w:rPr>
          <w:rFonts w:ascii="Arial" w:hAnsi="Arial" w:cs="Arial"/>
          <w:sz w:val="24"/>
          <w:szCs w:val="24"/>
        </w:rPr>
        <w:t xml:space="preserve"> (SIT)</w:t>
      </w:r>
      <w:r w:rsidR="007130D6">
        <w:rPr>
          <w:rFonts w:ascii="Arial" w:hAnsi="Arial" w:cs="Arial"/>
          <w:sz w:val="24"/>
          <w:szCs w:val="24"/>
        </w:rPr>
        <w:t xml:space="preserve"> (Schmid and Payam, 2022)</w:t>
      </w:r>
      <w:r w:rsidR="00434CC9">
        <w:rPr>
          <w:rFonts w:ascii="Arial" w:hAnsi="Arial" w:cs="Arial"/>
          <w:sz w:val="24"/>
          <w:szCs w:val="24"/>
        </w:rPr>
        <w:t xml:space="preserve">, whereby individuals identify with social groups that are reflective of their characteristics </w:t>
      </w:r>
      <w:r w:rsidR="00434CC9" w:rsidRPr="00071D83">
        <w:rPr>
          <w:rFonts w:ascii="Arial" w:hAnsi="Arial" w:cs="Arial"/>
          <w:sz w:val="24"/>
          <w:szCs w:val="24"/>
        </w:rPr>
        <w:t>(Ashforth and Mael, 1989).</w:t>
      </w:r>
      <w:r w:rsidR="00BC1D12">
        <w:rPr>
          <w:rFonts w:ascii="Arial" w:hAnsi="Arial" w:cs="Arial"/>
          <w:sz w:val="24"/>
          <w:szCs w:val="24"/>
        </w:rPr>
        <w:t xml:space="preserve"> Though SIT has criticisms for being vague </w:t>
      </w:r>
      <w:r w:rsidR="00BC1D12" w:rsidRPr="00071D83">
        <w:rPr>
          <w:rFonts w:ascii="Arial" w:hAnsi="Arial" w:cs="Arial"/>
          <w:sz w:val="24"/>
          <w:szCs w:val="24"/>
        </w:rPr>
        <w:t>(Ashforth and Mael, 1989)</w:t>
      </w:r>
      <w:r w:rsidR="00BC1D12">
        <w:rPr>
          <w:rFonts w:ascii="Arial" w:hAnsi="Arial" w:cs="Arial"/>
          <w:sz w:val="24"/>
          <w:szCs w:val="24"/>
        </w:rPr>
        <w:t>, its lack of reliance on pre-existing labels</w:t>
      </w:r>
      <w:r w:rsidR="00FA36ED">
        <w:rPr>
          <w:rFonts w:ascii="Arial" w:hAnsi="Arial" w:cs="Arial"/>
          <w:sz w:val="24"/>
          <w:szCs w:val="24"/>
        </w:rPr>
        <w:t>, and therefore increased inclusivity,</w:t>
      </w:r>
      <w:r w:rsidR="00BC1D12">
        <w:rPr>
          <w:rFonts w:ascii="Arial" w:hAnsi="Arial" w:cs="Arial"/>
          <w:sz w:val="24"/>
          <w:szCs w:val="24"/>
        </w:rPr>
        <w:t xml:space="preserve"> makes it suitable for this submission (Schmid and Payam, 2022).</w:t>
      </w:r>
    </w:p>
    <w:p w14:paraId="77CE7BBD" w14:textId="4FED01A3" w:rsidR="00BF35D1" w:rsidRPr="00BF35D1" w:rsidRDefault="00BF35D1" w:rsidP="00957BB6">
      <w:pPr>
        <w:spacing w:line="360" w:lineRule="auto"/>
        <w:jc w:val="both"/>
        <w:rPr>
          <w:rFonts w:ascii="Arial" w:hAnsi="Arial" w:cs="Arial"/>
          <w:sz w:val="24"/>
          <w:szCs w:val="24"/>
        </w:rPr>
      </w:pPr>
      <w:r>
        <w:rPr>
          <w:rFonts w:ascii="Arial" w:hAnsi="Arial" w:cs="Arial"/>
          <w:sz w:val="24"/>
          <w:szCs w:val="24"/>
        </w:rPr>
        <w:t xml:space="preserve">Within this submission, three images will be used which can be seen to perpetuate stereotypes. The images that have been selected are of Trixie Mattel (Carrasquillo, 2021, image 1) and Aquaria (Photo provided by Aquaria, image 2), drag queens who have featured on </w:t>
      </w:r>
      <w:r>
        <w:rPr>
          <w:rFonts w:ascii="Arial" w:hAnsi="Arial" w:cs="Arial"/>
          <w:i/>
          <w:iCs/>
          <w:sz w:val="24"/>
          <w:szCs w:val="24"/>
        </w:rPr>
        <w:t xml:space="preserve">RuPaul’s Drag Race, </w:t>
      </w:r>
      <w:r>
        <w:rPr>
          <w:rFonts w:ascii="Arial" w:hAnsi="Arial" w:cs="Arial"/>
          <w:sz w:val="24"/>
          <w:szCs w:val="24"/>
        </w:rPr>
        <w:t xml:space="preserve">and Fatt Butcher (Mitsis, 2021, image 3), a </w:t>
      </w:r>
      <w:r w:rsidR="00B52273">
        <w:rPr>
          <w:rFonts w:ascii="Arial" w:hAnsi="Arial" w:cs="Arial"/>
          <w:sz w:val="24"/>
          <w:szCs w:val="24"/>
        </w:rPr>
        <w:t>British</w:t>
      </w:r>
      <w:r>
        <w:rPr>
          <w:rFonts w:ascii="Arial" w:hAnsi="Arial" w:cs="Arial"/>
          <w:sz w:val="24"/>
          <w:szCs w:val="24"/>
        </w:rPr>
        <w:t xml:space="preserve"> drag queen. The stereotypical attitudes</w:t>
      </w:r>
      <w:r w:rsidR="007F2808">
        <w:rPr>
          <w:rFonts w:ascii="Arial" w:hAnsi="Arial" w:cs="Arial"/>
          <w:sz w:val="24"/>
          <w:szCs w:val="24"/>
        </w:rPr>
        <w:t xml:space="preserve"> towards drag queens</w:t>
      </w:r>
      <w:r>
        <w:rPr>
          <w:rFonts w:ascii="Arial" w:hAnsi="Arial" w:cs="Arial"/>
          <w:sz w:val="24"/>
          <w:szCs w:val="24"/>
        </w:rPr>
        <w:t xml:space="preserve"> that will be considered </w:t>
      </w:r>
      <w:r w:rsidR="00B52273">
        <w:rPr>
          <w:rFonts w:ascii="Arial" w:hAnsi="Arial" w:cs="Arial"/>
          <w:sz w:val="24"/>
          <w:szCs w:val="24"/>
        </w:rPr>
        <w:t>within</w:t>
      </w:r>
      <w:r>
        <w:rPr>
          <w:rFonts w:ascii="Arial" w:hAnsi="Arial" w:cs="Arial"/>
          <w:sz w:val="24"/>
          <w:szCs w:val="24"/>
        </w:rPr>
        <w:t xml:space="preserve"> these images are: caricatures of women</w:t>
      </w:r>
      <w:r w:rsidR="00347926">
        <w:rPr>
          <w:rFonts w:ascii="Arial" w:hAnsi="Arial" w:cs="Arial"/>
          <w:sz w:val="24"/>
          <w:szCs w:val="24"/>
        </w:rPr>
        <w:t>,</w:t>
      </w:r>
      <w:r w:rsidR="00DD0D11">
        <w:rPr>
          <w:rFonts w:ascii="Arial" w:hAnsi="Arial" w:cs="Arial"/>
          <w:sz w:val="24"/>
          <w:szCs w:val="24"/>
        </w:rPr>
        <w:t xml:space="preserve"> with </w:t>
      </w:r>
      <w:r w:rsidR="00347926">
        <w:rPr>
          <w:rFonts w:ascii="Arial" w:hAnsi="Arial" w:cs="Arial"/>
          <w:sz w:val="24"/>
          <w:szCs w:val="24"/>
        </w:rPr>
        <w:t>over-emphasised</w:t>
      </w:r>
      <w:r w:rsidR="00DD0D11">
        <w:rPr>
          <w:rFonts w:ascii="Arial" w:hAnsi="Arial" w:cs="Arial"/>
          <w:sz w:val="24"/>
          <w:szCs w:val="24"/>
        </w:rPr>
        <w:t xml:space="preserve"> </w:t>
      </w:r>
      <w:r w:rsidR="002D35BC">
        <w:rPr>
          <w:rFonts w:ascii="Arial" w:hAnsi="Arial" w:cs="Arial"/>
          <w:sz w:val="24"/>
          <w:szCs w:val="24"/>
        </w:rPr>
        <w:t>feminine features</w:t>
      </w:r>
      <w:r>
        <w:rPr>
          <w:rFonts w:ascii="Arial" w:hAnsi="Arial" w:cs="Arial"/>
          <w:sz w:val="24"/>
          <w:szCs w:val="24"/>
        </w:rPr>
        <w:t xml:space="preserve"> (</w:t>
      </w:r>
      <w:r w:rsidR="00B52273">
        <w:rPr>
          <w:rFonts w:ascii="Arial" w:hAnsi="Arial" w:cs="Arial"/>
          <w:sz w:val="24"/>
          <w:szCs w:val="24"/>
        </w:rPr>
        <w:t xml:space="preserve">Image 1; </w:t>
      </w:r>
      <w:r>
        <w:rPr>
          <w:rFonts w:ascii="Arial" w:hAnsi="Arial" w:cs="Arial"/>
          <w:sz w:val="24"/>
          <w:szCs w:val="24"/>
        </w:rPr>
        <w:t xml:space="preserve">Butler, 1988; Carretta </w:t>
      </w:r>
      <w:r>
        <w:rPr>
          <w:rFonts w:ascii="Arial" w:hAnsi="Arial" w:cs="Arial"/>
          <w:i/>
          <w:iCs/>
          <w:sz w:val="24"/>
          <w:szCs w:val="24"/>
        </w:rPr>
        <w:t xml:space="preserve">et al., </w:t>
      </w:r>
      <w:r>
        <w:rPr>
          <w:rFonts w:ascii="Arial" w:hAnsi="Arial" w:cs="Arial"/>
          <w:sz w:val="24"/>
          <w:szCs w:val="24"/>
        </w:rPr>
        <w:t xml:space="preserve">2019; Hyde </w:t>
      </w:r>
      <w:r>
        <w:rPr>
          <w:rFonts w:ascii="Arial" w:hAnsi="Arial" w:cs="Arial"/>
          <w:i/>
          <w:iCs/>
          <w:sz w:val="24"/>
          <w:szCs w:val="24"/>
        </w:rPr>
        <w:t xml:space="preserve">et al., </w:t>
      </w:r>
      <w:r>
        <w:rPr>
          <w:rFonts w:ascii="Arial" w:hAnsi="Arial" w:cs="Arial"/>
          <w:sz w:val="24"/>
          <w:szCs w:val="24"/>
        </w:rPr>
        <w:t xml:space="preserve">2018); </w:t>
      </w:r>
      <w:r w:rsidR="007F2808">
        <w:rPr>
          <w:rFonts w:ascii="Arial" w:hAnsi="Arial" w:cs="Arial"/>
          <w:sz w:val="24"/>
          <w:szCs w:val="24"/>
        </w:rPr>
        <w:t>over-sexualise</w:t>
      </w:r>
      <w:r w:rsidR="00B52273">
        <w:rPr>
          <w:rFonts w:ascii="Arial" w:hAnsi="Arial" w:cs="Arial"/>
          <w:sz w:val="24"/>
          <w:szCs w:val="24"/>
        </w:rPr>
        <w:t xml:space="preserve">d </w:t>
      </w:r>
      <w:r w:rsidR="007F2808">
        <w:rPr>
          <w:rFonts w:ascii="Arial" w:hAnsi="Arial" w:cs="Arial"/>
          <w:sz w:val="24"/>
          <w:szCs w:val="24"/>
        </w:rPr>
        <w:t>(</w:t>
      </w:r>
      <w:r w:rsidR="00B52273">
        <w:rPr>
          <w:rFonts w:ascii="Arial" w:hAnsi="Arial" w:cs="Arial"/>
          <w:sz w:val="24"/>
          <w:szCs w:val="24"/>
        </w:rPr>
        <w:t xml:space="preserve">Image 2; </w:t>
      </w:r>
      <w:r w:rsidR="007F2808">
        <w:rPr>
          <w:rFonts w:ascii="Arial" w:hAnsi="Arial" w:cs="Arial"/>
          <w:sz w:val="24"/>
          <w:szCs w:val="24"/>
        </w:rPr>
        <w:t>Friedman and Jones, 2011; Fox, 2008; Murnen and Byrne, 1991) and a mechanism to shock audiences, through challenging gender binaries</w:t>
      </w:r>
      <w:r w:rsidR="00B52273">
        <w:rPr>
          <w:rFonts w:ascii="Arial" w:hAnsi="Arial" w:cs="Arial"/>
          <w:sz w:val="24"/>
          <w:szCs w:val="24"/>
        </w:rPr>
        <w:t xml:space="preserve"> </w:t>
      </w:r>
      <w:r w:rsidR="007F2808">
        <w:rPr>
          <w:rFonts w:ascii="Arial" w:hAnsi="Arial" w:cs="Arial"/>
          <w:sz w:val="24"/>
          <w:szCs w:val="24"/>
        </w:rPr>
        <w:t>(</w:t>
      </w:r>
      <w:r w:rsidR="00B52273">
        <w:rPr>
          <w:rFonts w:ascii="Arial" w:hAnsi="Arial" w:cs="Arial"/>
          <w:sz w:val="24"/>
          <w:szCs w:val="24"/>
        </w:rPr>
        <w:t xml:space="preserve">Image 3; </w:t>
      </w:r>
      <w:r w:rsidR="007F2808">
        <w:rPr>
          <w:rFonts w:ascii="Arial" w:hAnsi="Arial" w:cs="Arial"/>
          <w:sz w:val="24"/>
          <w:szCs w:val="24"/>
        </w:rPr>
        <w:t xml:space="preserve">Knutson </w:t>
      </w:r>
      <w:r w:rsidR="007F2808">
        <w:rPr>
          <w:rFonts w:ascii="Arial" w:hAnsi="Arial" w:cs="Arial"/>
          <w:i/>
          <w:iCs/>
          <w:sz w:val="24"/>
          <w:szCs w:val="24"/>
        </w:rPr>
        <w:t xml:space="preserve">et al., </w:t>
      </w:r>
      <w:r w:rsidR="007F2808">
        <w:rPr>
          <w:rFonts w:ascii="Arial" w:hAnsi="Arial" w:cs="Arial"/>
          <w:sz w:val="24"/>
          <w:szCs w:val="24"/>
        </w:rPr>
        <w:t>2019; Schmid and Payam, 2022).</w:t>
      </w:r>
      <w:r w:rsidR="006F4CA5">
        <w:rPr>
          <w:rFonts w:ascii="Arial" w:hAnsi="Arial" w:cs="Arial"/>
          <w:sz w:val="24"/>
          <w:szCs w:val="24"/>
        </w:rPr>
        <w:t xml:space="preserve"> Although these stereotyp</w:t>
      </w:r>
      <w:r w:rsidR="003F0170">
        <w:rPr>
          <w:rFonts w:ascii="Arial" w:hAnsi="Arial" w:cs="Arial"/>
          <w:sz w:val="24"/>
          <w:szCs w:val="24"/>
        </w:rPr>
        <w:t xml:space="preserve">es </w:t>
      </w:r>
      <w:r w:rsidR="006F4CA5">
        <w:rPr>
          <w:rFonts w:ascii="Arial" w:hAnsi="Arial" w:cs="Arial"/>
          <w:sz w:val="24"/>
          <w:szCs w:val="24"/>
        </w:rPr>
        <w:t xml:space="preserve">may appear contradictory, they represent </w:t>
      </w:r>
      <w:r w:rsidR="003F0170">
        <w:rPr>
          <w:rFonts w:ascii="Arial" w:hAnsi="Arial" w:cs="Arial"/>
          <w:sz w:val="24"/>
          <w:szCs w:val="24"/>
        </w:rPr>
        <w:t>attitudes</w:t>
      </w:r>
      <w:r w:rsidR="006F4CA5">
        <w:rPr>
          <w:rFonts w:ascii="Arial" w:hAnsi="Arial" w:cs="Arial"/>
          <w:sz w:val="24"/>
          <w:szCs w:val="24"/>
        </w:rPr>
        <w:t xml:space="preserve"> that drag queens face, which demonstrates the mixed reaction to drag queens </w:t>
      </w:r>
      <w:r w:rsidR="006F4CA5" w:rsidRPr="009A477E">
        <w:rPr>
          <w:rFonts w:ascii="Arial" w:hAnsi="Arial" w:cs="Arial"/>
          <w:sz w:val="24"/>
          <w:szCs w:val="24"/>
        </w:rPr>
        <w:t>(</w:t>
      </w:r>
      <w:r w:rsidR="006F4CA5">
        <w:rPr>
          <w:rFonts w:ascii="Arial" w:hAnsi="Arial" w:cs="Arial"/>
          <w:sz w:val="24"/>
          <w:szCs w:val="24"/>
        </w:rPr>
        <w:t xml:space="preserve">Berkowitz and Belgrave, 2010; </w:t>
      </w:r>
      <w:r w:rsidR="006F4CA5" w:rsidRPr="009A477E">
        <w:rPr>
          <w:rFonts w:ascii="Arial" w:hAnsi="Arial" w:cs="Arial"/>
          <w:sz w:val="24"/>
          <w:szCs w:val="24"/>
        </w:rPr>
        <w:t>Newton</w:t>
      </w:r>
      <w:r w:rsidR="00074F11">
        <w:rPr>
          <w:rFonts w:ascii="Arial" w:hAnsi="Arial" w:cs="Arial"/>
          <w:sz w:val="24"/>
          <w:szCs w:val="24"/>
        </w:rPr>
        <w:t xml:space="preserve">, </w:t>
      </w:r>
      <w:r w:rsidR="006F4CA5" w:rsidRPr="009A477E">
        <w:rPr>
          <w:rFonts w:ascii="Arial" w:hAnsi="Arial" w:cs="Arial"/>
          <w:sz w:val="24"/>
          <w:szCs w:val="24"/>
        </w:rPr>
        <w:t>1979; Tewksbury</w:t>
      </w:r>
      <w:r w:rsidR="00074F11">
        <w:rPr>
          <w:rFonts w:ascii="Arial" w:hAnsi="Arial" w:cs="Arial"/>
          <w:sz w:val="24"/>
          <w:szCs w:val="24"/>
        </w:rPr>
        <w:t xml:space="preserve">, </w:t>
      </w:r>
      <w:r w:rsidR="006F4CA5" w:rsidRPr="009A477E">
        <w:rPr>
          <w:rFonts w:ascii="Arial" w:hAnsi="Arial" w:cs="Arial"/>
          <w:sz w:val="24"/>
          <w:szCs w:val="24"/>
        </w:rPr>
        <w:t>1994)</w:t>
      </w:r>
      <w:r w:rsidR="006F4CA5">
        <w:rPr>
          <w:rFonts w:ascii="Arial" w:hAnsi="Arial" w:cs="Arial"/>
          <w:sz w:val="24"/>
          <w:szCs w:val="24"/>
        </w:rPr>
        <w:t>.</w:t>
      </w:r>
    </w:p>
    <w:p w14:paraId="5E0E63C3" w14:textId="63E06700" w:rsidR="00CE0578" w:rsidRDefault="00CE0578" w:rsidP="00957BB6">
      <w:pPr>
        <w:spacing w:line="360" w:lineRule="auto"/>
        <w:jc w:val="both"/>
        <w:rPr>
          <w:rFonts w:ascii="Arial" w:hAnsi="Arial" w:cs="Arial"/>
          <w:sz w:val="24"/>
          <w:szCs w:val="24"/>
        </w:rPr>
      </w:pPr>
      <w:bookmarkStart w:id="1" w:name="_Hlk124252630"/>
      <w:r>
        <w:rPr>
          <w:rFonts w:ascii="Arial" w:hAnsi="Arial" w:cs="Arial"/>
          <w:sz w:val="24"/>
          <w:szCs w:val="24"/>
        </w:rPr>
        <w:t>The first stereotypical attitude studied is that drag queens are</w:t>
      </w:r>
      <w:r w:rsidR="003F0170">
        <w:rPr>
          <w:rFonts w:ascii="Arial" w:hAnsi="Arial" w:cs="Arial"/>
          <w:sz w:val="24"/>
          <w:szCs w:val="24"/>
        </w:rPr>
        <w:t xml:space="preserve"> female</w:t>
      </w:r>
      <w:r>
        <w:rPr>
          <w:rFonts w:ascii="Arial" w:hAnsi="Arial" w:cs="Arial"/>
          <w:sz w:val="24"/>
          <w:szCs w:val="24"/>
        </w:rPr>
        <w:t xml:space="preserve"> caricatures, over-emphasising features such as makeup</w:t>
      </w:r>
      <w:r w:rsidR="00B52273">
        <w:rPr>
          <w:rFonts w:ascii="Arial" w:hAnsi="Arial" w:cs="Arial"/>
          <w:sz w:val="24"/>
          <w:szCs w:val="24"/>
        </w:rPr>
        <w:t xml:space="preserve"> and</w:t>
      </w:r>
      <w:r>
        <w:rPr>
          <w:rFonts w:ascii="Arial" w:hAnsi="Arial" w:cs="Arial"/>
          <w:sz w:val="24"/>
          <w:szCs w:val="24"/>
        </w:rPr>
        <w:t xml:space="preserve"> hair (Barnett and Johnson, 2013a;</w:t>
      </w:r>
      <w:r w:rsidR="00074F11">
        <w:rPr>
          <w:rFonts w:ascii="Arial" w:hAnsi="Arial" w:cs="Arial"/>
          <w:sz w:val="24"/>
          <w:szCs w:val="24"/>
        </w:rPr>
        <w:t xml:space="preserve"> </w:t>
      </w:r>
      <w:r w:rsidR="00074F11" w:rsidRPr="00CA7A5C">
        <w:rPr>
          <w:rFonts w:ascii="Arial" w:hAnsi="Arial" w:cs="Arial"/>
          <w:sz w:val="24"/>
          <w:szCs w:val="24"/>
        </w:rPr>
        <w:t>Greaf, 2016</w:t>
      </w:r>
      <w:r>
        <w:rPr>
          <w:rFonts w:ascii="Arial" w:hAnsi="Arial" w:cs="Arial"/>
          <w:sz w:val="24"/>
          <w:szCs w:val="24"/>
        </w:rPr>
        <w:t xml:space="preserve">). The image chosen to show the perpetuation of this stereotype is </w:t>
      </w:r>
      <w:r w:rsidR="00347926">
        <w:rPr>
          <w:rFonts w:ascii="Arial" w:hAnsi="Arial" w:cs="Arial"/>
          <w:sz w:val="24"/>
          <w:szCs w:val="24"/>
        </w:rPr>
        <w:t xml:space="preserve">of Trixie Mattel </w:t>
      </w:r>
      <w:r>
        <w:rPr>
          <w:rFonts w:ascii="Arial" w:hAnsi="Arial" w:cs="Arial"/>
          <w:sz w:val="24"/>
          <w:szCs w:val="24"/>
        </w:rPr>
        <w:lastRenderedPageBreak/>
        <w:t>(</w:t>
      </w:r>
      <w:r w:rsidR="003F0170">
        <w:rPr>
          <w:rFonts w:ascii="Arial" w:hAnsi="Arial" w:cs="Arial"/>
          <w:sz w:val="24"/>
          <w:szCs w:val="24"/>
        </w:rPr>
        <w:t xml:space="preserve">image 1; </w:t>
      </w:r>
      <w:r>
        <w:rPr>
          <w:rFonts w:ascii="Arial" w:hAnsi="Arial" w:cs="Arial"/>
          <w:sz w:val="24"/>
          <w:szCs w:val="24"/>
        </w:rPr>
        <w:t>Carrasquillo, 2021)</w:t>
      </w:r>
      <w:r w:rsidR="00347926">
        <w:rPr>
          <w:rFonts w:ascii="Arial" w:hAnsi="Arial" w:cs="Arial"/>
          <w:sz w:val="24"/>
          <w:szCs w:val="24"/>
        </w:rPr>
        <w:t xml:space="preserve">, </w:t>
      </w:r>
      <w:r>
        <w:rPr>
          <w:rFonts w:ascii="Arial" w:hAnsi="Arial" w:cs="Arial"/>
          <w:sz w:val="24"/>
          <w:szCs w:val="24"/>
        </w:rPr>
        <w:t>with thick makeup, voluptuous hair</w:t>
      </w:r>
      <w:r w:rsidR="002D35BC">
        <w:rPr>
          <w:rFonts w:ascii="Arial" w:hAnsi="Arial" w:cs="Arial"/>
          <w:sz w:val="24"/>
          <w:szCs w:val="24"/>
        </w:rPr>
        <w:t xml:space="preserve"> and</w:t>
      </w:r>
      <w:r>
        <w:rPr>
          <w:rFonts w:ascii="Arial" w:hAnsi="Arial" w:cs="Arial"/>
          <w:sz w:val="24"/>
          <w:szCs w:val="24"/>
        </w:rPr>
        <w:t xml:space="preserve"> </w:t>
      </w:r>
      <w:r w:rsidR="00074F11">
        <w:rPr>
          <w:rFonts w:ascii="Arial" w:hAnsi="Arial" w:cs="Arial"/>
          <w:sz w:val="24"/>
          <w:szCs w:val="24"/>
        </w:rPr>
        <w:t>bright</w:t>
      </w:r>
      <w:r>
        <w:rPr>
          <w:rFonts w:ascii="Arial" w:hAnsi="Arial" w:cs="Arial"/>
          <w:sz w:val="24"/>
          <w:szCs w:val="24"/>
        </w:rPr>
        <w:t xml:space="preserve"> earrings</w:t>
      </w:r>
      <w:r w:rsidR="00074F11">
        <w:rPr>
          <w:rFonts w:ascii="Arial" w:hAnsi="Arial" w:cs="Arial"/>
          <w:sz w:val="24"/>
          <w:szCs w:val="24"/>
        </w:rPr>
        <w:t xml:space="preserve"> (Carrasquillo, 2021</w:t>
      </w:r>
      <w:r w:rsidR="00B52273">
        <w:rPr>
          <w:rFonts w:ascii="Arial" w:hAnsi="Arial" w:cs="Arial"/>
          <w:sz w:val="24"/>
          <w:szCs w:val="24"/>
        </w:rPr>
        <w:t>; Mattel, 2022</w:t>
      </w:r>
      <w:r w:rsidR="00074F11">
        <w:rPr>
          <w:rFonts w:ascii="Arial" w:hAnsi="Arial" w:cs="Arial"/>
          <w:sz w:val="24"/>
          <w:szCs w:val="24"/>
        </w:rPr>
        <w:t>).</w:t>
      </w:r>
    </w:p>
    <w:p w14:paraId="439C3A78" w14:textId="3A6FD96F" w:rsidR="00074F11" w:rsidRPr="00074F11" w:rsidRDefault="00074F11" w:rsidP="00957BB6">
      <w:pPr>
        <w:spacing w:line="360" w:lineRule="auto"/>
        <w:jc w:val="both"/>
        <w:rPr>
          <w:rFonts w:ascii="Arial" w:hAnsi="Arial" w:cs="Arial"/>
          <w:sz w:val="24"/>
          <w:szCs w:val="24"/>
        </w:rPr>
      </w:pPr>
      <w:r w:rsidRPr="00074F11">
        <w:rPr>
          <w:rFonts w:ascii="Arial" w:hAnsi="Arial" w:cs="Arial"/>
          <w:sz w:val="24"/>
          <w:szCs w:val="24"/>
        </w:rPr>
        <w:t>Drag looks can be gendered, centred around another person or be a caricature of a role, such as a housewife (Barnett and Johnson, 2013a;</w:t>
      </w:r>
      <w:r>
        <w:rPr>
          <w:rFonts w:ascii="Arial" w:hAnsi="Arial" w:cs="Arial"/>
          <w:sz w:val="24"/>
          <w:szCs w:val="24"/>
        </w:rPr>
        <w:t xml:space="preserve"> </w:t>
      </w:r>
      <w:r w:rsidRPr="00D25D63">
        <w:rPr>
          <w:rFonts w:ascii="Arial" w:hAnsi="Arial" w:cs="Arial"/>
          <w:sz w:val="24"/>
          <w:szCs w:val="24"/>
        </w:rPr>
        <w:t xml:space="preserve">Levitt </w:t>
      </w:r>
      <w:r w:rsidRPr="00074F11">
        <w:rPr>
          <w:rFonts w:ascii="Arial" w:hAnsi="Arial" w:cs="Arial"/>
          <w:i/>
          <w:iCs/>
          <w:sz w:val="24"/>
          <w:szCs w:val="24"/>
        </w:rPr>
        <w:t>et al</w:t>
      </w:r>
      <w:r w:rsidRPr="00D25D63">
        <w:rPr>
          <w:rFonts w:ascii="Arial" w:hAnsi="Arial" w:cs="Arial"/>
          <w:sz w:val="24"/>
          <w:szCs w:val="24"/>
        </w:rPr>
        <w:t>., 2018</w:t>
      </w:r>
      <w:r>
        <w:rPr>
          <w:rFonts w:ascii="Arial" w:hAnsi="Arial" w:cs="Arial"/>
          <w:sz w:val="24"/>
          <w:szCs w:val="24"/>
        </w:rPr>
        <w:t>;</w:t>
      </w:r>
      <w:r w:rsidRPr="00074F11">
        <w:rPr>
          <w:rFonts w:ascii="Arial" w:hAnsi="Arial" w:cs="Arial"/>
          <w:sz w:val="24"/>
          <w:szCs w:val="24"/>
        </w:rPr>
        <w:t xml:space="preserve"> Newton, 1972)</w:t>
      </w:r>
      <w:r>
        <w:rPr>
          <w:rFonts w:ascii="Arial" w:hAnsi="Arial" w:cs="Arial"/>
          <w:sz w:val="24"/>
          <w:szCs w:val="24"/>
        </w:rPr>
        <w:t xml:space="preserve">. Knutson </w:t>
      </w:r>
      <w:r>
        <w:rPr>
          <w:rFonts w:ascii="Arial" w:hAnsi="Arial" w:cs="Arial"/>
          <w:i/>
          <w:iCs/>
          <w:sz w:val="24"/>
          <w:szCs w:val="24"/>
        </w:rPr>
        <w:t xml:space="preserve">et al. </w:t>
      </w:r>
      <w:r>
        <w:rPr>
          <w:rFonts w:ascii="Arial" w:hAnsi="Arial" w:cs="Arial"/>
          <w:sz w:val="24"/>
          <w:szCs w:val="24"/>
        </w:rPr>
        <w:t xml:space="preserve">(2018) argued that drag is a parody, with further research adding that drag is based on adopting a persona (Butler, 1988; Carretta </w:t>
      </w:r>
      <w:r>
        <w:rPr>
          <w:rFonts w:ascii="Arial" w:hAnsi="Arial" w:cs="Arial"/>
          <w:i/>
          <w:iCs/>
          <w:sz w:val="24"/>
          <w:szCs w:val="24"/>
        </w:rPr>
        <w:t xml:space="preserve">et al., </w:t>
      </w:r>
      <w:r>
        <w:rPr>
          <w:rFonts w:ascii="Arial" w:hAnsi="Arial" w:cs="Arial"/>
          <w:sz w:val="24"/>
          <w:szCs w:val="24"/>
        </w:rPr>
        <w:t xml:space="preserve">2019; Greaf, 2016; Hyde </w:t>
      </w:r>
      <w:r>
        <w:rPr>
          <w:rFonts w:ascii="Arial" w:hAnsi="Arial" w:cs="Arial"/>
          <w:i/>
          <w:iCs/>
          <w:sz w:val="24"/>
          <w:szCs w:val="24"/>
        </w:rPr>
        <w:t xml:space="preserve">et al., </w:t>
      </w:r>
      <w:r>
        <w:rPr>
          <w:rFonts w:ascii="Arial" w:hAnsi="Arial" w:cs="Arial"/>
          <w:sz w:val="24"/>
          <w:szCs w:val="24"/>
        </w:rPr>
        <w:t>2018). Barnett and Johnson’s (2013a) research is pertinent here</w:t>
      </w:r>
      <w:r w:rsidR="00347926">
        <w:rPr>
          <w:rFonts w:ascii="Arial" w:hAnsi="Arial" w:cs="Arial"/>
          <w:sz w:val="24"/>
          <w:szCs w:val="24"/>
        </w:rPr>
        <w:t xml:space="preserve"> however</w:t>
      </w:r>
      <w:r>
        <w:rPr>
          <w:rFonts w:ascii="Arial" w:hAnsi="Arial" w:cs="Arial"/>
          <w:sz w:val="24"/>
          <w:szCs w:val="24"/>
        </w:rPr>
        <w:t xml:space="preserve">, as they argued that drag queens are social actors who reconstruct aspects of life to </w:t>
      </w:r>
      <w:r w:rsidR="003F0170">
        <w:rPr>
          <w:rFonts w:ascii="Arial" w:hAnsi="Arial" w:cs="Arial"/>
          <w:sz w:val="24"/>
          <w:szCs w:val="24"/>
        </w:rPr>
        <w:t>entertain</w:t>
      </w:r>
      <w:r>
        <w:rPr>
          <w:rFonts w:ascii="Arial" w:hAnsi="Arial" w:cs="Arial"/>
          <w:sz w:val="24"/>
          <w:szCs w:val="24"/>
        </w:rPr>
        <w:t>. This exaggeration is often extreme</w:t>
      </w:r>
      <w:r w:rsidR="00FA36ED">
        <w:rPr>
          <w:rFonts w:ascii="Arial" w:hAnsi="Arial" w:cs="Arial"/>
          <w:sz w:val="24"/>
          <w:szCs w:val="24"/>
        </w:rPr>
        <w:t xml:space="preserve"> and not </w:t>
      </w:r>
      <w:r w:rsidR="003F0170">
        <w:rPr>
          <w:rFonts w:ascii="Arial" w:hAnsi="Arial" w:cs="Arial"/>
          <w:sz w:val="24"/>
          <w:szCs w:val="24"/>
        </w:rPr>
        <w:t>representative of</w:t>
      </w:r>
      <w:r w:rsidR="00FA36ED">
        <w:rPr>
          <w:rFonts w:ascii="Arial" w:hAnsi="Arial" w:cs="Arial"/>
          <w:sz w:val="24"/>
          <w:szCs w:val="24"/>
        </w:rPr>
        <w:t xml:space="preserve"> women</w:t>
      </w:r>
      <w:r>
        <w:rPr>
          <w:rFonts w:ascii="Arial" w:hAnsi="Arial" w:cs="Arial"/>
          <w:sz w:val="24"/>
          <w:szCs w:val="24"/>
        </w:rPr>
        <w:t>, as can be seen in image 1 (Ellis</w:t>
      </w:r>
      <w:r>
        <w:rPr>
          <w:rFonts w:ascii="Arial" w:hAnsi="Arial" w:cs="Arial"/>
          <w:i/>
          <w:iCs/>
          <w:sz w:val="24"/>
          <w:szCs w:val="24"/>
        </w:rPr>
        <w:t xml:space="preserve"> et al., </w:t>
      </w:r>
      <w:r>
        <w:rPr>
          <w:rFonts w:ascii="Arial" w:hAnsi="Arial" w:cs="Arial"/>
          <w:sz w:val="24"/>
          <w:szCs w:val="24"/>
        </w:rPr>
        <w:t>2022; Newton, 1972)</w:t>
      </w:r>
      <w:r w:rsidR="00EA3CE9">
        <w:rPr>
          <w:rFonts w:ascii="Arial" w:hAnsi="Arial" w:cs="Arial"/>
          <w:sz w:val="24"/>
          <w:szCs w:val="24"/>
        </w:rPr>
        <w:t>.</w:t>
      </w:r>
    </w:p>
    <w:p w14:paraId="19BF7291" w14:textId="1CDE263E" w:rsidR="00074F11" w:rsidRPr="00074F11" w:rsidRDefault="003C55E7" w:rsidP="00957BB6">
      <w:pPr>
        <w:spacing w:line="360" w:lineRule="auto"/>
        <w:jc w:val="both"/>
        <w:rPr>
          <w:rFonts w:ascii="Arial" w:hAnsi="Arial" w:cs="Arial"/>
          <w:sz w:val="24"/>
          <w:szCs w:val="24"/>
        </w:rPr>
      </w:pPr>
      <w:r>
        <w:rPr>
          <w:rFonts w:ascii="Arial" w:hAnsi="Arial" w:cs="Arial"/>
          <w:sz w:val="24"/>
          <w:szCs w:val="24"/>
        </w:rPr>
        <w:t xml:space="preserve">Schmid and Payam (2022) furthered the argument that drag queens perform as caricature-like women </w:t>
      </w:r>
      <w:r w:rsidR="00DD0D11">
        <w:rPr>
          <w:rFonts w:ascii="Arial" w:hAnsi="Arial" w:cs="Arial"/>
          <w:sz w:val="24"/>
          <w:szCs w:val="24"/>
        </w:rPr>
        <w:t>and</w:t>
      </w:r>
      <w:r>
        <w:rPr>
          <w:rFonts w:ascii="Arial" w:hAnsi="Arial" w:cs="Arial"/>
          <w:sz w:val="24"/>
          <w:szCs w:val="24"/>
        </w:rPr>
        <w:t xml:space="preserve"> utilise this to entertain </w:t>
      </w:r>
      <w:r w:rsidRPr="00006727">
        <w:rPr>
          <w:rFonts w:ascii="Arial" w:hAnsi="Arial" w:cs="Arial"/>
          <w:sz w:val="24"/>
          <w:szCs w:val="24"/>
        </w:rPr>
        <w:t>(Namaste</w:t>
      </w:r>
      <w:r>
        <w:rPr>
          <w:rFonts w:ascii="Arial" w:hAnsi="Arial" w:cs="Arial"/>
          <w:sz w:val="24"/>
          <w:szCs w:val="24"/>
        </w:rPr>
        <w:t>,</w:t>
      </w:r>
      <w:r w:rsidRPr="00006727">
        <w:rPr>
          <w:rFonts w:ascii="Arial" w:hAnsi="Arial" w:cs="Arial"/>
          <w:sz w:val="24"/>
          <w:szCs w:val="24"/>
        </w:rPr>
        <w:t xml:space="preserve"> 2000; Berkowitz</w:t>
      </w:r>
      <w:r>
        <w:rPr>
          <w:rFonts w:ascii="Arial" w:hAnsi="Arial" w:cs="Arial"/>
          <w:sz w:val="24"/>
          <w:szCs w:val="24"/>
        </w:rPr>
        <w:t xml:space="preserve"> </w:t>
      </w:r>
      <w:r>
        <w:rPr>
          <w:rFonts w:ascii="Arial" w:hAnsi="Arial" w:cs="Arial"/>
          <w:i/>
          <w:iCs/>
          <w:sz w:val="24"/>
          <w:szCs w:val="24"/>
        </w:rPr>
        <w:t xml:space="preserve">et al., </w:t>
      </w:r>
      <w:r w:rsidRPr="00006727">
        <w:rPr>
          <w:rFonts w:ascii="Arial" w:hAnsi="Arial" w:cs="Arial"/>
          <w:sz w:val="24"/>
          <w:szCs w:val="24"/>
        </w:rPr>
        <w:t>2007).</w:t>
      </w:r>
      <w:r>
        <w:rPr>
          <w:rFonts w:ascii="Arial" w:hAnsi="Arial" w:cs="Arial"/>
          <w:sz w:val="24"/>
          <w:szCs w:val="24"/>
        </w:rPr>
        <w:t xml:space="preserve"> Drag queens have become the jesters of the LGBTQ+ community, meaning that their personas are only suitable for the stage </w:t>
      </w:r>
      <w:r w:rsidRPr="002738CA">
        <w:rPr>
          <w:rFonts w:ascii="Arial" w:hAnsi="Arial" w:cs="Arial"/>
          <w:sz w:val="24"/>
          <w:szCs w:val="24"/>
        </w:rPr>
        <w:t>(Namaste, 2000)</w:t>
      </w:r>
      <w:r>
        <w:rPr>
          <w:rFonts w:ascii="Arial" w:hAnsi="Arial" w:cs="Arial"/>
          <w:sz w:val="24"/>
          <w:szCs w:val="24"/>
        </w:rPr>
        <w:t xml:space="preserve">. These </w:t>
      </w:r>
      <w:r w:rsidR="00FA36ED">
        <w:rPr>
          <w:rFonts w:ascii="Arial" w:hAnsi="Arial" w:cs="Arial"/>
          <w:sz w:val="24"/>
          <w:szCs w:val="24"/>
        </w:rPr>
        <w:t>caricature-like</w:t>
      </w:r>
      <w:r>
        <w:rPr>
          <w:rFonts w:ascii="Arial" w:hAnsi="Arial" w:cs="Arial"/>
          <w:sz w:val="24"/>
          <w:szCs w:val="24"/>
        </w:rPr>
        <w:t xml:space="preserve"> performances can impact on drag </w:t>
      </w:r>
      <w:r w:rsidR="00B5460B">
        <w:rPr>
          <w:rFonts w:ascii="Arial" w:hAnsi="Arial" w:cs="Arial"/>
          <w:sz w:val="24"/>
          <w:szCs w:val="24"/>
        </w:rPr>
        <w:t>queens’</w:t>
      </w:r>
      <w:r>
        <w:rPr>
          <w:rFonts w:ascii="Arial" w:hAnsi="Arial" w:cs="Arial"/>
          <w:sz w:val="24"/>
          <w:szCs w:val="24"/>
        </w:rPr>
        <w:t xml:space="preserve"> personal lives, </w:t>
      </w:r>
      <w:r w:rsidR="00DD0D11">
        <w:rPr>
          <w:rFonts w:ascii="Arial" w:hAnsi="Arial" w:cs="Arial"/>
          <w:sz w:val="24"/>
          <w:szCs w:val="24"/>
        </w:rPr>
        <w:t>as research shows that they</w:t>
      </w:r>
      <w:r>
        <w:rPr>
          <w:rFonts w:ascii="Arial" w:hAnsi="Arial" w:cs="Arial"/>
          <w:sz w:val="24"/>
          <w:szCs w:val="24"/>
        </w:rPr>
        <w:t xml:space="preserve"> often have difficulty finding relationships and can be marginalised within the LGBTQ+ community (Berkowitz and Belgrave, 2010; Berkowitz </w:t>
      </w:r>
      <w:r>
        <w:rPr>
          <w:rFonts w:ascii="Arial" w:hAnsi="Arial" w:cs="Arial"/>
          <w:i/>
          <w:iCs/>
          <w:sz w:val="24"/>
          <w:szCs w:val="24"/>
        </w:rPr>
        <w:t xml:space="preserve">et al., </w:t>
      </w:r>
      <w:r>
        <w:rPr>
          <w:rFonts w:ascii="Arial" w:hAnsi="Arial" w:cs="Arial"/>
          <w:sz w:val="24"/>
          <w:szCs w:val="24"/>
        </w:rPr>
        <w:t>2007)</w:t>
      </w:r>
      <w:r w:rsidR="00347926">
        <w:rPr>
          <w:rFonts w:ascii="Arial" w:hAnsi="Arial" w:cs="Arial"/>
          <w:sz w:val="24"/>
          <w:szCs w:val="24"/>
        </w:rPr>
        <w:t>.</w:t>
      </w:r>
    </w:p>
    <w:p w14:paraId="6F49732C" w14:textId="1322557D" w:rsidR="00497A37" w:rsidRPr="00497A37" w:rsidRDefault="003C55E7" w:rsidP="00957BB6">
      <w:pPr>
        <w:spacing w:line="360" w:lineRule="auto"/>
        <w:jc w:val="both"/>
        <w:rPr>
          <w:rFonts w:ascii="Arial" w:hAnsi="Arial" w:cs="Arial"/>
          <w:sz w:val="24"/>
          <w:szCs w:val="24"/>
        </w:rPr>
      </w:pPr>
      <w:r w:rsidRPr="00497A37">
        <w:rPr>
          <w:rFonts w:ascii="Arial" w:hAnsi="Arial" w:cs="Arial"/>
          <w:sz w:val="24"/>
          <w:szCs w:val="24"/>
        </w:rPr>
        <w:t>Despite the exaggerated makeup, hair and clothing that drag queens may wear,</w:t>
      </w:r>
      <w:r w:rsidR="003F0170">
        <w:rPr>
          <w:rFonts w:ascii="Arial" w:hAnsi="Arial" w:cs="Arial"/>
          <w:sz w:val="24"/>
          <w:szCs w:val="24"/>
        </w:rPr>
        <w:t xml:space="preserve"> Berkowitz and Belgrave (2010) argue that</w:t>
      </w:r>
      <w:r w:rsidRPr="00497A37">
        <w:rPr>
          <w:rFonts w:ascii="Arial" w:hAnsi="Arial" w:cs="Arial"/>
          <w:sz w:val="24"/>
          <w:szCs w:val="24"/>
        </w:rPr>
        <w:t xml:space="preserve"> drag queens are often masculine</w:t>
      </w:r>
      <w:r w:rsidR="00951FF8">
        <w:rPr>
          <w:rFonts w:ascii="Arial" w:hAnsi="Arial" w:cs="Arial"/>
          <w:sz w:val="24"/>
          <w:szCs w:val="24"/>
        </w:rPr>
        <w:t xml:space="preserve"> compared</w:t>
      </w:r>
      <w:r w:rsidRPr="00497A37">
        <w:rPr>
          <w:rFonts w:ascii="Arial" w:hAnsi="Arial" w:cs="Arial"/>
          <w:sz w:val="24"/>
          <w:szCs w:val="24"/>
        </w:rPr>
        <w:t xml:space="preserve"> </w:t>
      </w:r>
      <w:r w:rsidR="00951FF8">
        <w:rPr>
          <w:rFonts w:ascii="Arial" w:hAnsi="Arial" w:cs="Arial"/>
          <w:sz w:val="24"/>
          <w:szCs w:val="24"/>
        </w:rPr>
        <w:t>to</w:t>
      </w:r>
      <w:r w:rsidRPr="00497A37">
        <w:rPr>
          <w:rFonts w:ascii="Arial" w:hAnsi="Arial" w:cs="Arial"/>
          <w:sz w:val="24"/>
          <w:szCs w:val="24"/>
        </w:rPr>
        <w:t xml:space="preserve"> the female caricature</w:t>
      </w:r>
      <w:r w:rsidR="007130D6">
        <w:rPr>
          <w:rFonts w:ascii="Arial" w:hAnsi="Arial" w:cs="Arial"/>
          <w:sz w:val="24"/>
          <w:szCs w:val="24"/>
        </w:rPr>
        <w:t xml:space="preserve"> that their</w:t>
      </w:r>
      <w:r w:rsidRPr="00497A37">
        <w:rPr>
          <w:rFonts w:ascii="Arial" w:hAnsi="Arial" w:cs="Arial"/>
          <w:sz w:val="24"/>
          <w:szCs w:val="24"/>
        </w:rPr>
        <w:t xml:space="preserve"> appearance may </w:t>
      </w:r>
      <w:r w:rsidR="00951FF8">
        <w:rPr>
          <w:rFonts w:ascii="Arial" w:hAnsi="Arial" w:cs="Arial"/>
          <w:sz w:val="24"/>
          <w:szCs w:val="24"/>
        </w:rPr>
        <w:t>suggest</w:t>
      </w:r>
      <w:r w:rsidRPr="00497A37">
        <w:rPr>
          <w:rFonts w:ascii="Arial" w:hAnsi="Arial" w:cs="Arial"/>
          <w:sz w:val="24"/>
          <w:szCs w:val="24"/>
        </w:rPr>
        <w:t xml:space="preserve">, merely using stereotypical </w:t>
      </w:r>
      <w:r w:rsidR="002D35BC">
        <w:rPr>
          <w:rFonts w:ascii="Arial" w:hAnsi="Arial" w:cs="Arial"/>
          <w:sz w:val="24"/>
          <w:szCs w:val="24"/>
        </w:rPr>
        <w:t>aspects</w:t>
      </w:r>
      <w:r w:rsidRPr="00497A37">
        <w:rPr>
          <w:rFonts w:ascii="Arial" w:hAnsi="Arial" w:cs="Arial"/>
          <w:sz w:val="24"/>
          <w:szCs w:val="24"/>
        </w:rPr>
        <w:t xml:space="preserve"> of femininity to increase </w:t>
      </w:r>
      <w:r w:rsidR="00DD216A" w:rsidRPr="00497A37">
        <w:rPr>
          <w:rFonts w:ascii="Arial" w:hAnsi="Arial" w:cs="Arial"/>
          <w:sz w:val="24"/>
          <w:szCs w:val="24"/>
        </w:rPr>
        <w:t>income</w:t>
      </w:r>
      <w:r w:rsidRPr="00497A37">
        <w:rPr>
          <w:rFonts w:ascii="Arial" w:hAnsi="Arial" w:cs="Arial"/>
          <w:sz w:val="24"/>
          <w:szCs w:val="24"/>
        </w:rPr>
        <w:t xml:space="preserve"> and power (Schact and Underwood, 2004). This has led to feminist theorists criticising drag queens</w:t>
      </w:r>
      <w:r w:rsidR="00DD216A" w:rsidRPr="00497A37">
        <w:rPr>
          <w:rFonts w:ascii="Arial" w:hAnsi="Arial" w:cs="Arial"/>
          <w:sz w:val="24"/>
          <w:szCs w:val="24"/>
        </w:rPr>
        <w:t xml:space="preserve"> </w:t>
      </w:r>
      <w:r w:rsidRPr="00497A37">
        <w:rPr>
          <w:rFonts w:ascii="Arial" w:hAnsi="Arial" w:cs="Arial"/>
          <w:sz w:val="24"/>
          <w:szCs w:val="24"/>
        </w:rPr>
        <w:t>as reinforcing the patriarchy (Connell, 2000), as they receive benefits as men (Butler, 1988, 1990;</w:t>
      </w:r>
      <w:r w:rsidR="00DD216A" w:rsidRPr="00497A37">
        <w:rPr>
          <w:rFonts w:ascii="Arial" w:hAnsi="Arial" w:cs="Arial"/>
          <w:sz w:val="24"/>
          <w:szCs w:val="24"/>
        </w:rPr>
        <w:t xml:space="preserve"> Rupp </w:t>
      </w:r>
      <w:r w:rsidR="00DD216A" w:rsidRPr="00497A37">
        <w:rPr>
          <w:rFonts w:ascii="Arial" w:hAnsi="Arial" w:cs="Arial"/>
          <w:i/>
          <w:iCs/>
          <w:sz w:val="24"/>
          <w:szCs w:val="24"/>
        </w:rPr>
        <w:t xml:space="preserve">et al., </w:t>
      </w:r>
      <w:r w:rsidR="00DD216A" w:rsidRPr="00497A37">
        <w:rPr>
          <w:rFonts w:ascii="Arial" w:hAnsi="Arial" w:cs="Arial"/>
          <w:sz w:val="24"/>
          <w:szCs w:val="24"/>
        </w:rPr>
        <w:t>2010;</w:t>
      </w:r>
      <w:r w:rsidRPr="00497A37">
        <w:rPr>
          <w:rFonts w:ascii="Arial" w:hAnsi="Arial" w:cs="Arial"/>
          <w:sz w:val="24"/>
          <w:szCs w:val="24"/>
        </w:rPr>
        <w:t xml:space="preserve"> Schact and Underwood, 2004; Williams, 1995).</w:t>
      </w:r>
      <w:r w:rsidR="00DD216A" w:rsidRPr="00497A37">
        <w:rPr>
          <w:rFonts w:ascii="Arial" w:hAnsi="Arial" w:cs="Arial"/>
          <w:sz w:val="24"/>
          <w:szCs w:val="24"/>
        </w:rPr>
        <w:t xml:space="preserve"> </w:t>
      </w:r>
      <w:r w:rsidR="00497A37" w:rsidRPr="00497A37">
        <w:rPr>
          <w:rFonts w:ascii="Arial" w:hAnsi="Arial" w:cs="Arial"/>
          <w:sz w:val="24"/>
          <w:szCs w:val="24"/>
        </w:rPr>
        <w:t>Although this may be the case for some, this</w:t>
      </w:r>
      <w:r w:rsidR="003F0170">
        <w:rPr>
          <w:rFonts w:ascii="Arial" w:hAnsi="Arial" w:cs="Arial"/>
          <w:sz w:val="24"/>
          <w:szCs w:val="24"/>
        </w:rPr>
        <w:t xml:space="preserve"> wrongly</w:t>
      </w:r>
      <w:r w:rsidR="00497A37" w:rsidRPr="00497A37">
        <w:rPr>
          <w:rFonts w:ascii="Arial" w:hAnsi="Arial" w:cs="Arial"/>
          <w:sz w:val="24"/>
          <w:szCs w:val="24"/>
        </w:rPr>
        <w:t xml:space="preserve"> assumes that all drag queens are cisgender men (Berkowitz </w:t>
      </w:r>
      <w:r w:rsidR="00497A37" w:rsidRPr="00497A37">
        <w:rPr>
          <w:rFonts w:ascii="Arial" w:hAnsi="Arial" w:cs="Arial"/>
          <w:i/>
          <w:iCs/>
          <w:sz w:val="24"/>
          <w:szCs w:val="24"/>
        </w:rPr>
        <w:t>et al</w:t>
      </w:r>
      <w:r w:rsidR="00497A37" w:rsidRPr="00497A37">
        <w:rPr>
          <w:rFonts w:ascii="Arial" w:hAnsi="Arial" w:cs="Arial"/>
          <w:sz w:val="24"/>
          <w:szCs w:val="24"/>
        </w:rPr>
        <w:t xml:space="preserve">., 2007), </w:t>
      </w:r>
      <w:r w:rsidR="003F0170">
        <w:rPr>
          <w:rFonts w:ascii="Arial" w:hAnsi="Arial" w:cs="Arial"/>
          <w:sz w:val="24"/>
          <w:szCs w:val="24"/>
        </w:rPr>
        <w:t>and</w:t>
      </w:r>
      <w:r w:rsidR="00497A37" w:rsidRPr="00497A37">
        <w:rPr>
          <w:rFonts w:ascii="Arial" w:hAnsi="Arial" w:cs="Arial"/>
          <w:sz w:val="24"/>
          <w:szCs w:val="24"/>
        </w:rPr>
        <w:t xml:space="preserve"> is not inclusive of drag queens who challenge boundaries whilst performing as females</w:t>
      </w:r>
      <w:r w:rsidR="003F0170">
        <w:rPr>
          <w:rFonts w:ascii="Arial" w:hAnsi="Arial" w:cs="Arial"/>
          <w:sz w:val="24"/>
          <w:szCs w:val="24"/>
        </w:rPr>
        <w:t>.</w:t>
      </w:r>
      <w:r w:rsidR="00497A37" w:rsidRPr="00497A37">
        <w:rPr>
          <w:rFonts w:ascii="Arial" w:hAnsi="Arial" w:cs="Arial"/>
          <w:sz w:val="24"/>
          <w:szCs w:val="24"/>
        </w:rPr>
        <w:t xml:space="preserve"> </w:t>
      </w:r>
      <w:r w:rsidR="003F0170">
        <w:rPr>
          <w:rFonts w:ascii="Arial" w:hAnsi="Arial" w:cs="Arial"/>
          <w:sz w:val="24"/>
          <w:szCs w:val="24"/>
        </w:rPr>
        <w:t>This includes</w:t>
      </w:r>
      <w:r w:rsidR="00497A37" w:rsidRPr="00497A37">
        <w:rPr>
          <w:rFonts w:ascii="Arial" w:hAnsi="Arial" w:cs="Arial"/>
          <w:sz w:val="24"/>
          <w:szCs w:val="24"/>
        </w:rPr>
        <w:t xml:space="preserve"> the rising presence of Drag Pageants, similar to Beauty Pageants (Greene, 2021</w:t>
      </w:r>
      <w:r w:rsidR="00393840">
        <w:rPr>
          <w:rFonts w:ascii="Arial" w:hAnsi="Arial" w:cs="Arial"/>
          <w:sz w:val="24"/>
          <w:szCs w:val="24"/>
        </w:rPr>
        <w:t>; Tewksbury, 1993</w:t>
      </w:r>
      <w:r w:rsidR="00497A37" w:rsidRPr="00497A37">
        <w:rPr>
          <w:rFonts w:ascii="Arial" w:hAnsi="Arial" w:cs="Arial"/>
          <w:sz w:val="24"/>
          <w:szCs w:val="24"/>
        </w:rPr>
        <w:t>). Whilst Drag Pageants and Beauty Pageants have similarities, beauty queens tend to express individual expression within set boundaries</w:t>
      </w:r>
      <w:r w:rsidR="00393840">
        <w:rPr>
          <w:rFonts w:ascii="Arial" w:hAnsi="Arial" w:cs="Arial"/>
          <w:sz w:val="24"/>
          <w:szCs w:val="24"/>
        </w:rPr>
        <w:t xml:space="preserve"> (</w:t>
      </w:r>
      <w:r w:rsidR="00A24C83">
        <w:rPr>
          <w:rFonts w:ascii="Arial" w:hAnsi="Arial" w:cs="Arial"/>
          <w:sz w:val="24"/>
          <w:szCs w:val="24"/>
        </w:rPr>
        <w:t xml:space="preserve">Daems, 2014; </w:t>
      </w:r>
      <w:r w:rsidR="00393840">
        <w:rPr>
          <w:rFonts w:ascii="Arial" w:hAnsi="Arial" w:cs="Arial"/>
          <w:sz w:val="24"/>
          <w:szCs w:val="24"/>
        </w:rPr>
        <w:t>Greene, 2021)</w:t>
      </w:r>
      <w:r w:rsidR="00497A37" w:rsidRPr="00497A37">
        <w:rPr>
          <w:rFonts w:ascii="Arial" w:hAnsi="Arial" w:cs="Arial"/>
          <w:sz w:val="24"/>
          <w:szCs w:val="24"/>
        </w:rPr>
        <w:t xml:space="preserve">, whilst drag queens perform with uniqueness, </w:t>
      </w:r>
      <w:r w:rsidR="009F7CC9">
        <w:rPr>
          <w:rFonts w:ascii="Arial" w:hAnsi="Arial" w:cs="Arial"/>
          <w:sz w:val="24"/>
          <w:szCs w:val="24"/>
        </w:rPr>
        <w:t>challeng</w:t>
      </w:r>
      <w:r w:rsidR="003F0170">
        <w:rPr>
          <w:rFonts w:ascii="Arial" w:hAnsi="Arial" w:cs="Arial"/>
          <w:sz w:val="24"/>
          <w:szCs w:val="24"/>
        </w:rPr>
        <w:t>ing</w:t>
      </w:r>
      <w:r w:rsidR="00497A37" w:rsidRPr="00497A37">
        <w:rPr>
          <w:rFonts w:ascii="Arial" w:hAnsi="Arial" w:cs="Arial"/>
          <w:sz w:val="24"/>
          <w:szCs w:val="24"/>
        </w:rPr>
        <w:t xml:space="preserve"> what is means to be feminine (</w:t>
      </w:r>
      <w:r w:rsidR="00E03CB1">
        <w:rPr>
          <w:rFonts w:ascii="Arial" w:hAnsi="Arial" w:cs="Arial"/>
          <w:sz w:val="24"/>
          <w:szCs w:val="24"/>
        </w:rPr>
        <w:t xml:space="preserve">Barrett, 2017; </w:t>
      </w:r>
      <w:r w:rsidR="00393840">
        <w:rPr>
          <w:rFonts w:ascii="Arial" w:hAnsi="Arial" w:cs="Arial"/>
          <w:sz w:val="24"/>
          <w:szCs w:val="24"/>
        </w:rPr>
        <w:t xml:space="preserve">Hopkins, 2008; </w:t>
      </w:r>
      <w:r w:rsidR="00497A37" w:rsidRPr="00497A37">
        <w:rPr>
          <w:rFonts w:ascii="Arial" w:hAnsi="Arial" w:cs="Arial"/>
          <w:sz w:val="24"/>
          <w:szCs w:val="24"/>
        </w:rPr>
        <w:t>Greene, 2021).</w:t>
      </w:r>
      <w:r w:rsidR="00497A37">
        <w:rPr>
          <w:rFonts w:ascii="Arial" w:hAnsi="Arial" w:cs="Arial"/>
          <w:sz w:val="24"/>
          <w:szCs w:val="24"/>
        </w:rPr>
        <w:t xml:space="preserve"> </w:t>
      </w:r>
      <w:r w:rsidR="009F7CC9">
        <w:rPr>
          <w:rFonts w:ascii="Arial" w:hAnsi="Arial" w:cs="Arial"/>
          <w:sz w:val="24"/>
          <w:szCs w:val="24"/>
        </w:rPr>
        <w:t xml:space="preserve">This supports feminists and queer theorists aims of </w:t>
      </w:r>
      <w:r w:rsidR="009F7CC9">
        <w:rPr>
          <w:rFonts w:ascii="Arial" w:hAnsi="Arial" w:cs="Arial"/>
          <w:sz w:val="24"/>
          <w:szCs w:val="24"/>
        </w:rPr>
        <w:lastRenderedPageBreak/>
        <w:t>redefining femininity, and suggests that drag queens challenge the patriarchy, rather than reinforce it</w:t>
      </w:r>
      <w:r w:rsidR="00E03CB1">
        <w:rPr>
          <w:rFonts w:ascii="Arial" w:hAnsi="Arial" w:cs="Arial"/>
          <w:sz w:val="24"/>
          <w:szCs w:val="24"/>
        </w:rPr>
        <w:t xml:space="preserve"> (Barrett, 2017)</w:t>
      </w:r>
      <w:r w:rsidR="00393840">
        <w:rPr>
          <w:rFonts w:ascii="Arial" w:hAnsi="Arial" w:cs="Arial"/>
          <w:sz w:val="24"/>
          <w:szCs w:val="24"/>
        </w:rPr>
        <w:t>.</w:t>
      </w:r>
    </w:p>
    <w:bookmarkEnd w:id="1"/>
    <w:p w14:paraId="3001EED0" w14:textId="2B049E9E" w:rsidR="00685510" w:rsidRDefault="005B73D6" w:rsidP="00957BB6">
      <w:pPr>
        <w:spacing w:line="360" w:lineRule="auto"/>
        <w:jc w:val="both"/>
        <w:rPr>
          <w:rFonts w:ascii="Arial" w:hAnsi="Arial" w:cs="Arial"/>
          <w:sz w:val="24"/>
          <w:szCs w:val="24"/>
        </w:rPr>
      </w:pPr>
      <w:r>
        <w:rPr>
          <w:rFonts w:ascii="Arial" w:hAnsi="Arial" w:cs="Arial"/>
          <w:sz w:val="24"/>
          <w:szCs w:val="24"/>
        </w:rPr>
        <w:t xml:space="preserve">In addition to </w:t>
      </w:r>
      <w:r w:rsidR="00DD0D11">
        <w:rPr>
          <w:rFonts w:ascii="Arial" w:hAnsi="Arial" w:cs="Arial"/>
          <w:sz w:val="24"/>
          <w:szCs w:val="24"/>
        </w:rPr>
        <w:t>performing as exaggerated, caricature-like females</w:t>
      </w:r>
      <w:r>
        <w:rPr>
          <w:rFonts w:ascii="Arial" w:hAnsi="Arial" w:cs="Arial"/>
          <w:sz w:val="24"/>
          <w:szCs w:val="24"/>
        </w:rPr>
        <w:t xml:space="preserve">, a further stereotype associated with drag queens </w:t>
      </w:r>
      <w:r w:rsidR="000701EA">
        <w:rPr>
          <w:rFonts w:ascii="Arial" w:hAnsi="Arial" w:cs="Arial"/>
          <w:sz w:val="24"/>
          <w:szCs w:val="24"/>
        </w:rPr>
        <w:t>is</w:t>
      </w:r>
      <w:r>
        <w:rPr>
          <w:rFonts w:ascii="Arial" w:hAnsi="Arial" w:cs="Arial"/>
          <w:sz w:val="24"/>
          <w:szCs w:val="24"/>
        </w:rPr>
        <w:t xml:space="preserve"> that they </w:t>
      </w:r>
      <w:r w:rsidR="000701EA">
        <w:rPr>
          <w:rFonts w:ascii="Arial" w:hAnsi="Arial" w:cs="Arial"/>
          <w:sz w:val="24"/>
          <w:szCs w:val="24"/>
        </w:rPr>
        <w:t xml:space="preserve">are sexualised performers </w:t>
      </w:r>
      <w:r>
        <w:rPr>
          <w:rFonts w:ascii="Arial" w:hAnsi="Arial" w:cs="Arial"/>
          <w:sz w:val="24"/>
          <w:szCs w:val="24"/>
        </w:rPr>
        <w:t xml:space="preserve">(Berkowitz and Belgrave, 2010; Berkowitz </w:t>
      </w:r>
      <w:r>
        <w:rPr>
          <w:rFonts w:ascii="Arial" w:hAnsi="Arial" w:cs="Arial"/>
          <w:i/>
          <w:iCs/>
          <w:sz w:val="24"/>
          <w:szCs w:val="24"/>
        </w:rPr>
        <w:t xml:space="preserve">et al., </w:t>
      </w:r>
      <w:r>
        <w:rPr>
          <w:rFonts w:ascii="Arial" w:hAnsi="Arial" w:cs="Arial"/>
          <w:sz w:val="24"/>
          <w:szCs w:val="24"/>
        </w:rPr>
        <w:t>2007). This includes being</w:t>
      </w:r>
      <w:r w:rsidR="003F20B0">
        <w:rPr>
          <w:rFonts w:ascii="Arial" w:hAnsi="Arial" w:cs="Arial"/>
          <w:sz w:val="24"/>
          <w:szCs w:val="24"/>
        </w:rPr>
        <w:t xml:space="preserve"> seen as</w:t>
      </w:r>
      <w:r>
        <w:rPr>
          <w:rFonts w:ascii="Arial" w:hAnsi="Arial" w:cs="Arial"/>
          <w:sz w:val="24"/>
          <w:szCs w:val="24"/>
        </w:rPr>
        <w:t xml:space="preserve"> promiscuous, leading to negative associations </w:t>
      </w:r>
      <w:r w:rsidR="002D35BC">
        <w:rPr>
          <w:rFonts w:ascii="Arial" w:hAnsi="Arial" w:cs="Arial"/>
          <w:sz w:val="24"/>
          <w:szCs w:val="24"/>
        </w:rPr>
        <w:t>within society</w:t>
      </w:r>
      <w:r>
        <w:rPr>
          <w:rFonts w:ascii="Arial" w:hAnsi="Arial" w:cs="Arial"/>
          <w:sz w:val="24"/>
          <w:szCs w:val="24"/>
        </w:rPr>
        <w:t xml:space="preserve"> </w:t>
      </w:r>
      <w:r w:rsidR="00685510">
        <w:rPr>
          <w:rFonts w:ascii="Arial" w:hAnsi="Arial" w:cs="Arial"/>
          <w:sz w:val="24"/>
          <w:szCs w:val="24"/>
        </w:rPr>
        <w:t xml:space="preserve">(Berkowitz and Belgrave, 2010; Berkowitz </w:t>
      </w:r>
      <w:r w:rsidR="00685510">
        <w:rPr>
          <w:rFonts w:ascii="Arial" w:hAnsi="Arial" w:cs="Arial"/>
          <w:i/>
          <w:iCs/>
          <w:sz w:val="24"/>
          <w:szCs w:val="24"/>
        </w:rPr>
        <w:t xml:space="preserve">et al., </w:t>
      </w:r>
      <w:r w:rsidR="00685510">
        <w:rPr>
          <w:rFonts w:ascii="Arial" w:hAnsi="Arial" w:cs="Arial"/>
          <w:sz w:val="24"/>
          <w:szCs w:val="24"/>
        </w:rPr>
        <w:t>2007).</w:t>
      </w:r>
      <w:r w:rsidR="000701EA">
        <w:rPr>
          <w:rFonts w:ascii="Arial" w:hAnsi="Arial" w:cs="Arial"/>
          <w:sz w:val="24"/>
          <w:szCs w:val="24"/>
        </w:rPr>
        <w:t xml:space="preserve"> The image of Aquaria is chosen for this stereotype</w:t>
      </w:r>
      <w:r w:rsidR="00685510">
        <w:rPr>
          <w:rFonts w:ascii="Arial" w:hAnsi="Arial" w:cs="Arial"/>
          <w:sz w:val="24"/>
          <w:szCs w:val="24"/>
        </w:rPr>
        <w:t xml:space="preserve"> (</w:t>
      </w:r>
      <w:r w:rsidR="000701EA">
        <w:rPr>
          <w:rFonts w:ascii="Arial" w:hAnsi="Arial" w:cs="Arial"/>
          <w:sz w:val="24"/>
          <w:szCs w:val="24"/>
        </w:rPr>
        <w:t xml:space="preserve">image 2; </w:t>
      </w:r>
      <w:r w:rsidR="00685510">
        <w:rPr>
          <w:rFonts w:ascii="Arial" w:hAnsi="Arial" w:cs="Arial"/>
          <w:sz w:val="24"/>
          <w:szCs w:val="24"/>
        </w:rPr>
        <w:t xml:space="preserve">Aquaria, 2020), </w:t>
      </w:r>
      <w:r w:rsidR="000701EA">
        <w:rPr>
          <w:rFonts w:ascii="Arial" w:hAnsi="Arial" w:cs="Arial"/>
          <w:sz w:val="24"/>
          <w:szCs w:val="24"/>
        </w:rPr>
        <w:t>sitting</w:t>
      </w:r>
      <w:r w:rsidR="00685510">
        <w:rPr>
          <w:rFonts w:ascii="Arial" w:hAnsi="Arial" w:cs="Arial"/>
          <w:sz w:val="24"/>
          <w:szCs w:val="24"/>
        </w:rPr>
        <w:t xml:space="preserve"> with legs apart, visible breasts and parted lips demonstrat</w:t>
      </w:r>
      <w:r w:rsidR="000701EA">
        <w:rPr>
          <w:rFonts w:ascii="Arial" w:hAnsi="Arial" w:cs="Arial"/>
          <w:sz w:val="24"/>
          <w:szCs w:val="24"/>
        </w:rPr>
        <w:t>ing</w:t>
      </w:r>
      <w:r w:rsidR="00685510">
        <w:rPr>
          <w:rFonts w:ascii="Arial" w:hAnsi="Arial" w:cs="Arial"/>
          <w:sz w:val="24"/>
          <w:szCs w:val="24"/>
        </w:rPr>
        <w:t xml:space="preserve"> the sexuality that is associated with drag queens (Carretta </w:t>
      </w:r>
      <w:r w:rsidR="00685510">
        <w:rPr>
          <w:rFonts w:ascii="Arial" w:hAnsi="Arial" w:cs="Arial"/>
          <w:i/>
          <w:iCs/>
          <w:sz w:val="24"/>
          <w:szCs w:val="24"/>
        </w:rPr>
        <w:t xml:space="preserve">et al., </w:t>
      </w:r>
      <w:r w:rsidR="00685510">
        <w:rPr>
          <w:rFonts w:ascii="Arial" w:hAnsi="Arial" w:cs="Arial"/>
          <w:sz w:val="24"/>
          <w:szCs w:val="24"/>
        </w:rPr>
        <w:t>2019; Friedman and Jones, 2011; Fox, 2008; Murnen and Byrne, 1991).</w:t>
      </w:r>
      <w:r w:rsidR="00A24C83">
        <w:rPr>
          <w:rFonts w:ascii="Arial" w:hAnsi="Arial" w:cs="Arial"/>
          <w:sz w:val="24"/>
          <w:szCs w:val="24"/>
        </w:rPr>
        <w:t xml:space="preserve"> Although drag queens are becoming more diverse, in regards to ethnicity</w:t>
      </w:r>
      <w:r w:rsidR="000701EA">
        <w:rPr>
          <w:rFonts w:ascii="Arial" w:hAnsi="Arial" w:cs="Arial"/>
          <w:sz w:val="24"/>
          <w:szCs w:val="24"/>
        </w:rPr>
        <w:t xml:space="preserve"> (</w:t>
      </w:r>
      <w:r w:rsidR="000701EA">
        <w:rPr>
          <w:rFonts w:ascii="Arial" w:hAnsi="Arial" w:cs="Arial"/>
          <w:sz w:val="24"/>
          <w:szCs w:val="24"/>
        </w:rPr>
        <w:t>Mayora, 2014</w:t>
      </w:r>
      <w:r w:rsidR="000701EA">
        <w:rPr>
          <w:rFonts w:ascii="Arial" w:hAnsi="Arial" w:cs="Arial"/>
          <w:sz w:val="24"/>
          <w:szCs w:val="24"/>
        </w:rPr>
        <w:t>)</w:t>
      </w:r>
      <w:r w:rsidR="00A24C83">
        <w:rPr>
          <w:rFonts w:ascii="Arial" w:hAnsi="Arial" w:cs="Arial"/>
          <w:sz w:val="24"/>
          <w:szCs w:val="24"/>
        </w:rPr>
        <w:t xml:space="preserve">, gender, body shape and age (Daems, 2014), a number of </w:t>
      </w:r>
      <w:r w:rsidR="00685510" w:rsidRPr="00BC19F9">
        <w:rPr>
          <w:rFonts w:ascii="Arial" w:hAnsi="Arial" w:cs="Arial"/>
          <w:sz w:val="24"/>
          <w:szCs w:val="24"/>
        </w:rPr>
        <w:t xml:space="preserve">drag queens </w:t>
      </w:r>
      <w:r w:rsidR="00A24C83" w:rsidRPr="00BC19F9">
        <w:rPr>
          <w:rFonts w:ascii="Arial" w:hAnsi="Arial" w:cs="Arial"/>
          <w:sz w:val="24"/>
          <w:szCs w:val="24"/>
        </w:rPr>
        <w:t xml:space="preserve">still </w:t>
      </w:r>
      <w:r w:rsidR="00685510" w:rsidRPr="00BC19F9">
        <w:rPr>
          <w:rFonts w:ascii="Arial" w:hAnsi="Arial" w:cs="Arial"/>
          <w:sz w:val="24"/>
          <w:szCs w:val="24"/>
        </w:rPr>
        <w:t xml:space="preserve">imitate white, western standards </w:t>
      </w:r>
      <w:r w:rsidR="003F20B0" w:rsidRPr="00BC19F9">
        <w:rPr>
          <w:rFonts w:ascii="Arial" w:hAnsi="Arial" w:cs="Arial"/>
          <w:sz w:val="24"/>
          <w:szCs w:val="24"/>
        </w:rPr>
        <w:t xml:space="preserve">of </w:t>
      </w:r>
      <w:r w:rsidR="00685510" w:rsidRPr="00BC19F9">
        <w:rPr>
          <w:rFonts w:ascii="Arial" w:hAnsi="Arial" w:cs="Arial"/>
          <w:sz w:val="24"/>
          <w:szCs w:val="24"/>
        </w:rPr>
        <w:t>beauty, such as being</w:t>
      </w:r>
      <w:r w:rsidR="00373D82" w:rsidRPr="00BC19F9">
        <w:rPr>
          <w:rFonts w:ascii="Arial" w:hAnsi="Arial" w:cs="Arial"/>
          <w:sz w:val="24"/>
          <w:szCs w:val="24"/>
        </w:rPr>
        <w:t xml:space="preserve"> </w:t>
      </w:r>
      <w:r w:rsidR="00685510" w:rsidRPr="00BC19F9">
        <w:rPr>
          <w:rFonts w:ascii="Arial" w:hAnsi="Arial" w:cs="Arial"/>
          <w:sz w:val="24"/>
          <w:szCs w:val="24"/>
        </w:rPr>
        <w:t>slim with large breasts (</w:t>
      </w:r>
      <w:r w:rsidR="00373D82" w:rsidRPr="00BC19F9">
        <w:rPr>
          <w:rFonts w:ascii="Arial" w:hAnsi="Arial" w:cs="Arial"/>
          <w:sz w:val="24"/>
          <w:szCs w:val="24"/>
        </w:rPr>
        <w:t xml:space="preserve">Berkowitz </w:t>
      </w:r>
      <w:r w:rsidR="000701EA">
        <w:rPr>
          <w:rFonts w:ascii="Arial" w:hAnsi="Arial" w:cs="Arial"/>
          <w:sz w:val="24"/>
          <w:szCs w:val="24"/>
        </w:rPr>
        <w:t>and</w:t>
      </w:r>
      <w:r w:rsidR="00373D82" w:rsidRPr="00BC19F9">
        <w:rPr>
          <w:rFonts w:ascii="Arial" w:hAnsi="Arial" w:cs="Arial"/>
          <w:sz w:val="24"/>
          <w:szCs w:val="24"/>
        </w:rPr>
        <w:t xml:space="preserve"> Belgrave, 2010; Berkowitz </w:t>
      </w:r>
      <w:r w:rsidR="00373D82" w:rsidRPr="000701EA">
        <w:rPr>
          <w:rFonts w:ascii="Arial" w:hAnsi="Arial" w:cs="Arial"/>
          <w:i/>
          <w:iCs/>
          <w:sz w:val="24"/>
          <w:szCs w:val="24"/>
        </w:rPr>
        <w:t>et al.,</w:t>
      </w:r>
      <w:r w:rsidR="00373D82" w:rsidRPr="00BC19F9">
        <w:rPr>
          <w:rFonts w:ascii="Arial" w:hAnsi="Arial" w:cs="Arial"/>
          <w:sz w:val="24"/>
          <w:szCs w:val="24"/>
        </w:rPr>
        <w:t xml:space="preserve"> 2007; </w:t>
      </w:r>
      <w:r w:rsidR="00685510" w:rsidRPr="00BC19F9">
        <w:rPr>
          <w:rFonts w:ascii="Arial" w:hAnsi="Arial" w:cs="Arial"/>
          <w:sz w:val="24"/>
          <w:szCs w:val="24"/>
        </w:rPr>
        <w:t xml:space="preserve">Carretta </w:t>
      </w:r>
      <w:r w:rsidR="00685510" w:rsidRPr="00BC19F9">
        <w:rPr>
          <w:rFonts w:ascii="Arial" w:hAnsi="Arial" w:cs="Arial"/>
          <w:i/>
          <w:iCs/>
          <w:sz w:val="24"/>
          <w:szCs w:val="24"/>
        </w:rPr>
        <w:t xml:space="preserve">et al., </w:t>
      </w:r>
      <w:r w:rsidR="00685510" w:rsidRPr="00BC19F9">
        <w:rPr>
          <w:rFonts w:ascii="Arial" w:hAnsi="Arial" w:cs="Arial"/>
          <w:sz w:val="24"/>
          <w:szCs w:val="24"/>
        </w:rPr>
        <w:t>2019; Greaf, 2016</w:t>
      </w:r>
      <w:r w:rsidR="00373D82" w:rsidRPr="00BC19F9">
        <w:rPr>
          <w:rFonts w:ascii="Arial" w:hAnsi="Arial" w:cs="Arial"/>
          <w:sz w:val="24"/>
          <w:szCs w:val="24"/>
        </w:rPr>
        <w:t>; Tewksbury, 1993</w:t>
      </w:r>
      <w:r w:rsidR="00685510" w:rsidRPr="00BC19F9">
        <w:rPr>
          <w:rFonts w:ascii="Arial" w:hAnsi="Arial" w:cs="Arial"/>
          <w:sz w:val="24"/>
          <w:szCs w:val="24"/>
        </w:rPr>
        <w:t>), sometimes attempting to ‘pass’ to audiences as a cisgender woman (Garber, 1992; Greaf, 2016).</w:t>
      </w:r>
      <w:r w:rsidR="00AB57D5" w:rsidRPr="00BC19F9">
        <w:rPr>
          <w:rFonts w:ascii="Arial" w:hAnsi="Arial" w:cs="Arial"/>
          <w:sz w:val="24"/>
          <w:szCs w:val="24"/>
        </w:rPr>
        <w:t xml:space="preserve"> Image 2 portrays this, and all images chosen are of white drag queens, reflecting the majority of drag queens in western society (Berkowitz et al., 2007).</w:t>
      </w:r>
    </w:p>
    <w:p w14:paraId="4A63C80D" w14:textId="6A2BEE12" w:rsidR="00E42023" w:rsidRDefault="00F206F5" w:rsidP="00957BB6">
      <w:pPr>
        <w:spacing w:line="360" w:lineRule="auto"/>
        <w:jc w:val="both"/>
        <w:rPr>
          <w:rFonts w:ascii="Arial" w:hAnsi="Arial" w:cs="Arial"/>
          <w:sz w:val="24"/>
          <w:szCs w:val="24"/>
        </w:rPr>
      </w:pPr>
      <w:r>
        <w:rPr>
          <w:rFonts w:ascii="Arial" w:hAnsi="Arial" w:cs="Arial"/>
          <w:sz w:val="24"/>
          <w:szCs w:val="24"/>
        </w:rPr>
        <w:t xml:space="preserve">The stereotype of drag queens being sexualised is mainly applied to those who are young (over 20, but under 35) (Carretta </w:t>
      </w:r>
      <w:r>
        <w:rPr>
          <w:rFonts w:ascii="Arial" w:hAnsi="Arial" w:cs="Arial"/>
          <w:i/>
          <w:iCs/>
          <w:sz w:val="24"/>
          <w:szCs w:val="24"/>
        </w:rPr>
        <w:t xml:space="preserve">et al., </w:t>
      </w:r>
      <w:r>
        <w:rPr>
          <w:rFonts w:ascii="Arial" w:hAnsi="Arial" w:cs="Arial"/>
          <w:sz w:val="24"/>
          <w:szCs w:val="24"/>
        </w:rPr>
        <w:t>2019)</w:t>
      </w:r>
      <w:r w:rsidR="00ED2A6A">
        <w:rPr>
          <w:rFonts w:ascii="Arial" w:hAnsi="Arial" w:cs="Arial"/>
          <w:sz w:val="24"/>
          <w:szCs w:val="24"/>
        </w:rPr>
        <w:t xml:space="preserve"> </w:t>
      </w:r>
      <w:r>
        <w:rPr>
          <w:rFonts w:ascii="Arial" w:hAnsi="Arial" w:cs="Arial"/>
          <w:sz w:val="24"/>
          <w:szCs w:val="24"/>
        </w:rPr>
        <w:t>and slender, creating a preference for slimmer bodies, labelling these as ‘appropriately female’ (</w:t>
      </w:r>
      <w:r w:rsidRPr="00405216">
        <w:rPr>
          <w:rFonts w:ascii="Arial" w:hAnsi="Arial" w:cs="Arial"/>
          <w:sz w:val="24"/>
          <w:szCs w:val="24"/>
        </w:rPr>
        <w:t>Darnell and Tabatabai</w:t>
      </w:r>
      <w:r>
        <w:rPr>
          <w:rFonts w:ascii="Arial" w:hAnsi="Arial" w:cs="Arial"/>
          <w:sz w:val="24"/>
          <w:szCs w:val="24"/>
        </w:rPr>
        <w:t xml:space="preserve">, </w:t>
      </w:r>
      <w:r w:rsidRPr="00405216">
        <w:rPr>
          <w:rFonts w:ascii="Arial" w:hAnsi="Arial" w:cs="Arial"/>
          <w:sz w:val="24"/>
          <w:szCs w:val="24"/>
        </w:rPr>
        <w:t>2017)</w:t>
      </w:r>
      <w:r>
        <w:rPr>
          <w:rFonts w:ascii="Arial" w:hAnsi="Arial" w:cs="Arial"/>
          <w:sz w:val="24"/>
          <w:szCs w:val="24"/>
        </w:rPr>
        <w:t xml:space="preserve">. Drag queens often experienced being objectified by audiences (Wiseman and Moradi, 2010), including touching, which led to cash tips, </w:t>
      </w:r>
      <w:r w:rsidR="002D35BC">
        <w:rPr>
          <w:rFonts w:ascii="Arial" w:hAnsi="Arial" w:cs="Arial"/>
          <w:sz w:val="24"/>
          <w:szCs w:val="24"/>
        </w:rPr>
        <w:t>suggest</w:t>
      </w:r>
      <w:r w:rsidR="005C440E">
        <w:rPr>
          <w:rFonts w:ascii="Arial" w:hAnsi="Arial" w:cs="Arial"/>
          <w:sz w:val="24"/>
          <w:szCs w:val="24"/>
        </w:rPr>
        <w:t>ing</w:t>
      </w:r>
      <w:r>
        <w:rPr>
          <w:rFonts w:ascii="Arial" w:hAnsi="Arial" w:cs="Arial"/>
          <w:sz w:val="24"/>
          <w:szCs w:val="24"/>
        </w:rPr>
        <w:t xml:space="preserve"> that drag queens </w:t>
      </w:r>
      <w:r w:rsidR="00ED2A6A">
        <w:rPr>
          <w:rFonts w:ascii="Arial" w:hAnsi="Arial" w:cs="Arial"/>
          <w:sz w:val="24"/>
          <w:szCs w:val="24"/>
        </w:rPr>
        <w:t>perpetuated</w:t>
      </w:r>
      <w:r>
        <w:rPr>
          <w:rFonts w:ascii="Arial" w:hAnsi="Arial" w:cs="Arial"/>
          <w:sz w:val="24"/>
          <w:szCs w:val="24"/>
        </w:rPr>
        <w:t xml:space="preserve"> these stereotypes to </w:t>
      </w:r>
      <w:r w:rsidR="002D35BC">
        <w:rPr>
          <w:rFonts w:ascii="Arial" w:hAnsi="Arial" w:cs="Arial"/>
          <w:sz w:val="24"/>
          <w:szCs w:val="24"/>
        </w:rPr>
        <w:t>increase income</w:t>
      </w:r>
      <w:r>
        <w:rPr>
          <w:rFonts w:ascii="Arial" w:hAnsi="Arial" w:cs="Arial"/>
          <w:sz w:val="24"/>
          <w:szCs w:val="24"/>
        </w:rPr>
        <w:t xml:space="preserve"> </w:t>
      </w:r>
      <w:r w:rsidRPr="00F206F5">
        <w:rPr>
          <w:rFonts w:ascii="Arial" w:hAnsi="Arial" w:cs="Arial"/>
          <w:sz w:val="24"/>
          <w:szCs w:val="24"/>
        </w:rPr>
        <w:t xml:space="preserve">(Carretta </w:t>
      </w:r>
      <w:r w:rsidRPr="00F206F5">
        <w:rPr>
          <w:rFonts w:ascii="Arial" w:hAnsi="Arial" w:cs="Arial"/>
          <w:i/>
          <w:iCs/>
          <w:sz w:val="24"/>
          <w:szCs w:val="24"/>
        </w:rPr>
        <w:t xml:space="preserve">et al., </w:t>
      </w:r>
      <w:r w:rsidRPr="00F206F5">
        <w:rPr>
          <w:rFonts w:ascii="Arial" w:hAnsi="Arial" w:cs="Arial"/>
          <w:sz w:val="24"/>
          <w:szCs w:val="24"/>
        </w:rPr>
        <w:t>2019)</w:t>
      </w:r>
      <w:r>
        <w:rPr>
          <w:rFonts w:ascii="Arial" w:hAnsi="Arial" w:cs="Arial"/>
          <w:sz w:val="24"/>
          <w:szCs w:val="24"/>
        </w:rPr>
        <w:t>.</w:t>
      </w:r>
      <w:r w:rsidR="00E42023">
        <w:rPr>
          <w:rFonts w:ascii="Arial" w:hAnsi="Arial" w:cs="Arial"/>
          <w:sz w:val="24"/>
          <w:szCs w:val="24"/>
        </w:rPr>
        <w:t xml:space="preserve"> Although this stereotype may be played upon by drag queens for financial gains, it could also lead to them becoming marginalised. An empirical study conducted by Berkowitz and Belgrave (2010, p.169) included a drag queen stating that some people called them ‘sluts’ and assumed they were trying to seduce straight men.</w:t>
      </w:r>
    </w:p>
    <w:p w14:paraId="1518F7FC" w14:textId="28DB8F38" w:rsidR="00BD556C" w:rsidRPr="000602FC" w:rsidRDefault="00373D82" w:rsidP="00957BB6">
      <w:pPr>
        <w:spacing w:line="360" w:lineRule="auto"/>
        <w:jc w:val="both"/>
        <w:rPr>
          <w:rFonts w:ascii="Arial" w:hAnsi="Arial" w:cs="Arial"/>
          <w:sz w:val="24"/>
          <w:szCs w:val="24"/>
        </w:rPr>
      </w:pPr>
      <w:r>
        <w:rPr>
          <w:rFonts w:ascii="Arial" w:hAnsi="Arial" w:cs="Arial"/>
          <w:sz w:val="24"/>
          <w:szCs w:val="24"/>
        </w:rPr>
        <w:t xml:space="preserve">Carretta </w:t>
      </w:r>
      <w:r>
        <w:rPr>
          <w:rFonts w:ascii="Arial" w:hAnsi="Arial" w:cs="Arial"/>
          <w:i/>
          <w:iCs/>
          <w:sz w:val="24"/>
          <w:szCs w:val="24"/>
        </w:rPr>
        <w:t xml:space="preserve">et al’s. </w:t>
      </w:r>
      <w:r>
        <w:rPr>
          <w:rFonts w:ascii="Arial" w:hAnsi="Arial" w:cs="Arial"/>
          <w:sz w:val="24"/>
          <w:szCs w:val="24"/>
        </w:rPr>
        <w:t>(2019) study into drag performances show that drag queens act out sexualised</w:t>
      </w:r>
      <w:r w:rsidR="003F20B0">
        <w:rPr>
          <w:rFonts w:ascii="Arial" w:hAnsi="Arial" w:cs="Arial"/>
          <w:sz w:val="24"/>
          <w:szCs w:val="24"/>
        </w:rPr>
        <w:t xml:space="preserve"> </w:t>
      </w:r>
      <w:r>
        <w:rPr>
          <w:rFonts w:ascii="Arial" w:hAnsi="Arial" w:cs="Arial"/>
          <w:sz w:val="24"/>
          <w:szCs w:val="24"/>
        </w:rPr>
        <w:t xml:space="preserve">shows of femininity that replicate heteronormative ideals. Drag queens not only use wigs, makeup, padding and clothing, but may shave body hair and diet to achieve this. Rupp </w:t>
      </w:r>
      <w:r>
        <w:rPr>
          <w:rFonts w:ascii="Arial" w:hAnsi="Arial" w:cs="Arial"/>
          <w:i/>
          <w:iCs/>
          <w:sz w:val="24"/>
          <w:szCs w:val="24"/>
        </w:rPr>
        <w:t xml:space="preserve">et al. </w:t>
      </w:r>
      <w:r>
        <w:rPr>
          <w:rFonts w:ascii="Arial" w:hAnsi="Arial" w:cs="Arial"/>
          <w:sz w:val="24"/>
          <w:szCs w:val="24"/>
        </w:rPr>
        <w:t xml:space="preserve">(2010) </w:t>
      </w:r>
      <w:r w:rsidR="004E2938">
        <w:rPr>
          <w:rFonts w:ascii="Arial" w:hAnsi="Arial" w:cs="Arial"/>
          <w:sz w:val="24"/>
          <w:szCs w:val="24"/>
        </w:rPr>
        <w:t>used queer theory to argue</w:t>
      </w:r>
      <w:r>
        <w:rPr>
          <w:rFonts w:ascii="Arial" w:hAnsi="Arial" w:cs="Arial"/>
          <w:sz w:val="24"/>
          <w:szCs w:val="24"/>
        </w:rPr>
        <w:t xml:space="preserve"> that drag queens elicit non-normative sexual responses from audiences</w:t>
      </w:r>
      <w:r w:rsidR="00A24C83">
        <w:rPr>
          <w:rFonts w:ascii="Arial" w:hAnsi="Arial" w:cs="Arial"/>
          <w:sz w:val="24"/>
          <w:szCs w:val="24"/>
        </w:rPr>
        <w:t xml:space="preserve"> (Marcel, 2014)</w:t>
      </w:r>
      <w:r>
        <w:rPr>
          <w:rFonts w:ascii="Arial" w:hAnsi="Arial" w:cs="Arial"/>
          <w:sz w:val="24"/>
          <w:szCs w:val="24"/>
        </w:rPr>
        <w:t xml:space="preserve">, whilst others </w:t>
      </w:r>
      <w:r>
        <w:rPr>
          <w:rFonts w:ascii="Arial" w:hAnsi="Arial" w:cs="Arial"/>
          <w:sz w:val="24"/>
          <w:szCs w:val="24"/>
        </w:rPr>
        <w:lastRenderedPageBreak/>
        <w:t xml:space="preserve">suggests that they reinforce heteronormative desire through their portrayal of feminine beauty </w:t>
      </w:r>
      <w:r w:rsidRPr="00B021B5">
        <w:rPr>
          <w:rFonts w:ascii="Arial" w:hAnsi="Arial" w:cs="Arial"/>
          <w:sz w:val="24"/>
          <w:szCs w:val="24"/>
        </w:rPr>
        <w:t>(Dolan, 1985;</w:t>
      </w:r>
      <w:r>
        <w:rPr>
          <w:rFonts w:ascii="Arial" w:hAnsi="Arial" w:cs="Arial"/>
          <w:sz w:val="24"/>
          <w:szCs w:val="24"/>
        </w:rPr>
        <w:t xml:space="preserve"> </w:t>
      </w:r>
      <w:r w:rsidRPr="00B021B5">
        <w:rPr>
          <w:rFonts w:ascii="Arial" w:hAnsi="Arial" w:cs="Arial"/>
          <w:sz w:val="24"/>
          <w:szCs w:val="24"/>
        </w:rPr>
        <w:t>Frye, 1983; Schacht, 2000; Tewksbury, 1994).</w:t>
      </w:r>
      <w:r w:rsidR="00F206F5">
        <w:rPr>
          <w:rFonts w:ascii="Arial" w:hAnsi="Arial" w:cs="Arial"/>
          <w:sz w:val="24"/>
          <w:szCs w:val="24"/>
        </w:rPr>
        <w:t xml:space="preserve"> Greaf’s (2016) study</w:t>
      </w:r>
      <w:r w:rsidR="00E42023">
        <w:rPr>
          <w:rFonts w:ascii="Arial" w:hAnsi="Arial" w:cs="Arial"/>
          <w:sz w:val="24"/>
          <w:szCs w:val="24"/>
        </w:rPr>
        <w:t xml:space="preserve"> is relevant here, as </w:t>
      </w:r>
      <w:r w:rsidR="00F206F5">
        <w:rPr>
          <w:rFonts w:ascii="Arial" w:hAnsi="Arial" w:cs="Arial"/>
          <w:sz w:val="24"/>
          <w:szCs w:val="24"/>
        </w:rPr>
        <w:t xml:space="preserve">the drag queens interviewed </w:t>
      </w:r>
      <w:r w:rsidR="000602FC">
        <w:rPr>
          <w:rFonts w:ascii="Arial" w:hAnsi="Arial" w:cs="Arial"/>
          <w:sz w:val="24"/>
          <w:szCs w:val="24"/>
        </w:rPr>
        <w:t>highlighted heterosexual audience members expressing a sexual attraction towards them, despite knowing that they were male. This is because some drag queens, including Aquaria, use their performances to continue heteronormative gender stereotypes</w:t>
      </w:r>
      <w:r w:rsidR="00B46B45">
        <w:rPr>
          <w:rFonts w:ascii="Arial" w:hAnsi="Arial" w:cs="Arial"/>
          <w:sz w:val="24"/>
          <w:szCs w:val="24"/>
        </w:rPr>
        <w:t xml:space="preserve"> (Greaf, 2016)</w:t>
      </w:r>
      <w:r w:rsidR="000602FC">
        <w:rPr>
          <w:rFonts w:ascii="Arial" w:hAnsi="Arial" w:cs="Arial"/>
          <w:sz w:val="24"/>
          <w:szCs w:val="24"/>
        </w:rPr>
        <w:t xml:space="preserve">, which aids audience members in constructing their </w:t>
      </w:r>
      <w:r w:rsidR="00951FF8">
        <w:rPr>
          <w:rFonts w:ascii="Arial" w:hAnsi="Arial" w:cs="Arial"/>
          <w:sz w:val="24"/>
          <w:szCs w:val="24"/>
        </w:rPr>
        <w:t>understanding of reality</w:t>
      </w:r>
      <w:r w:rsidR="000602FC">
        <w:rPr>
          <w:rFonts w:ascii="Arial" w:hAnsi="Arial" w:cs="Arial"/>
          <w:sz w:val="24"/>
          <w:szCs w:val="24"/>
        </w:rPr>
        <w:t xml:space="preserve"> </w:t>
      </w:r>
      <w:r w:rsidR="000602FC" w:rsidRPr="00CA7A5C">
        <w:rPr>
          <w:rFonts w:ascii="Arial" w:hAnsi="Arial" w:cs="Arial"/>
          <w:sz w:val="24"/>
          <w:szCs w:val="24"/>
        </w:rPr>
        <w:t>(Johnson, 2004).</w:t>
      </w:r>
      <w:r w:rsidR="000602FC">
        <w:rPr>
          <w:rFonts w:ascii="Arial" w:hAnsi="Arial" w:cs="Arial"/>
          <w:sz w:val="24"/>
          <w:szCs w:val="24"/>
        </w:rPr>
        <w:t xml:space="preserve"> Drag queens style their wigs, choose feminine </w:t>
      </w:r>
      <w:r w:rsidR="005C440E">
        <w:rPr>
          <w:rFonts w:ascii="Arial" w:hAnsi="Arial" w:cs="Arial"/>
          <w:sz w:val="24"/>
          <w:szCs w:val="24"/>
        </w:rPr>
        <w:t>clothing,</w:t>
      </w:r>
      <w:r w:rsidR="000602FC">
        <w:rPr>
          <w:rFonts w:ascii="Arial" w:hAnsi="Arial" w:cs="Arial"/>
          <w:sz w:val="24"/>
          <w:szCs w:val="24"/>
        </w:rPr>
        <w:t xml:space="preserve"> and create sexualised personas to reflect the images that audiences have consumed from media </w:t>
      </w:r>
      <w:r w:rsidR="000602FC" w:rsidRPr="00CA7A5C">
        <w:rPr>
          <w:rFonts w:ascii="Arial" w:hAnsi="Arial" w:cs="Arial"/>
          <w:sz w:val="24"/>
          <w:szCs w:val="24"/>
        </w:rPr>
        <w:t>(Greaf, 2016)</w:t>
      </w:r>
      <w:r w:rsidR="000602FC">
        <w:rPr>
          <w:rFonts w:ascii="Arial" w:hAnsi="Arial" w:cs="Arial"/>
          <w:sz w:val="24"/>
          <w:szCs w:val="24"/>
        </w:rPr>
        <w:t xml:space="preserve">. </w:t>
      </w:r>
      <w:r w:rsidR="00E42023">
        <w:rPr>
          <w:rFonts w:ascii="Arial" w:hAnsi="Arial" w:cs="Arial"/>
          <w:sz w:val="24"/>
          <w:szCs w:val="24"/>
        </w:rPr>
        <w:t>T</w:t>
      </w:r>
      <w:r w:rsidR="000602FC">
        <w:rPr>
          <w:rFonts w:ascii="Arial" w:hAnsi="Arial" w:cs="Arial"/>
          <w:sz w:val="24"/>
          <w:szCs w:val="24"/>
        </w:rPr>
        <w:t>his suggest</w:t>
      </w:r>
      <w:r w:rsidR="00E42023">
        <w:rPr>
          <w:rFonts w:ascii="Arial" w:hAnsi="Arial" w:cs="Arial"/>
          <w:sz w:val="24"/>
          <w:szCs w:val="24"/>
        </w:rPr>
        <w:t>s</w:t>
      </w:r>
      <w:r w:rsidR="000602FC">
        <w:rPr>
          <w:rFonts w:ascii="Arial" w:hAnsi="Arial" w:cs="Arial"/>
          <w:sz w:val="24"/>
          <w:szCs w:val="24"/>
        </w:rPr>
        <w:t xml:space="preserve"> that drag queens are aware of the stereotype of them being </w:t>
      </w:r>
      <w:r w:rsidR="005C440E">
        <w:rPr>
          <w:rFonts w:ascii="Arial" w:hAnsi="Arial" w:cs="Arial"/>
          <w:sz w:val="24"/>
          <w:szCs w:val="24"/>
        </w:rPr>
        <w:t>sexualised and</w:t>
      </w:r>
      <w:r w:rsidR="000602FC">
        <w:rPr>
          <w:rFonts w:ascii="Arial" w:hAnsi="Arial" w:cs="Arial"/>
          <w:sz w:val="24"/>
          <w:szCs w:val="24"/>
        </w:rPr>
        <w:t xml:space="preserve"> continue this in their performances to achieve financial security, even if this leads to marginalis</w:t>
      </w:r>
      <w:r w:rsidR="005C440E">
        <w:rPr>
          <w:rFonts w:ascii="Arial" w:hAnsi="Arial" w:cs="Arial"/>
          <w:sz w:val="24"/>
          <w:szCs w:val="24"/>
        </w:rPr>
        <w:t>ation</w:t>
      </w:r>
      <w:r w:rsidR="000602FC">
        <w:rPr>
          <w:rFonts w:ascii="Arial" w:hAnsi="Arial" w:cs="Arial"/>
          <w:sz w:val="24"/>
          <w:szCs w:val="24"/>
        </w:rPr>
        <w:t xml:space="preserve">. </w:t>
      </w:r>
    </w:p>
    <w:p w14:paraId="3DA4E76D" w14:textId="2B2677EC" w:rsidR="000D6AB1" w:rsidRDefault="000D6AB1" w:rsidP="00957BB6">
      <w:pPr>
        <w:spacing w:line="360" w:lineRule="auto"/>
        <w:jc w:val="both"/>
        <w:rPr>
          <w:rFonts w:ascii="Arial" w:hAnsi="Arial" w:cs="Arial"/>
          <w:sz w:val="24"/>
          <w:szCs w:val="24"/>
        </w:rPr>
      </w:pPr>
      <w:r>
        <w:rPr>
          <w:rFonts w:ascii="Arial" w:hAnsi="Arial" w:cs="Arial"/>
          <w:sz w:val="24"/>
          <w:szCs w:val="24"/>
        </w:rPr>
        <w:t>The final stereotype associated with drag queens considered in this submission</w:t>
      </w:r>
      <w:r w:rsidR="00B621F6">
        <w:rPr>
          <w:rFonts w:ascii="Arial" w:hAnsi="Arial" w:cs="Arial"/>
          <w:sz w:val="24"/>
          <w:szCs w:val="24"/>
        </w:rPr>
        <w:t>,</w:t>
      </w:r>
      <w:r>
        <w:rPr>
          <w:rFonts w:ascii="Arial" w:hAnsi="Arial" w:cs="Arial"/>
          <w:sz w:val="24"/>
          <w:szCs w:val="24"/>
        </w:rPr>
        <w:t xml:space="preserve"> is that they use their </w:t>
      </w:r>
      <w:r w:rsidR="00B621F6">
        <w:rPr>
          <w:rFonts w:ascii="Arial" w:hAnsi="Arial" w:cs="Arial"/>
          <w:sz w:val="24"/>
          <w:szCs w:val="24"/>
        </w:rPr>
        <w:t>gender presentation</w:t>
      </w:r>
      <w:r>
        <w:rPr>
          <w:rFonts w:ascii="Arial" w:hAnsi="Arial" w:cs="Arial"/>
          <w:sz w:val="24"/>
          <w:szCs w:val="24"/>
        </w:rPr>
        <w:t xml:space="preserve"> to shock audiences. Image </w:t>
      </w:r>
      <w:r w:rsidR="002912D8">
        <w:rPr>
          <w:rFonts w:ascii="Arial" w:hAnsi="Arial" w:cs="Arial"/>
          <w:sz w:val="24"/>
          <w:szCs w:val="24"/>
        </w:rPr>
        <w:t>3</w:t>
      </w:r>
      <w:r>
        <w:rPr>
          <w:rFonts w:ascii="Arial" w:hAnsi="Arial" w:cs="Arial"/>
          <w:sz w:val="24"/>
          <w:szCs w:val="24"/>
        </w:rPr>
        <w:t xml:space="preserve"> (Mitsis, 2021) portrays Fatt Butcher</w:t>
      </w:r>
      <w:r w:rsidR="002D35BC">
        <w:rPr>
          <w:rFonts w:ascii="Arial" w:hAnsi="Arial" w:cs="Arial"/>
          <w:sz w:val="24"/>
          <w:szCs w:val="24"/>
        </w:rPr>
        <w:t xml:space="preserve"> </w:t>
      </w:r>
      <w:r>
        <w:rPr>
          <w:rFonts w:ascii="Arial" w:hAnsi="Arial" w:cs="Arial"/>
          <w:sz w:val="24"/>
          <w:szCs w:val="24"/>
        </w:rPr>
        <w:t>who has body hair, but wears full makeup and stereotypically feminine clothing. This challenges heteronormative views</w:t>
      </w:r>
      <w:r w:rsidR="00B66260">
        <w:rPr>
          <w:rFonts w:ascii="Arial" w:hAnsi="Arial" w:cs="Arial"/>
          <w:sz w:val="24"/>
          <w:szCs w:val="24"/>
        </w:rPr>
        <w:t xml:space="preserve"> on gender</w:t>
      </w:r>
      <w:r>
        <w:rPr>
          <w:rFonts w:ascii="Arial" w:hAnsi="Arial" w:cs="Arial"/>
          <w:sz w:val="24"/>
          <w:szCs w:val="24"/>
        </w:rPr>
        <w:t xml:space="preserve"> (Greaf, 2016) and </w:t>
      </w:r>
      <w:r w:rsidR="00B66260">
        <w:rPr>
          <w:rFonts w:ascii="Arial" w:hAnsi="Arial" w:cs="Arial"/>
          <w:sz w:val="24"/>
          <w:szCs w:val="24"/>
        </w:rPr>
        <w:t>perpetuates the</w:t>
      </w:r>
      <w:r>
        <w:rPr>
          <w:rFonts w:ascii="Arial" w:hAnsi="Arial" w:cs="Arial"/>
          <w:sz w:val="24"/>
          <w:szCs w:val="24"/>
        </w:rPr>
        <w:t xml:space="preserve"> stereotype that drag queens adopt this persona to shock audiences.</w:t>
      </w:r>
    </w:p>
    <w:p w14:paraId="3600D61E" w14:textId="7A602581" w:rsidR="00C80B37" w:rsidRDefault="00C80B37" w:rsidP="00957BB6">
      <w:pPr>
        <w:spacing w:line="360" w:lineRule="auto"/>
        <w:jc w:val="both"/>
        <w:rPr>
          <w:rFonts w:ascii="Arial" w:hAnsi="Arial" w:cs="Arial"/>
          <w:sz w:val="24"/>
          <w:szCs w:val="24"/>
        </w:rPr>
      </w:pPr>
      <w:r>
        <w:rPr>
          <w:rFonts w:ascii="Arial" w:hAnsi="Arial" w:cs="Arial"/>
          <w:sz w:val="24"/>
          <w:szCs w:val="24"/>
        </w:rPr>
        <w:t xml:space="preserve">A heteronormative society assumes someone that looks and acts as a man is a man, and that someone who looks and acts </w:t>
      </w:r>
      <w:r w:rsidR="00B46B45">
        <w:rPr>
          <w:rFonts w:ascii="Arial" w:hAnsi="Arial" w:cs="Arial"/>
          <w:sz w:val="24"/>
          <w:szCs w:val="24"/>
        </w:rPr>
        <w:t>as</w:t>
      </w:r>
      <w:r>
        <w:rPr>
          <w:rFonts w:ascii="Arial" w:hAnsi="Arial" w:cs="Arial"/>
          <w:sz w:val="24"/>
          <w:szCs w:val="24"/>
        </w:rPr>
        <w:t xml:space="preserve"> a woman is a woman </w:t>
      </w:r>
      <w:r w:rsidRPr="00F45778">
        <w:rPr>
          <w:rFonts w:ascii="Arial" w:hAnsi="Arial" w:cs="Arial"/>
          <w:sz w:val="24"/>
          <w:szCs w:val="24"/>
        </w:rPr>
        <w:t>(Devor, 2002, p. 528; Greaf, 2016)</w:t>
      </w:r>
      <w:r>
        <w:rPr>
          <w:rFonts w:ascii="Arial" w:hAnsi="Arial" w:cs="Arial"/>
          <w:sz w:val="24"/>
          <w:szCs w:val="24"/>
        </w:rPr>
        <w:t>, which drag queens</w:t>
      </w:r>
      <w:r w:rsidR="00EB0887">
        <w:rPr>
          <w:rFonts w:ascii="Arial" w:hAnsi="Arial" w:cs="Arial"/>
          <w:sz w:val="24"/>
          <w:szCs w:val="24"/>
        </w:rPr>
        <w:t xml:space="preserve"> and queer </w:t>
      </w:r>
      <w:r w:rsidR="00B621F6">
        <w:rPr>
          <w:rFonts w:ascii="Arial" w:hAnsi="Arial" w:cs="Arial"/>
          <w:sz w:val="24"/>
          <w:szCs w:val="24"/>
        </w:rPr>
        <w:t>theorists’</w:t>
      </w:r>
      <w:r>
        <w:rPr>
          <w:rFonts w:ascii="Arial" w:hAnsi="Arial" w:cs="Arial"/>
          <w:sz w:val="24"/>
          <w:szCs w:val="24"/>
        </w:rPr>
        <w:t xml:space="preserve"> challenge.</w:t>
      </w:r>
      <w:r w:rsidR="00341460">
        <w:rPr>
          <w:rFonts w:ascii="Arial" w:hAnsi="Arial" w:cs="Arial"/>
          <w:sz w:val="24"/>
          <w:szCs w:val="24"/>
        </w:rPr>
        <w:t xml:space="preserve"> Gender diversity has traditionally been accepted in various cultures, notably the Asian subcontinent (Vincent and Manzano, 2017), but</w:t>
      </w:r>
      <w:r w:rsidR="0096098F">
        <w:rPr>
          <w:rFonts w:ascii="Arial" w:hAnsi="Arial" w:cs="Arial"/>
          <w:sz w:val="24"/>
          <w:szCs w:val="24"/>
        </w:rPr>
        <w:t xml:space="preserve"> </w:t>
      </w:r>
      <w:r w:rsidR="00341460">
        <w:rPr>
          <w:rFonts w:ascii="Arial" w:hAnsi="Arial" w:cs="Arial"/>
          <w:sz w:val="24"/>
          <w:szCs w:val="24"/>
        </w:rPr>
        <w:t>i</w:t>
      </w:r>
      <w:r w:rsidR="0096098F">
        <w:rPr>
          <w:rFonts w:ascii="Arial" w:hAnsi="Arial" w:cs="Arial"/>
          <w:sz w:val="24"/>
          <w:szCs w:val="24"/>
        </w:rPr>
        <w:t xml:space="preserve">n many Western societies, cross-dressing is viewed as deviant, meaning that drag queen performances interact with social expectations of gender and create stereotypes (Greaf, 2016; Knutson </w:t>
      </w:r>
      <w:r w:rsidR="0096098F">
        <w:rPr>
          <w:rFonts w:ascii="Arial" w:hAnsi="Arial" w:cs="Arial"/>
          <w:i/>
          <w:iCs/>
          <w:sz w:val="24"/>
          <w:szCs w:val="24"/>
        </w:rPr>
        <w:t xml:space="preserve">et al., </w:t>
      </w:r>
      <w:r w:rsidR="0096098F">
        <w:rPr>
          <w:rFonts w:ascii="Arial" w:hAnsi="Arial" w:cs="Arial"/>
          <w:sz w:val="24"/>
          <w:szCs w:val="24"/>
        </w:rPr>
        <w:t xml:space="preserve">2019; Rupp </w:t>
      </w:r>
      <w:r w:rsidR="0096098F">
        <w:rPr>
          <w:rFonts w:ascii="Arial" w:hAnsi="Arial" w:cs="Arial"/>
          <w:i/>
          <w:iCs/>
          <w:sz w:val="24"/>
          <w:szCs w:val="24"/>
        </w:rPr>
        <w:t xml:space="preserve">et al., </w:t>
      </w:r>
      <w:r w:rsidR="0096098F">
        <w:rPr>
          <w:rFonts w:ascii="Arial" w:hAnsi="Arial" w:cs="Arial"/>
          <w:sz w:val="24"/>
          <w:szCs w:val="24"/>
        </w:rPr>
        <w:t xml:space="preserve">2010; </w:t>
      </w:r>
      <w:r w:rsidR="002912D8">
        <w:rPr>
          <w:rFonts w:ascii="Arial" w:hAnsi="Arial" w:cs="Arial"/>
          <w:sz w:val="24"/>
          <w:szCs w:val="24"/>
        </w:rPr>
        <w:t xml:space="preserve">Schechner, 2003; </w:t>
      </w:r>
      <w:r w:rsidR="0096098F">
        <w:rPr>
          <w:rFonts w:ascii="Arial" w:hAnsi="Arial" w:cs="Arial"/>
          <w:sz w:val="24"/>
          <w:szCs w:val="24"/>
        </w:rPr>
        <w:t xml:space="preserve">Schmid and Payam, 2022). Rupp </w:t>
      </w:r>
      <w:r w:rsidR="0096098F">
        <w:rPr>
          <w:rFonts w:ascii="Arial" w:hAnsi="Arial" w:cs="Arial"/>
          <w:i/>
          <w:iCs/>
          <w:sz w:val="24"/>
          <w:szCs w:val="24"/>
        </w:rPr>
        <w:t>et al</w:t>
      </w:r>
      <w:r w:rsidR="00B66260">
        <w:rPr>
          <w:rFonts w:ascii="Arial" w:hAnsi="Arial" w:cs="Arial"/>
          <w:i/>
          <w:iCs/>
          <w:sz w:val="24"/>
          <w:szCs w:val="24"/>
        </w:rPr>
        <w:t>’</w:t>
      </w:r>
      <w:r w:rsidR="0096098F">
        <w:rPr>
          <w:rFonts w:ascii="Arial" w:hAnsi="Arial" w:cs="Arial"/>
          <w:i/>
          <w:iCs/>
          <w:sz w:val="24"/>
          <w:szCs w:val="24"/>
        </w:rPr>
        <w:t>s.</w:t>
      </w:r>
      <w:r w:rsidR="0096098F">
        <w:rPr>
          <w:rFonts w:ascii="Arial" w:hAnsi="Arial" w:cs="Arial"/>
          <w:sz w:val="24"/>
          <w:szCs w:val="24"/>
        </w:rPr>
        <w:t xml:space="preserve"> (2010) research suggested that drag queens are often perceived as being transgender, but Barnett and Johnson (2013a) </w:t>
      </w:r>
      <w:r w:rsidR="00B66260">
        <w:rPr>
          <w:rFonts w:ascii="Arial" w:hAnsi="Arial" w:cs="Arial"/>
          <w:sz w:val="24"/>
          <w:szCs w:val="24"/>
        </w:rPr>
        <w:t>state</w:t>
      </w:r>
      <w:r w:rsidR="0096098F">
        <w:rPr>
          <w:rFonts w:ascii="Arial" w:hAnsi="Arial" w:cs="Arial"/>
          <w:sz w:val="24"/>
          <w:szCs w:val="24"/>
        </w:rPr>
        <w:t xml:space="preserve"> that drag queens construct their own gender and portray this to audiences authentically, rather than </w:t>
      </w:r>
      <w:r w:rsidR="00B621F6">
        <w:rPr>
          <w:rFonts w:ascii="Arial" w:hAnsi="Arial" w:cs="Arial"/>
          <w:sz w:val="24"/>
          <w:szCs w:val="24"/>
        </w:rPr>
        <w:t>to</w:t>
      </w:r>
      <w:r w:rsidR="0096098F">
        <w:rPr>
          <w:rFonts w:ascii="Arial" w:hAnsi="Arial" w:cs="Arial"/>
          <w:sz w:val="24"/>
          <w:szCs w:val="24"/>
        </w:rPr>
        <w:t xml:space="preserve"> play into a stereotype of shocking audiences.</w:t>
      </w:r>
    </w:p>
    <w:p w14:paraId="7142668F" w14:textId="393A5E23" w:rsidR="009A477E" w:rsidRDefault="003F1206" w:rsidP="00957BB6">
      <w:pPr>
        <w:spacing w:line="360" w:lineRule="auto"/>
        <w:jc w:val="both"/>
        <w:rPr>
          <w:rFonts w:ascii="Arial" w:hAnsi="Arial" w:cs="Arial"/>
          <w:sz w:val="24"/>
          <w:szCs w:val="24"/>
        </w:rPr>
      </w:pPr>
      <w:r w:rsidRPr="003F1206">
        <w:rPr>
          <w:rFonts w:ascii="Arial" w:hAnsi="Arial" w:cs="Arial"/>
          <w:sz w:val="24"/>
          <w:szCs w:val="24"/>
        </w:rPr>
        <w:t xml:space="preserve">Some have suggested that as drag performance become more mainstream, the shock audiences feel has lessened (Schact and Underwood, 2004; Vidal-Ortiz, 2008), but an element of seeing gender outside of the heteronormative binary may still be shocking, </w:t>
      </w:r>
      <w:r w:rsidRPr="003F1206">
        <w:rPr>
          <w:rFonts w:ascii="Arial" w:hAnsi="Arial" w:cs="Arial"/>
          <w:sz w:val="24"/>
          <w:szCs w:val="24"/>
        </w:rPr>
        <w:lastRenderedPageBreak/>
        <w:t>due to</w:t>
      </w:r>
      <w:r w:rsidR="002D35BC">
        <w:rPr>
          <w:rFonts w:ascii="Arial" w:hAnsi="Arial" w:cs="Arial"/>
          <w:sz w:val="24"/>
          <w:szCs w:val="24"/>
        </w:rPr>
        <w:t xml:space="preserve"> historic</w:t>
      </w:r>
      <w:r w:rsidR="0096098F" w:rsidRPr="003F1206">
        <w:rPr>
          <w:rFonts w:ascii="Arial" w:hAnsi="Arial" w:cs="Arial"/>
          <w:sz w:val="24"/>
          <w:szCs w:val="24"/>
        </w:rPr>
        <w:t xml:space="preserve"> fear associated with the </w:t>
      </w:r>
      <w:r w:rsidR="00B46B45">
        <w:rPr>
          <w:rFonts w:ascii="Arial" w:hAnsi="Arial" w:cs="Arial"/>
          <w:sz w:val="24"/>
          <w:szCs w:val="24"/>
        </w:rPr>
        <w:t>illegality</w:t>
      </w:r>
      <w:r w:rsidR="0096098F" w:rsidRPr="003F1206">
        <w:rPr>
          <w:rFonts w:ascii="Arial" w:hAnsi="Arial" w:cs="Arial"/>
          <w:sz w:val="24"/>
          <w:szCs w:val="24"/>
        </w:rPr>
        <w:t xml:space="preserve"> of same-sex attraction</w:t>
      </w:r>
      <w:r w:rsidRPr="003F1206">
        <w:rPr>
          <w:rFonts w:ascii="Arial" w:hAnsi="Arial" w:cs="Arial"/>
          <w:sz w:val="24"/>
          <w:szCs w:val="24"/>
        </w:rPr>
        <w:t xml:space="preserve"> </w:t>
      </w:r>
      <w:r w:rsidR="0096098F" w:rsidRPr="003F1206">
        <w:rPr>
          <w:rFonts w:ascii="Arial" w:hAnsi="Arial" w:cs="Arial"/>
          <w:sz w:val="24"/>
          <w:szCs w:val="24"/>
        </w:rPr>
        <w:t xml:space="preserve">(Ellis </w:t>
      </w:r>
      <w:r w:rsidR="0096098F" w:rsidRPr="003F1206">
        <w:rPr>
          <w:rFonts w:ascii="Arial" w:hAnsi="Arial" w:cs="Arial"/>
          <w:i/>
          <w:iCs/>
          <w:sz w:val="24"/>
          <w:szCs w:val="24"/>
        </w:rPr>
        <w:t>et al.</w:t>
      </w:r>
      <w:r w:rsidR="0096098F" w:rsidRPr="003F1206">
        <w:rPr>
          <w:rFonts w:ascii="Arial" w:hAnsi="Arial" w:cs="Arial"/>
          <w:sz w:val="24"/>
          <w:szCs w:val="24"/>
        </w:rPr>
        <w:t xml:space="preserve">, 2022). Consequently, drag queens </w:t>
      </w:r>
      <w:r w:rsidR="002D35BC">
        <w:rPr>
          <w:rFonts w:ascii="Arial" w:hAnsi="Arial" w:cs="Arial"/>
          <w:sz w:val="24"/>
          <w:szCs w:val="24"/>
        </w:rPr>
        <w:t>hold</w:t>
      </w:r>
      <w:r w:rsidR="0096098F" w:rsidRPr="003F1206">
        <w:rPr>
          <w:rFonts w:ascii="Arial" w:hAnsi="Arial" w:cs="Arial"/>
          <w:sz w:val="24"/>
          <w:szCs w:val="24"/>
        </w:rPr>
        <w:t xml:space="preserve"> a unique power (Berkowitz and Belgrave, 2010; Rupp </w:t>
      </w:r>
      <w:r w:rsidR="0096098F" w:rsidRPr="003F1206">
        <w:rPr>
          <w:rFonts w:ascii="Arial" w:hAnsi="Arial" w:cs="Arial"/>
          <w:i/>
          <w:iCs/>
          <w:sz w:val="24"/>
          <w:szCs w:val="24"/>
        </w:rPr>
        <w:t xml:space="preserve">et al., </w:t>
      </w:r>
      <w:r w:rsidR="0096098F" w:rsidRPr="003F1206">
        <w:rPr>
          <w:rFonts w:ascii="Arial" w:hAnsi="Arial" w:cs="Arial"/>
          <w:sz w:val="24"/>
          <w:szCs w:val="24"/>
        </w:rPr>
        <w:t>2010)</w:t>
      </w:r>
      <w:r w:rsidR="0096098F" w:rsidRPr="003F1206">
        <w:rPr>
          <w:rFonts w:ascii="Arial" w:hAnsi="Arial" w:cs="Arial"/>
          <w:sz w:val="28"/>
          <w:szCs w:val="28"/>
        </w:rPr>
        <w:t xml:space="preserve">, </w:t>
      </w:r>
      <w:r w:rsidR="0096098F" w:rsidRPr="003F1206">
        <w:rPr>
          <w:rFonts w:ascii="Arial" w:hAnsi="Arial" w:cs="Arial"/>
          <w:sz w:val="24"/>
          <w:szCs w:val="24"/>
        </w:rPr>
        <w:t>as they demonstrate that gender is social</w:t>
      </w:r>
      <w:r w:rsidR="00B46B45">
        <w:rPr>
          <w:rFonts w:ascii="Arial" w:hAnsi="Arial" w:cs="Arial"/>
          <w:sz w:val="24"/>
          <w:szCs w:val="24"/>
        </w:rPr>
        <w:t>ly</w:t>
      </w:r>
      <w:r w:rsidR="0096098F" w:rsidRPr="003F1206">
        <w:rPr>
          <w:rFonts w:ascii="Arial" w:hAnsi="Arial" w:cs="Arial"/>
          <w:sz w:val="24"/>
          <w:szCs w:val="24"/>
        </w:rPr>
        <w:t xml:space="preserve"> construct</w:t>
      </w:r>
      <w:r w:rsidR="00B46B45">
        <w:rPr>
          <w:rFonts w:ascii="Arial" w:hAnsi="Arial" w:cs="Arial"/>
          <w:sz w:val="24"/>
          <w:szCs w:val="24"/>
        </w:rPr>
        <w:t>ed</w:t>
      </w:r>
      <w:r w:rsidR="0096098F" w:rsidRPr="003F1206">
        <w:rPr>
          <w:rFonts w:ascii="Arial" w:hAnsi="Arial" w:cs="Arial"/>
          <w:sz w:val="24"/>
          <w:szCs w:val="24"/>
        </w:rPr>
        <w:t xml:space="preserve"> (Greaf, 2016; West </w:t>
      </w:r>
      <w:r w:rsidR="00B46B45">
        <w:rPr>
          <w:rFonts w:ascii="Arial" w:hAnsi="Arial" w:cs="Arial"/>
          <w:sz w:val="24"/>
          <w:szCs w:val="24"/>
        </w:rPr>
        <w:t>and</w:t>
      </w:r>
      <w:r w:rsidR="0096098F" w:rsidRPr="003F1206">
        <w:rPr>
          <w:rFonts w:ascii="Arial" w:hAnsi="Arial" w:cs="Arial"/>
          <w:sz w:val="24"/>
          <w:szCs w:val="24"/>
        </w:rPr>
        <w:t xml:space="preserve"> Zimmerman, 1987).</w:t>
      </w:r>
    </w:p>
    <w:p w14:paraId="20076364" w14:textId="207AC027" w:rsidR="00341943" w:rsidRDefault="008906DF" w:rsidP="00957BB6">
      <w:pPr>
        <w:spacing w:line="360" w:lineRule="auto"/>
        <w:jc w:val="both"/>
        <w:rPr>
          <w:rFonts w:ascii="Arial" w:hAnsi="Arial" w:cs="Arial"/>
          <w:sz w:val="24"/>
          <w:szCs w:val="24"/>
        </w:rPr>
      </w:pPr>
      <w:r w:rsidRPr="008906DF">
        <w:rPr>
          <w:rFonts w:ascii="Arial" w:hAnsi="Arial" w:cs="Arial"/>
          <w:sz w:val="24"/>
          <w:szCs w:val="24"/>
        </w:rPr>
        <w:t xml:space="preserve">Therefore, despite assertions that drag queens reinforce the patriarchy through performing as females only (Butler, 1988, 1990; Rupp </w:t>
      </w:r>
      <w:r w:rsidRPr="008906DF">
        <w:rPr>
          <w:rFonts w:ascii="Arial" w:hAnsi="Arial" w:cs="Arial"/>
          <w:i/>
          <w:iCs/>
          <w:sz w:val="24"/>
          <w:szCs w:val="24"/>
        </w:rPr>
        <w:t xml:space="preserve">et al., </w:t>
      </w:r>
      <w:r w:rsidRPr="008906DF">
        <w:rPr>
          <w:rFonts w:ascii="Arial" w:hAnsi="Arial" w:cs="Arial"/>
          <w:sz w:val="24"/>
          <w:szCs w:val="24"/>
        </w:rPr>
        <w:t>2010; Schact and Underwood, 2004; Williams, 1995)</w:t>
      </w:r>
      <w:r w:rsidR="0096098F" w:rsidRPr="008906DF">
        <w:rPr>
          <w:rFonts w:ascii="Arial" w:hAnsi="Arial" w:cs="Arial"/>
          <w:sz w:val="24"/>
          <w:szCs w:val="24"/>
        </w:rPr>
        <w:t>, masculinity, femininity and queerness are all included within</w:t>
      </w:r>
      <w:r w:rsidR="00B621F6">
        <w:rPr>
          <w:rFonts w:ascii="Arial" w:hAnsi="Arial" w:cs="Arial"/>
          <w:sz w:val="24"/>
          <w:szCs w:val="24"/>
        </w:rPr>
        <w:t xml:space="preserve"> some</w:t>
      </w:r>
      <w:r w:rsidR="0096098F" w:rsidRPr="008906DF">
        <w:rPr>
          <w:rFonts w:ascii="Arial" w:hAnsi="Arial" w:cs="Arial"/>
          <w:sz w:val="24"/>
          <w:szCs w:val="24"/>
        </w:rPr>
        <w:t xml:space="preserve"> performances </w:t>
      </w:r>
      <w:r w:rsidR="00F91002" w:rsidRPr="008906DF">
        <w:rPr>
          <w:rFonts w:ascii="Arial" w:hAnsi="Arial" w:cs="Arial"/>
          <w:sz w:val="24"/>
          <w:szCs w:val="24"/>
        </w:rPr>
        <w:t xml:space="preserve">(Berkowitz and Belgrave, 2010; Greaf, 2016; Levitt </w:t>
      </w:r>
      <w:r w:rsidR="00F91002" w:rsidRPr="008906DF">
        <w:rPr>
          <w:rFonts w:ascii="Arial" w:hAnsi="Arial" w:cs="Arial"/>
          <w:i/>
          <w:iCs/>
          <w:sz w:val="24"/>
          <w:szCs w:val="24"/>
        </w:rPr>
        <w:t xml:space="preserve">et al., </w:t>
      </w:r>
      <w:r w:rsidR="00F91002" w:rsidRPr="008906DF">
        <w:rPr>
          <w:rFonts w:ascii="Arial" w:hAnsi="Arial" w:cs="Arial"/>
          <w:sz w:val="24"/>
          <w:szCs w:val="24"/>
        </w:rPr>
        <w:t>2018), which questions social systems</w:t>
      </w:r>
      <w:r w:rsidRPr="008906DF">
        <w:rPr>
          <w:rFonts w:ascii="Arial" w:hAnsi="Arial" w:cs="Arial"/>
          <w:sz w:val="24"/>
          <w:szCs w:val="24"/>
        </w:rPr>
        <w:t xml:space="preserve"> </w:t>
      </w:r>
      <w:r w:rsidR="00F91002" w:rsidRPr="008906DF">
        <w:rPr>
          <w:rFonts w:ascii="Arial" w:hAnsi="Arial" w:cs="Arial"/>
          <w:sz w:val="24"/>
          <w:szCs w:val="24"/>
        </w:rPr>
        <w:t>(Barnett and Johnson, 2013a). Queer theorists also argue that drag queens perform transgressive acts, which challenges heteronormative assumptions (Butler, 1993; Garber, 1992; Lorber, 1994, 1999; Muñoz, 1999; Rupp and Taylor, 2003).</w:t>
      </w:r>
      <w:r w:rsidR="00F91002" w:rsidRPr="00A36B42">
        <w:rPr>
          <w:rFonts w:ascii="Arial" w:hAnsi="Arial" w:cs="Arial"/>
          <w:sz w:val="24"/>
          <w:szCs w:val="24"/>
        </w:rPr>
        <w:t xml:space="preserve"> </w:t>
      </w:r>
      <w:r>
        <w:rPr>
          <w:rFonts w:ascii="Arial" w:hAnsi="Arial" w:cs="Arial"/>
          <w:sz w:val="24"/>
          <w:szCs w:val="24"/>
        </w:rPr>
        <w:t xml:space="preserve"> </w:t>
      </w:r>
      <w:r w:rsidR="00B11C0F">
        <w:rPr>
          <w:rFonts w:ascii="Arial" w:hAnsi="Arial" w:cs="Arial"/>
          <w:sz w:val="24"/>
          <w:szCs w:val="24"/>
        </w:rPr>
        <w:t>Drag queen performances may therefore be described as genderqueer, even if the drag queens themselves do not identify as such. Genderqueer performers may identify as both male and female, or somewhere in between (Beemyn, 2009), contrary to the previous assumptions that drag queens were transgender (Stryker and Whittle, 2006; Valentine, 2007).</w:t>
      </w:r>
      <w:r w:rsidR="00341943">
        <w:rPr>
          <w:rFonts w:ascii="Arial" w:hAnsi="Arial" w:cs="Arial"/>
          <w:sz w:val="24"/>
          <w:szCs w:val="24"/>
        </w:rPr>
        <w:t xml:space="preserve"> Symbolic interactionism (SI) is relevant here, as this assumes that people add meaning to their worlds through interacting with others </w:t>
      </w:r>
      <w:r w:rsidR="00341943" w:rsidRPr="00291CE9">
        <w:rPr>
          <w:rFonts w:ascii="Arial" w:hAnsi="Arial" w:cs="Arial"/>
          <w:sz w:val="24"/>
          <w:szCs w:val="24"/>
        </w:rPr>
        <w:t>(</w:t>
      </w:r>
      <w:r w:rsidR="00341943">
        <w:rPr>
          <w:rFonts w:ascii="Arial" w:hAnsi="Arial" w:cs="Arial"/>
          <w:sz w:val="24"/>
          <w:szCs w:val="24"/>
        </w:rPr>
        <w:t xml:space="preserve">Berkowitz and Belgrave, 2010; </w:t>
      </w:r>
      <w:r w:rsidR="00341943" w:rsidRPr="00291CE9">
        <w:rPr>
          <w:rFonts w:ascii="Arial" w:hAnsi="Arial" w:cs="Arial"/>
          <w:sz w:val="24"/>
          <w:szCs w:val="24"/>
        </w:rPr>
        <w:t>Mead</w:t>
      </w:r>
      <w:r w:rsidR="00341943">
        <w:rPr>
          <w:rFonts w:ascii="Arial" w:hAnsi="Arial" w:cs="Arial"/>
          <w:sz w:val="24"/>
          <w:szCs w:val="24"/>
        </w:rPr>
        <w:t>,</w:t>
      </w:r>
      <w:r w:rsidR="00341943" w:rsidRPr="00291CE9">
        <w:rPr>
          <w:rFonts w:ascii="Arial" w:hAnsi="Arial" w:cs="Arial"/>
          <w:sz w:val="24"/>
          <w:szCs w:val="24"/>
        </w:rPr>
        <w:t xml:space="preserve"> 1934).</w:t>
      </w:r>
      <w:r w:rsidR="00341943">
        <w:rPr>
          <w:rFonts w:ascii="Arial" w:hAnsi="Arial" w:cs="Arial"/>
          <w:sz w:val="24"/>
          <w:szCs w:val="24"/>
        </w:rPr>
        <w:t xml:space="preserve"> SI is relevant to drag queens as it suggests that </w:t>
      </w:r>
      <w:r w:rsidR="00ED2A6A">
        <w:rPr>
          <w:rFonts w:ascii="Arial" w:hAnsi="Arial" w:cs="Arial"/>
          <w:sz w:val="24"/>
          <w:szCs w:val="24"/>
        </w:rPr>
        <w:t>they</w:t>
      </w:r>
      <w:r w:rsidR="00341943">
        <w:rPr>
          <w:rFonts w:ascii="Arial" w:hAnsi="Arial" w:cs="Arial"/>
          <w:sz w:val="24"/>
          <w:szCs w:val="24"/>
        </w:rPr>
        <w:t xml:space="preserve"> give meanings to their world </w:t>
      </w:r>
      <w:r w:rsidR="00ED2A6A">
        <w:rPr>
          <w:rFonts w:ascii="Arial" w:hAnsi="Arial" w:cs="Arial"/>
          <w:sz w:val="24"/>
          <w:szCs w:val="24"/>
        </w:rPr>
        <w:t>through</w:t>
      </w:r>
      <w:r w:rsidR="00341943">
        <w:rPr>
          <w:rFonts w:ascii="Arial" w:hAnsi="Arial" w:cs="Arial"/>
          <w:sz w:val="24"/>
          <w:szCs w:val="24"/>
        </w:rPr>
        <w:t xml:space="preserve"> an interpretive process (Berkowitz and Belgrave, 2010). This is supported by Simmel’s (1955) research into SI, that </w:t>
      </w:r>
      <w:r w:rsidR="00B66260">
        <w:rPr>
          <w:rFonts w:ascii="Arial" w:hAnsi="Arial" w:cs="Arial"/>
          <w:sz w:val="24"/>
          <w:szCs w:val="24"/>
        </w:rPr>
        <w:t>states</w:t>
      </w:r>
      <w:r w:rsidR="00341943">
        <w:rPr>
          <w:rFonts w:ascii="Arial" w:hAnsi="Arial" w:cs="Arial"/>
          <w:sz w:val="24"/>
          <w:szCs w:val="24"/>
        </w:rPr>
        <w:t xml:space="preserve"> that people have multi-layered identities, with parts of these shown or hidden, depending on the audience (</w:t>
      </w:r>
      <w:r w:rsidR="002912D8">
        <w:rPr>
          <w:rFonts w:ascii="Arial" w:hAnsi="Arial" w:cs="Arial"/>
          <w:sz w:val="24"/>
          <w:szCs w:val="24"/>
        </w:rPr>
        <w:t xml:space="preserve">Berkowitz and Belgrave, 2010; </w:t>
      </w:r>
      <w:r w:rsidR="00341943">
        <w:rPr>
          <w:rFonts w:ascii="Arial" w:hAnsi="Arial" w:cs="Arial"/>
          <w:sz w:val="24"/>
          <w:szCs w:val="24"/>
        </w:rPr>
        <w:t>Stryker, 1980).</w:t>
      </w:r>
    </w:p>
    <w:p w14:paraId="59E21556" w14:textId="70CEFAA2" w:rsidR="00A70E15" w:rsidRPr="00A70E15" w:rsidRDefault="008121A7" w:rsidP="00957BB6">
      <w:pPr>
        <w:spacing w:line="360" w:lineRule="auto"/>
        <w:jc w:val="both"/>
        <w:rPr>
          <w:rFonts w:ascii="Arial" w:hAnsi="Arial" w:cs="Arial"/>
          <w:sz w:val="24"/>
          <w:szCs w:val="24"/>
        </w:rPr>
      </w:pPr>
      <w:r w:rsidRPr="00A70E15">
        <w:rPr>
          <w:rFonts w:ascii="Arial" w:hAnsi="Arial" w:cs="Arial"/>
          <w:sz w:val="24"/>
          <w:szCs w:val="24"/>
        </w:rPr>
        <w:t>Despite</w:t>
      </w:r>
      <w:r w:rsidR="00A70E15" w:rsidRPr="00A70E15">
        <w:rPr>
          <w:rFonts w:ascii="Arial" w:hAnsi="Arial" w:cs="Arial"/>
          <w:sz w:val="24"/>
          <w:szCs w:val="24"/>
        </w:rPr>
        <w:t xml:space="preserve"> the SI theorist argument that</w:t>
      </w:r>
      <w:r w:rsidRPr="00A70E15">
        <w:rPr>
          <w:rFonts w:ascii="Arial" w:hAnsi="Arial" w:cs="Arial"/>
          <w:sz w:val="24"/>
          <w:szCs w:val="24"/>
        </w:rPr>
        <w:t xml:space="preserve"> </w:t>
      </w:r>
      <w:r w:rsidR="00A70E15" w:rsidRPr="00A70E15">
        <w:rPr>
          <w:rFonts w:ascii="Arial" w:hAnsi="Arial" w:cs="Arial"/>
          <w:sz w:val="24"/>
          <w:szCs w:val="24"/>
        </w:rPr>
        <w:t xml:space="preserve">drag queens portray their gender as part of a multi-layered identity (Barnett and Johnson, 2013a; Corwin, 2009; Garber, 1992), some drag queens may </w:t>
      </w:r>
      <w:r w:rsidR="002D35BC">
        <w:rPr>
          <w:rFonts w:ascii="Arial" w:hAnsi="Arial" w:cs="Arial"/>
          <w:sz w:val="24"/>
          <w:szCs w:val="24"/>
        </w:rPr>
        <w:t xml:space="preserve">be engaging in </w:t>
      </w:r>
      <w:r w:rsidR="00A70E15" w:rsidRPr="00A70E15">
        <w:rPr>
          <w:rFonts w:ascii="Arial" w:hAnsi="Arial" w:cs="Arial"/>
          <w:sz w:val="24"/>
          <w:szCs w:val="24"/>
        </w:rPr>
        <w:t xml:space="preserve">political resistance (Barnett and Johnson, 2013a; Corwin, 2009; Nestle </w:t>
      </w:r>
      <w:r w:rsidR="00A70E15" w:rsidRPr="00A70E15">
        <w:rPr>
          <w:rFonts w:ascii="Arial" w:hAnsi="Arial" w:cs="Arial"/>
          <w:i/>
          <w:iCs/>
          <w:sz w:val="24"/>
          <w:szCs w:val="24"/>
        </w:rPr>
        <w:t xml:space="preserve">et al., </w:t>
      </w:r>
      <w:r w:rsidR="00A70E15" w:rsidRPr="00A70E15">
        <w:rPr>
          <w:rFonts w:ascii="Arial" w:hAnsi="Arial" w:cs="Arial"/>
          <w:sz w:val="24"/>
          <w:szCs w:val="24"/>
        </w:rPr>
        <w:t>2002</w:t>
      </w:r>
      <w:r w:rsidR="00654610">
        <w:rPr>
          <w:rFonts w:ascii="Arial" w:hAnsi="Arial" w:cs="Arial"/>
          <w:sz w:val="24"/>
          <w:szCs w:val="24"/>
        </w:rPr>
        <w:t xml:space="preserve">; </w:t>
      </w:r>
      <w:r w:rsidR="00654610" w:rsidRPr="00A36B42">
        <w:rPr>
          <w:rFonts w:ascii="Arial" w:hAnsi="Arial" w:cs="Arial"/>
          <w:sz w:val="24"/>
          <w:szCs w:val="24"/>
        </w:rPr>
        <w:t>Moloney and</w:t>
      </w:r>
      <w:r w:rsidR="00654610">
        <w:rPr>
          <w:rFonts w:ascii="Arial" w:hAnsi="Arial" w:cs="Arial"/>
          <w:sz w:val="24"/>
          <w:szCs w:val="24"/>
        </w:rPr>
        <w:t xml:space="preserve"> </w:t>
      </w:r>
      <w:r w:rsidR="00654610" w:rsidRPr="00A36B42">
        <w:rPr>
          <w:rFonts w:ascii="Arial" w:hAnsi="Arial" w:cs="Arial"/>
          <w:sz w:val="24"/>
          <w:szCs w:val="24"/>
        </w:rPr>
        <w:t>Fenstermaker, 2002</w:t>
      </w:r>
      <w:r w:rsidR="00654610">
        <w:rPr>
          <w:rFonts w:ascii="Arial" w:hAnsi="Arial" w:cs="Arial"/>
          <w:sz w:val="24"/>
          <w:szCs w:val="24"/>
        </w:rPr>
        <w:t xml:space="preserve">; Rupp </w:t>
      </w:r>
      <w:r w:rsidR="00654610">
        <w:rPr>
          <w:rFonts w:ascii="Arial" w:hAnsi="Arial" w:cs="Arial"/>
          <w:i/>
          <w:iCs/>
          <w:sz w:val="24"/>
          <w:szCs w:val="24"/>
        </w:rPr>
        <w:t xml:space="preserve">et al., </w:t>
      </w:r>
      <w:r w:rsidR="00654610">
        <w:rPr>
          <w:rFonts w:ascii="Arial" w:hAnsi="Arial" w:cs="Arial"/>
          <w:sz w:val="24"/>
          <w:szCs w:val="24"/>
        </w:rPr>
        <w:t>2010</w:t>
      </w:r>
      <w:r w:rsidR="00A70E15" w:rsidRPr="00A70E15">
        <w:rPr>
          <w:rFonts w:ascii="Arial" w:hAnsi="Arial" w:cs="Arial"/>
          <w:sz w:val="24"/>
          <w:szCs w:val="24"/>
        </w:rPr>
        <w:t xml:space="preserve">). Genderqueer performances could be viewed as political, as they are ambiguous and challenge binaries (Barnett and Johnson, 2013a). </w:t>
      </w:r>
      <w:r w:rsidR="00BC19F9">
        <w:rPr>
          <w:rFonts w:ascii="Arial" w:hAnsi="Arial" w:cs="Arial"/>
          <w:sz w:val="24"/>
          <w:szCs w:val="24"/>
        </w:rPr>
        <w:t xml:space="preserve">Whilst some scholars argue that drag queens </w:t>
      </w:r>
      <w:r w:rsidR="008906DF">
        <w:rPr>
          <w:rFonts w:ascii="Arial" w:hAnsi="Arial" w:cs="Arial"/>
          <w:sz w:val="24"/>
          <w:szCs w:val="24"/>
        </w:rPr>
        <w:t>do</w:t>
      </w:r>
      <w:r w:rsidR="00BC19F9">
        <w:rPr>
          <w:rFonts w:ascii="Arial" w:hAnsi="Arial" w:cs="Arial"/>
          <w:sz w:val="24"/>
          <w:szCs w:val="24"/>
        </w:rPr>
        <w:t xml:space="preserve"> not display political resistance, and instead mock women (Morrison, 2014), </w:t>
      </w:r>
      <w:r w:rsidR="00A70E15" w:rsidRPr="00A70E15">
        <w:rPr>
          <w:rFonts w:ascii="Arial" w:hAnsi="Arial" w:cs="Arial"/>
          <w:sz w:val="24"/>
          <w:szCs w:val="24"/>
        </w:rPr>
        <w:t>Wilchins (2002) argue</w:t>
      </w:r>
      <w:r w:rsidR="00BC19F9">
        <w:rPr>
          <w:rFonts w:ascii="Arial" w:hAnsi="Arial" w:cs="Arial"/>
          <w:sz w:val="24"/>
          <w:szCs w:val="24"/>
        </w:rPr>
        <w:t>s</w:t>
      </w:r>
      <w:r w:rsidR="00A70E15" w:rsidRPr="00A70E15">
        <w:rPr>
          <w:rFonts w:ascii="Arial" w:hAnsi="Arial" w:cs="Arial"/>
          <w:sz w:val="24"/>
          <w:szCs w:val="24"/>
        </w:rPr>
        <w:t xml:space="preserve"> that gender was</w:t>
      </w:r>
      <w:r w:rsidR="00B621F6">
        <w:rPr>
          <w:rFonts w:ascii="Arial" w:hAnsi="Arial" w:cs="Arial"/>
          <w:sz w:val="24"/>
          <w:szCs w:val="24"/>
        </w:rPr>
        <w:t xml:space="preserve"> historically</w:t>
      </w:r>
      <w:r w:rsidR="00A70E15" w:rsidRPr="00A70E15">
        <w:rPr>
          <w:rFonts w:ascii="Arial" w:hAnsi="Arial" w:cs="Arial"/>
          <w:sz w:val="24"/>
          <w:szCs w:val="24"/>
        </w:rPr>
        <w:t xml:space="preserve"> a way to defy societies norms, and drag queens may perform in this way to continue the history of fight</w:t>
      </w:r>
      <w:r w:rsidR="00ED2A6A">
        <w:rPr>
          <w:rFonts w:ascii="Arial" w:hAnsi="Arial" w:cs="Arial"/>
          <w:sz w:val="24"/>
          <w:szCs w:val="24"/>
        </w:rPr>
        <w:t>ing</w:t>
      </w:r>
      <w:r w:rsidR="00A70E15" w:rsidRPr="00A70E15">
        <w:rPr>
          <w:rFonts w:ascii="Arial" w:hAnsi="Arial" w:cs="Arial"/>
          <w:sz w:val="24"/>
          <w:szCs w:val="24"/>
        </w:rPr>
        <w:t xml:space="preserve"> for social justice (Berkowitz and Belgrave, 2010; Simmons, 2014</w:t>
      </w:r>
      <w:r w:rsidR="00ED2A6A">
        <w:rPr>
          <w:rFonts w:ascii="Arial" w:hAnsi="Arial" w:cs="Arial"/>
          <w:sz w:val="24"/>
          <w:szCs w:val="24"/>
        </w:rPr>
        <w:t xml:space="preserve">; </w:t>
      </w:r>
      <w:r w:rsidR="00A70E15" w:rsidRPr="00A70E15">
        <w:rPr>
          <w:rFonts w:ascii="Arial" w:hAnsi="Arial" w:cs="Arial"/>
          <w:sz w:val="24"/>
          <w:szCs w:val="24"/>
        </w:rPr>
        <w:t xml:space="preserve">Zervigon, </w:t>
      </w:r>
      <w:r w:rsidR="00A70E15" w:rsidRPr="00A70E15">
        <w:rPr>
          <w:rFonts w:ascii="Arial" w:hAnsi="Arial" w:cs="Arial"/>
          <w:sz w:val="24"/>
          <w:szCs w:val="24"/>
        </w:rPr>
        <w:lastRenderedPageBreak/>
        <w:t>2009)</w:t>
      </w:r>
      <w:r w:rsidR="008906DF">
        <w:rPr>
          <w:rFonts w:ascii="Arial" w:hAnsi="Arial" w:cs="Arial"/>
          <w:sz w:val="24"/>
          <w:szCs w:val="24"/>
        </w:rPr>
        <w:t xml:space="preserve">, despite this </w:t>
      </w:r>
      <w:r w:rsidR="00B621F6">
        <w:rPr>
          <w:rFonts w:ascii="Arial" w:hAnsi="Arial" w:cs="Arial"/>
          <w:sz w:val="24"/>
          <w:szCs w:val="24"/>
        </w:rPr>
        <w:t>potentially</w:t>
      </w:r>
      <w:r w:rsidR="008906DF">
        <w:rPr>
          <w:rFonts w:ascii="Arial" w:hAnsi="Arial" w:cs="Arial"/>
          <w:sz w:val="24"/>
          <w:szCs w:val="24"/>
        </w:rPr>
        <w:t xml:space="preserve"> leading to marginalisation, violence and discrimination (</w:t>
      </w:r>
      <w:r w:rsidR="0075764E">
        <w:rPr>
          <w:rFonts w:ascii="Arial" w:hAnsi="Arial" w:cs="Arial"/>
          <w:sz w:val="24"/>
          <w:szCs w:val="24"/>
        </w:rPr>
        <w:t xml:space="preserve">Ellis </w:t>
      </w:r>
      <w:r w:rsidR="0075764E">
        <w:rPr>
          <w:rFonts w:ascii="Arial" w:hAnsi="Arial" w:cs="Arial"/>
          <w:i/>
          <w:iCs/>
          <w:sz w:val="24"/>
          <w:szCs w:val="24"/>
        </w:rPr>
        <w:t xml:space="preserve">et al., </w:t>
      </w:r>
      <w:r w:rsidR="0075764E">
        <w:rPr>
          <w:rFonts w:ascii="Arial" w:hAnsi="Arial" w:cs="Arial"/>
          <w:sz w:val="24"/>
          <w:szCs w:val="24"/>
        </w:rPr>
        <w:t xml:space="preserve">2022; </w:t>
      </w:r>
      <w:r w:rsidR="008906DF">
        <w:rPr>
          <w:rFonts w:ascii="Arial" w:hAnsi="Arial" w:cs="Arial"/>
          <w:sz w:val="24"/>
          <w:szCs w:val="24"/>
        </w:rPr>
        <w:t>Stein, 2023)</w:t>
      </w:r>
      <w:r w:rsidR="00A70E15" w:rsidRPr="00A70E15">
        <w:rPr>
          <w:rFonts w:ascii="Arial" w:hAnsi="Arial" w:cs="Arial"/>
          <w:sz w:val="24"/>
          <w:szCs w:val="24"/>
        </w:rPr>
        <w:t>. Drag queens have a unique position of portraying entertainment and politics, meaning that they are some of the most visible people within LGBTQ+ communities</w:t>
      </w:r>
      <w:r w:rsidR="00ED2A6A">
        <w:rPr>
          <w:rFonts w:ascii="Arial" w:hAnsi="Arial" w:cs="Arial"/>
          <w:sz w:val="24"/>
          <w:szCs w:val="24"/>
        </w:rPr>
        <w:t xml:space="preserve"> </w:t>
      </w:r>
      <w:r w:rsidR="00A70E15" w:rsidRPr="00A70E15">
        <w:rPr>
          <w:rFonts w:ascii="Arial" w:hAnsi="Arial" w:cs="Arial"/>
          <w:sz w:val="24"/>
          <w:szCs w:val="24"/>
        </w:rPr>
        <w:t xml:space="preserve">(Berkowitz and Belgrave, 2010; Buetti </w:t>
      </w:r>
      <w:r w:rsidR="00A70E15" w:rsidRPr="00A70E15">
        <w:rPr>
          <w:rFonts w:ascii="Arial" w:hAnsi="Arial" w:cs="Arial"/>
          <w:i/>
          <w:iCs/>
          <w:sz w:val="24"/>
          <w:szCs w:val="24"/>
        </w:rPr>
        <w:t xml:space="preserve">et al., </w:t>
      </w:r>
      <w:r w:rsidR="00A70E15" w:rsidRPr="00A70E15">
        <w:rPr>
          <w:rFonts w:ascii="Arial" w:hAnsi="Arial" w:cs="Arial"/>
          <w:sz w:val="24"/>
          <w:szCs w:val="24"/>
        </w:rPr>
        <w:t>2016)</w:t>
      </w:r>
      <w:r w:rsidR="00A70E15">
        <w:rPr>
          <w:rFonts w:ascii="Arial" w:hAnsi="Arial" w:cs="Arial"/>
          <w:sz w:val="24"/>
          <w:szCs w:val="24"/>
        </w:rPr>
        <w:t>. This suggests that although the stereotypical attitude suggested</w:t>
      </w:r>
      <w:r w:rsidR="00ED2A6A">
        <w:rPr>
          <w:rFonts w:ascii="Arial" w:hAnsi="Arial" w:cs="Arial"/>
          <w:sz w:val="24"/>
          <w:szCs w:val="24"/>
        </w:rPr>
        <w:t xml:space="preserve"> </w:t>
      </w:r>
      <w:r w:rsidR="00A70E15">
        <w:rPr>
          <w:rFonts w:ascii="Arial" w:hAnsi="Arial" w:cs="Arial"/>
          <w:sz w:val="24"/>
          <w:szCs w:val="24"/>
        </w:rPr>
        <w:t>is that drag queen</w:t>
      </w:r>
      <w:r w:rsidR="00B621F6">
        <w:rPr>
          <w:rFonts w:ascii="Arial" w:hAnsi="Arial" w:cs="Arial"/>
          <w:sz w:val="24"/>
          <w:szCs w:val="24"/>
        </w:rPr>
        <w:t>s</w:t>
      </w:r>
      <w:r w:rsidR="00A70E15">
        <w:rPr>
          <w:rFonts w:ascii="Arial" w:hAnsi="Arial" w:cs="Arial"/>
          <w:sz w:val="24"/>
          <w:szCs w:val="24"/>
        </w:rPr>
        <w:t xml:space="preserve"> shock audiences, this is</w:t>
      </w:r>
      <w:r w:rsidR="00B66260">
        <w:rPr>
          <w:rFonts w:ascii="Arial" w:hAnsi="Arial" w:cs="Arial"/>
          <w:sz w:val="24"/>
          <w:szCs w:val="24"/>
        </w:rPr>
        <w:t xml:space="preserve"> an acknowledged part of drag performances that may be</w:t>
      </w:r>
      <w:r w:rsidR="00A70E15">
        <w:rPr>
          <w:rFonts w:ascii="Arial" w:hAnsi="Arial" w:cs="Arial"/>
          <w:sz w:val="24"/>
          <w:szCs w:val="24"/>
        </w:rPr>
        <w:t xml:space="preserve"> an act of political resistance</w:t>
      </w:r>
      <w:r w:rsidR="008906DF">
        <w:rPr>
          <w:rFonts w:ascii="Arial" w:hAnsi="Arial" w:cs="Arial"/>
          <w:sz w:val="24"/>
          <w:szCs w:val="24"/>
        </w:rPr>
        <w:t>, despite the potential consequences of discrimination</w:t>
      </w:r>
      <w:r w:rsidR="00A70E15">
        <w:rPr>
          <w:rFonts w:ascii="Arial" w:hAnsi="Arial" w:cs="Arial"/>
          <w:sz w:val="24"/>
          <w:szCs w:val="24"/>
        </w:rPr>
        <w:t>.</w:t>
      </w:r>
    </w:p>
    <w:p w14:paraId="4DBF1B51" w14:textId="1EE7ECC4" w:rsidR="00A70E15" w:rsidRPr="00A70E15" w:rsidRDefault="00A70E15" w:rsidP="00957BB6">
      <w:pPr>
        <w:spacing w:line="360" w:lineRule="auto"/>
        <w:jc w:val="both"/>
        <w:rPr>
          <w:rFonts w:ascii="Arial" w:hAnsi="Arial" w:cs="Arial"/>
          <w:sz w:val="24"/>
          <w:szCs w:val="24"/>
        </w:rPr>
      </w:pPr>
      <w:r>
        <w:rPr>
          <w:rFonts w:ascii="Arial" w:hAnsi="Arial" w:cs="Arial"/>
          <w:sz w:val="24"/>
          <w:szCs w:val="24"/>
        </w:rPr>
        <w:t xml:space="preserve">To conclude, drag queens can face stereotypical attitudes from both inside and outside the LGBTQ+ community (Berkowitz and Belgrave, 2010; Berkowitz </w:t>
      </w:r>
      <w:r>
        <w:rPr>
          <w:rFonts w:ascii="Arial" w:hAnsi="Arial" w:cs="Arial"/>
          <w:i/>
          <w:iCs/>
          <w:sz w:val="24"/>
          <w:szCs w:val="24"/>
        </w:rPr>
        <w:t xml:space="preserve">et al., </w:t>
      </w:r>
      <w:r>
        <w:rPr>
          <w:rFonts w:ascii="Arial" w:hAnsi="Arial" w:cs="Arial"/>
          <w:sz w:val="24"/>
          <w:szCs w:val="24"/>
        </w:rPr>
        <w:t>2007; Namaste, 2000). Images 1,2 and 3 have been considered as portraying stereotypical attitudes of drag queens being caricature like females, viewed as over-sexualised and being purposefully shocking towards the audience. It is apparent that these perceptions exist</w:t>
      </w:r>
      <w:r w:rsidR="00C405C3">
        <w:rPr>
          <w:rFonts w:ascii="Arial" w:hAnsi="Arial" w:cs="Arial"/>
          <w:sz w:val="24"/>
          <w:szCs w:val="24"/>
        </w:rPr>
        <w:t xml:space="preserve"> and are often continued by the drag queens themselves </w:t>
      </w:r>
      <w:r w:rsidR="00B66260">
        <w:rPr>
          <w:rFonts w:ascii="Arial" w:hAnsi="Arial" w:cs="Arial"/>
          <w:sz w:val="24"/>
          <w:szCs w:val="24"/>
        </w:rPr>
        <w:t>to</w:t>
      </w:r>
      <w:r w:rsidR="00C405C3">
        <w:rPr>
          <w:rFonts w:ascii="Arial" w:hAnsi="Arial" w:cs="Arial"/>
          <w:sz w:val="24"/>
          <w:szCs w:val="24"/>
        </w:rPr>
        <w:t xml:space="preserve"> exert power and to be financially secure</w:t>
      </w:r>
      <w:r w:rsidR="00ED2A6A">
        <w:rPr>
          <w:rFonts w:ascii="Arial" w:hAnsi="Arial" w:cs="Arial"/>
          <w:sz w:val="24"/>
          <w:szCs w:val="24"/>
        </w:rPr>
        <w:t>, despite the potential marginalisation caused by these acts</w:t>
      </w:r>
      <w:r w:rsidR="00C405C3">
        <w:rPr>
          <w:rFonts w:ascii="Arial" w:hAnsi="Arial" w:cs="Arial"/>
          <w:sz w:val="24"/>
          <w:szCs w:val="24"/>
        </w:rPr>
        <w:t xml:space="preserve"> (Berkowitz and Belgrave, 2010; Rupp </w:t>
      </w:r>
      <w:r w:rsidR="00C405C3">
        <w:rPr>
          <w:rFonts w:ascii="Arial" w:hAnsi="Arial" w:cs="Arial"/>
          <w:i/>
          <w:iCs/>
          <w:sz w:val="24"/>
          <w:szCs w:val="24"/>
        </w:rPr>
        <w:t xml:space="preserve">et al., </w:t>
      </w:r>
      <w:r w:rsidR="00C405C3">
        <w:rPr>
          <w:rFonts w:ascii="Arial" w:hAnsi="Arial" w:cs="Arial"/>
          <w:sz w:val="24"/>
          <w:szCs w:val="24"/>
        </w:rPr>
        <w:t xml:space="preserve">2010). The stereotype of drag queens being shocking to audiences, however, may actually be </w:t>
      </w:r>
      <w:r w:rsidR="00ED2A6A">
        <w:rPr>
          <w:rFonts w:ascii="Arial" w:hAnsi="Arial" w:cs="Arial"/>
          <w:sz w:val="24"/>
          <w:szCs w:val="24"/>
        </w:rPr>
        <w:t>as a purposeful and</w:t>
      </w:r>
      <w:r w:rsidR="00C405C3">
        <w:rPr>
          <w:rFonts w:ascii="Arial" w:hAnsi="Arial" w:cs="Arial"/>
          <w:sz w:val="24"/>
          <w:szCs w:val="24"/>
        </w:rPr>
        <w:t xml:space="preserve"> effective way of political resistance</w:t>
      </w:r>
      <w:r w:rsidR="00ED2A6A">
        <w:rPr>
          <w:rFonts w:ascii="Arial" w:hAnsi="Arial" w:cs="Arial"/>
          <w:sz w:val="24"/>
          <w:szCs w:val="24"/>
        </w:rPr>
        <w:t xml:space="preserve"> </w:t>
      </w:r>
      <w:r w:rsidR="00C405C3" w:rsidRPr="00A70E15">
        <w:rPr>
          <w:rFonts w:ascii="Arial" w:hAnsi="Arial" w:cs="Arial"/>
          <w:sz w:val="24"/>
          <w:szCs w:val="24"/>
        </w:rPr>
        <w:t xml:space="preserve">(Barnett and Johnson, 2013a; Corwin, 2009; Nestle </w:t>
      </w:r>
      <w:r w:rsidR="00C405C3" w:rsidRPr="00A70E15">
        <w:rPr>
          <w:rFonts w:ascii="Arial" w:hAnsi="Arial" w:cs="Arial"/>
          <w:i/>
          <w:iCs/>
          <w:sz w:val="24"/>
          <w:szCs w:val="24"/>
        </w:rPr>
        <w:t xml:space="preserve">et al., </w:t>
      </w:r>
      <w:r w:rsidR="00C405C3" w:rsidRPr="00A70E15">
        <w:rPr>
          <w:rFonts w:ascii="Arial" w:hAnsi="Arial" w:cs="Arial"/>
          <w:sz w:val="24"/>
          <w:szCs w:val="24"/>
        </w:rPr>
        <w:t>2002).</w:t>
      </w:r>
    </w:p>
    <w:p w14:paraId="4BD4A38B" w14:textId="77777777" w:rsidR="00FA2095" w:rsidRDefault="00FA2095" w:rsidP="00957BB6">
      <w:pPr>
        <w:spacing w:line="360" w:lineRule="auto"/>
        <w:jc w:val="both"/>
        <w:rPr>
          <w:rFonts w:ascii="Arial" w:hAnsi="Arial" w:cs="Arial"/>
          <w:b/>
          <w:bCs/>
          <w:sz w:val="24"/>
          <w:szCs w:val="24"/>
        </w:rPr>
      </w:pPr>
    </w:p>
    <w:p w14:paraId="191BE0EE" w14:textId="77777777" w:rsidR="00FA2095" w:rsidRDefault="00FA2095" w:rsidP="00957BB6">
      <w:pPr>
        <w:spacing w:line="360" w:lineRule="auto"/>
        <w:jc w:val="both"/>
        <w:rPr>
          <w:rFonts w:ascii="Arial" w:hAnsi="Arial" w:cs="Arial"/>
          <w:b/>
          <w:bCs/>
          <w:sz w:val="24"/>
          <w:szCs w:val="24"/>
        </w:rPr>
      </w:pPr>
    </w:p>
    <w:p w14:paraId="154C2C6E" w14:textId="77777777" w:rsidR="00FA2095" w:rsidRDefault="00FA2095" w:rsidP="00957BB6">
      <w:pPr>
        <w:spacing w:line="360" w:lineRule="auto"/>
        <w:jc w:val="both"/>
        <w:rPr>
          <w:rFonts w:ascii="Arial" w:hAnsi="Arial" w:cs="Arial"/>
          <w:b/>
          <w:bCs/>
          <w:sz w:val="24"/>
          <w:szCs w:val="24"/>
        </w:rPr>
      </w:pPr>
    </w:p>
    <w:p w14:paraId="15B999CF" w14:textId="77777777" w:rsidR="00FA2095" w:rsidRDefault="00FA2095" w:rsidP="00957BB6">
      <w:pPr>
        <w:spacing w:line="360" w:lineRule="auto"/>
        <w:jc w:val="both"/>
        <w:rPr>
          <w:rFonts w:ascii="Arial" w:hAnsi="Arial" w:cs="Arial"/>
          <w:b/>
          <w:bCs/>
          <w:sz w:val="24"/>
          <w:szCs w:val="24"/>
        </w:rPr>
      </w:pPr>
    </w:p>
    <w:p w14:paraId="31BF0644" w14:textId="14CC1A54" w:rsidR="00FA2095" w:rsidRDefault="00FA2095" w:rsidP="00957BB6">
      <w:pPr>
        <w:spacing w:line="360" w:lineRule="auto"/>
        <w:jc w:val="both"/>
        <w:rPr>
          <w:rFonts w:ascii="Arial" w:hAnsi="Arial" w:cs="Arial"/>
          <w:b/>
          <w:bCs/>
          <w:sz w:val="24"/>
          <w:szCs w:val="24"/>
        </w:rPr>
      </w:pPr>
    </w:p>
    <w:p w14:paraId="751ABFF6" w14:textId="1E432A18" w:rsidR="0075764E" w:rsidRDefault="0075764E" w:rsidP="00957BB6">
      <w:pPr>
        <w:spacing w:line="360" w:lineRule="auto"/>
        <w:jc w:val="both"/>
        <w:rPr>
          <w:rFonts w:ascii="Arial" w:hAnsi="Arial" w:cs="Arial"/>
          <w:b/>
          <w:bCs/>
          <w:sz w:val="24"/>
          <w:szCs w:val="24"/>
        </w:rPr>
      </w:pPr>
    </w:p>
    <w:p w14:paraId="11B29996" w14:textId="0BBAD22F" w:rsidR="0075764E" w:rsidRDefault="0075764E" w:rsidP="00957BB6">
      <w:pPr>
        <w:spacing w:line="360" w:lineRule="auto"/>
        <w:jc w:val="both"/>
        <w:rPr>
          <w:rFonts w:ascii="Arial" w:hAnsi="Arial" w:cs="Arial"/>
          <w:b/>
          <w:bCs/>
          <w:sz w:val="24"/>
          <w:szCs w:val="24"/>
        </w:rPr>
      </w:pPr>
    </w:p>
    <w:p w14:paraId="191DFB84" w14:textId="2E46B166" w:rsidR="0075764E" w:rsidRDefault="0075764E" w:rsidP="00957BB6">
      <w:pPr>
        <w:spacing w:line="360" w:lineRule="auto"/>
        <w:jc w:val="both"/>
        <w:rPr>
          <w:rFonts w:ascii="Arial" w:hAnsi="Arial" w:cs="Arial"/>
          <w:b/>
          <w:bCs/>
          <w:sz w:val="24"/>
          <w:szCs w:val="24"/>
        </w:rPr>
      </w:pPr>
    </w:p>
    <w:p w14:paraId="37F5014A" w14:textId="4F7214DB" w:rsidR="0075764E" w:rsidRDefault="0075764E" w:rsidP="00957BB6">
      <w:pPr>
        <w:spacing w:line="360" w:lineRule="auto"/>
        <w:jc w:val="both"/>
        <w:rPr>
          <w:rFonts w:ascii="Arial" w:hAnsi="Arial" w:cs="Arial"/>
          <w:b/>
          <w:bCs/>
          <w:sz w:val="24"/>
          <w:szCs w:val="24"/>
        </w:rPr>
      </w:pPr>
    </w:p>
    <w:p w14:paraId="66970713" w14:textId="77777777" w:rsidR="00B621F6" w:rsidRDefault="00B621F6" w:rsidP="00957BB6">
      <w:pPr>
        <w:spacing w:line="360" w:lineRule="auto"/>
        <w:jc w:val="both"/>
        <w:rPr>
          <w:rFonts w:ascii="Arial" w:hAnsi="Arial" w:cs="Arial"/>
          <w:b/>
          <w:bCs/>
          <w:sz w:val="24"/>
          <w:szCs w:val="24"/>
        </w:rPr>
      </w:pPr>
    </w:p>
    <w:p w14:paraId="47545E30" w14:textId="77777777" w:rsidR="00FA2095" w:rsidRDefault="00FA2095" w:rsidP="00957BB6">
      <w:pPr>
        <w:spacing w:line="360" w:lineRule="auto"/>
        <w:jc w:val="both"/>
        <w:rPr>
          <w:rFonts w:ascii="Arial" w:hAnsi="Arial" w:cs="Arial"/>
          <w:b/>
          <w:bCs/>
          <w:sz w:val="24"/>
          <w:szCs w:val="24"/>
        </w:rPr>
      </w:pPr>
    </w:p>
    <w:p w14:paraId="41D029D3" w14:textId="1156BB19" w:rsidR="001215F9" w:rsidRDefault="001215F9" w:rsidP="00957BB6">
      <w:pPr>
        <w:spacing w:line="360" w:lineRule="auto"/>
        <w:jc w:val="both"/>
        <w:rPr>
          <w:rFonts w:ascii="Arial" w:hAnsi="Arial" w:cs="Arial"/>
          <w:b/>
          <w:bCs/>
          <w:sz w:val="24"/>
          <w:szCs w:val="24"/>
        </w:rPr>
      </w:pPr>
      <w:r>
        <w:rPr>
          <w:rFonts w:ascii="Arial" w:hAnsi="Arial" w:cs="Arial"/>
          <w:b/>
          <w:bCs/>
          <w:sz w:val="24"/>
          <w:szCs w:val="24"/>
        </w:rPr>
        <w:lastRenderedPageBreak/>
        <w:t>Reference list</w:t>
      </w:r>
    </w:p>
    <w:p w14:paraId="7E362396" w14:textId="059CFBC6" w:rsidR="00BC1D12" w:rsidRPr="00BF35D1" w:rsidRDefault="00BC1D12" w:rsidP="00957BB6">
      <w:pPr>
        <w:spacing w:line="360" w:lineRule="auto"/>
        <w:jc w:val="both"/>
        <w:rPr>
          <w:rFonts w:ascii="Arial" w:hAnsi="Arial" w:cs="Arial"/>
          <w:sz w:val="28"/>
          <w:szCs w:val="28"/>
        </w:rPr>
      </w:pPr>
      <w:r w:rsidRPr="003D6168">
        <w:rPr>
          <w:rFonts w:ascii="Arial" w:hAnsi="Arial" w:cs="Arial"/>
          <w:sz w:val="24"/>
          <w:szCs w:val="24"/>
        </w:rPr>
        <w:t xml:space="preserve">Ashforth, B. E., &amp; Mael, F., (1989), ‘Social identity theory and the organization’, </w:t>
      </w:r>
      <w:r w:rsidRPr="003D6168">
        <w:rPr>
          <w:rFonts w:ascii="Arial" w:hAnsi="Arial" w:cs="Arial"/>
          <w:i/>
          <w:iCs/>
          <w:sz w:val="24"/>
          <w:szCs w:val="24"/>
        </w:rPr>
        <w:t>Academy of Management Review</w:t>
      </w:r>
      <w:r w:rsidRPr="003D6168">
        <w:rPr>
          <w:rFonts w:ascii="Arial" w:hAnsi="Arial" w:cs="Arial"/>
          <w:sz w:val="24"/>
          <w:szCs w:val="24"/>
        </w:rPr>
        <w:t>, 14 (1), pp.20–39</w:t>
      </w:r>
    </w:p>
    <w:p w14:paraId="01B1DBD3" w14:textId="43E54937" w:rsidR="0008664D" w:rsidRDefault="0008664D" w:rsidP="00957BB6">
      <w:pPr>
        <w:spacing w:line="360" w:lineRule="auto"/>
        <w:jc w:val="both"/>
        <w:rPr>
          <w:rFonts w:ascii="Arial" w:hAnsi="Arial" w:cs="Arial"/>
          <w:sz w:val="24"/>
          <w:szCs w:val="24"/>
        </w:rPr>
      </w:pPr>
      <w:r>
        <w:rPr>
          <w:rFonts w:ascii="Arial" w:hAnsi="Arial" w:cs="Arial"/>
          <w:sz w:val="24"/>
          <w:szCs w:val="24"/>
        </w:rPr>
        <w:t>Barnett, Joshua Trey, and Johnson, Corey W., (2013</w:t>
      </w:r>
      <w:r w:rsidR="00074F11">
        <w:rPr>
          <w:rFonts w:ascii="Arial" w:hAnsi="Arial" w:cs="Arial"/>
          <w:sz w:val="24"/>
          <w:szCs w:val="24"/>
        </w:rPr>
        <w:t>a</w:t>
      </w:r>
      <w:r>
        <w:rPr>
          <w:rFonts w:ascii="Arial" w:hAnsi="Arial" w:cs="Arial"/>
          <w:sz w:val="24"/>
          <w:szCs w:val="24"/>
        </w:rPr>
        <w:t xml:space="preserve">), ‘We Are All Royalty: Narrative Comparison of a Drag Queen and King’, </w:t>
      </w:r>
      <w:r>
        <w:rPr>
          <w:rFonts w:ascii="Arial" w:hAnsi="Arial" w:cs="Arial"/>
          <w:i/>
          <w:iCs/>
          <w:sz w:val="24"/>
          <w:szCs w:val="24"/>
        </w:rPr>
        <w:t xml:space="preserve">Journal of Leisure Research, </w:t>
      </w:r>
      <w:r>
        <w:rPr>
          <w:rFonts w:ascii="Arial" w:hAnsi="Arial" w:cs="Arial"/>
          <w:sz w:val="24"/>
          <w:szCs w:val="24"/>
        </w:rPr>
        <w:t>45 (5), pp.677-694</w:t>
      </w:r>
    </w:p>
    <w:p w14:paraId="0F09B001" w14:textId="65A7EF7D" w:rsidR="0008664D" w:rsidRDefault="0008664D" w:rsidP="00957BB6">
      <w:pPr>
        <w:spacing w:line="360" w:lineRule="auto"/>
        <w:jc w:val="both"/>
        <w:rPr>
          <w:rFonts w:ascii="Arial" w:hAnsi="Arial" w:cs="Arial"/>
          <w:sz w:val="24"/>
          <w:szCs w:val="24"/>
        </w:rPr>
      </w:pPr>
      <w:r>
        <w:rPr>
          <w:rFonts w:ascii="Arial" w:hAnsi="Arial" w:cs="Arial"/>
          <w:sz w:val="24"/>
          <w:szCs w:val="24"/>
        </w:rPr>
        <w:t>Barnett, Joshua Trey, and Johnson, Corey W., (2013</w:t>
      </w:r>
      <w:r w:rsidR="00074F11">
        <w:rPr>
          <w:rFonts w:ascii="Arial" w:hAnsi="Arial" w:cs="Arial"/>
          <w:sz w:val="24"/>
          <w:szCs w:val="24"/>
        </w:rPr>
        <w:t>b</w:t>
      </w:r>
      <w:r>
        <w:rPr>
          <w:rFonts w:ascii="Arial" w:hAnsi="Arial" w:cs="Arial"/>
          <w:sz w:val="24"/>
          <w:szCs w:val="24"/>
        </w:rPr>
        <w:t xml:space="preserve">), ‘Our Town’s a drag: Drag queens and queer space in Athens, Georgia’, in K. Schwab and D. Dustin (Eds.), </w:t>
      </w:r>
      <w:r>
        <w:rPr>
          <w:rFonts w:ascii="Arial" w:hAnsi="Arial" w:cs="Arial"/>
          <w:i/>
          <w:iCs/>
          <w:sz w:val="24"/>
          <w:szCs w:val="24"/>
        </w:rPr>
        <w:t xml:space="preserve">Just Leisure: Things we believe in, </w:t>
      </w:r>
      <w:r>
        <w:rPr>
          <w:rFonts w:ascii="Arial" w:hAnsi="Arial" w:cs="Arial"/>
          <w:sz w:val="24"/>
          <w:szCs w:val="24"/>
        </w:rPr>
        <w:t>Illinois: Sagamore, pp.49-58</w:t>
      </w:r>
    </w:p>
    <w:p w14:paraId="769B8924" w14:textId="574345CC" w:rsidR="00E03CB1" w:rsidRPr="00E03CB1" w:rsidRDefault="00E03CB1" w:rsidP="00957BB6">
      <w:pPr>
        <w:spacing w:line="360" w:lineRule="auto"/>
        <w:jc w:val="both"/>
        <w:rPr>
          <w:rFonts w:ascii="Arial" w:hAnsi="Arial" w:cs="Arial"/>
          <w:sz w:val="24"/>
          <w:szCs w:val="24"/>
        </w:rPr>
      </w:pPr>
      <w:r>
        <w:rPr>
          <w:rFonts w:ascii="Arial" w:hAnsi="Arial" w:cs="Arial"/>
          <w:sz w:val="24"/>
          <w:szCs w:val="24"/>
        </w:rPr>
        <w:t xml:space="preserve">Barrett, Rusty, (2017), </w:t>
      </w:r>
      <w:r>
        <w:rPr>
          <w:rFonts w:ascii="Arial" w:hAnsi="Arial" w:cs="Arial"/>
          <w:i/>
          <w:iCs/>
          <w:sz w:val="24"/>
          <w:szCs w:val="24"/>
        </w:rPr>
        <w:t xml:space="preserve">From Drag Queens to Leathermen: Language, gender and gay male subcultures, </w:t>
      </w:r>
      <w:r>
        <w:rPr>
          <w:rFonts w:ascii="Arial" w:hAnsi="Arial" w:cs="Arial"/>
          <w:sz w:val="24"/>
          <w:szCs w:val="24"/>
        </w:rPr>
        <w:t>Oxford: Oxford University Press</w:t>
      </w:r>
    </w:p>
    <w:p w14:paraId="339603BE" w14:textId="16E0D18A" w:rsidR="00B11C0F" w:rsidRDefault="00B11C0F" w:rsidP="00957BB6">
      <w:pPr>
        <w:spacing w:line="360" w:lineRule="auto"/>
        <w:jc w:val="both"/>
        <w:rPr>
          <w:rFonts w:ascii="Arial" w:hAnsi="Arial" w:cs="Arial"/>
          <w:sz w:val="24"/>
          <w:szCs w:val="24"/>
        </w:rPr>
      </w:pPr>
      <w:r>
        <w:rPr>
          <w:rFonts w:ascii="Arial" w:hAnsi="Arial" w:cs="Arial"/>
          <w:sz w:val="24"/>
          <w:szCs w:val="24"/>
        </w:rPr>
        <w:t xml:space="preserve">Beemyn, B. G., (2009), ‘Genderqueer’, </w:t>
      </w:r>
      <w:r>
        <w:rPr>
          <w:rFonts w:ascii="Arial" w:hAnsi="Arial" w:cs="Arial"/>
          <w:i/>
          <w:iCs/>
          <w:sz w:val="24"/>
          <w:szCs w:val="24"/>
        </w:rPr>
        <w:t xml:space="preserve">GLBTQ Arts, </w:t>
      </w:r>
      <w:r>
        <w:rPr>
          <w:rFonts w:ascii="Arial" w:hAnsi="Arial" w:cs="Arial"/>
          <w:sz w:val="24"/>
          <w:szCs w:val="24"/>
        </w:rPr>
        <w:t>1, pp.1-2</w:t>
      </w:r>
    </w:p>
    <w:p w14:paraId="5D15697E" w14:textId="39CEFBA4" w:rsidR="003C55E7" w:rsidRDefault="00434CC9" w:rsidP="00957BB6">
      <w:pPr>
        <w:spacing w:line="360" w:lineRule="auto"/>
        <w:jc w:val="both"/>
        <w:rPr>
          <w:rFonts w:ascii="Arial" w:hAnsi="Arial" w:cs="Arial"/>
          <w:sz w:val="24"/>
          <w:szCs w:val="24"/>
        </w:rPr>
      </w:pPr>
      <w:r>
        <w:rPr>
          <w:rFonts w:ascii="Arial" w:hAnsi="Arial" w:cs="Arial"/>
          <w:sz w:val="24"/>
          <w:szCs w:val="24"/>
        </w:rPr>
        <w:t xml:space="preserve">Berkowitz, D.; Belgrave, L., and Halberstein, R. A., (2007), ‘The interaction of drag queens and gay men in public and private spaces’ </w:t>
      </w:r>
      <w:r>
        <w:rPr>
          <w:rFonts w:ascii="Arial" w:hAnsi="Arial" w:cs="Arial"/>
          <w:i/>
          <w:iCs/>
          <w:sz w:val="24"/>
          <w:szCs w:val="24"/>
        </w:rPr>
        <w:t xml:space="preserve">Journal of homosexuality, </w:t>
      </w:r>
      <w:r>
        <w:rPr>
          <w:rFonts w:ascii="Arial" w:hAnsi="Arial" w:cs="Arial"/>
          <w:sz w:val="24"/>
          <w:szCs w:val="24"/>
        </w:rPr>
        <w:t>52 (3/4), pp.11-32</w:t>
      </w:r>
      <w:r w:rsidR="003C55E7" w:rsidRPr="003C55E7">
        <w:rPr>
          <w:rFonts w:ascii="Arial" w:hAnsi="Arial" w:cs="Arial"/>
          <w:sz w:val="24"/>
          <w:szCs w:val="24"/>
        </w:rPr>
        <w:t xml:space="preserve"> </w:t>
      </w:r>
      <w:r w:rsidR="003C55E7">
        <w:rPr>
          <w:rFonts w:ascii="Arial" w:hAnsi="Arial" w:cs="Arial"/>
          <w:sz w:val="24"/>
          <w:szCs w:val="24"/>
        </w:rPr>
        <w:t xml:space="preserve">Berkowitz, D., and Belgrave, L., (2010), ‘”She works hard for the money”: Drag queens and the management of their contradictory status of celebrity and marginality’, </w:t>
      </w:r>
      <w:r w:rsidR="003C55E7">
        <w:rPr>
          <w:rFonts w:ascii="Arial" w:hAnsi="Arial" w:cs="Arial"/>
          <w:i/>
          <w:iCs/>
          <w:sz w:val="24"/>
          <w:szCs w:val="24"/>
        </w:rPr>
        <w:t xml:space="preserve">Journal of Contemporary Ethnography, </w:t>
      </w:r>
      <w:r w:rsidR="003C55E7">
        <w:rPr>
          <w:rFonts w:ascii="Arial" w:hAnsi="Arial" w:cs="Arial"/>
          <w:sz w:val="24"/>
          <w:szCs w:val="24"/>
        </w:rPr>
        <w:t>39 (2), pp.159-186</w:t>
      </w:r>
    </w:p>
    <w:p w14:paraId="54988DA8" w14:textId="5BC7DF6C" w:rsidR="00A70E15" w:rsidRDefault="00A70E15" w:rsidP="00957BB6">
      <w:pPr>
        <w:spacing w:line="360" w:lineRule="auto"/>
        <w:jc w:val="both"/>
        <w:rPr>
          <w:rFonts w:ascii="Arial" w:hAnsi="Arial" w:cs="Arial"/>
          <w:sz w:val="24"/>
          <w:szCs w:val="24"/>
        </w:rPr>
      </w:pPr>
      <w:r>
        <w:rPr>
          <w:rFonts w:ascii="Arial" w:hAnsi="Arial" w:cs="Arial"/>
          <w:sz w:val="24"/>
          <w:szCs w:val="24"/>
        </w:rPr>
        <w:t xml:space="preserve">Buetti, D.; Martinello, N.; Moureau, N.; Lapointe-Harris T., and Ladouceur, P., (2016), ‘Social representations of male homosexuality and their consequences for gay men: An explorative inquiry within the Canadian context’, </w:t>
      </w:r>
      <w:r>
        <w:rPr>
          <w:rFonts w:ascii="Arial" w:hAnsi="Arial" w:cs="Arial"/>
          <w:i/>
          <w:iCs/>
          <w:sz w:val="24"/>
          <w:szCs w:val="24"/>
        </w:rPr>
        <w:t xml:space="preserve">Culture, Society &amp; Masculinities, </w:t>
      </w:r>
      <w:r>
        <w:rPr>
          <w:rFonts w:ascii="Arial" w:hAnsi="Arial" w:cs="Arial"/>
          <w:sz w:val="24"/>
          <w:szCs w:val="24"/>
        </w:rPr>
        <w:t>8 (2), pp.155-173</w:t>
      </w:r>
    </w:p>
    <w:p w14:paraId="29A8BEE1" w14:textId="19437C83" w:rsidR="00BF35D1" w:rsidRDefault="00BF35D1" w:rsidP="00957BB6">
      <w:pPr>
        <w:spacing w:line="360" w:lineRule="auto"/>
        <w:jc w:val="both"/>
        <w:rPr>
          <w:rFonts w:ascii="Arial" w:hAnsi="Arial" w:cs="Arial"/>
          <w:sz w:val="24"/>
          <w:szCs w:val="24"/>
        </w:rPr>
      </w:pPr>
      <w:r w:rsidRPr="00C22D8A">
        <w:rPr>
          <w:rFonts w:ascii="Arial" w:hAnsi="Arial" w:cs="Arial"/>
          <w:sz w:val="24"/>
          <w:szCs w:val="24"/>
        </w:rPr>
        <w:t xml:space="preserve">Butler, J., (1988), ‘Performative acts and gender constitution: An essay in phenomenology and feminist theory’, </w:t>
      </w:r>
      <w:r w:rsidRPr="00C22D8A">
        <w:rPr>
          <w:rFonts w:ascii="Arial" w:hAnsi="Arial" w:cs="Arial"/>
          <w:i/>
          <w:iCs/>
          <w:sz w:val="24"/>
          <w:szCs w:val="24"/>
        </w:rPr>
        <w:t>Theatre Journal</w:t>
      </w:r>
      <w:r w:rsidRPr="00C22D8A">
        <w:rPr>
          <w:rFonts w:ascii="Arial" w:hAnsi="Arial" w:cs="Arial"/>
          <w:sz w:val="24"/>
          <w:szCs w:val="24"/>
        </w:rPr>
        <w:t>, 40, pp.519–531</w:t>
      </w:r>
    </w:p>
    <w:p w14:paraId="4D0C5D18" w14:textId="6D1A32E4" w:rsidR="003C55E7" w:rsidRDefault="003C55E7" w:rsidP="00957BB6">
      <w:pPr>
        <w:spacing w:line="360" w:lineRule="auto"/>
        <w:jc w:val="both"/>
        <w:rPr>
          <w:rFonts w:ascii="Arial" w:hAnsi="Arial" w:cs="Arial"/>
          <w:sz w:val="24"/>
          <w:szCs w:val="24"/>
        </w:rPr>
      </w:pPr>
      <w:r>
        <w:rPr>
          <w:rFonts w:ascii="Arial" w:hAnsi="Arial" w:cs="Arial"/>
          <w:sz w:val="24"/>
          <w:szCs w:val="24"/>
        </w:rPr>
        <w:t xml:space="preserve">Butler, J., (1990), </w:t>
      </w:r>
      <w:r>
        <w:rPr>
          <w:rFonts w:ascii="Arial" w:hAnsi="Arial" w:cs="Arial"/>
          <w:i/>
          <w:iCs/>
          <w:sz w:val="24"/>
          <w:szCs w:val="24"/>
        </w:rPr>
        <w:t xml:space="preserve">Gender trouble: Feminism and the subversion of identity, </w:t>
      </w:r>
      <w:r>
        <w:rPr>
          <w:rFonts w:ascii="Arial" w:hAnsi="Arial" w:cs="Arial"/>
          <w:sz w:val="24"/>
          <w:szCs w:val="24"/>
        </w:rPr>
        <w:t>New York: Routledge</w:t>
      </w:r>
    </w:p>
    <w:p w14:paraId="211F53E9" w14:textId="1C0D03CC" w:rsidR="00F91002" w:rsidRPr="003C55E7" w:rsidRDefault="00F91002" w:rsidP="00957BB6">
      <w:pPr>
        <w:spacing w:line="360" w:lineRule="auto"/>
        <w:jc w:val="both"/>
        <w:rPr>
          <w:rFonts w:ascii="Arial" w:hAnsi="Arial" w:cs="Arial"/>
          <w:sz w:val="24"/>
          <w:szCs w:val="24"/>
        </w:rPr>
      </w:pPr>
      <w:r w:rsidRPr="00A36B42">
        <w:rPr>
          <w:rFonts w:ascii="Arial" w:hAnsi="Arial" w:cs="Arial"/>
          <w:sz w:val="24"/>
          <w:szCs w:val="24"/>
        </w:rPr>
        <w:t>Butler, Judith</w:t>
      </w:r>
      <w:r>
        <w:rPr>
          <w:rFonts w:ascii="Arial" w:hAnsi="Arial" w:cs="Arial"/>
          <w:sz w:val="24"/>
          <w:szCs w:val="24"/>
        </w:rPr>
        <w:t>,</w:t>
      </w:r>
      <w:r w:rsidRPr="00A36B42">
        <w:rPr>
          <w:rFonts w:ascii="Arial" w:hAnsi="Arial" w:cs="Arial"/>
          <w:sz w:val="24"/>
          <w:szCs w:val="24"/>
        </w:rPr>
        <w:t xml:space="preserve"> (1993)</w:t>
      </w:r>
      <w:r>
        <w:rPr>
          <w:rFonts w:ascii="Arial" w:hAnsi="Arial" w:cs="Arial"/>
          <w:sz w:val="24"/>
          <w:szCs w:val="24"/>
        </w:rPr>
        <w:t>,</w:t>
      </w:r>
      <w:r w:rsidRPr="00A36B42">
        <w:rPr>
          <w:rFonts w:ascii="Arial" w:hAnsi="Arial" w:cs="Arial"/>
          <w:sz w:val="24"/>
          <w:szCs w:val="24"/>
        </w:rPr>
        <w:t xml:space="preserve"> </w:t>
      </w:r>
      <w:r w:rsidRPr="00A36B42">
        <w:rPr>
          <w:rFonts w:ascii="Arial" w:hAnsi="Arial" w:cs="Arial"/>
          <w:i/>
          <w:iCs/>
          <w:sz w:val="24"/>
          <w:szCs w:val="24"/>
        </w:rPr>
        <w:t>Bodies that Matter: On the Discursive Limits of Sex</w:t>
      </w:r>
      <w:r>
        <w:rPr>
          <w:rFonts w:ascii="Arial" w:hAnsi="Arial" w:cs="Arial"/>
          <w:sz w:val="24"/>
          <w:szCs w:val="24"/>
        </w:rPr>
        <w:t>,</w:t>
      </w:r>
      <w:r w:rsidRPr="00A36B42">
        <w:rPr>
          <w:rFonts w:ascii="Arial" w:hAnsi="Arial" w:cs="Arial"/>
          <w:sz w:val="24"/>
          <w:szCs w:val="24"/>
        </w:rPr>
        <w:t xml:space="preserve"> New York: Routledge</w:t>
      </w:r>
    </w:p>
    <w:p w14:paraId="00C72051" w14:textId="3B10D009" w:rsidR="000A68AE" w:rsidRDefault="000A68AE" w:rsidP="00957BB6">
      <w:pPr>
        <w:spacing w:line="360" w:lineRule="auto"/>
        <w:jc w:val="both"/>
        <w:rPr>
          <w:rFonts w:ascii="Arial" w:hAnsi="Arial" w:cs="Arial"/>
          <w:sz w:val="24"/>
          <w:szCs w:val="24"/>
        </w:rPr>
      </w:pPr>
      <w:r>
        <w:rPr>
          <w:rFonts w:ascii="Arial" w:hAnsi="Arial" w:cs="Arial"/>
          <w:sz w:val="24"/>
          <w:szCs w:val="24"/>
        </w:rPr>
        <w:t xml:space="preserve">Carlana, Michela, (2019), ‘Implicit Stereotypes’, </w:t>
      </w:r>
      <w:r>
        <w:rPr>
          <w:rFonts w:ascii="Arial" w:hAnsi="Arial" w:cs="Arial"/>
          <w:i/>
          <w:iCs/>
          <w:sz w:val="24"/>
          <w:szCs w:val="24"/>
        </w:rPr>
        <w:t xml:space="preserve">The Quarterly journal of Economics, </w:t>
      </w:r>
      <w:r>
        <w:rPr>
          <w:rFonts w:ascii="Arial" w:hAnsi="Arial" w:cs="Arial"/>
          <w:sz w:val="24"/>
          <w:szCs w:val="24"/>
        </w:rPr>
        <w:t>134 (3), pp.1163-1224</w:t>
      </w:r>
    </w:p>
    <w:p w14:paraId="75C1C3CF" w14:textId="712F6E5A" w:rsidR="001C19B5" w:rsidRDefault="001C19B5" w:rsidP="00957BB6">
      <w:pPr>
        <w:spacing w:line="360" w:lineRule="auto"/>
        <w:jc w:val="both"/>
        <w:rPr>
          <w:rFonts w:ascii="Arial" w:hAnsi="Arial" w:cs="Arial"/>
          <w:sz w:val="24"/>
          <w:szCs w:val="24"/>
        </w:rPr>
      </w:pPr>
      <w:r>
        <w:rPr>
          <w:rFonts w:ascii="Arial" w:hAnsi="Arial" w:cs="Arial"/>
          <w:sz w:val="24"/>
          <w:szCs w:val="24"/>
        </w:rPr>
        <w:lastRenderedPageBreak/>
        <w:t xml:space="preserve">Carrasquillo, Gilbert, (2021), </w:t>
      </w:r>
      <w:r>
        <w:rPr>
          <w:rFonts w:ascii="Arial" w:hAnsi="Arial" w:cs="Arial"/>
          <w:i/>
          <w:iCs/>
          <w:sz w:val="24"/>
          <w:szCs w:val="24"/>
        </w:rPr>
        <w:t>Trixie Mattel</w:t>
      </w:r>
      <w:r>
        <w:rPr>
          <w:rFonts w:ascii="Arial" w:hAnsi="Arial" w:cs="Arial"/>
          <w:sz w:val="24"/>
          <w:szCs w:val="24"/>
        </w:rPr>
        <w:t xml:space="preserve">, accompanies Michael Segalov, ‘Sunday with Trixie Mattel: ‘I refuse to stop – every day is a Monday’, </w:t>
      </w:r>
      <w:r>
        <w:rPr>
          <w:rFonts w:ascii="Arial" w:hAnsi="Arial" w:cs="Arial"/>
          <w:i/>
          <w:iCs/>
          <w:sz w:val="24"/>
          <w:szCs w:val="24"/>
        </w:rPr>
        <w:t xml:space="preserve">The Guardian, </w:t>
      </w:r>
      <w:r>
        <w:rPr>
          <w:rFonts w:ascii="Arial" w:hAnsi="Arial" w:cs="Arial"/>
          <w:sz w:val="24"/>
          <w:szCs w:val="24"/>
        </w:rPr>
        <w:t xml:space="preserve">Accessed via: </w:t>
      </w:r>
      <w:hyperlink r:id="rId9" w:history="1">
        <w:r w:rsidRPr="00474D13">
          <w:rPr>
            <w:rStyle w:val="Hyperlink"/>
            <w:rFonts w:ascii="Arial" w:hAnsi="Arial" w:cs="Arial"/>
            <w:sz w:val="24"/>
            <w:szCs w:val="24"/>
          </w:rPr>
          <w:t>Sunday with Trixie Mattel: ‘I refuse to stop – every day is a Monday’ | Sunday with… | The Guardian</w:t>
        </w:r>
      </w:hyperlink>
      <w:r w:rsidRPr="00474D13">
        <w:rPr>
          <w:rFonts w:ascii="Arial" w:hAnsi="Arial" w:cs="Arial"/>
          <w:sz w:val="24"/>
          <w:szCs w:val="24"/>
        </w:rPr>
        <w:t>, Accessed on: 17/12/22</w:t>
      </w:r>
    </w:p>
    <w:p w14:paraId="57088EF5" w14:textId="46FA6FA9" w:rsidR="00C90572" w:rsidRDefault="00C90572" w:rsidP="00957BB6">
      <w:pPr>
        <w:spacing w:line="360" w:lineRule="auto"/>
        <w:jc w:val="both"/>
        <w:rPr>
          <w:rFonts w:ascii="Arial" w:hAnsi="Arial" w:cs="Arial"/>
          <w:sz w:val="24"/>
          <w:szCs w:val="24"/>
        </w:rPr>
      </w:pPr>
      <w:r>
        <w:rPr>
          <w:rFonts w:ascii="Arial" w:hAnsi="Arial" w:cs="Arial"/>
          <w:sz w:val="24"/>
          <w:szCs w:val="24"/>
        </w:rPr>
        <w:t xml:space="preserve">Carretta, Rachel; Szymanski, Dawn M., and DeVore, Elliott, (2019), ‘Predictors of disordered eating and acceptance of cosmetic surgery among grad queen performers’, </w:t>
      </w:r>
      <w:r>
        <w:rPr>
          <w:rFonts w:ascii="Arial" w:hAnsi="Arial" w:cs="Arial"/>
          <w:i/>
          <w:iCs/>
          <w:sz w:val="24"/>
          <w:szCs w:val="24"/>
        </w:rPr>
        <w:t xml:space="preserve">Body image, </w:t>
      </w:r>
      <w:r>
        <w:rPr>
          <w:rFonts w:ascii="Arial" w:hAnsi="Arial" w:cs="Arial"/>
          <w:sz w:val="24"/>
          <w:szCs w:val="24"/>
        </w:rPr>
        <w:t>30, pp.64-74</w:t>
      </w:r>
    </w:p>
    <w:p w14:paraId="109A705A" w14:textId="4D0A598F" w:rsidR="003C55E7" w:rsidRDefault="003C55E7" w:rsidP="00957BB6">
      <w:pPr>
        <w:spacing w:line="360" w:lineRule="auto"/>
        <w:jc w:val="both"/>
        <w:rPr>
          <w:rFonts w:ascii="Arial" w:hAnsi="Arial" w:cs="Arial"/>
          <w:i/>
          <w:iCs/>
          <w:sz w:val="24"/>
          <w:szCs w:val="24"/>
        </w:rPr>
      </w:pPr>
      <w:r>
        <w:rPr>
          <w:rFonts w:ascii="Arial" w:hAnsi="Arial" w:cs="Arial"/>
          <w:sz w:val="24"/>
          <w:szCs w:val="24"/>
        </w:rPr>
        <w:t xml:space="preserve">Connell, R., (1992), </w:t>
      </w:r>
      <w:r>
        <w:rPr>
          <w:rFonts w:ascii="Arial" w:hAnsi="Arial" w:cs="Arial"/>
          <w:i/>
          <w:iCs/>
          <w:sz w:val="24"/>
          <w:szCs w:val="24"/>
        </w:rPr>
        <w:t>Masculinities,</w:t>
      </w:r>
      <w:r>
        <w:rPr>
          <w:rFonts w:ascii="Arial" w:hAnsi="Arial" w:cs="Arial"/>
          <w:sz w:val="24"/>
          <w:szCs w:val="24"/>
        </w:rPr>
        <w:t xml:space="preserve"> Berkeley: University of California Press</w:t>
      </w:r>
      <w:r>
        <w:rPr>
          <w:rFonts w:ascii="Arial" w:hAnsi="Arial" w:cs="Arial"/>
          <w:i/>
          <w:iCs/>
          <w:sz w:val="24"/>
          <w:szCs w:val="24"/>
        </w:rPr>
        <w:t xml:space="preserve"> </w:t>
      </w:r>
    </w:p>
    <w:p w14:paraId="211AB238" w14:textId="08CD5D37" w:rsidR="008121A7" w:rsidRDefault="008121A7" w:rsidP="00957BB6">
      <w:pPr>
        <w:spacing w:line="360" w:lineRule="auto"/>
        <w:jc w:val="both"/>
        <w:rPr>
          <w:rFonts w:ascii="Arial" w:hAnsi="Arial" w:cs="Arial"/>
          <w:sz w:val="24"/>
          <w:szCs w:val="24"/>
        </w:rPr>
      </w:pPr>
      <w:r>
        <w:rPr>
          <w:rFonts w:ascii="Arial" w:hAnsi="Arial" w:cs="Arial"/>
          <w:sz w:val="24"/>
          <w:szCs w:val="24"/>
        </w:rPr>
        <w:t xml:space="preserve">Corwin, A. I., (2009), ‘Language and gender variance: Constructing gender beyond the male/female binary’, </w:t>
      </w:r>
      <w:r>
        <w:rPr>
          <w:rFonts w:ascii="Arial" w:hAnsi="Arial" w:cs="Arial"/>
          <w:i/>
          <w:iCs/>
          <w:sz w:val="24"/>
          <w:szCs w:val="24"/>
        </w:rPr>
        <w:t xml:space="preserve">Electronic Journal of Human Sexuality, </w:t>
      </w:r>
      <w:r>
        <w:rPr>
          <w:rFonts w:ascii="Arial" w:hAnsi="Arial" w:cs="Arial"/>
          <w:sz w:val="24"/>
          <w:szCs w:val="24"/>
        </w:rPr>
        <w:t>12</w:t>
      </w:r>
      <w:r w:rsidR="00A24C83">
        <w:rPr>
          <w:rFonts w:ascii="Arial" w:hAnsi="Arial" w:cs="Arial"/>
          <w:sz w:val="24"/>
          <w:szCs w:val="24"/>
        </w:rPr>
        <w:t>, pp.1-19</w:t>
      </w:r>
    </w:p>
    <w:p w14:paraId="497DCE76" w14:textId="752AF053" w:rsidR="00A24C83" w:rsidRPr="00A24C83" w:rsidRDefault="00A24C83" w:rsidP="00957BB6">
      <w:pPr>
        <w:spacing w:line="360" w:lineRule="auto"/>
        <w:jc w:val="both"/>
        <w:rPr>
          <w:rFonts w:ascii="Arial" w:hAnsi="Arial" w:cs="Arial"/>
          <w:sz w:val="24"/>
          <w:szCs w:val="24"/>
        </w:rPr>
      </w:pPr>
      <w:r>
        <w:rPr>
          <w:rFonts w:ascii="Arial" w:hAnsi="Arial" w:cs="Arial"/>
          <w:sz w:val="24"/>
          <w:szCs w:val="24"/>
        </w:rPr>
        <w:t xml:space="preserve">Daems, Jim, (2014), </w:t>
      </w:r>
      <w:r>
        <w:rPr>
          <w:rFonts w:ascii="Arial" w:hAnsi="Arial" w:cs="Arial"/>
          <w:i/>
          <w:iCs/>
          <w:sz w:val="24"/>
          <w:szCs w:val="24"/>
        </w:rPr>
        <w:t xml:space="preserve">The Makeup of RuPaul’s Drag Race: Essays on the Queen of Reality Shows, </w:t>
      </w:r>
      <w:r>
        <w:rPr>
          <w:rFonts w:ascii="Arial" w:hAnsi="Arial" w:cs="Arial"/>
          <w:sz w:val="24"/>
          <w:szCs w:val="24"/>
        </w:rPr>
        <w:t>North Carolina: McFarland &amp; Company</w:t>
      </w:r>
    </w:p>
    <w:p w14:paraId="19159AC8" w14:textId="5FC24413" w:rsidR="00F206F5" w:rsidRDefault="00F206F5" w:rsidP="00957BB6">
      <w:pPr>
        <w:spacing w:line="360" w:lineRule="auto"/>
        <w:jc w:val="both"/>
        <w:rPr>
          <w:rFonts w:ascii="Arial" w:hAnsi="Arial" w:cs="Arial"/>
          <w:sz w:val="24"/>
          <w:szCs w:val="24"/>
        </w:rPr>
      </w:pPr>
      <w:r w:rsidRPr="00405216">
        <w:rPr>
          <w:rFonts w:ascii="Arial" w:hAnsi="Arial" w:cs="Arial"/>
          <w:sz w:val="24"/>
          <w:szCs w:val="24"/>
        </w:rPr>
        <w:t xml:space="preserve">Darnell, A. L., and Tabatabai, A., (2017), ‘The werk that remains: Drag and the mining of the idealized female form’, In N. Brennan &amp; D. Gudelunas (Eds.), </w:t>
      </w:r>
      <w:r w:rsidRPr="00405216">
        <w:rPr>
          <w:rFonts w:ascii="Arial" w:hAnsi="Arial" w:cs="Arial"/>
          <w:i/>
          <w:iCs/>
          <w:sz w:val="24"/>
          <w:szCs w:val="24"/>
        </w:rPr>
        <w:t>RuPaul’s drag face and the shifting visibility of drag culture,</w:t>
      </w:r>
      <w:r w:rsidRPr="00405216">
        <w:rPr>
          <w:rFonts w:ascii="Arial" w:hAnsi="Arial" w:cs="Arial"/>
          <w:sz w:val="24"/>
          <w:szCs w:val="24"/>
        </w:rPr>
        <w:t xml:space="preserve"> Cham: Springer Nature, pp. 91–101</w:t>
      </w:r>
    </w:p>
    <w:p w14:paraId="3ABA677E" w14:textId="3C8BA0F6" w:rsidR="0096098F" w:rsidRPr="0096098F" w:rsidRDefault="0096098F" w:rsidP="00957BB6">
      <w:pPr>
        <w:spacing w:line="360" w:lineRule="auto"/>
        <w:jc w:val="both"/>
        <w:rPr>
          <w:rFonts w:ascii="Arial" w:hAnsi="Arial" w:cs="Arial"/>
          <w:sz w:val="36"/>
          <w:szCs w:val="36"/>
        </w:rPr>
      </w:pPr>
      <w:r w:rsidRPr="00F45778">
        <w:rPr>
          <w:rFonts w:ascii="Arial" w:hAnsi="Arial" w:cs="Arial"/>
          <w:sz w:val="24"/>
          <w:szCs w:val="24"/>
        </w:rPr>
        <w:t xml:space="preserve">Devor, H., (2002), ‘Who are “we”? Where sexual orientation meets gender identity’, </w:t>
      </w:r>
      <w:r w:rsidRPr="00F45778">
        <w:rPr>
          <w:rFonts w:ascii="Arial" w:hAnsi="Arial" w:cs="Arial"/>
          <w:i/>
          <w:iCs/>
          <w:sz w:val="24"/>
          <w:szCs w:val="24"/>
        </w:rPr>
        <w:t>Journal of Gay &amp; Lesbian Psychotherapy</w:t>
      </w:r>
      <w:r w:rsidRPr="00F45778">
        <w:rPr>
          <w:rFonts w:ascii="Arial" w:hAnsi="Arial" w:cs="Arial"/>
          <w:sz w:val="24"/>
          <w:szCs w:val="24"/>
        </w:rPr>
        <w:t>, 6, pp.5–21</w:t>
      </w:r>
    </w:p>
    <w:p w14:paraId="0B3DBCC4" w14:textId="649C3CA8" w:rsidR="00373D82" w:rsidRPr="00373D82" w:rsidRDefault="00373D82" w:rsidP="00957BB6">
      <w:pPr>
        <w:spacing w:line="360" w:lineRule="auto"/>
        <w:jc w:val="both"/>
        <w:rPr>
          <w:rFonts w:ascii="Arial" w:hAnsi="Arial" w:cs="Arial"/>
          <w:sz w:val="24"/>
          <w:szCs w:val="24"/>
        </w:rPr>
      </w:pPr>
      <w:r w:rsidRPr="00B021B5">
        <w:rPr>
          <w:rFonts w:ascii="Arial" w:hAnsi="Arial" w:cs="Arial"/>
          <w:sz w:val="24"/>
          <w:szCs w:val="24"/>
        </w:rPr>
        <w:t>Dolan, Jill</w:t>
      </w:r>
      <w:r>
        <w:rPr>
          <w:rFonts w:ascii="Arial" w:hAnsi="Arial" w:cs="Arial"/>
          <w:sz w:val="24"/>
          <w:szCs w:val="24"/>
        </w:rPr>
        <w:t>,</w:t>
      </w:r>
      <w:r w:rsidRPr="00B021B5">
        <w:rPr>
          <w:rFonts w:ascii="Arial" w:hAnsi="Arial" w:cs="Arial"/>
          <w:sz w:val="24"/>
          <w:szCs w:val="24"/>
        </w:rPr>
        <w:t xml:space="preserve"> (1985)</w:t>
      </w:r>
      <w:r>
        <w:rPr>
          <w:rFonts w:ascii="Arial" w:hAnsi="Arial" w:cs="Arial"/>
          <w:sz w:val="24"/>
          <w:szCs w:val="24"/>
        </w:rPr>
        <w:t>,</w:t>
      </w:r>
      <w:r w:rsidRPr="00B021B5">
        <w:rPr>
          <w:rFonts w:ascii="Arial" w:hAnsi="Arial" w:cs="Arial"/>
          <w:sz w:val="24"/>
          <w:szCs w:val="24"/>
        </w:rPr>
        <w:t xml:space="preserve"> ‘Gender Impersonation Onstage: Destroying or Maintaining</w:t>
      </w:r>
      <w:r>
        <w:rPr>
          <w:rFonts w:ascii="Arial" w:hAnsi="Arial" w:cs="Arial"/>
          <w:sz w:val="24"/>
          <w:szCs w:val="24"/>
        </w:rPr>
        <w:t xml:space="preserve"> </w:t>
      </w:r>
      <w:r w:rsidRPr="00B021B5">
        <w:rPr>
          <w:rFonts w:ascii="Arial" w:hAnsi="Arial" w:cs="Arial"/>
          <w:sz w:val="24"/>
          <w:szCs w:val="24"/>
        </w:rPr>
        <w:t>the Mirror of Gender Roles?’</w:t>
      </w:r>
      <w:r>
        <w:rPr>
          <w:rFonts w:ascii="Arial" w:hAnsi="Arial" w:cs="Arial"/>
          <w:sz w:val="24"/>
          <w:szCs w:val="24"/>
        </w:rPr>
        <w:t>,</w:t>
      </w:r>
      <w:r w:rsidRPr="00B021B5">
        <w:rPr>
          <w:rFonts w:ascii="Arial" w:hAnsi="Arial" w:cs="Arial"/>
          <w:sz w:val="24"/>
          <w:szCs w:val="24"/>
        </w:rPr>
        <w:t xml:space="preserve"> </w:t>
      </w:r>
      <w:r w:rsidRPr="00B021B5">
        <w:rPr>
          <w:rFonts w:ascii="Arial" w:hAnsi="Arial" w:cs="Arial"/>
          <w:i/>
          <w:iCs/>
          <w:sz w:val="24"/>
          <w:szCs w:val="24"/>
        </w:rPr>
        <w:t>Women and Performance: A Journal of Feminist</w:t>
      </w:r>
      <w:r>
        <w:rPr>
          <w:rFonts w:ascii="Arial" w:hAnsi="Arial" w:cs="Arial"/>
          <w:i/>
          <w:iCs/>
          <w:sz w:val="24"/>
          <w:szCs w:val="24"/>
        </w:rPr>
        <w:t xml:space="preserve"> </w:t>
      </w:r>
      <w:r w:rsidRPr="00B021B5">
        <w:rPr>
          <w:rFonts w:ascii="Arial" w:hAnsi="Arial" w:cs="Arial"/>
          <w:i/>
          <w:iCs/>
          <w:sz w:val="24"/>
          <w:szCs w:val="24"/>
        </w:rPr>
        <w:t>Theory</w:t>
      </w:r>
      <w:r>
        <w:rPr>
          <w:rFonts w:ascii="Arial" w:hAnsi="Arial" w:cs="Arial"/>
          <w:i/>
          <w:iCs/>
          <w:sz w:val="24"/>
          <w:szCs w:val="24"/>
        </w:rPr>
        <w:t>,</w:t>
      </w:r>
      <w:r w:rsidRPr="00B021B5">
        <w:rPr>
          <w:rFonts w:ascii="Arial" w:hAnsi="Arial" w:cs="Arial"/>
          <w:i/>
          <w:iCs/>
          <w:sz w:val="24"/>
          <w:szCs w:val="24"/>
        </w:rPr>
        <w:t xml:space="preserve"> </w:t>
      </w:r>
      <w:r w:rsidRPr="00B021B5">
        <w:rPr>
          <w:rFonts w:ascii="Arial" w:hAnsi="Arial" w:cs="Arial"/>
          <w:sz w:val="24"/>
          <w:szCs w:val="24"/>
        </w:rPr>
        <w:t>2</w:t>
      </w:r>
      <w:r>
        <w:rPr>
          <w:rFonts w:ascii="Arial" w:hAnsi="Arial" w:cs="Arial"/>
          <w:sz w:val="24"/>
          <w:szCs w:val="24"/>
        </w:rPr>
        <w:t xml:space="preserve"> </w:t>
      </w:r>
      <w:r w:rsidRPr="00B021B5">
        <w:rPr>
          <w:rFonts w:ascii="Arial" w:hAnsi="Arial" w:cs="Arial"/>
          <w:sz w:val="24"/>
          <w:szCs w:val="24"/>
        </w:rPr>
        <w:t>(2)</w:t>
      </w:r>
      <w:r>
        <w:rPr>
          <w:rFonts w:ascii="Arial" w:hAnsi="Arial" w:cs="Arial"/>
          <w:sz w:val="24"/>
          <w:szCs w:val="24"/>
        </w:rPr>
        <w:t>,</w:t>
      </w:r>
      <w:r w:rsidRPr="00B021B5">
        <w:rPr>
          <w:rFonts w:ascii="Arial" w:hAnsi="Arial" w:cs="Arial"/>
          <w:sz w:val="24"/>
          <w:szCs w:val="24"/>
        </w:rPr>
        <w:t xml:space="preserve"> </w:t>
      </w:r>
      <w:r>
        <w:rPr>
          <w:rFonts w:ascii="Arial" w:hAnsi="Arial" w:cs="Arial"/>
          <w:sz w:val="24"/>
          <w:szCs w:val="24"/>
        </w:rPr>
        <w:t>pp.</w:t>
      </w:r>
      <w:r w:rsidRPr="00B021B5">
        <w:rPr>
          <w:rFonts w:ascii="Arial" w:hAnsi="Arial" w:cs="Arial"/>
          <w:sz w:val="24"/>
          <w:szCs w:val="24"/>
        </w:rPr>
        <w:t>5–11</w:t>
      </w:r>
    </w:p>
    <w:p w14:paraId="7273E270" w14:textId="008BD26B" w:rsidR="001C19B5" w:rsidRDefault="001C19B5" w:rsidP="00957BB6">
      <w:pPr>
        <w:spacing w:line="360" w:lineRule="auto"/>
        <w:jc w:val="both"/>
        <w:rPr>
          <w:rFonts w:ascii="Arial" w:hAnsi="Arial" w:cs="Arial"/>
          <w:sz w:val="24"/>
          <w:szCs w:val="24"/>
        </w:rPr>
      </w:pPr>
      <w:r>
        <w:rPr>
          <w:rFonts w:ascii="Arial" w:hAnsi="Arial" w:cs="Arial"/>
          <w:sz w:val="24"/>
          <w:szCs w:val="24"/>
        </w:rPr>
        <w:t xml:space="preserve">Ellemers, Naomi, (2018), ‘Gender stereotypes’, </w:t>
      </w:r>
      <w:r>
        <w:rPr>
          <w:rFonts w:ascii="Arial" w:hAnsi="Arial" w:cs="Arial"/>
          <w:i/>
          <w:iCs/>
          <w:sz w:val="24"/>
          <w:szCs w:val="24"/>
        </w:rPr>
        <w:t xml:space="preserve">Annual review of psychology, </w:t>
      </w:r>
      <w:r>
        <w:rPr>
          <w:rFonts w:ascii="Arial" w:hAnsi="Arial" w:cs="Arial"/>
          <w:sz w:val="24"/>
          <w:szCs w:val="24"/>
        </w:rPr>
        <w:t>69 (1), pp.275-298</w:t>
      </w:r>
    </w:p>
    <w:p w14:paraId="0F1408BF" w14:textId="6F975186" w:rsidR="0008664D" w:rsidRDefault="0008664D" w:rsidP="00957BB6">
      <w:pPr>
        <w:spacing w:line="360" w:lineRule="auto"/>
        <w:jc w:val="both"/>
        <w:rPr>
          <w:rFonts w:ascii="Arial" w:hAnsi="Arial" w:cs="Arial"/>
          <w:sz w:val="24"/>
          <w:szCs w:val="24"/>
        </w:rPr>
      </w:pPr>
      <w:r>
        <w:rPr>
          <w:rFonts w:ascii="Arial" w:hAnsi="Arial" w:cs="Arial"/>
          <w:sz w:val="24"/>
          <w:szCs w:val="24"/>
        </w:rPr>
        <w:t xml:space="preserve">Ellis, Justin R.; Ashford, Chris and Maine, Alexander, (2022), ‘A Fairy Tale Gone Wrong: Social media, Recursive Hate and the Politicisation of Drag Queen Storytime, </w:t>
      </w:r>
      <w:r>
        <w:rPr>
          <w:rFonts w:ascii="Arial" w:hAnsi="Arial" w:cs="Arial"/>
          <w:i/>
          <w:iCs/>
          <w:sz w:val="24"/>
          <w:szCs w:val="24"/>
        </w:rPr>
        <w:t xml:space="preserve">Journal of criminal law, </w:t>
      </w:r>
      <w:r>
        <w:rPr>
          <w:rFonts w:ascii="Arial" w:hAnsi="Arial" w:cs="Arial"/>
          <w:sz w:val="24"/>
          <w:szCs w:val="24"/>
        </w:rPr>
        <w:t>86 (2), pp.94—108</w:t>
      </w:r>
    </w:p>
    <w:p w14:paraId="42F64752" w14:textId="77777777" w:rsidR="00FD772E" w:rsidRDefault="00FD772E" w:rsidP="00957BB6">
      <w:pPr>
        <w:spacing w:line="360" w:lineRule="auto"/>
        <w:jc w:val="both"/>
        <w:rPr>
          <w:rFonts w:ascii="Arial" w:hAnsi="Arial" w:cs="Arial"/>
          <w:sz w:val="24"/>
          <w:szCs w:val="24"/>
        </w:rPr>
      </w:pPr>
      <w:r w:rsidRPr="00333449">
        <w:rPr>
          <w:rFonts w:ascii="Arial" w:hAnsi="Arial" w:cs="Arial"/>
          <w:sz w:val="24"/>
          <w:szCs w:val="24"/>
        </w:rPr>
        <w:t>Fiske, S. T.</w:t>
      </w:r>
      <w:r>
        <w:rPr>
          <w:rFonts w:ascii="Arial" w:hAnsi="Arial" w:cs="Arial"/>
          <w:sz w:val="24"/>
          <w:szCs w:val="24"/>
        </w:rPr>
        <w:t>,</w:t>
      </w:r>
      <w:r w:rsidRPr="00333449">
        <w:rPr>
          <w:rFonts w:ascii="Arial" w:hAnsi="Arial" w:cs="Arial"/>
          <w:sz w:val="24"/>
          <w:szCs w:val="24"/>
        </w:rPr>
        <w:t xml:space="preserve"> </w:t>
      </w:r>
      <w:r>
        <w:rPr>
          <w:rFonts w:ascii="Arial" w:hAnsi="Arial" w:cs="Arial"/>
          <w:sz w:val="24"/>
          <w:szCs w:val="24"/>
        </w:rPr>
        <w:t>(</w:t>
      </w:r>
      <w:r w:rsidRPr="00333449">
        <w:rPr>
          <w:rFonts w:ascii="Arial" w:hAnsi="Arial" w:cs="Arial"/>
          <w:sz w:val="24"/>
          <w:szCs w:val="24"/>
        </w:rPr>
        <w:t>1998</w:t>
      </w:r>
      <w:r>
        <w:rPr>
          <w:rFonts w:ascii="Arial" w:hAnsi="Arial" w:cs="Arial"/>
          <w:sz w:val="24"/>
          <w:szCs w:val="24"/>
        </w:rPr>
        <w:t>),</w:t>
      </w:r>
      <w:r w:rsidRPr="00333449">
        <w:rPr>
          <w:rFonts w:ascii="Arial" w:hAnsi="Arial" w:cs="Arial"/>
          <w:sz w:val="24"/>
          <w:szCs w:val="24"/>
        </w:rPr>
        <w:t xml:space="preserve"> </w:t>
      </w:r>
      <w:r>
        <w:rPr>
          <w:rFonts w:ascii="Arial" w:hAnsi="Arial" w:cs="Arial"/>
          <w:sz w:val="24"/>
          <w:szCs w:val="24"/>
        </w:rPr>
        <w:t>‘</w:t>
      </w:r>
      <w:r w:rsidRPr="00333449">
        <w:rPr>
          <w:rFonts w:ascii="Arial" w:hAnsi="Arial" w:cs="Arial"/>
          <w:sz w:val="24"/>
          <w:szCs w:val="24"/>
        </w:rPr>
        <w:t>Stereotyping, prejudice, and discrimination</w:t>
      </w:r>
      <w:r>
        <w:rPr>
          <w:rFonts w:ascii="Arial" w:hAnsi="Arial" w:cs="Arial"/>
          <w:sz w:val="24"/>
          <w:szCs w:val="24"/>
        </w:rPr>
        <w:t>’,</w:t>
      </w:r>
      <w:r w:rsidRPr="00333449">
        <w:rPr>
          <w:rFonts w:ascii="Arial" w:hAnsi="Arial" w:cs="Arial"/>
          <w:sz w:val="24"/>
          <w:szCs w:val="24"/>
        </w:rPr>
        <w:t xml:space="preserve"> In D. T. Gilbert </w:t>
      </w:r>
      <w:r>
        <w:rPr>
          <w:rFonts w:ascii="Arial" w:hAnsi="Arial" w:cs="Arial"/>
          <w:sz w:val="24"/>
          <w:szCs w:val="24"/>
        </w:rPr>
        <w:t>and</w:t>
      </w:r>
      <w:r w:rsidRPr="00333449">
        <w:rPr>
          <w:rFonts w:ascii="Arial" w:hAnsi="Arial" w:cs="Arial"/>
          <w:sz w:val="24"/>
          <w:szCs w:val="24"/>
        </w:rPr>
        <w:t xml:space="preserve"> S. T. Fiske (Eds),</w:t>
      </w:r>
      <w:r w:rsidRPr="00333449">
        <w:rPr>
          <w:rFonts w:ascii="Arial" w:hAnsi="Arial" w:cs="Arial"/>
          <w:i/>
          <w:iCs/>
          <w:sz w:val="24"/>
          <w:szCs w:val="24"/>
        </w:rPr>
        <w:t>Handbook of social psychology(4th ed.)</w:t>
      </w:r>
      <w:r>
        <w:rPr>
          <w:rFonts w:ascii="Arial" w:hAnsi="Arial" w:cs="Arial"/>
          <w:i/>
          <w:iCs/>
          <w:sz w:val="24"/>
          <w:szCs w:val="24"/>
        </w:rPr>
        <w:t>,</w:t>
      </w:r>
      <w:r w:rsidRPr="00333449">
        <w:rPr>
          <w:rFonts w:ascii="Arial" w:hAnsi="Arial" w:cs="Arial"/>
          <w:sz w:val="24"/>
          <w:szCs w:val="24"/>
        </w:rPr>
        <w:t xml:space="preserve"> Boston: McGraw-Hill</w:t>
      </w:r>
      <w:r>
        <w:rPr>
          <w:rFonts w:ascii="Arial" w:hAnsi="Arial" w:cs="Arial"/>
          <w:sz w:val="24"/>
          <w:szCs w:val="24"/>
        </w:rPr>
        <w:t>, pp.</w:t>
      </w:r>
      <w:r w:rsidRPr="00333449">
        <w:rPr>
          <w:rFonts w:ascii="Arial" w:hAnsi="Arial" w:cs="Arial"/>
          <w:sz w:val="24"/>
          <w:szCs w:val="24"/>
        </w:rPr>
        <w:t xml:space="preserve"> 357-411</w:t>
      </w:r>
    </w:p>
    <w:p w14:paraId="3F052201" w14:textId="0D558742" w:rsidR="00FD772E" w:rsidRDefault="00FD772E" w:rsidP="00957BB6">
      <w:pPr>
        <w:spacing w:line="360" w:lineRule="auto"/>
        <w:jc w:val="both"/>
        <w:rPr>
          <w:rFonts w:ascii="Arial" w:hAnsi="Arial" w:cs="Arial"/>
          <w:sz w:val="24"/>
          <w:szCs w:val="24"/>
        </w:rPr>
      </w:pPr>
      <w:r w:rsidRPr="00333449">
        <w:rPr>
          <w:rFonts w:ascii="Arial" w:hAnsi="Arial" w:cs="Arial"/>
          <w:sz w:val="24"/>
          <w:szCs w:val="24"/>
        </w:rPr>
        <w:lastRenderedPageBreak/>
        <w:t>Fiske, S. T.</w:t>
      </w:r>
      <w:r>
        <w:rPr>
          <w:rFonts w:ascii="Arial" w:hAnsi="Arial" w:cs="Arial"/>
          <w:sz w:val="24"/>
          <w:szCs w:val="24"/>
        </w:rPr>
        <w:t>,</w:t>
      </w:r>
      <w:r w:rsidRPr="00333449">
        <w:rPr>
          <w:rFonts w:ascii="Arial" w:hAnsi="Arial" w:cs="Arial"/>
          <w:sz w:val="24"/>
          <w:szCs w:val="24"/>
        </w:rPr>
        <w:t xml:space="preserve"> </w:t>
      </w:r>
      <w:r>
        <w:rPr>
          <w:rFonts w:ascii="Arial" w:hAnsi="Arial" w:cs="Arial"/>
          <w:sz w:val="24"/>
          <w:szCs w:val="24"/>
        </w:rPr>
        <w:t>(</w:t>
      </w:r>
      <w:r w:rsidRPr="00333449">
        <w:rPr>
          <w:rFonts w:ascii="Arial" w:hAnsi="Arial" w:cs="Arial"/>
          <w:sz w:val="24"/>
          <w:szCs w:val="24"/>
        </w:rPr>
        <w:t>2004</w:t>
      </w:r>
      <w:r>
        <w:rPr>
          <w:rFonts w:ascii="Arial" w:hAnsi="Arial" w:cs="Arial"/>
          <w:sz w:val="24"/>
          <w:szCs w:val="24"/>
        </w:rPr>
        <w:t>),</w:t>
      </w:r>
      <w:r w:rsidRPr="00333449">
        <w:rPr>
          <w:rFonts w:ascii="Arial" w:hAnsi="Arial" w:cs="Arial"/>
          <w:sz w:val="24"/>
          <w:szCs w:val="24"/>
        </w:rPr>
        <w:t xml:space="preserve"> </w:t>
      </w:r>
      <w:r>
        <w:rPr>
          <w:rFonts w:ascii="Arial" w:hAnsi="Arial" w:cs="Arial"/>
          <w:sz w:val="24"/>
          <w:szCs w:val="24"/>
        </w:rPr>
        <w:t>‘</w:t>
      </w:r>
      <w:r w:rsidRPr="00333449">
        <w:rPr>
          <w:rFonts w:ascii="Arial" w:hAnsi="Arial" w:cs="Arial"/>
          <w:sz w:val="24"/>
          <w:szCs w:val="24"/>
        </w:rPr>
        <w:t>Intent and ordinary bias: Unintended thought and social motivation create casual prejudice</w:t>
      </w:r>
      <w:r>
        <w:rPr>
          <w:rFonts w:ascii="Arial" w:hAnsi="Arial" w:cs="Arial"/>
          <w:sz w:val="24"/>
          <w:szCs w:val="24"/>
        </w:rPr>
        <w:t>’,</w:t>
      </w:r>
      <w:r w:rsidRPr="00333449">
        <w:rPr>
          <w:rFonts w:ascii="Arial" w:hAnsi="Arial" w:cs="Arial"/>
          <w:sz w:val="24"/>
          <w:szCs w:val="24"/>
        </w:rPr>
        <w:t xml:space="preserve"> </w:t>
      </w:r>
      <w:r w:rsidRPr="00333449">
        <w:rPr>
          <w:rFonts w:ascii="Arial" w:hAnsi="Arial" w:cs="Arial"/>
          <w:i/>
          <w:iCs/>
          <w:sz w:val="24"/>
          <w:szCs w:val="24"/>
        </w:rPr>
        <w:t>Social Justice Research</w:t>
      </w:r>
      <w:r w:rsidRPr="00333449">
        <w:rPr>
          <w:rFonts w:ascii="Arial" w:hAnsi="Arial" w:cs="Arial"/>
          <w:sz w:val="24"/>
          <w:szCs w:val="24"/>
        </w:rPr>
        <w:t>, 17</w:t>
      </w:r>
      <w:r>
        <w:rPr>
          <w:rFonts w:ascii="Arial" w:hAnsi="Arial" w:cs="Arial"/>
          <w:sz w:val="24"/>
          <w:szCs w:val="24"/>
        </w:rPr>
        <w:t>, pp.</w:t>
      </w:r>
      <w:r w:rsidRPr="00333449">
        <w:rPr>
          <w:rFonts w:ascii="Arial" w:hAnsi="Arial" w:cs="Arial"/>
          <w:sz w:val="24"/>
          <w:szCs w:val="24"/>
        </w:rPr>
        <w:t>117-127</w:t>
      </w:r>
    </w:p>
    <w:p w14:paraId="1538F04A" w14:textId="24673485" w:rsidR="00B76C21" w:rsidRDefault="00B76C21" w:rsidP="00957BB6">
      <w:pPr>
        <w:spacing w:line="360" w:lineRule="auto"/>
        <w:jc w:val="both"/>
        <w:rPr>
          <w:rFonts w:ascii="Arial" w:hAnsi="Arial" w:cs="Arial"/>
          <w:sz w:val="24"/>
          <w:szCs w:val="24"/>
        </w:rPr>
      </w:pPr>
      <w:r w:rsidRPr="00333449">
        <w:rPr>
          <w:rFonts w:ascii="Arial" w:hAnsi="Arial" w:cs="Arial"/>
          <w:sz w:val="24"/>
          <w:szCs w:val="24"/>
        </w:rPr>
        <w:t xml:space="preserve">Fiske, S.  T., </w:t>
      </w:r>
      <w:r>
        <w:rPr>
          <w:rFonts w:ascii="Arial" w:hAnsi="Arial" w:cs="Arial"/>
          <w:sz w:val="24"/>
          <w:szCs w:val="24"/>
        </w:rPr>
        <w:t>and</w:t>
      </w:r>
      <w:r w:rsidRPr="00333449">
        <w:rPr>
          <w:rFonts w:ascii="Arial" w:hAnsi="Arial" w:cs="Arial"/>
          <w:sz w:val="24"/>
          <w:szCs w:val="24"/>
        </w:rPr>
        <w:t xml:space="preserve"> Neuberg, S.</w:t>
      </w:r>
      <w:r>
        <w:rPr>
          <w:rFonts w:ascii="Arial" w:hAnsi="Arial" w:cs="Arial"/>
          <w:sz w:val="24"/>
          <w:szCs w:val="24"/>
        </w:rPr>
        <w:t>,</w:t>
      </w:r>
      <w:r w:rsidRPr="00333449">
        <w:rPr>
          <w:rFonts w:ascii="Arial" w:hAnsi="Arial" w:cs="Arial"/>
          <w:sz w:val="24"/>
          <w:szCs w:val="24"/>
        </w:rPr>
        <w:t xml:space="preserve"> </w:t>
      </w:r>
      <w:r>
        <w:rPr>
          <w:rFonts w:ascii="Arial" w:hAnsi="Arial" w:cs="Arial"/>
          <w:sz w:val="24"/>
          <w:szCs w:val="24"/>
        </w:rPr>
        <w:t>(</w:t>
      </w:r>
      <w:r w:rsidRPr="00333449">
        <w:rPr>
          <w:rFonts w:ascii="Arial" w:hAnsi="Arial" w:cs="Arial"/>
          <w:sz w:val="24"/>
          <w:szCs w:val="24"/>
        </w:rPr>
        <w:t>1990</w:t>
      </w:r>
      <w:r>
        <w:rPr>
          <w:rFonts w:ascii="Arial" w:hAnsi="Arial" w:cs="Arial"/>
          <w:sz w:val="24"/>
          <w:szCs w:val="24"/>
        </w:rPr>
        <w:t>),</w:t>
      </w:r>
      <w:r w:rsidRPr="00333449">
        <w:rPr>
          <w:rFonts w:ascii="Arial" w:hAnsi="Arial" w:cs="Arial"/>
          <w:sz w:val="24"/>
          <w:szCs w:val="24"/>
        </w:rPr>
        <w:t xml:space="preserve"> </w:t>
      </w:r>
      <w:r>
        <w:rPr>
          <w:rFonts w:ascii="Arial" w:hAnsi="Arial" w:cs="Arial"/>
          <w:sz w:val="24"/>
          <w:szCs w:val="24"/>
        </w:rPr>
        <w:t>‘</w:t>
      </w:r>
      <w:r w:rsidRPr="00333449">
        <w:rPr>
          <w:rFonts w:ascii="Arial" w:hAnsi="Arial" w:cs="Arial"/>
          <w:sz w:val="24"/>
          <w:szCs w:val="24"/>
        </w:rPr>
        <w:t>A continuum of impression formation, from category-based to individuation</w:t>
      </w:r>
      <w:r>
        <w:rPr>
          <w:rFonts w:ascii="Arial" w:hAnsi="Arial" w:cs="Arial"/>
          <w:sz w:val="24"/>
          <w:szCs w:val="24"/>
        </w:rPr>
        <w:t xml:space="preserve"> </w:t>
      </w:r>
      <w:r w:rsidRPr="00333449">
        <w:rPr>
          <w:rFonts w:ascii="Arial" w:hAnsi="Arial" w:cs="Arial"/>
          <w:sz w:val="24"/>
          <w:szCs w:val="24"/>
        </w:rPr>
        <w:t>processes:</w:t>
      </w:r>
      <w:r>
        <w:rPr>
          <w:rFonts w:ascii="Arial" w:hAnsi="Arial" w:cs="Arial"/>
          <w:sz w:val="24"/>
          <w:szCs w:val="24"/>
        </w:rPr>
        <w:t xml:space="preserve"> </w:t>
      </w:r>
      <w:r w:rsidRPr="00333449">
        <w:rPr>
          <w:rFonts w:ascii="Arial" w:hAnsi="Arial" w:cs="Arial"/>
          <w:sz w:val="24"/>
          <w:szCs w:val="24"/>
        </w:rPr>
        <w:t>Influences of information and motivation on attention and interpretation</w:t>
      </w:r>
      <w:r>
        <w:rPr>
          <w:rFonts w:ascii="Arial" w:hAnsi="Arial" w:cs="Arial"/>
          <w:sz w:val="24"/>
          <w:szCs w:val="24"/>
        </w:rPr>
        <w:t>’,</w:t>
      </w:r>
      <w:r w:rsidRPr="00333449">
        <w:rPr>
          <w:rFonts w:ascii="Arial" w:hAnsi="Arial" w:cs="Arial"/>
          <w:sz w:val="24"/>
          <w:szCs w:val="24"/>
        </w:rPr>
        <w:t xml:space="preserve"> </w:t>
      </w:r>
      <w:r w:rsidRPr="00333449">
        <w:rPr>
          <w:rFonts w:ascii="Arial" w:hAnsi="Arial" w:cs="Arial"/>
          <w:i/>
          <w:iCs/>
          <w:sz w:val="24"/>
          <w:szCs w:val="24"/>
        </w:rPr>
        <w:t>Advances in Experimental Social Psychology</w:t>
      </w:r>
      <w:r w:rsidRPr="00333449">
        <w:rPr>
          <w:rFonts w:ascii="Arial" w:hAnsi="Arial" w:cs="Arial"/>
          <w:sz w:val="24"/>
          <w:szCs w:val="24"/>
        </w:rPr>
        <w:t>,</w:t>
      </w:r>
      <w:r>
        <w:rPr>
          <w:rFonts w:ascii="Arial" w:hAnsi="Arial" w:cs="Arial"/>
          <w:sz w:val="24"/>
          <w:szCs w:val="24"/>
        </w:rPr>
        <w:t xml:space="preserve"> </w:t>
      </w:r>
      <w:r w:rsidRPr="00333449">
        <w:rPr>
          <w:rFonts w:ascii="Arial" w:hAnsi="Arial" w:cs="Arial"/>
          <w:sz w:val="24"/>
          <w:szCs w:val="24"/>
        </w:rPr>
        <w:t>23</w:t>
      </w:r>
      <w:r>
        <w:rPr>
          <w:rFonts w:ascii="Arial" w:hAnsi="Arial" w:cs="Arial"/>
          <w:sz w:val="24"/>
          <w:szCs w:val="24"/>
        </w:rPr>
        <w:t>, pp.</w:t>
      </w:r>
      <w:r w:rsidRPr="00333449">
        <w:rPr>
          <w:rFonts w:ascii="Arial" w:hAnsi="Arial" w:cs="Arial"/>
          <w:sz w:val="24"/>
          <w:szCs w:val="24"/>
        </w:rPr>
        <w:t>1-74</w:t>
      </w:r>
    </w:p>
    <w:p w14:paraId="26569BD3" w14:textId="46329A8E" w:rsidR="00B76C21" w:rsidRDefault="00B76C21" w:rsidP="00957BB6">
      <w:pPr>
        <w:spacing w:line="360" w:lineRule="auto"/>
        <w:jc w:val="both"/>
        <w:rPr>
          <w:rFonts w:ascii="Arial" w:hAnsi="Arial" w:cs="Arial"/>
          <w:sz w:val="24"/>
          <w:szCs w:val="24"/>
        </w:rPr>
      </w:pPr>
      <w:r>
        <w:rPr>
          <w:rFonts w:ascii="Arial" w:hAnsi="Arial" w:cs="Arial"/>
          <w:sz w:val="24"/>
          <w:szCs w:val="24"/>
        </w:rPr>
        <w:t xml:space="preserve">Fiske, S. T., and Taylor, S. E., (1991), </w:t>
      </w:r>
      <w:r>
        <w:rPr>
          <w:rFonts w:ascii="Arial" w:hAnsi="Arial" w:cs="Arial"/>
          <w:i/>
          <w:iCs/>
          <w:sz w:val="24"/>
          <w:szCs w:val="24"/>
        </w:rPr>
        <w:t xml:space="preserve">Social Cognition, </w:t>
      </w:r>
      <w:r>
        <w:rPr>
          <w:rFonts w:ascii="Arial" w:hAnsi="Arial" w:cs="Arial"/>
          <w:sz w:val="24"/>
          <w:szCs w:val="24"/>
        </w:rPr>
        <w:t>New York:</w:t>
      </w:r>
      <w:r w:rsidR="000A68AE">
        <w:rPr>
          <w:rFonts w:ascii="Arial" w:hAnsi="Arial" w:cs="Arial"/>
          <w:sz w:val="24"/>
          <w:szCs w:val="24"/>
        </w:rPr>
        <w:t xml:space="preserve"> </w:t>
      </w:r>
      <w:r>
        <w:rPr>
          <w:rFonts w:ascii="Arial" w:hAnsi="Arial" w:cs="Arial"/>
          <w:sz w:val="24"/>
          <w:szCs w:val="24"/>
        </w:rPr>
        <w:t>McGraw-Hill</w:t>
      </w:r>
    </w:p>
    <w:p w14:paraId="6412EE15" w14:textId="77777777" w:rsidR="007F2808" w:rsidRDefault="007F2808" w:rsidP="00957BB6">
      <w:pPr>
        <w:spacing w:line="360" w:lineRule="auto"/>
        <w:jc w:val="both"/>
        <w:rPr>
          <w:rFonts w:ascii="Arial" w:hAnsi="Arial" w:cs="Arial"/>
          <w:sz w:val="24"/>
          <w:szCs w:val="24"/>
        </w:rPr>
      </w:pPr>
      <w:r>
        <w:rPr>
          <w:rFonts w:ascii="Arial" w:hAnsi="Arial" w:cs="Arial"/>
          <w:sz w:val="24"/>
          <w:szCs w:val="24"/>
        </w:rPr>
        <w:t xml:space="preserve">Fox, Ragan, (2008), ‘Sober Drag Queens, Digital Forests, and Bloated ‘Lesbians’: Performing Gay Identities Online’, </w:t>
      </w:r>
      <w:r>
        <w:rPr>
          <w:rFonts w:ascii="Arial" w:hAnsi="Arial" w:cs="Arial"/>
          <w:i/>
          <w:iCs/>
          <w:sz w:val="24"/>
          <w:szCs w:val="24"/>
        </w:rPr>
        <w:t xml:space="preserve">Qualitative Inquiry, </w:t>
      </w:r>
      <w:r>
        <w:rPr>
          <w:rFonts w:ascii="Arial" w:hAnsi="Arial" w:cs="Arial"/>
          <w:sz w:val="24"/>
          <w:szCs w:val="24"/>
        </w:rPr>
        <w:t>14 )7), pp.1245-1263</w:t>
      </w:r>
    </w:p>
    <w:p w14:paraId="1E6000FF" w14:textId="38D67B4E" w:rsidR="007F2808" w:rsidRDefault="007F2808" w:rsidP="00957BB6">
      <w:pPr>
        <w:spacing w:line="360" w:lineRule="auto"/>
        <w:jc w:val="both"/>
        <w:rPr>
          <w:rFonts w:ascii="Arial" w:hAnsi="Arial" w:cs="Arial"/>
          <w:sz w:val="24"/>
          <w:szCs w:val="24"/>
        </w:rPr>
      </w:pPr>
      <w:r w:rsidRPr="00C77EA6">
        <w:rPr>
          <w:rFonts w:ascii="Arial" w:hAnsi="Arial" w:cs="Arial"/>
          <w:sz w:val="24"/>
          <w:szCs w:val="24"/>
        </w:rPr>
        <w:t xml:space="preserve">Friedman, R. B., and Jones, A., (2011), ‘Corsets, headpieces, and tape: An ethnography of gendered performance’, </w:t>
      </w:r>
      <w:r w:rsidRPr="00C77EA6">
        <w:rPr>
          <w:rFonts w:ascii="Arial" w:hAnsi="Arial" w:cs="Arial"/>
          <w:i/>
          <w:iCs/>
          <w:sz w:val="24"/>
          <w:szCs w:val="24"/>
        </w:rPr>
        <w:t>Cross-Cultural Communication</w:t>
      </w:r>
      <w:r w:rsidRPr="00C77EA6">
        <w:rPr>
          <w:rFonts w:ascii="Arial" w:hAnsi="Arial" w:cs="Arial"/>
          <w:sz w:val="24"/>
          <w:szCs w:val="24"/>
        </w:rPr>
        <w:t>, 7, pp.82–91</w:t>
      </w:r>
    </w:p>
    <w:p w14:paraId="17452758" w14:textId="4470DD9D" w:rsidR="00373D82" w:rsidRDefault="00373D82" w:rsidP="00957BB6">
      <w:pPr>
        <w:spacing w:line="360" w:lineRule="auto"/>
        <w:jc w:val="both"/>
        <w:rPr>
          <w:rFonts w:ascii="Arial" w:hAnsi="Arial" w:cs="Arial"/>
          <w:sz w:val="24"/>
          <w:szCs w:val="24"/>
        </w:rPr>
      </w:pPr>
      <w:r w:rsidRPr="00B021B5">
        <w:rPr>
          <w:rFonts w:ascii="Arial" w:hAnsi="Arial" w:cs="Arial"/>
          <w:sz w:val="24"/>
          <w:szCs w:val="24"/>
        </w:rPr>
        <w:t>Frye, Marilyn</w:t>
      </w:r>
      <w:r>
        <w:rPr>
          <w:rFonts w:ascii="Arial" w:hAnsi="Arial" w:cs="Arial"/>
          <w:sz w:val="24"/>
          <w:szCs w:val="24"/>
        </w:rPr>
        <w:t>,</w:t>
      </w:r>
      <w:r w:rsidRPr="00B021B5">
        <w:rPr>
          <w:rFonts w:ascii="Arial" w:hAnsi="Arial" w:cs="Arial"/>
          <w:sz w:val="24"/>
          <w:szCs w:val="24"/>
        </w:rPr>
        <w:t xml:space="preserve"> (1983)</w:t>
      </w:r>
      <w:r>
        <w:rPr>
          <w:rFonts w:ascii="Arial" w:hAnsi="Arial" w:cs="Arial"/>
          <w:sz w:val="24"/>
          <w:szCs w:val="24"/>
        </w:rPr>
        <w:t>,</w:t>
      </w:r>
      <w:r w:rsidRPr="00B021B5">
        <w:rPr>
          <w:rFonts w:ascii="Arial" w:hAnsi="Arial" w:cs="Arial"/>
          <w:sz w:val="24"/>
          <w:szCs w:val="24"/>
        </w:rPr>
        <w:t xml:space="preserve"> </w:t>
      </w:r>
      <w:r w:rsidRPr="00B021B5">
        <w:rPr>
          <w:rFonts w:ascii="Arial" w:hAnsi="Arial" w:cs="Arial"/>
          <w:i/>
          <w:iCs/>
          <w:sz w:val="24"/>
          <w:szCs w:val="24"/>
        </w:rPr>
        <w:t>Politics of Reality</w:t>
      </w:r>
      <w:r>
        <w:rPr>
          <w:rFonts w:ascii="Arial" w:hAnsi="Arial" w:cs="Arial"/>
          <w:sz w:val="24"/>
          <w:szCs w:val="24"/>
        </w:rPr>
        <w:t>,</w:t>
      </w:r>
      <w:r w:rsidRPr="00B021B5">
        <w:rPr>
          <w:rFonts w:ascii="Arial" w:hAnsi="Arial" w:cs="Arial"/>
          <w:sz w:val="24"/>
          <w:szCs w:val="24"/>
        </w:rPr>
        <w:t xml:space="preserve"> </w:t>
      </w:r>
      <w:r>
        <w:rPr>
          <w:rFonts w:ascii="Arial" w:hAnsi="Arial" w:cs="Arial"/>
          <w:sz w:val="24"/>
          <w:szCs w:val="24"/>
        </w:rPr>
        <w:t>California</w:t>
      </w:r>
      <w:r w:rsidRPr="00B021B5">
        <w:rPr>
          <w:rFonts w:ascii="Arial" w:hAnsi="Arial" w:cs="Arial"/>
          <w:sz w:val="24"/>
          <w:szCs w:val="24"/>
        </w:rPr>
        <w:t>: Crossing Press</w:t>
      </w:r>
    </w:p>
    <w:p w14:paraId="64DBC8DD" w14:textId="7B92BD5A" w:rsidR="00685510" w:rsidRPr="00685510" w:rsidRDefault="00685510" w:rsidP="00957BB6">
      <w:pPr>
        <w:spacing w:line="360" w:lineRule="auto"/>
        <w:jc w:val="both"/>
        <w:rPr>
          <w:rFonts w:ascii="Arial" w:hAnsi="Arial" w:cs="Arial"/>
          <w:sz w:val="24"/>
          <w:szCs w:val="24"/>
        </w:rPr>
      </w:pPr>
      <w:r w:rsidRPr="00A36B42">
        <w:rPr>
          <w:rFonts w:ascii="Arial" w:hAnsi="Arial" w:cs="Arial"/>
          <w:sz w:val="24"/>
          <w:szCs w:val="24"/>
        </w:rPr>
        <w:t>Garber, Marjorie</w:t>
      </w:r>
      <w:r>
        <w:rPr>
          <w:rFonts w:ascii="Arial" w:hAnsi="Arial" w:cs="Arial"/>
          <w:sz w:val="24"/>
          <w:szCs w:val="24"/>
        </w:rPr>
        <w:t>,</w:t>
      </w:r>
      <w:r w:rsidRPr="00A36B42">
        <w:rPr>
          <w:rFonts w:ascii="Arial" w:hAnsi="Arial" w:cs="Arial"/>
          <w:sz w:val="24"/>
          <w:szCs w:val="24"/>
        </w:rPr>
        <w:t xml:space="preserve"> (1992)</w:t>
      </w:r>
      <w:r>
        <w:rPr>
          <w:rFonts w:ascii="Arial" w:hAnsi="Arial" w:cs="Arial"/>
          <w:sz w:val="24"/>
          <w:szCs w:val="24"/>
        </w:rPr>
        <w:t>,</w:t>
      </w:r>
      <w:r w:rsidRPr="00A36B42">
        <w:rPr>
          <w:rFonts w:ascii="Arial" w:hAnsi="Arial" w:cs="Arial"/>
          <w:sz w:val="24"/>
          <w:szCs w:val="24"/>
        </w:rPr>
        <w:t xml:space="preserve"> </w:t>
      </w:r>
      <w:r w:rsidRPr="00A36B42">
        <w:rPr>
          <w:rFonts w:ascii="Arial" w:hAnsi="Arial" w:cs="Arial"/>
          <w:i/>
          <w:iCs/>
          <w:sz w:val="24"/>
          <w:szCs w:val="24"/>
        </w:rPr>
        <w:t>Vested Interests: Cross-Dressing and Cultural Anxiety</w:t>
      </w:r>
      <w:r w:rsidRPr="00A36B42">
        <w:rPr>
          <w:rFonts w:ascii="Arial" w:hAnsi="Arial" w:cs="Arial"/>
          <w:sz w:val="24"/>
          <w:szCs w:val="24"/>
        </w:rPr>
        <w:t>.</w:t>
      </w:r>
      <w:r>
        <w:rPr>
          <w:rFonts w:ascii="Arial" w:hAnsi="Arial" w:cs="Arial"/>
          <w:sz w:val="24"/>
          <w:szCs w:val="24"/>
        </w:rPr>
        <w:t xml:space="preserve"> </w:t>
      </w:r>
      <w:r w:rsidRPr="00A36B42">
        <w:rPr>
          <w:rFonts w:ascii="Arial" w:hAnsi="Arial" w:cs="Arial"/>
          <w:sz w:val="24"/>
          <w:szCs w:val="24"/>
        </w:rPr>
        <w:t>New York: Routledge</w:t>
      </w:r>
    </w:p>
    <w:p w14:paraId="4E4E7694" w14:textId="42B368CB" w:rsidR="000A68AE" w:rsidRDefault="000A68AE" w:rsidP="00957BB6">
      <w:pPr>
        <w:spacing w:line="360" w:lineRule="auto"/>
        <w:jc w:val="both"/>
        <w:rPr>
          <w:rFonts w:ascii="Arial" w:hAnsi="Arial" w:cs="Arial"/>
          <w:sz w:val="24"/>
          <w:szCs w:val="24"/>
        </w:rPr>
      </w:pPr>
      <w:r w:rsidRPr="00D27405">
        <w:rPr>
          <w:rFonts w:ascii="Arial" w:hAnsi="Arial" w:cs="Arial"/>
          <w:sz w:val="24"/>
          <w:szCs w:val="24"/>
        </w:rPr>
        <w:t xml:space="preserve">Glover, Dylan; Amanda Pallais, and Pariente, William, (2017), ‘Discrimination as a Self-Fulfilling Prophecy: Evidence from French Grocery Stores’, </w:t>
      </w:r>
      <w:r w:rsidRPr="00D27405">
        <w:rPr>
          <w:rFonts w:ascii="Arial" w:hAnsi="Arial" w:cs="Arial"/>
          <w:i/>
          <w:iCs/>
          <w:sz w:val="24"/>
          <w:szCs w:val="24"/>
        </w:rPr>
        <w:t>Quarterly Journal of Economics</w:t>
      </w:r>
      <w:r w:rsidRPr="00D27405">
        <w:rPr>
          <w:rFonts w:ascii="Arial" w:hAnsi="Arial" w:cs="Arial"/>
          <w:sz w:val="24"/>
          <w:szCs w:val="24"/>
        </w:rPr>
        <w:t>, 132, pp.1219–1260</w:t>
      </w:r>
    </w:p>
    <w:p w14:paraId="77C80231" w14:textId="55BA5BED" w:rsidR="00604521" w:rsidRDefault="00604521" w:rsidP="00957BB6">
      <w:pPr>
        <w:spacing w:line="360" w:lineRule="auto"/>
        <w:jc w:val="both"/>
        <w:rPr>
          <w:rFonts w:ascii="Arial" w:hAnsi="Arial" w:cs="Arial"/>
          <w:sz w:val="24"/>
          <w:szCs w:val="24"/>
        </w:rPr>
      </w:pPr>
      <w:r>
        <w:rPr>
          <w:rFonts w:ascii="Arial" w:hAnsi="Arial" w:cs="Arial"/>
          <w:sz w:val="24"/>
          <w:szCs w:val="24"/>
        </w:rPr>
        <w:t xml:space="preserve">Greaf, Caitlin, (2016), ‘Drag queens and gender identity’, </w:t>
      </w:r>
      <w:r>
        <w:rPr>
          <w:rFonts w:ascii="Arial" w:hAnsi="Arial" w:cs="Arial"/>
          <w:i/>
          <w:iCs/>
          <w:sz w:val="24"/>
          <w:szCs w:val="24"/>
        </w:rPr>
        <w:t xml:space="preserve">Journal of gender studies, </w:t>
      </w:r>
      <w:r>
        <w:rPr>
          <w:rFonts w:ascii="Arial" w:hAnsi="Arial" w:cs="Arial"/>
          <w:sz w:val="24"/>
          <w:szCs w:val="24"/>
        </w:rPr>
        <w:t>25 (6), pp.655-665</w:t>
      </w:r>
    </w:p>
    <w:p w14:paraId="69656A76" w14:textId="6D498064" w:rsidR="00497A37" w:rsidRPr="00497A37" w:rsidRDefault="00497A37" w:rsidP="00957BB6">
      <w:pPr>
        <w:spacing w:line="360" w:lineRule="auto"/>
        <w:jc w:val="both"/>
        <w:rPr>
          <w:rFonts w:ascii="Arial" w:hAnsi="Arial" w:cs="Arial"/>
          <w:sz w:val="24"/>
          <w:szCs w:val="24"/>
        </w:rPr>
      </w:pPr>
      <w:r>
        <w:rPr>
          <w:rFonts w:ascii="Arial" w:hAnsi="Arial" w:cs="Arial"/>
          <w:sz w:val="24"/>
          <w:szCs w:val="24"/>
        </w:rPr>
        <w:t xml:space="preserve">Greene, Laurie A., (2021), </w:t>
      </w:r>
      <w:r>
        <w:rPr>
          <w:rFonts w:ascii="Arial" w:hAnsi="Arial" w:cs="Arial"/>
          <w:i/>
          <w:iCs/>
          <w:sz w:val="24"/>
          <w:szCs w:val="24"/>
        </w:rPr>
        <w:t xml:space="preserve">Drag Queens and beauty queens: contesting femininity in the world’s playground, </w:t>
      </w:r>
      <w:r>
        <w:rPr>
          <w:rFonts w:ascii="Arial" w:hAnsi="Arial" w:cs="Arial"/>
          <w:sz w:val="24"/>
          <w:szCs w:val="24"/>
        </w:rPr>
        <w:t>New Brunswick: Rutgers University Press</w:t>
      </w:r>
    </w:p>
    <w:p w14:paraId="6A8F8AAD" w14:textId="7F1FB173" w:rsidR="001C19B5" w:rsidRDefault="001C19B5" w:rsidP="00957BB6">
      <w:pPr>
        <w:spacing w:line="360" w:lineRule="auto"/>
        <w:jc w:val="both"/>
        <w:rPr>
          <w:rFonts w:ascii="Arial" w:hAnsi="Arial" w:cs="Arial"/>
          <w:sz w:val="24"/>
          <w:szCs w:val="24"/>
        </w:rPr>
      </w:pPr>
      <w:r w:rsidRPr="00595408">
        <w:rPr>
          <w:rFonts w:ascii="Arial" w:hAnsi="Arial" w:cs="Arial"/>
          <w:sz w:val="24"/>
          <w:szCs w:val="24"/>
        </w:rPr>
        <w:t xml:space="preserve">Greenwald, A. G., and Banaji, M. R., (1995), ‘Implicit social cognition: Attitudes, self-esteem, and stereotypes’, </w:t>
      </w:r>
      <w:r w:rsidRPr="00595408">
        <w:rPr>
          <w:rFonts w:ascii="Arial" w:hAnsi="Arial" w:cs="Arial"/>
          <w:i/>
          <w:iCs/>
          <w:sz w:val="24"/>
          <w:szCs w:val="24"/>
        </w:rPr>
        <w:t>Psychological Review</w:t>
      </w:r>
      <w:r w:rsidRPr="00595408">
        <w:rPr>
          <w:rFonts w:ascii="Arial" w:hAnsi="Arial" w:cs="Arial"/>
          <w:sz w:val="24"/>
          <w:szCs w:val="24"/>
        </w:rPr>
        <w:t>, 102, pp.4–27</w:t>
      </w:r>
    </w:p>
    <w:p w14:paraId="7DE77293" w14:textId="6EC7BBB6" w:rsidR="00F206F5" w:rsidRPr="00F206F5" w:rsidRDefault="00F206F5" w:rsidP="00957BB6">
      <w:pPr>
        <w:spacing w:line="360" w:lineRule="auto"/>
        <w:jc w:val="both"/>
        <w:rPr>
          <w:rFonts w:ascii="Arial" w:hAnsi="Arial" w:cs="Arial"/>
          <w:sz w:val="28"/>
          <w:szCs w:val="28"/>
        </w:rPr>
      </w:pPr>
      <w:r w:rsidRPr="000E21C9">
        <w:rPr>
          <w:rFonts w:ascii="Arial" w:hAnsi="Arial" w:cs="Arial"/>
          <w:sz w:val="24"/>
          <w:szCs w:val="24"/>
        </w:rPr>
        <w:t xml:space="preserve">Harris, D., (1995), ‘The aesthetic of drag’, </w:t>
      </w:r>
      <w:r w:rsidRPr="000E21C9">
        <w:rPr>
          <w:rFonts w:ascii="Arial" w:hAnsi="Arial" w:cs="Arial"/>
          <w:i/>
          <w:iCs/>
          <w:sz w:val="24"/>
          <w:szCs w:val="24"/>
        </w:rPr>
        <w:t>Salmagundi</w:t>
      </w:r>
      <w:r w:rsidRPr="000E21C9">
        <w:rPr>
          <w:rFonts w:ascii="Arial" w:hAnsi="Arial" w:cs="Arial"/>
          <w:sz w:val="24"/>
          <w:szCs w:val="24"/>
        </w:rPr>
        <w:t>, 108, pp.62–74</w:t>
      </w:r>
    </w:p>
    <w:p w14:paraId="3B5BA0BA" w14:textId="3226979F" w:rsidR="00C90572" w:rsidRDefault="00C90572" w:rsidP="00957BB6">
      <w:pPr>
        <w:spacing w:line="360" w:lineRule="auto"/>
        <w:jc w:val="both"/>
        <w:rPr>
          <w:rFonts w:ascii="Arial" w:hAnsi="Arial" w:cs="Arial"/>
          <w:sz w:val="24"/>
          <w:szCs w:val="24"/>
        </w:rPr>
      </w:pPr>
      <w:r w:rsidRPr="00626746">
        <w:rPr>
          <w:rFonts w:ascii="Arial" w:hAnsi="Arial" w:cs="Arial"/>
          <w:sz w:val="24"/>
          <w:szCs w:val="24"/>
        </w:rPr>
        <w:t xml:space="preserve">Holcomb, B. D., (2007), ‘Drag queens’ In F. Malti-Douglas (Ed.), </w:t>
      </w:r>
      <w:r w:rsidRPr="00626746">
        <w:rPr>
          <w:rFonts w:ascii="Arial" w:hAnsi="Arial" w:cs="Arial"/>
          <w:i/>
          <w:iCs/>
          <w:sz w:val="24"/>
          <w:szCs w:val="24"/>
        </w:rPr>
        <w:t>Encyclopedia of sex and gender (Vol. 2)</w:t>
      </w:r>
      <w:r w:rsidRPr="00626746">
        <w:rPr>
          <w:rFonts w:ascii="Arial" w:hAnsi="Arial" w:cs="Arial"/>
          <w:sz w:val="24"/>
          <w:szCs w:val="24"/>
        </w:rPr>
        <w:t>, Detroit: Macmillan, pp. 415–418</w:t>
      </w:r>
    </w:p>
    <w:p w14:paraId="0D93708D" w14:textId="3DF669DC" w:rsidR="00393840" w:rsidRPr="00393840" w:rsidRDefault="00393840" w:rsidP="00957BB6">
      <w:pPr>
        <w:spacing w:line="360" w:lineRule="auto"/>
        <w:jc w:val="both"/>
        <w:rPr>
          <w:rFonts w:ascii="Arial" w:hAnsi="Arial" w:cs="Arial"/>
          <w:sz w:val="24"/>
          <w:szCs w:val="24"/>
        </w:rPr>
      </w:pPr>
      <w:r>
        <w:rPr>
          <w:rFonts w:ascii="Arial" w:hAnsi="Arial" w:cs="Arial"/>
          <w:sz w:val="24"/>
          <w:szCs w:val="24"/>
        </w:rPr>
        <w:t xml:space="preserve">Hopkins, Steven J., (2008), ‘”Let the Drag Race Begin”: The Rewards of Becoming a Drag Queens’, </w:t>
      </w:r>
      <w:r>
        <w:rPr>
          <w:rFonts w:ascii="Arial" w:hAnsi="Arial" w:cs="Arial"/>
          <w:i/>
          <w:iCs/>
          <w:sz w:val="24"/>
          <w:szCs w:val="24"/>
        </w:rPr>
        <w:t xml:space="preserve">Journal of Homosexuality, </w:t>
      </w:r>
      <w:r>
        <w:rPr>
          <w:rFonts w:ascii="Arial" w:hAnsi="Arial" w:cs="Arial"/>
          <w:sz w:val="24"/>
          <w:szCs w:val="24"/>
        </w:rPr>
        <w:t>46 (3), pp.135-149</w:t>
      </w:r>
    </w:p>
    <w:p w14:paraId="75D8482D" w14:textId="6424152A" w:rsidR="007F2808" w:rsidRDefault="007F2808" w:rsidP="00957BB6">
      <w:pPr>
        <w:spacing w:line="360" w:lineRule="auto"/>
        <w:jc w:val="both"/>
        <w:rPr>
          <w:rFonts w:ascii="Arial" w:hAnsi="Arial" w:cs="Arial"/>
          <w:sz w:val="24"/>
          <w:szCs w:val="24"/>
        </w:rPr>
      </w:pPr>
      <w:r w:rsidRPr="00D25D63">
        <w:rPr>
          <w:rFonts w:ascii="Arial" w:hAnsi="Arial" w:cs="Arial"/>
          <w:sz w:val="24"/>
          <w:szCs w:val="24"/>
        </w:rPr>
        <w:lastRenderedPageBreak/>
        <w:t xml:space="preserve">Hyde, J. S.; Bigler, R. S.; Joel, D.; Tate, C. C., and van Anders, S. M., (2018), ‘The future of sex and gender in psychology: Five challenges to the gender binary’, </w:t>
      </w:r>
      <w:r w:rsidRPr="00D25D63">
        <w:rPr>
          <w:rFonts w:ascii="Arial" w:hAnsi="Arial" w:cs="Arial"/>
          <w:i/>
          <w:iCs/>
          <w:sz w:val="24"/>
          <w:szCs w:val="24"/>
        </w:rPr>
        <w:t>The American Psychologist</w:t>
      </w:r>
      <w:r w:rsidRPr="00D25D63">
        <w:rPr>
          <w:rFonts w:ascii="Arial" w:hAnsi="Arial" w:cs="Arial"/>
          <w:sz w:val="24"/>
          <w:szCs w:val="24"/>
        </w:rPr>
        <w:t>, 74, pp.171–193</w:t>
      </w:r>
    </w:p>
    <w:p w14:paraId="574CEA49" w14:textId="67DD54B1" w:rsidR="000602FC" w:rsidRPr="007F2808" w:rsidRDefault="000602FC" w:rsidP="00957BB6">
      <w:pPr>
        <w:spacing w:line="360" w:lineRule="auto"/>
        <w:jc w:val="both"/>
        <w:rPr>
          <w:rFonts w:ascii="Arial" w:hAnsi="Arial" w:cs="Arial"/>
          <w:sz w:val="28"/>
          <w:szCs w:val="28"/>
        </w:rPr>
      </w:pPr>
      <w:r w:rsidRPr="00CA7A5C">
        <w:rPr>
          <w:rFonts w:ascii="Arial" w:hAnsi="Arial" w:cs="Arial"/>
          <w:sz w:val="24"/>
          <w:szCs w:val="24"/>
        </w:rPr>
        <w:t xml:space="preserve">Johnson, A. G., (2004), Patriarchy, the system, </w:t>
      </w:r>
      <w:r w:rsidRPr="00CA7A5C">
        <w:rPr>
          <w:rFonts w:ascii="Arial" w:hAnsi="Arial" w:cs="Arial"/>
          <w:i/>
          <w:iCs/>
          <w:sz w:val="24"/>
          <w:szCs w:val="24"/>
        </w:rPr>
        <w:t>Women’s Lives: Multicultural Perspectives</w:t>
      </w:r>
      <w:r w:rsidRPr="00CA7A5C">
        <w:rPr>
          <w:rFonts w:ascii="Arial" w:hAnsi="Arial" w:cs="Arial"/>
          <w:sz w:val="24"/>
          <w:szCs w:val="24"/>
        </w:rPr>
        <w:t>, 3, pp.25–32</w:t>
      </w:r>
    </w:p>
    <w:p w14:paraId="6C1007CD" w14:textId="1BAD6739" w:rsidR="00074F11" w:rsidRDefault="00434CC9" w:rsidP="00957BB6">
      <w:pPr>
        <w:spacing w:line="360" w:lineRule="auto"/>
        <w:jc w:val="both"/>
        <w:rPr>
          <w:rFonts w:ascii="Arial" w:hAnsi="Arial" w:cs="Arial"/>
          <w:sz w:val="24"/>
          <w:szCs w:val="24"/>
        </w:rPr>
      </w:pPr>
      <w:r w:rsidRPr="00D93F3E">
        <w:rPr>
          <w:rFonts w:ascii="Arial" w:hAnsi="Arial" w:cs="Arial"/>
          <w:sz w:val="24"/>
          <w:szCs w:val="24"/>
        </w:rPr>
        <w:t>Knutson, D.</w:t>
      </w:r>
      <w:r>
        <w:rPr>
          <w:rFonts w:ascii="Arial" w:hAnsi="Arial" w:cs="Arial"/>
          <w:sz w:val="24"/>
          <w:szCs w:val="24"/>
        </w:rPr>
        <w:t>;</w:t>
      </w:r>
      <w:r w:rsidRPr="00D93F3E">
        <w:rPr>
          <w:rFonts w:ascii="Arial" w:hAnsi="Arial" w:cs="Arial"/>
          <w:sz w:val="24"/>
          <w:szCs w:val="24"/>
        </w:rPr>
        <w:t xml:space="preserve"> Koch, J. M.</w:t>
      </w:r>
      <w:r>
        <w:rPr>
          <w:rFonts w:ascii="Arial" w:hAnsi="Arial" w:cs="Arial"/>
          <w:sz w:val="24"/>
          <w:szCs w:val="24"/>
        </w:rPr>
        <w:t xml:space="preserve">; </w:t>
      </w:r>
      <w:r w:rsidRPr="00D93F3E">
        <w:rPr>
          <w:rFonts w:ascii="Arial" w:hAnsi="Arial" w:cs="Arial"/>
          <w:sz w:val="24"/>
          <w:szCs w:val="24"/>
        </w:rPr>
        <w:t xml:space="preserve">Sneed, J., </w:t>
      </w:r>
      <w:r>
        <w:rPr>
          <w:rFonts w:ascii="Arial" w:hAnsi="Arial" w:cs="Arial"/>
          <w:sz w:val="24"/>
          <w:szCs w:val="24"/>
        </w:rPr>
        <w:t>and</w:t>
      </w:r>
      <w:r w:rsidRPr="00D93F3E">
        <w:rPr>
          <w:rFonts w:ascii="Arial" w:hAnsi="Arial" w:cs="Arial"/>
          <w:sz w:val="24"/>
          <w:szCs w:val="24"/>
        </w:rPr>
        <w:t xml:space="preserve"> Lee, A.</w:t>
      </w:r>
      <w:r>
        <w:rPr>
          <w:rFonts w:ascii="Arial" w:hAnsi="Arial" w:cs="Arial"/>
          <w:sz w:val="24"/>
          <w:szCs w:val="24"/>
        </w:rPr>
        <w:t>,</w:t>
      </w:r>
      <w:r w:rsidRPr="00D93F3E">
        <w:rPr>
          <w:rFonts w:ascii="Arial" w:hAnsi="Arial" w:cs="Arial"/>
          <w:sz w:val="24"/>
          <w:szCs w:val="24"/>
        </w:rPr>
        <w:t xml:space="preserve"> (2018)</w:t>
      </w:r>
      <w:r>
        <w:rPr>
          <w:rFonts w:ascii="Arial" w:hAnsi="Arial" w:cs="Arial"/>
          <w:sz w:val="24"/>
          <w:szCs w:val="24"/>
        </w:rPr>
        <w:t>,</w:t>
      </w:r>
      <w:r w:rsidRPr="00D93F3E">
        <w:rPr>
          <w:rFonts w:ascii="Arial" w:hAnsi="Arial" w:cs="Arial"/>
          <w:sz w:val="24"/>
          <w:szCs w:val="24"/>
        </w:rPr>
        <w:t xml:space="preserve"> </w:t>
      </w:r>
      <w:r>
        <w:rPr>
          <w:rFonts w:ascii="Arial" w:hAnsi="Arial" w:cs="Arial"/>
          <w:sz w:val="24"/>
          <w:szCs w:val="24"/>
        </w:rPr>
        <w:t>‘</w:t>
      </w:r>
      <w:r w:rsidRPr="00D93F3E">
        <w:rPr>
          <w:rFonts w:ascii="Arial" w:hAnsi="Arial" w:cs="Arial"/>
          <w:sz w:val="24"/>
          <w:szCs w:val="24"/>
        </w:rPr>
        <w:t>The emotional and psychological experiences of drag performers: A qualitative study</w:t>
      </w:r>
      <w:r>
        <w:rPr>
          <w:rFonts w:ascii="Arial" w:hAnsi="Arial" w:cs="Arial"/>
          <w:sz w:val="24"/>
          <w:szCs w:val="24"/>
        </w:rPr>
        <w:t>’,</w:t>
      </w:r>
      <w:r w:rsidRPr="00D93F3E">
        <w:rPr>
          <w:rFonts w:ascii="Arial" w:hAnsi="Arial" w:cs="Arial"/>
          <w:sz w:val="24"/>
          <w:szCs w:val="24"/>
        </w:rPr>
        <w:t xml:space="preserve"> </w:t>
      </w:r>
      <w:r w:rsidRPr="00D93F3E">
        <w:rPr>
          <w:rFonts w:ascii="Arial" w:hAnsi="Arial" w:cs="Arial"/>
          <w:i/>
          <w:iCs/>
          <w:sz w:val="24"/>
          <w:szCs w:val="24"/>
        </w:rPr>
        <w:t>Journal of LGBT Issues in Counseling</w:t>
      </w:r>
      <w:r w:rsidRPr="00D93F3E">
        <w:rPr>
          <w:rFonts w:ascii="Arial" w:hAnsi="Arial" w:cs="Arial"/>
          <w:sz w:val="24"/>
          <w:szCs w:val="24"/>
        </w:rPr>
        <w:t>, 12</w:t>
      </w:r>
      <w:r>
        <w:rPr>
          <w:rFonts w:ascii="Arial" w:hAnsi="Arial" w:cs="Arial"/>
          <w:sz w:val="24"/>
          <w:szCs w:val="24"/>
        </w:rPr>
        <w:t xml:space="preserve"> </w:t>
      </w:r>
      <w:r w:rsidRPr="00D93F3E">
        <w:rPr>
          <w:rFonts w:ascii="Arial" w:hAnsi="Arial" w:cs="Arial"/>
          <w:sz w:val="24"/>
          <w:szCs w:val="24"/>
        </w:rPr>
        <w:t xml:space="preserve">(1), </w:t>
      </w:r>
      <w:r>
        <w:rPr>
          <w:rFonts w:ascii="Arial" w:hAnsi="Arial" w:cs="Arial"/>
          <w:sz w:val="24"/>
          <w:szCs w:val="24"/>
        </w:rPr>
        <w:t>pp.</w:t>
      </w:r>
      <w:r w:rsidRPr="00D93F3E">
        <w:rPr>
          <w:rFonts w:ascii="Arial" w:hAnsi="Arial" w:cs="Arial"/>
          <w:sz w:val="24"/>
          <w:szCs w:val="24"/>
        </w:rPr>
        <w:t>32–50</w:t>
      </w:r>
    </w:p>
    <w:p w14:paraId="665DB372" w14:textId="1F41A1D1" w:rsidR="00F91002" w:rsidRDefault="00F91002" w:rsidP="00957BB6">
      <w:pPr>
        <w:spacing w:line="360" w:lineRule="auto"/>
        <w:jc w:val="both"/>
        <w:rPr>
          <w:rFonts w:ascii="Arial" w:hAnsi="Arial" w:cs="Arial"/>
          <w:sz w:val="24"/>
          <w:szCs w:val="24"/>
        </w:rPr>
      </w:pPr>
      <w:r>
        <w:rPr>
          <w:rFonts w:ascii="Arial" w:hAnsi="Arial" w:cs="Arial"/>
          <w:sz w:val="24"/>
          <w:szCs w:val="24"/>
        </w:rPr>
        <w:t xml:space="preserve">Levitt, Heidi; Surace, Francisco; Wheeler, Emily E., and Maki, Erik, (2018), ‘Drag Gender: Experiences of Gender for Gay and Queer Men who perform drag’, </w:t>
      </w:r>
      <w:r>
        <w:rPr>
          <w:rFonts w:ascii="Arial" w:hAnsi="Arial" w:cs="Arial"/>
          <w:i/>
          <w:iCs/>
          <w:sz w:val="24"/>
          <w:szCs w:val="24"/>
        </w:rPr>
        <w:t xml:space="preserve">Sex Roles, </w:t>
      </w:r>
      <w:r>
        <w:rPr>
          <w:rFonts w:ascii="Arial" w:hAnsi="Arial" w:cs="Arial"/>
          <w:sz w:val="24"/>
          <w:szCs w:val="24"/>
        </w:rPr>
        <w:t>78 (3/4), pp.82-99</w:t>
      </w:r>
    </w:p>
    <w:p w14:paraId="22D47D38" w14:textId="77777777" w:rsidR="00F91002" w:rsidRDefault="00F91002" w:rsidP="00957BB6">
      <w:pPr>
        <w:spacing w:line="360" w:lineRule="auto"/>
        <w:jc w:val="both"/>
        <w:rPr>
          <w:rFonts w:ascii="Arial" w:hAnsi="Arial" w:cs="Arial"/>
          <w:sz w:val="24"/>
          <w:szCs w:val="24"/>
        </w:rPr>
      </w:pPr>
      <w:r w:rsidRPr="00A36B42">
        <w:rPr>
          <w:rFonts w:ascii="Arial" w:hAnsi="Arial" w:cs="Arial"/>
          <w:sz w:val="24"/>
          <w:szCs w:val="24"/>
        </w:rPr>
        <w:t>Lorber, Judith</w:t>
      </w:r>
      <w:r>
        <w:rPr>
          <w:rFonts w:ascii="Arial" w:hAnsi="Arial" w:cs="Arial"/>
          <w:sz w:val="24"/>
          <w:szCs w:val="24"/>
        </w:rPr>
        <w:t>,</w:t>
      </w:r>
      <w:r w:rsidRPr="00A36B42">
        <w:rPr>
          <w:rFonts w:ascii="Arial" w:hAnsi="Arial" w:cs="Arial"/>
          <w:sz w:val="24"/>
          <w:szCs w:val="24"/>
        </w:rPr>
        <w:t xml:space="preserve"> (1994)</w:t>
      </w:r>
      <w:r>
        <w:rPr>
          <w:rFonts w:ascii="Arial" w:hAnsi="Arial" w:cs="Arial"/>
          <w:sz w:val="24"/>
          <w:szCs w:val="24"/>
        </w:rPr>
        <w:t>,</w:t>
      </w:r>
      <w:r w:rsidRPr="00A36B42">
        <w:rPr>
          <w:rFonts w:ascii="Arial" w:hAnsi="Arial" w:cs="Arial"/>
          <w:sz w:val="24"/>
          <w:szCs w:val="24"/>
        </w:rPr>
        <w:t xml:space="preserve"> </w:t>
      </w:r>
      <w:r w:rsidRPr="00A36B42">
        <w:rPr>
          <w:rFonts w:ascii="Arial" w:hAnsi="Arial" w:cs="Arial"/>
          <w:i/>
          <w:iCs/>
          <w:sz w:val="24"/>
          <w:szCs w:val="24"/>
        </w:rPr>
        <w:t>Paradoxes of Gender</w:t>
      </w:r>
      <w:r w:rsidRPr="00A36B42">
        <w:rPr>
          <w:rFonts w:ascii="Arial" w:hAnsi="Arial" w:cs="Arial"/>
          <w:sz w:val="24"/>
          <w:szCs w:val="24"/>
        </w:rPr>
        <w:t>.</w:t>
      </w:r>
      <w:r>
        <w:rPr>
          <w:rFonts w:ascii="Arial" w:hAnsi="Arial" w:cs="Arial"/>
          <w:sz w:val="24"/>
          <w:szCs w:val="24"/>
        </w:rPr>
        <w:t>,</w:t>
      </w:r>
      <w:r w:rsidRPr="00A36B42">
        <w:rPr>
          <w:rFonts w:ascii="Arial" w:hAnsi="Arial" w:cs="Arial"/>
          <w:sz w:val="24"/>
          <w:szCs w:val="24"/>
        </w:rPr>
        <w:t xml:space="preserve"> New Haven: Yale University</w:t>
      </w:r>
      <w:r>
        <w:rPr>
          <w:rFonts w:ascii="Arial" w:hAnsi="Arial" w:cs="Arial"/>
          <w:sz w:val="24"/>
          <w:szCs w:val="24"/>
        </w:rPr>
        <w:t xml:space="preserve"> </w:t>
      </w:r>
      <w:r w:rsidRPr="00A36B42">
        <w:rPr>
          <w:rFonts w:ascii="Arial" w:hAnsi="Arial" w:cs="Arial"/>
          <w:sz w:val="24"/>
          <w:szCs w:val="24"/>
        </w:rPr>
        <w:t>Press</w:t>
      </w:r>
    </w:p>
    <w:p w14:paraId="33E993B6" w14:textId="775B219A" w:rsidR="00F91002" w:rsidRDefault="00F91002" w:rsidP="00957BB6">
      <w:pPr>
        <w:spacing w:line="360" w:lineRule="auto"/>
        <w:jc w:val="both"/>
        <w:rPr>
          <w:rFonts w:ascii="Arial" w:hAnsi="Arial" w:cs="Arial"/>
          <w:sz w:val="24"/>
          <w:szCs w:val="24"/>
        </w:rPr>
      </w:pPr>
      <w:r w:rsidRPr="00A36B42">
        <w:rPr>
          <w:rFonts w:ascii="Arial" w:hAnsi="Arial" w:cs="Arial"/>
          <w:sz w:val="24"/>
          <w:szCs w:val="24"/>
        </w:rPr>
        <w:t>Lorber, Judith</w:t>
      </w:r>
      <w:r>
        <w:rPr>
          <w:rFonts w:ascii="Arial" w:hAnsi="Arial" w:cs="Arial"/>
          <w:sz w:val="24"/>
          <w:szCs w:val="24"/>
        </w:rPr>
        <w:t>,</w:t>
      </w:r>
      <w:r w:rsidRPr="00A36B42">
        <w:rPr>
          <w:rFonts w:ascii="Arial" w:hAnsi="Arial" w:cs="Arial"/>
          <w:sz w:val="24"/>
          <w:szCs w:val="24"/>
        </w:rPr>
        <w:t xml:space="preserve"> (1999)</w:t>
      </w:r>
      <w:r>
        <w:rPr>
          <w:rFonts w:ascii="Arial" w:hAnsi="Arial" w:cs="Arial"/>
          <w:sz w:val="24"/>
          <w:szCs w:val="24"/>
        </w:rPr>
        <w:t>,</w:t>
      </w:r>
      <w:r w:rsidRPr="00A36B42">
        <w:rPr>
          <w:rFonts w:ascii="Arial" w:hAnsi="Arial" w:cs="Arial"/>
          <w:sz w:val="24"/>
          <w:szCs w:val="24"/>
        </w:rPr>
        <w:t xml:space="preserve"> ‘Crossing Borders and Erasing Boundaries: Paradoxes of</w:t>
      </w:r>
      <w:r>
        <w:rPr>
          <w:rFonts w:ascii="Arial" w:hAnsi="Arial" w:cs="Arial"/>
          <w:sz w:val="24"/>
          <w:szCs w:val="24"/>
        </w:rPr>
        <w:t xml:space="preserve"> </w:t>
      </w:r>
      <w:r w:rsidRPr="00A36B42">
        <w:rPr>
          <w:rFonts w:ascii="Arial" w:hAnsi="Arial" w:cs="Arial"/>
          <w:sz w:val="24"/>
          <w:szCs w:val="24"/>
        </w:rPr>
        <w:t xml:space="preserve">Identity Politics’, </w:t>
      </w:r>
      <w:r w:rsidRPr="00A36B42">
        <w:rPr>
          <w:rFonts w:ascii="Arial" w:hAnsi="Arial" w:cs="Arial"/>
          <w:i/>
          <w:iCs/>
          <w:sz w:val="24"/>
          <w:szCs w:val="24"/>
        </w:rPr>
        <w:t>Sociological Focus</w:t>
      </w:r>
      <w:r>
        <w:rPr>
          <w:rFonts w:ascii="Arial" w:hAnsi="Arial" w:cs="Arial"/>
          <w:i/>
          <w:iCs/>
          <w:sz w:val="24"/>
          <w:szCs w:val="24"/>
        </w:rPr>
        <w:t xml:space="preserve">, </w:t>
      </w:r>
      <w:r w:rsidRPr="00A36B42">
        <w:rPr>
          <w:rFonts w:ascii="Arial" w:hAnsi="Arial" w:cs="Arial"/>
          <w:sz w:val="24"/>
          <w:szCs w:val="24"/>
        </w:rPr>
        <w:t>32</w:t>
      </w:r>
      <w:r>
        <w:rPr>
          <w:rFonts w:ascii="Arial" w:hAnsi="Arial" w:cs="Arial"/>
          <w:sz w:val="24"/>
          <w:szCs w:val="24"/>
        </w:rPr>
        <w:t xml:space="preserve"> </w:t>
      </w:r>
      <w:r w:rsidRPr="00A36B42">
        <w:rPr>
          <w:rFonts w:ascii="Arial" w:hAnsi="Arial" w:cs="Arial"/>
          <w:sz w:val="24"/>
          <w:szCs w:val="24"/>
        </w:rPr>
        <w:t>(4)</w:t>
      </w:r>
      <w:r>
        <w:rPr>
          <w:rFonts w:ascii="Arial" w:hAnsi="Arial" w:cs="Arial"/>
          <w:sz w:val="24"/>
          <w:szCs w:val="24"/>
        </w:rPr>
        <w:t>, pp.</w:t>
      </w:r>
      <w:r w:rsidRPr="00A36B42">
        <w:rPr>
          <w:rFonts w:ascii="Arial" w:hAnsi="Arial" w:cs="Arial"/>
          <w:sz w:val="24"/>
          <w:szCs w:val="24"/>
        </w:rPr>
        <w:t>355–70</w:t>
      </w:r>
    </w:p>
    <w:p w14:paraId="7E24FC77" w14:textId="05549DE9" w:rsidR="00BC19F9" w:rsidRPr="00F91002" w:rsidRDefault="00BC19F9" w:rsidP="00957BB6">
      <w:pPr>
        <w:spacing w:line="360" w:lineRule="auto"/>
        <w:jc w:val="both"/>
        <w:rPr>
          <w:rFonts w:ascii="Arial" w:hAnsi="Arial" w:cs="Arial"/>
          <w:sz w:val="24"/>
          <w:szCs w:val="24"/>
        </w:rPr>
      </w:pPr>
      <w:r>
        <w:rPr>
          <w:rFonts w:ascii="Arial" w:hAnsi="Arial" w:cs="Arial"/>
          <w:sz w:val="24"/>
          <w:szCs w:val="24"/>
        </w:rPr>
        <w:t xml:space="preserve">Marcel, Mary, (2014), ‘Representing Gender, Race and Realness: The Television World of America’s Next Drag Superstars’, in Jim Daems (Ed.), (2014), </w:t>
      </w:r>
      <w:r>
        <w:rPr>
          <w:rFonts w:ascii="Arial" w:hAnsi="Arial" w:cs="Arial"/>
          <w:i/>
          <w:iCs/>
          <w:sz w:val="24"/>
          <w:szCs w:val="24"/>
        </w:rPr>
        <w:t xml:space="preserve">The Makeup of RuPaul’s Drag Race: Essays on the Queen of Reality Shows, </w:t>
      </w:r>
      <w:r>
        <w:rPr>
          <w:rFonts w:ascii="Arial" w:hAnsi="Arial" w:cs="Arial"/>
          <w:sz w:val="24"/>
          <w:szCs w:val="24"/>
        </w:rPr>
        <w:t>North Carolina: McFarland &amp; Company, pp.3-12</w:t>
      </w:r>
    </w:p>
    <w:p w14:paraId="172A758C" w14:textId="57805E0D" w:rsidR="00074F11" w:rsidRDefault="00074F11" w:rsidP="00957BB6">
      <w:pPr>
        <w:spacing w:line="360" w:lineRule="auto"/>
        <w:jc w:val="both"/>
        <w:rPr>
          <w:rFonts w:ascii="Arial" w:hAnsi="Arial" w:cs="Arial"/>
          <w:sz w:val="24"/>
          <w:szCs w:val="24"/>
        </w:rPr>
      </w:pPr>
      <w:r>
        <w:rPr>
          <w:rFonts w:ascii="Arial" w:hAnsi="Arial" w:cs="Arial"/>
          <w:sz w:val="24"/>
          <w:szCs w:val="24"/>
        </w:rPr>
        <w:t xml:space="preserve">Mattel, Trixie, (2022), ‘About Trixie’, Accessed via: </w:t>
      </w:r>
      <w:hyperlink r:id="rId10" w:history="1">
        <w:r w:rsidRPr="00CE0578">
          <w:rPr>
            <w:rStyle w:val="Hyperlink"/>
            <w:rFonts w:ascii="Arial" w:hAnsi="Arial" w:cs="Arial"/>
            <w:sz w:val="24"/>
            <w:szCs w:val="24"/>
          </w:rPr>
          <w:t>About - Trixie Mattel</w:t>
        </w:r>
      </w:hyperlink>
      <w:r w:rsidRPr="00CE0578">
        <w:rPr>
          <w:rFonts w:ascii="Arial" w:hAnsi="Arial" w:cs="Arial"/>
          <w:sz w:val="24"/>
          <w:szCs w:val="24"/>
        </w:rPr>
        <w:t>, Accessed on: 18/12/22</w:t>
      </w:r>
    </w:p>
    <w:p w14:paraId="72A50FEE" w14:textId="5B7D5AA1" w:rsidR="00BC19F9" w:rsidRPr="00BC19F9" w:rsidRDefault="00BC19F9" w:rsidP="00957BB6">
      <w:pPr>
        <w:spacing w:line="360" w:lineRule="auto"/>
        <w:jc w:val="both"/>
        <w:rPr>
          <w:rFonts w:ascii="Arial" w:hAnsi="Arial" w:cs="Arial"/>
          <w:sz w:val="24"/>
          <w:szCs w:val="24"/>
        </w:rPr>
      </w:pPr>
      <w:r>
        <w:rPr>
          <w:rFonts w:ascii="Arial" w:hAnsi="Arial" w:cs="Arial"/>
          <w:sz w:val="24"/>
          <w:szCs w:val="24"/>
        </w:rPr>
        <w:t>Mayora, R. Gabriel, (2014), ‘Coverm Girl: Branding Puerto Rican Drag in 21</w:t>
      </w:r>
      <w:r w:rsidRPr="00BC19F9">
        <w:rPr>
          <w:rFonts w:ascii="Arial" w:hAnsi="Arial" w:cs="Arial"/>
          <w:sz w:val="24"/>
          <w:szCs w:val="24"/>
          <w:vertAlign w:val="superscript"/>
        </w:rPr>
        <w:t>st</w:t>
      </w:r>
      <w:r>
        <w:rPr>
          <w:rFonts w:ascii="Arial" w:hAnsi="Arial" w:cs="Arial"/>
          <w:sz w:val="24"/>
          <w:szCs w:val="24"/>
        </w:rPr>
        <w:t xml:space="preserve">-Century U.S. Popular Culture’, in Jim Daems (Ed.), (2014), </w:t>
      </w:r>
      <w:r>
        <w:rPr>
          <w:rFonts w:ascii="Arial" w:hAnsi="Arial" w:cs="Arial"/>
          <w:i/>
          <w:iCs/>
          <w:sz w:val="24"/>
          <w:szCs w:val="24"/>
        </w:rPr>
        <w:t xml:space="preserve">The Makeup of RuPaul’s Drag Race: Essays on the Queen of Reality Shows, </w:t>
      </w:r>
      <w:r>
        <w:rPr>
          <w:rFonts w:ascii="Arial" w:hAnsi="Arial" w:cs="Arial"/>
          <w:sz w:val="24"/>
          <w:szCs w:val="24"/>
        </w:rPr>
        <w:t>North Carolina: McFarland &amp; Company, pp. 106-123</w:t>
      </w:r>
    </w:p>
    <w:p w14:paraId="63A3818E" w14:textId="3A34142E" w:rsidR="00341943" w:rsidRDefault="00341943" w:rsidP="00957BB6">
      <w:pPr>
        <w:spacing w:line="360" w:lineRule="auto"/>
        <w:jc w:val="both"/>
        <w:rPr>
          <w:rFonts w:ascii="Arial" w:hAnsi="Arial" w:cs="Arial"/>
          <w:sz w:val="24"/>
          <w:szCs w:val="24"/>
        </w:rPr>
      </w:pPr>
      <w:r w:rsidRPr="00291CE9">
        <w:rPr>
          <w:rFonts w:ascii="Arial" w:hAnsi="Arial" w:cs="Arial"/>
          <w:sz w:val="24"/>
          <w:szCs w:val="24"/>
        </w:rPr>
        <w:t>Mead, G. H.</w:t>
      </w:r>
      <w:r>
        <w:rPr>
          <w:rFonts w:ascii="Arial" w:hAnsi="Arial" w:cs="Arial"/>
          <w:sz w:val="24"/>
          <w:szCs w:val="24"/>
        </w:rPr>
        <w:t>,</w:t>
      </w:r>
      <w:r w:rsidRPr="00291CE9">
        <w:rPr>
          <w:rFonts w:ascii="Arial" w:hAnsi="Arial" w:cs="Arial"/>
          <w:sz w:val="24"/>
          <w:szCs w:val="24"/>
        </w:rPr>
        <w:t xml:space="preserve"> </w:t>
      </w:r>
      <w:r>
        <w:rPr>
          <w:rFonts w:ascii="Arial" w:hAnsi="Arial" w:cs="Arial"/>
          <w:sz w:val="24"/>
          <w:szCs w:val="24"/>
        </w:rPr>
        <w:t>(</w:t>
      </w:r>
      <w:r w:rsidRPr="00291CE9">
        <w:rPr>
          <w:rFonts w:ascii="Arial" w:hAnsi="Arial" w:cs="Arial"/>
          <w:sz w:val="24"/>
          <w:szCs w:val="24"/>
        </w:rPr>
        <w:t>1934</w:t>
      </w:r>
      <w:r>
        <w:rPr>
          <w:rFonts w:ascii="Arial" w:hAnsi="Arial" w:cs="Arial"/>
          <w:sz w:val="24"/>
          <w:szCs w:val="24"/>
        </w:rPr>
        <w:t>),</w:t>
      </w:r>
      <w:r w:rsidRPr="00291CE9">
        <w:rPr>
          <w:rFonts w:ascii="Arial" w:hAnsi="Arial" w:cs="Arial"/>
          <w:sz w:val="24"/>
          <w:szCs w:val="24"/>
        </w:rPr>
        <w:t xml:space="preserve"> </w:t>
      </w:r>
      <w:r w:rsidRPr="00291CE9">
        <w:rPr>
          <w:rFonts w:ascii="Arial" w:hAnsi="Arial" w:cs="Arial"/>
          <w:i/>
          <w:iCs/>
          <w:sz w:val="24"/>
          <w:szCs w:val="24"/>
        </w:rPr>
        <w:t>Mind, self, and society</w:t>
      </w:r>
      <w:r>
        <w:rPr>
          <w:rFonts w:ascii="Arial" w:hAnsi="Arial" w:cs="Arial"/>
          <w:sz w:val="24"/>
          <w:szCs w:val="24"/>
        </w:rPr>
        <w:t>,</w:t>
      </w:r>
      <w:r w:rsidRPr="00291CE9">
        <w:rPr>
          <w:rFonts w:ascii="Arial" w:hAnsi="Arial" w:cs="Arial"/>
          <w:sz w:val="24"/>
          <w:szCs w:val="24"/>
        </w:rPr>
        <w:t xml:space="preserve"> Chicago: University of Chicago Press</w:t>
      </w:r>
    </w:p>
    <w:p w14:paraId="290AE595" w14:textId="190C1198" w:rsidR="001C19B5" w:rsidRDefault="001C19B5" w:rsidP="00957BB6">
      <w:pPr>
        <w:spacing w:line="360" w:lineRule="auto"/>
        <w:jc w:val="both"/>
        <w:rPr>
          <w:rFonts w:ascii="Arial" w:hAnsi="Arial" w:cs="Arial"/>
          <w:sz w:val="24"/>
          <w:szCs w:val="24"/>
        </w:rPr>
      </w:pPr>
      <w:r>
        <w:rPr>
          <w:rFonts w:ascii="Arial" w:hAnsi="Arial" w:cs="Arial"/>
          <w:sz w:val="24"/>
          <w:szCs w:val="24"/>
        </w:rPr>
        <w:t xml:space="preserve">Mitsis, Mario, (2021), </w:t>
      </w:r>
      <w:r w:rsidRPr="001C19B5">
        <w:rPr>
          <w:rFonts w:ascii="Arial" w:hAnsi="Arial" w:cs="Arial"/>
          <w:i/>
          <w:iCs/>
          <w:sz w:val="24"/>
          <w:szCs w:val="24"/>
        </w:rPr>
        <w:t>Fatt Butcher</w:t>
      </w:r>
      <w:r>
        <w:rPr>
          <w:rFonts w:ascii="Arial" w:hAnsi="Arial" w:cs="Arial"/>
          <w:sz w:val="24"/>
          <w:szCs w:val="24"/>
        </w:rPr>
        <w:t xml:space="preserve">, accompanies Adam Carver, ‘Adam Carver: Fatt Projects’, Accessed via: </w:t>
      </w:r>
      <w:hyperlink r:id="rId11" w:history="1">
        <w:r w:rsidRPr="00642213">
          <w:rPr>
            <w:rStyle w:val="Hyperlink"/>
            <w:rFonts w:ascii="Arial" w:hAnsi="Arial" w:cs="Arial"/>
            <w:sz w:val="24"/>
            <w:szCs w:val="24"/>
          </w:rPr>
          <w:t>FATT BUTCHER – Adam Carver (adamgcarver.com)</w:t>
        </w:r>
      </w:hyperlink>
      <w:r w:rsidRPr="00642213">
        <w:rPr>
          <w:rFonts w:ascii="Arial" w:hAnsi="Arial" w:cs="Arial"/>
          <w:sz w:val="24"/>
          <w:szCs w:val="24"/>
        </w:rPr>
        <w:t>, Accessed on: 17/12/22</w:t>
      </w:r>
    </w:p>
    <w:p w14:paraId="7F0BBB9F" w14:textId="730ABA90" w:rsidR="00F91002" w:rsidRDefault="00F91002" w:rsidP="00957BB6">
      <w:pPr>
        <w:spacing w:line="360" w:lineRule="auto"/>
        <w:jc w:val="both"/>
        <w:rPr>
          <w:rFonts w:ascii="Arial" w:hAnsi="Arial" w:cs="Arial"/>
          <w:sz w:val="24"/>
          <w:szCs w:val="24"/>
        </w:rPr>
      </w:pPr>
      <w:r w:rsidRPr="00A36B42">
        <w:rPr>
          <w:rFonts w:ascii="Arial" w:hAnsi="Arial" w:cs="Arial"/>
          <w:sz w:val="24"/>
          <w:szCs w:val="24"/>
        </w:rPr>
        <w:lastRenderedPageBreak/>
        <w:t>Moloney, Molly and Fenstermaker, Sarah</w:t>
      </w:r>
      <w:r>
        <w:rPr>
          <w:rFonts w:ascii="Arial" w:hAnsi="Arial" w:cs="Arial"/>
          <w:sz w:val="24"/>
          <w:szCs w:val="24"/>
        </w:rPr>
        <w:t>,</w:t>
      </w:r>
      <w:r w:rsidRPr="00A36B42">
        <w:rPr>
          <w:rFonts w:ascii="Arial" w:hAnsi="Arial" w:cs="Arial"/>
          <w:sz w:val="24"/>
          <w:szCs w:val="24"/>
        </w:rPr>
        <w:t xml:space="preserve"> (2002)</w:t>
      </w:r>
      <w:r>
        <w:rPr>
          <w:rFonts w:ascii="Arial" w:hAnsi="Arial" w:cs="Arial"/>
          <w:sz w:val="24"/>
          <w:szCs w:val="24"/>
        </w:rPr>
        <w:t>,</w:t>
      </w:r>
      <w:r w:rsidRPr="00A36B42">
        <w:rPr>
          <w:rFonts w:ascii="Arial" w:hAnsi="Arial" w:cs="Arial"/>
          <w:sz w:val="24"/>
          <w:szCs w:val="24"/>
        </w:rPr>
        <w:t xml:space="preserve"> ‘Performance and</w:t>
      </w:r>
      <w:r>
        <w:rPr>
          <w:rFonts w:ascii="Arial" w:hAnsi="Arial" w:cs="Arial"/>
          <w:sz w:val="24"/>
          <w:szCs w:val="24"/>
        </w:rPr>
        <w:t xml:space="preserve"> </w:t>
      </w:r>
      <w:r w:rsidRPr="00A36B42">
        <w:rPr>
          <w:rFonts w:ascii="Arial" w:hAnsi="Arial" w:cs="Arial"/>
          <w:sz w:val="24"/>
          <w:szCs w:val="24"/>
        </w:rPr>
        <w:t>Accomplishment: Reconciling Feminist Conceptions of Gender’, in Sarah</w:t>
      </w:r>
      <w:r>
        <w:rPr>
          <w:rFonts w:ascii="Arial" w:hAnsi="Arial" w:cs="Arial"/>
          <w:sz w:val="24"/>
          <w:szCs w:val="24"/>
        </w:rPr>
        <w:t xml:space="preserve"> </w:t>
      </w:r>
      <w:r w:rsidRPr="00A36B42">
        <w:rPr>
          <w:rFonts w:ascii="Arial" w:hAnsi="Arial" w:cs="Arial"/>
          <w:sz w:val="24"/>
          <w:szCs w:val="24"/>
        </w:rPr>
        <w:t>Fenstermaker and Candace West (</w:t>
      </w:r>
      <w:r>
        <w:rPr>
          <w:rFonts w:ascii="Arial" w:hAnsi="Arial" w:cs="Arial"/>
          <w:sz w:val="24"/>
          <w:szCs w:val="24"/>
        </w:rPr>
        <w:t>E</w:t>
      </w:r>
      <w:r w:rsidRPr="00A36B42">
        <w:rPr>
          <w:rFonts w:ascii="Arial" w:hAnsi="Arial" w:cs="Arial"/>
          <w:sz w:val="24"/>
          <w:szCs w:val="24"/>
        </w:rPr>
        <w:t>ds</w:t>
      </w:r>
      <w:r>
        <w:rPr>
          <w:rFonts w:ascii="Arial" w:hAnsi="Arial" w:cs="Arial"/>
          <w:sz w:val="24"/>
          <w:szCs w:val="24"/>
        </w:rPr>
        <w:t>.</w:t>
      </w:r>
      <w:r w:rsidRPr="00A36B42">
        <w:rPr>
          <w:rFonts w:ascii="Arial" w:hAnsi="Arial" w:cs="Arial"/>
          <w:sz w:val="24"/>
          <w:szCs w:val="24"/>
        </w:rPr>
        <w:t>)</w:t>
      </w:r>
      <w:r>
        <w:rPr>
          <w:rFonts w:ascii="Arial" w:hAnsi="Arial" w:cs="Arial"/>
          <w:sz w:val="24"/>
          <w:szCs w:val="24"/>
        </w:rPr>
        <w:t xml:space="preserve">, </w:t>
      </w:r>
      <w:r w:rsidRPr="00A36B42">
        <w:rPr>
          <w:rFonts w:ascii="Arial" w:hAnsi="Arial" w:cs="Arial"/>
          <w:i/>
          <w:iCs/>
          <w:sz w:val="24"/>
          <w:szCs w:val="24"/>
        </w:rPr>
        <w:t>Doing Gender, Doing Difference</w:t>
      </w:r>
      <w:r w:rsidRPr="00A36B42">
        <w:rPr>
          <w:rFonts w:ascii="Arial" w:hAnsi="Arial" w:cs="Arial"/>
          <w:sz w:val="24"/>
          <w:szCs w:val="24"/>
        </w:rPr>
        <w:t>,</w:t>
      </w:r>
      <w:r>
        <w:rPr>
          <w:rFonts w:ascii="Arial" w:hAnsi="Arial" w:cs="Arial"/>
          <w:sz w:val="24"/>
          <w:szCs w:val="24"/>
        </w:rPr>
        <w:t xml:space="preserve"> </w:t>
      </w:r>
      <w:r w:rsidRPr="00A36B42">
        <w:rPr>
          <w:rFonts w:ascii="Arial" w:hAnsi="Arial" w:cs="Arial"/>
          <w:sz w:val="24"/>
          <w:szCs w:val="24"/>
        </w:rPr>
        <w:t>New York: Routledge</w:t>
      </w:r>
      <w:r>
        <w:rPr>
          <w:rFonts w:ascii="Arial" w:hAnsi="Arial" w:cs="Arial"/>
          <w:sz w:val="24"/>
          <w:szCs w:val="24"/>
        </w:rPr>
        <w:t xml:space="preserve">, </w:t>
      </w:r>
      <w:r w:rsidRPr="00A36B42">
        <w:rPr>
          <w:rFonts w:ascii="Arial" w:hAnsi="Arial" w:cs="Arial"/>
          <w:sz w:val="24"/>
          <w:szCs w:val="24"/>
        </w:rPr>
        <w:t>pp. 189–204</w:t>
      </w:r>
    </w:p>
    <w:p w14:paraId="7DA40B9D" w14:textId="0879FFDF" w:rsidR="00BC19F9" w:rsidRDefault="00BC19F9" w:rsidP="00957BB6">
      <w:pPr>
        <w:spacing w:line="360" w:lineRule="auto"/>
        <w:jc w:val="both"/>
        <w:rPr>
          <w:rFonts w:ascii="Arial" w:hAnsi="Arial" w:cs="Arial"/>
          <w:sz w:val="24"/>
          <w:szCs w:val="24"/>
        </w:rPr>
      </w:pPr>
      <w:r>
        <w:rPr>
          <w:rFonts w:ascii="Arial" w:hAnsi="Arial" w:cs="Arial"/>
          <w:sz w:val="24"/>
          <w:szCs w:val="24"/>
        </w:rPr>
        <w:t xml:space="preserve">Morrison, Josh, (2014), ‘”Draguating to Normal: Camp and Homonormative Politics’, in Jim Daems (Ed.), (2014), </w:t>
      </w:r>
      <w:r>
        <w:rPr>
          <w:rFonts w:ascii="Arial" w:hAnsi="Arial" w:cs="Arial"/>
          <w:i/>
          <w:iCs/>
          <w:sz w:val="24"/>
          <w:szCs w:val="24"/>
        </w:rPr>
        <w:t xml:space="preserve">The Makeup of RuPaul’s Drag Race: Essays on the Queen of Reality Shows, </w:t>
      </w:r>
      <w:r>
        <w:rPr>
          <w:rFonts w:ascii="Arial" w:hAnsi="Arial" w:cs="Arial"/>
          <w:sz w:val="24"/>
          <w:szCs w:val="24"/>
        </w:rPr>
        <w:t>North Carolina: McFarland &amp; Company, pp. 124-147</w:t>
      </w:r>
    </w:p>
    <w:p w14:paraId="5AD0D7FC" w14:textId="648F0A80" w:rsidR="00F91002" w:rsidRPr="001C19B5" w:rsidRDefault="00F91002" w:rsidP="00957BB6">
      <w:pPr>
        <w:spacing w:line="360" w:lineRule="auto"/>
        <w:jc w:val="both"/>
        <w:rPr>
          <w:rFonts w:ascii="Arial" w:hAnsi="Arial" w:cs="Arial"/>
          <w:sz w:val="24"/>
          <w:szCs w:val="24"/>
        </w:rPr>
      </w:pPr>
      <w:r w:rsidRPr="00A36B42">
        <w:rPr>
          <w:rFonts w:ascii="Arial" w:hAnsi="Arial" w:cs="Arial"/>
          <w:sz w:val="24"/>
          <w:szCs w:val="24"/>
        </w:rPr>
        <w:t>Muñoz, José Esteban</w:t>
      </w:r>
      <w:r>
        <w:rPr>
          <w:rFonts w:ascii="Arial" w:hAnsi="Arial" w:cs="Arial"/>
          <w:sz w:val="24"/>
          <w:szCs w:val="24"/>
        </w:rPr>
        <w:t>,</w:t>
      </w:r>
      <w:r w:rsidRPr="00A36B42">
        <w:rPr>
          <w:rFonts w:ascii="Arial" w:hAnsi="Arial" w:cs="Arial"/>
          <w:sz w:val="24"/>
          <w:szCs w:val="24"/>
        </w:rPr>
        <w:t xml:space="preserve"> (1999)</w:t>
      </w:r>
      <w:r>
        <w:rPr>
          <w:rFonts w:ascii="Arial" w:hAnsi="Arial" w:cs="Arial"/>
          <w:sz w:val="24"/>
          <w:szCs w:val="24"/>
        </w:rPr>
        <w:t>,</w:t>
      </w:r>
      <w:r w:rsidRPr="00A36B42">
        <w:rPr>
          <w:rFonts w:ascii="Arial" w:hAnsi="Arial" w:cs="Arial"/>
          <w:sz w:val="24"/>
          <w:szCs w:val="24"/>
        </w:rPr>
        <w:t xml:space="preserve"> </w:t>
      </w:r>
      <w:r w:rsidRPr="00A36B42">
        <w:rPr>
          <w:rFonts w:ascii="Arial" w:hAnsi="Arial" w:cs="Arial"/>
          <w:i/>
          <w:iCs/>
          <w:sz w:val="24"/>
          <w:szCs w:val="24"/>
        </w:rPr>
        <w:t>Disidentifications: Queers of Color and the</w:t>
      </w:r>
      <w:r>
        <w:rPr>
          <w:rFonts w:ascii="Arial" w:hAnsi="Arial" w:cs="Arial"/>
          <w:i/>
          <w:iCs/>
          <w:sz w:val="24"/>
          <w:szCs w:val="24"/>
        </w:rPr>
        <w:t xml:space="preserve"> </w:t>
      </w:r>
      <w:r w:rsidRPr="00A36B42">
        <w:rPr>
          <w:rFonts w:ascii="Arial" w:hAnsi="Arial" w:cs="Arial"/>
          <w:i/>
          <w:iCs/>
          <w:sz w:val="24"/>
          <w:szCs w:val="24"/>
        </w:rPr>
        <w:t>Performance of Politics</w:t>
      </w:r>
      <w:r>
        <w:rPr>
          <w:rFonts w:ascii="Arial" w:hAnsi="Arial" w:cs="Arial"/>
          <w:sz w:val="24"/>
          <w:szCs w:val="24"/>
        </w:rPr>
        <w:t xml:space="preserve">, </w:t>
      </w:r>
      <w:r w:rsidRPr="00A36B42">
        <w:rPr>
          <w:rFonts w:ascii="Arial" w:hAnsi="Arial" w:cs="Arial"/>
          <w:sz w:val="24"/>
          <w:szCs w:val="24"/>
        </w:rPr>
        <w:t>Minneapolis: University of Minnesota Press</w:t>
      </w:r>
    </w:p>
    <w:p w14:paraId="54DD0699" w14:textId="60B0B7C3" w:rsidR="001C19B5" w:rsidRDefault="001C19B5" w:rsidP="00957BB6">
      <w:pPr>
        <w:spacing w:line="360" w:lineRule="auto"/>
        <w:jc w:val="both"/>
        <w:rPr>
          <w:rFonts w:ascii="Arial" w:hAnsi="Arial" w:cs="Arial"/>
          <w:sz w:val="24"/>
          <w:szCs w:val="24"/>
        </w:rPr>
      </w:pPr>
      <w:r>
        <w:rPr>
          <w:rFonts w:ascii="Arial" w:hAnsi="Arial" w:cs="Arial"/>
          <w:sz w:val="24"/>
          <w:szCs w:val="24"/>
        </w:rPr>
        <w:t>Muntoni, Francesca; Wagner, Jenny and Retelsdorf, Jan, (2021), ‘Beware of Stereotypes: Are Classmates’ Stereotypes Associated with Student Reading Outcomes?’, 92 (1), pp.189-204</w:t>
      </w:r>
    </w:p>
    <w:p w14:paraId="7686A727" w14:textId="76698D71" w:rsidR="007F2808" w:rsidRDefault="007F2808" w:rsidP="00957BB6">
      <w:pPr>
        <w:spacing w:line="360" w:lineRule="auto"/>
        <w:jc w:val="both"/>
        <w:rPr>
          <w:rFonts w:ascii="Arial" w:hAnsi="Arial" w:cs="Arial"/>
          <w:sz w:val="24"/>
          <w:szCs w:val="24"/>
        </w:rPr>
      </w:pPr>
      <w:r w:rsidRPr="00CA7A5C">
        <w:rPr>
          <w:rFonts w:ascii="Arial" w:hAnsi="Arial" w:cs="Arial"/>
          <w:sz w:val="24"/>
          <w:szCs w:val="24"/>
        </w:rPr>
        <w:t xml:space="preserve">Murnen, S. K., and Byrne, D., (1991), ‘Hyperfemininity: Measurement and initial validation of the construct’, </w:t>
      </w:r>
      <w:r w:rsidRPr="00CA7A5C">
        <w:rPr>
          <w:rFonts w:ascii="Arial" w:hAnsi="Arial" w:cs="Arial"/>
          <w:i/>
          <w:iCs/>
          <w:sz w:val="24"/>
          <w:szCs w:val="24"/>
        </w:rPr>
        <w:t>The Journal of Sex Research</w:t>
      </w:r>
      <w:r w:rsidRPr="00CA7A5C">
        <w:rPr>
          <w:rFonts w:ascii="Arial" w:hAnsi="Arial" w:cs="Arial"/>
          <w:sz w:val="24"/>
          <w:szCs w:val="24"/>
        </w:rPr>
        <w:t>, 28, pp.479–489</w:t>
      </w:r>
    </w:p>
    <w:p w14:paraId="4A641393" w14:textId="19C7DAF6" w:rsidR="003C55E7" w:rsidRPr="003C55E7" w:rsidRDefault="003C55E7" w:rsidP="00957BB6">
      <w:pPr>
        <w:spacing w:line="360" w:lineRule="auto"/>
        <w:jc w:val="both"/>
        <w:rPr>
          <w:rFonts w:ascii="Arial" w:hAnsi="Arial" w:cs="Arial"/>
          <w:sz w:val="24"/>
          <w:szCs w:val="24"/>
        </w:rPr>
      </w:pPr>
      <w:r w:rsidRPr="002738CA">
        <w:rPr>
          <w:rFonts w:ascii="Arial" w:hAnsi="Arial" w:cs="Arial"/>
          <w:sz w:val="24"/>
          <w:szCs w:val="24"/>
        </w:rPr>
        <w:t xml:space="preserve">Namaste, V., (2000), </w:t>
      </w:r>
      <w:r w:rsidRPr="002738CA">
        <w:rPr>
          <w:rFonts w:ascii="Arial" w:hAnsi="Arial" w:cs="Arial"/>
          <w:i/>
          <w:iCs/>
          <w:sz w:val="24"/>
          <w:szCs w:val="24"/>
        </w:rPr>
        <w:t>Invisible lives</w:t>
      </w:r>
      <w:r w:rsidRPr="002738CA">
        <w:rPr>
          <w:rFonts w:ascii="Arial" w:hAnsi="Arial" w:cs="Arial"/>
          <w:sz w:val="24"/>
          <w:szCs w:val="24"/>
        </w:rPr>
        <w:t>, Chicago: University of Chicago Press</w:t>
      </w:r>
    </w:p>
    <w:p w14:paraId="215015B0" w14:textId="203629D3" w:rsidR="00FD772E" w:rsidRDefault="00FD772E" w:rsidP="00957BB6">
      <w:pPr>
        <w:spacing w:line="360" w:lineRule="auto"/>
        <w:jc w:val="both"/>
        <w:rPr>
          <w:rFonts w:ascii="Arial" w:hAnsi="Arial" w:cs="Arial"/>
          <w:sz w:val="24"/>
          <w:szCs w:val="24"/>
        </w:rPr>
      </w:pPr>
      <w:r w:rsidRPr="00333449">
        <w:rPr>
          <w:rFonts w:ascii="Arial" w:hAnsi="Arial" w:cs="Arial"/>
          <w:sz w:val="24"/>
          <w:szCs w:val="24"/>
        </w:rPr>
        <w:t xml:space="preserve">Nelson, T. D., (2002), </w:t>
      </w:r>
      <w:r w:rsidRPr="00333449">
        <w:rPr>
          <w:rFonts w:ascii="Arial" w:hAnsi="Arial" w:cs="Arial"/>
          <w:i/>
          <w:iCs/>
          <w:sz w:val="24"/>
          <w:szCs w:val="24"/>
        </w:rPr>
        <w:t>The psychology of prejudice</w:t>
      </w:r>
      <w:r w:rsidRPr="00333449">
        <w:rPr>
          <w:rFonts w:ascii="Arial" w:hAnsi="Arial" w:cs="Arial"/>
          <w:sz w:val="24"/>
          <w:szCs w:val="24"/>
        </w:rPr>
        <w:t>, Boston: Allyn &amp; Bacon</w:t>
      </w:r>
    </w:p>
    <w:p w14:paraId="58EF4B35" w14:textId="7DB00D7A" w:rsidR="00A70E15" w:rsidRDefault="00A70E15" w:rsidP="00957BB6">
      <w:pPr>
        <w:spacing w:line="360" w:lineRule="auto"/>
        <w:jc w:val="both"/>
        <w:rPr>
          <w:rFonts w:ascii="Arial" w:hAnsi="Arial" w:cs="Arial"/>
          <w:sz w:val="24"/>
          <w:szCs w:val="24"/>
        </w:rPr>
      </w:pPr>
      <w:r>
        <w:rPr>
          <w:rFonts w:ascii="Arial" w:hAnsi="Arial" w:cs="Arial"/>
          <w:sz w:val="24"/>
          <w:szCs w:val="24"/>
        </w:rPr>
        <w:t xml:space="preserve">Nestle, J.; Wilchins, R., and Howell, C., (2002), </w:t>
      </w:r>
      <w:r>
        <w:rPr>
          <w:rFonts w:ascii="Arial" w:hAnsi="Arial" w:cs="Arial"/>
          <w:i/>
          <w:iCs/>
          <w:sz w:val="24"/>
          <w:szCs w:val="24"/>
        </w:rPr>
        <w:t xml:space="preserve">Genderqueer: Voices beyond the sexual binary, </w:t>
      </w:r>
      <w:r>
        <w:rPr>
          <w:rFonts w:ascii="Arial" w:hAnsi="Arial" w:cs="Arial"/>
          <w:sz w:val="24"/>
          <w:szCs w:val="24"/>
        </w:rPr>
        <w:t>Los Angeles: Alyson Books</w:t>
      </w:r>
    </w:p>
    <w:p w14:paraId="649F6B06" w14:textId="06E378DF" w:rsidR="0008664D" w:rsidRDefault="0008664D" w:rsidP="00957BB6">
      <w:pPr>
        <w:spacing w:line="360" w:lineRule="auto"/>
        <w:jc w:val="both"/>
        <w:rPr>
          <w:rFonts w:ascii="Arial" w:hAnsi="Arial" w:cs="Arial"/>
          <w:sz w:val="24"/>
          <w:szCs w:val="24"/>
        </w:rPr>
      </w:pPr>
      <w:r>
        <w:rPr>
          <w:rFonts w:ascii="Arial" w:hAnsi="Arial" w:cs="Arial"/>
          <w:sz w:val="24"/>
          <w:szCs w:val="24"/>
        </w:rPr>
        <w:t xml:space="preserve">Newton, E., (1972), </w:t>
      </w:r>
      <w:r>
        <w:rPr>
          <w:rFonts w:ascii="Arial" w:hAnsi="Arial" w:cs="Arial"/>
          <w:i/>
          <w:iCs/>
          <w:sz w:val="24"/>
          <w:szCs w:val="24"/>
        </w:rPr>
        <w:t xml:space="preserve">Mother camp: Female impersonators in America, </w:t>
      </w:r>
      <w:r>
        <w:rPr>
          <w:rFonts w:ascii="Arial" w:hAnsi="Arial" w:cs="Arial"/>
          <w:sz w:val="24"/>
          <w:szCs w:val="24"/>
        </w:rPr>
        <w:t>Chicago: The University of Chicago Press</w:t>
      </w:r>
    </w:p>
    <w:p w14:paraId="3853D5C1" w14:textId="23EDBE09" w:rsidR="001C19B5" w:rsidRDefault="001C19B5" w:rsidP="00957BB6">
      <w:pPr>
        <w:spacing w:line="360" w:lineRule="auto"/>
        <w:jc w:val="both"/>
        <w:rPr>
          <w:rFonts w:ascii="Arial" w:hAnsi="Arial" w:cs="Arial"/>
          <w:sz w:val="24"/>
          <w:szCs w:val="24"/>
        </w:rPr>
      </w:pPr>
      <w:r>
        <w:rPr>
          <w:rFonts w:ascii="Arial" w:hAnsi="Arial" w:cs="Arial"/>
          <w:sz w:val="24"/>
          <w:szCs w:val="24"/>
        </w:rPr>
        <w:t xml:space="preserve">Photo provided by Aquaria, (2020), Aquaria seated against red background, accompanies Smith, Dakota, ‘It’s still the age of Aquaria: an interview with the Ru Paul’s Drag Race season 10 winner’, </w:t>
      </w:r>
      <w:r>
        <w:rPr>
          <w:rFonts w:ascii="Arial" w:hAnsi="Arial" w:cs="Arial"/>
          <w:i/>
          <w:iCs/>
          <w:sz w:val="24"/>
          <w:szCs w:val="24"/>
        </w:rPr>
        <w:t xml:space="preserve">Wussy, </w:t>
      </w:r>
      <w:r>
        <w:rPr>
          <w:rFonts w:ascii="Arial" w:hAnsi="Arial" w:cs="Arial"/>
          <w:sz w:val="24"/>
          <w:szCs w:val="24"/>
        </w:rPr>
        <w:t xml:space="preserve">Accessed via: </w:t>
      </w:r>
      <w:hyperlink r:id="rId12" w:history="1">
        <w:r w:rsidRPr="00DA3D7A">
          <w:rPr>
            <w:rStyle w:val="Hyperlink"/>
            <w:rFonts w:ascii="Arial" w:hAnsi="Arial" w:cs="Arial"/>
            <w:sz w:val="24"/>
            <w:szCs w:val="24"/>
          </w:rPr>
          <w:t>It’s Still the Age of Aquaria: An Interview With the RuPaul’s Drag Race Season 10 Winner — WUSSY Mag</w:t>
        </w:r>
      </w:hyperlink>
      <w:r w:rsidRPr="00DA3D7A">
        <w:rPr>
          <w:rFonts w:ascii="Arial" w:hAnsi="Arial" w:cs="Arial"/>
          <w:sz w:val="24"/>
          <w:szCs w:val="24"/>
        </w:rPr>
        <w:t>, Accessed on: 17/12/22</w:t>
      </w:r>
    </w:p>
    <w:p w14:paraId="72A0349C" w14:textId="2B1F600C" w:rsidR="00FD772E" w:rsidRDefault="00FD772E" w:rsidP="00957BB6">
      <w:pPr>
        <w:spacing w:line="360" w:lineRule="auto"/>
        <w:jc w:val="both"/>
        <w:rPr>
          <w:rFonts w:ascii="Arial" w:hAnsi="Arial" w:cs="Arial"/>
          <w:sz w:val="24"/>
          <w:szCs w:val="24"/>
        </w:rPr>
      </w:pPr>
      <w:r>
        <w:rPr>
          <w:rFonts w:ascii="Arial" w:hAnsi="Arial" w:cs="Arial"/>
          <w:sz w:val="24"/>
          <w:szCs w:val="24"/>
        </w:rPr>
        <w:t xml:space="preserve">Posthuma, Richard A., and Campion, Michael A., (2009), ‘Age Stereotypes in the Workplace: Common Stereotypes, Moderators and Future Research Directions’, </w:t>
      </w:r>
      <w:r>
        <w:rPr>
          <w:rFonts w:ascii="Arial" w:hAnsi="Arial" w:cs="Arial"/>
          <w:i/>
          <w:iCs/>
          <w:sz w:val="24"/>
          <w:szCs w:val="24"/>
        </w:rPr>
        <w:t xml:space="preserve">Journal of management, </w:t>
      </w:r>
      <w:r>
        <w:rPr>
          <w:rFonts w:ascii="Arial" w:hAnsi="Arial" w:cs="Arial"/>
          <w:sz w:val="24"/>
          <w:szCs w:val="24"/>
        </w:rPr>
        <w:t>35 (1), pp.158-188</w:t>
      </w:r>
    </w:p>
    <w:p w14:paraId="6DB4733D" w14:textId="631BEBA7" w:rsidR="0096098F" w:rsidRDefault="0096098F" w:rsidP="00957BB6">
      <w:pPr>
        <w:spacing w:line="360" w:lineRule="auto"/>
        <w:jc w:val="both"/>
        <w:rPr>
          <w:rFonts w:ascii="Arial" w:hAnsi="Arial" w:cs="Arial"/>
          <w:sz w:val="24"/>
          <w:szCs w:val="24"/>
        </w:rPr>
      </w:pPr>
      <w:r>
        <w:rPr>
          <w:rFonts w:ascii="Arial" w:hAnsi="Arial" w:cs="Arial"/>
          <w:sz w:val="24"/>
          <w:szCs w:val="24"/>
        </w:rPr>
        <w:t xml:space="preserve">Rupp, L. J., and Taylor, V., (2004), </w:t>
      </w:r>
      <w:r>
        <w:rPr>
          <w:rFonts w:ascii="Arial" w:hAnsi="Arial" w:cs="Arial"/>
          <w:i/>
          <w:iCs/>
          <w:sz w:val="24"/>
          <w:szCs w:val="24"/>
        </w:rPr>
        <w:t xml:space="preserve">Drag queens at the 801 Cabaret, </w:t>
      </w:r>
      <w:r>
        <w:rPr>
          <w:rFonts w:ascii="Arial" w:hAnsi="Arial" w:cs="Arial"/>
          <w:sz w:val="24"/>
          <w:szCs w:val="24"/>
        </w:rPr>
        <w:t>Chicago: The University of Chicago Press</w:t>
      </w:r>
    </w:p>
    <w:p w14:paraId="4712EA13" w14:textId="4F1B8384" w:rsidR="0008664D" w:rsidRDefault="0008664D" w:rsidP="00957BB6">
      <w:pPr>
        <w:spacing w:line="360" w:lineRule="auto"/>
        <w:jc w:val="both"/>
        <w:rPr>
          <w:rFonts w:ascii="Arial" w:hAnsi="Arial" w:cs="Arial"/>
          <w:sz w:val="24"/>
          <w:szCs w:val="24"/>
        </w:rPr>
      </w:pPr>
      <w:r>
        <w:rPr>
          <w:rFonts w:ascii="Arial" w:hAnsi="Arial" w:cs="Arial"/>
          <w:sz w:val="24"/>
          <w:szCs w:val="24"/>
        </w:rPr>
        <w:lastRenderedPageBreak/>
        <w:t>Rupp, L. J.; Taylor, Verta, and Shapiro, E. L., (2010), ‘Drag Queens and Drag Kin</w:t>
      </w:r>
      <w:r w:rsidR="0096098F">
        <w:rPr>
          <w:rFonts w:ascii="Arial" w:hAnsi="Arial" w:cs="Arial"/>
          <w:sz w:val="24"/>
          <w:szCs w:val="24"/>
        </w:rPr>
        <w:t>g</w:t>
      </w:r>
      <w:r>
        <w:rPr>
          <w:rFonts w:ascii="Arial" w:hAnsi="Arial" w:cs="Arial"/>
          <w:sz w:val="24"/>
          <w:szCs w:val="24"/>
        </w:rPr>
        <w:t xml:space="preserve">s: The Difference Gender Makes’, </w:t>
      </w:r>
      <w:r>
        <w:rPr>
          <w:rFonts w:ascii="Arial" w:hAnsi="Arial" w:cs="Arial"/>
          <w:i/>
          <w:iCs/>
          <w:sz w:val="24"/>
          <w:szCs w:val="24"/>
        </w:rPr>
        <w:t xml:space="preserve">Sexualities, </w:t>
      </w:r>
      <w:r>
        <w:rPr>
          <w:rFonts w:ascii="Arial" w:hAnsi="Arial" w:cs="Arial"/>
          <w:sz w:val="24"/>
          <w:szCs w:val="24"/>
        </w:rPr>
        <w:t>2010, 13 (3), pp.275-294</w:t>
      </w:r>
    </w:p>
    <w:p w14:paraId="016574CC" w14:textId="77777777" w:rsidR="00373D82" w:rsidRDefault="00373D82" w:rsidP="00957BB6">
      <w:pPr>
        <w:spacing w:line="360" w:lineRule="auto"/>
        <w:jc w:val="both"/>
        <w:rPr>
          <w:rFonts w:ascii="Arial" w:hAnsi="Arial" w:cs="Arial"/>
          <w:sz w:val="24"/>
          <w:szCs w:val="24"/>
        </w:rPr>
      </w:pPr>
      <w:r w:rsidRPr="00A94DBF">
        <w:rPr>
          <w:rFonts w:ascii="Arial" w:hAnsi="Arial" w:cs="Arial"/>
          <w:sz w:val="24"/>
          <w:szCs w:val="24"/>
        </w:rPr>
        <w:t>Schacht, Steven P.</w:t>
      </w:r>
      <w:r>
        <w:rPr>
          <w:rFonts w:ascii="Arial" w:hAnsi="Arial" w:cs="Arial"/>
          <w:sz w:val="24"/>
          <w:szCs w:val="24"/>
        </w:rPr>
        <w:t>,</w:t>
      </w:r>
      <w:r w:rsidRPr="00A94DBF">
        <w:rPr>
          <w:rFonts w:ascii="Arial" w:hAnsi="Arial" w:cs="Arial"/>
          <w:sz w:val="24"/>
          <w:szCs w:val="24"/>
        </w:rPr>
        <w:t xml:space="preserve"> (2000)</w:t>
      </w:r>
      <w:r>
        <w:rPr>
          <w:rFonts w:ascii="Arial" w:hAnsi="Arial" w:cs="Arial"/>
          <w:sz w:val="24"/>
          <w:szCs w:val="24"/>
        </w:rPr>
        <w:t>,</w:t>
      </w:r>
      <w:r w:rsidRPr="00A94DBF">
        <w:rPr>
          <w:rFonts w:ascii="Arial" w:hAnsi="Arial" w:cs="Arial"/>
          <w:sz w:val="24"/>
          <w:szCs w:val="24"/>
        </w:rPr>
        <w:t xml:space="preserve"> ‘Gay Masculinities in a Drag Community: Female</w:t>
      </w:r>
      <w:r>
        <w:rPr>
          <w:rFonts w:ascii="Arial" w:hAnsi="Arial" w:cs="Arial"/>
          <w:sz w:val="24"/>
          <w:szCs w:val="24"/>
        </w:rPr>
        <w:t xml:space="preserve"> </w:t>
      </w:r>
      <w:r w:rsidRPr="00A94DBF">
        <w:rPr>
          <w:rFonts w:ascii="Arial" w:hAnsi="Arial" w:cs="Arial"/>
          <w:sz w:val="24"/>
          <w:szCs w:val="24"/>
        </w:rPr>
        <w:t>Impersonators and the Social Construction of “Other”’, in Peter Nardi (</w:t>
      </w:r>
      <w:r>
        <w:rPr>
          <w:rFonts w:ascii="Arial" w:hAnsi="Arial" w:cs="Arial"/>
          <w:sz w:val="24"/>
          <w:szCs w:val="24"/>
        </w:rPr>
        <w:t>E</w:t>
      </w:r>
      <w:r w:rsidRPr="00A94DBF">
        <w:rPr>
          <w:rFonts w:ascii="Arial" w:hAnsi="Arial" w:cs="Arial"/>
          <w:sz w:val="24"/>
          <w:szCs w:val="24"/>
        </w:rPr>
        <w:t>d.)</w:t>
      </w:r>
      <w:r>
        <w:rPr>
          <w:rFonts w:ascii="Arial" w:hAnsi="Arial" w:cs="Arial"/>
          <w:sz w:val="24"/>
          <w:szCs w:val="24"/>
        </w:rPr>
        <w:t xml:space="preserve">, </w:t>
      </w:r>
      <w:r w:rsidRPr="00A94DBF">
        <w:rPr>
          <w:rFonts w:ascii="Arial" w:hAnsi="Arial" w:cs="Arial"/>
          <w:i/>
          <w:iCs/>
          <w:sz w:val="24"/>
          <w:szCs w:val="24"/>
        </w:rPr>
        <w:t>Gay Masculinities</w:t>
      </w:r>
      <w:r w:rsidRPr="00A94DBF">
        <w:rPr>
          <w:rFonts w:ascii="Arial" w:hAnsi="Arial" w:cs="Arial"/>
          <w:sz w:val="24"/>
          <w:szCs w:val="24"/>
        </w:rPr>
        <w:t xml:space="preserve">, </w:t>
      </w:r>
      <w:r>
        <w:rPr>
          <w:rFonts w:ascii="Arial" w:hAnsi="Arial" w:cs="Arial"/>
          <w:sz w:val="24"/>
          <w:szCs w:val="24"/>
        </w:rPr>
        <w:t>California</w:t>
      </w:r>
      <w:r w:rsidRPr="00A94DBF">
        <w:rPr>
          <w:rFonts w:ascii="Arial" w:hAnsi="Arial" w:cs="Arial"/>
          <w:sz w:val="24"/>
          <w:szCs w:val="24"/>
        </w:rPr>
        <w:t>: SAGE</w:t>
      </w:r>
      <w:r>
        <w:rPr>
          <w:rFonts w:ascii="Arial" w:hAnsi="Arial" w:cs="Arial"/>
          <w:sz w:val="24"/>
          <w:szCs w:val="24"/>
        </w:rPr>
        <w:t xml:space="preserve">, </w:t>
      </w:r>
      <w:r w:rsidRPr="00A94DBF">
        <w:rPr>
          <w:rFonts w:ascii="Arial" w:hAnsi="Arial" w:cs="Arial"/>
          <w:sz w:val="24"/>
          <w:szCs w:val="24"/>
        </w:rPr>
        <w:t>pp.247–68</w:t>
      </w:r>
    </w:p>
    <w:p w14:paraId="4F7D9F52" w14:textId="1AE597DB" w:rsidR="0008664D" w:rsidRDefault="0008664D" w:rsidP="00957BB6">
      <w:pPr>
        <w:spacing w:line="360" w:lineRule="auto"/>
        <w:jc w:val="both"/>
        <w:rPr>
          <w:rFonts w:ascii="Arial" w:hAnsi="Arial" w:cs="Arial"/>
          <w:sz w:val="24"/>
          <w:szCs w:val="24"/>
        </w:rPr>
      </w:pPr>
      <w:r>
        <w:rPr>
          <w:rFonts w:ascii="Arial" w:hAnsi="Arial" w:cs="Arial"/>
          <w:sz w:val="24"/>
          <w:szCs w:val="24"/>
        </w:rPr>
        <w:t xml:space="preserve">Schact, S. P., and Underwood, L., (2004), ‘The absolutely fabulous but flawlessly customary world of female impersonators’, </w:t>
      </w:r>
      <w:r>
        <w:rPr>
          <w:rFonts w:ascii="Arial" w:hAnsi="Arial" w:cs="Arial"/>
          <w:i/>
          <w:iCs/>
          <w:sz w:val="24"/>
          <w:szCs w:val="24"/>
        </w:rPr>
        <w:t xml:space="preserve">Journal of Homosexuality, </w:t>
      </w:r>
      <w:r>
        <w:rPr>
          <w:rFonts w:ascii="Arial" w:hAnsi="Arial" w:cs="Arial"/>
          <w:sz w:val="24"/>
          <w:szCs w:val="24"/>
        </w:rPr>
        <w:t>46 (3), pp.1-17</w:t>
      </w:r>
    </w:p>
    <w:p w14:paraId="74FF6820" w14:textId="15A94549" w:rsidR="002912D8" w:rsidRDefault="002912D8" w:rsidP="00957BB6">
      <w:pPr>
        <w:spacing w:line="360" w:lineRule="auto"/>
        <w:jc w:val="both"/>
        <w:rPr>
          <w:rFonts w:ascii="Arial" w:hAnsi="Arial" w:cs="Arial"/>
          <w:sz w:val="24"/>
          <w:szCs w:val="24"/>
        </w:rPr>
      </w:pPr>
      <w:r>
        <w:rPr>
          <w:rFonts w:ascii="Arial" w:hAnsi="Arial" w:cs="Arial"/>
          <w:sz w:val="24"/>
          <w:szCs w:val="24"/>
        </w:rPr>
        <w:t>S</w:t>
      </w:r>
      <w:r w:rsidRPr="00BD556C">
        <w:rPr>
          <w:rFonts w:ascii="Arial" w:hAnsi="Arial" w:cs="Arial"/>
          <w:sz w:val="24"/>
          <w:szCs w:val="24"/>
        </w:rPr>
        <w:t>chechner, R.</w:t>
      </w:r>
      <w:r>
        <w:rPr>
          <w:rFonts w:ascii="Arial" w:hAnsi="Arial" w:cs="Arial"/>
          <w:sz w:val="24"/>
          <w:szCs w:val="24"/>
        </w:rPr>
        <w:t>,</w:t>
      </w:r>
      <w:r w:rsidRPr="00BD556C">
        <w:rPr>
          <w:rFonts w:ascii="Arial" w:hAnsi="Arial" w:cs="Arial"/>
          <w:sz w:val="24"/>
          <w:szCs w:val="24"/>
        </w:rPr>
        <w:t xml:space="preserve"> </w:t>
      </w:r>
      <w:r>
        <w:rPr>
          <w:rFonts w:ascii="Arial" w:hAnsi="Arial" w:cs="Arial"/>
          <w:sz w:val="24"/>
          <w:szCs w:val="24"/>
        </w:rPr>
        <w:t>(</w:t>
      </w:r>
      <w:r w:rsidRPr="00BD556C">
        <w:rPr>
          <w:rFonts w:ascii="Arial" w:hAnsi="Arial" w:cs="Arial"/>
          <w:sz w:val="24"/>
          <w:szCs w:val="24"/>
        </w:rPr>
        <w:t>2003</w:t>
      </w:r>
      <w:r>
        <w:rPr>
          <w:rFonts w:ascii="Arial" w:hAnsi="Arial" w:cs="Arial"/>
          <w:sz w:val="24"/>
          <w:szCs w:val="24"/>
        </w:rPr>
        <w:t>),</w:t>
      </w:r>
      <w:r w:rsidRPr="00BD556C">
        <w:rPr>
          <w:rFonts w:ascii="Arial" w:hAnsi="Arial" w:cs="Arial"/>
          <w:sz w:val="24"/>
          <w:szCs w:val="24"/>
        </w:rPr>
        <w:t xml:space="preserve"> </w:t>
      </w:r>
      <w:r w:rsidRPr="00BD556C">
        <w:rPr>
          <w:rFonts w:ascii="Arial" w:hAnsi="Arial" w:cs="Arial"/>
          <w:i/>
          <w:iCs/>
          <w:sz w:val="24"/>
          <w:szCs w:val="24"/>
        </w:rPr>
        <w:t>Performance studies: An introduction,</w:t>
      </w:r>
      <w:r w:rsidRPr="00BD556C">
        <w:rPr>
          <w:rFonts w:ascii="Arial" w:hAnsi="Arial" w:cs="Arial"/>
          <w:sz w:val="24"/>
          <w:szCs w:val="24"/>
        </w:rPr>
        <w:t xml:space="preserve"> New York: Routledge</w:t>
      </w:r>
    </w:p>
    <w:p w14:paraId="58C87DA7" w14:textId="13C7728C" w:rsidR="00480FFB" w:rsidRDefault="00480FFB" w:rsidP="00957BB6">
      <w:pPr>
        <w:spacing w:line="360" w:lineRule="auto"/>
        <w:jc w:val="both"/>
        <w:rPr>
          <w:rFonts w:ascii="Arial" w:hAnsi="Arial" w:cs="Arial"/>
          <w:sz w:val="24"/>
          <w:szCs w:val="24"/>
        </w:rPr>
      </w:pPr>
      <w:r>
        <w:rPr>
          <w:rFonts w:ascii="Arial" w:hAnsi="Arial" w:cs="Arial"/>
          <w:sz w:val="24"/>
          <w:szCs w:val="24"/>
        </w:rPr>
        <w:t xml:space="preserve">Schmid, Anna Theresa and Payam, Shahin, (2022), ‘”I Don’t Want to Have Sex as a Woman”: A Qualitative Study Exploring Sexuality and Sexual Practices of Drag Queens in Germany’, </w:t>
      </w:r>
      <w:r>
        <w:rPr>
          <w:rFonts w:ascii="Arial" w:hAnsi="Arial" w:cs="Arial"/>
          <w:i/>
          <w:iCs/>
          <w:sz w:val="24"/>
          <w:szCs w:val="24"/>
        </w:rPr>
        <w:t xml:space="preserve">Journal of Homosexuality, </w:t>
      </w:r>
      <w:r>
        <w:rPr>
          <w:rFonts w:ascii="Arial" w:hAnsi="Arial" w:cs="Arial"/>
          <w:sz w:val="24"/>
          <w:szCs w:val="24"/>
        </w:rPr>
        <w:t>69 (14), pp.1-21</w:t>
      </w:r>
    </w:p>
    <w:p w14:paraId="10C054D9" w14:textId="184B9369" w:rsidR="001C19B5" w:rsidRDefault="001C19B5" w:rsidP="00957BB6">
      <w:pPr>
        <w:spacing w:line="360" w:lineRule="auto"/>
        <w:jc w:val="both"/>
        <w:rPr>
          <w:rFonts w:ascii="Arial" w:hAnsi="Arial" w:cs="Arial"/>
          <w:sz w:val="24"/>
          <w:szCs w:val="24"/>
        </w:rPr>
      </w:pPr>
      <w:r w:rsidRPr="00595408">
        <w:rPr>
          <w:rFonts w:ascii="Arial" w:hAnsi="Arial" w:cs="Arial"/>
          <w:sz w:val="24"/>
          <w:szCs w:val="24"/>
        </w:rPr>
        <w:t xml:space="preserve">Schneider, D. J., (2004), </w:t>
      </w:r>
      <w:r w:rsidRPr="00595408">
        <w:rPr>
          <w:rFonts w:ascii="Arial" w:hAnsi="Arial" w:cs="Arial"/>
          <w:i/>
          <w:iCs/>
          <w:sz w:val="24"/>
          <w:szCs w:val="24"/>
        </w:rPr>
        <w:t>The psychology of stereotyping</w:t>
      </w:r>
      <w:r w:rsidRPr="00595408">
        <w:rPr>
          <w:rFonts w:ascii="Arial" w:hAnsi="Arial" w:cs="Arial"/>
          <w:sz w:val="24"/>
          <w:szCs w:val="24"/>
        </w:rPr>
        <w:t>, New York: Guilford</w:t>
      </w:r>
    </w:p>
    <w:p w14:paraId="2662D5CC" w14:textId="707CE5EA" w:rsidR="00341943" w:rsidRDefault="00341943" w:rsidP="00957BB6">
      <w:pPr>
        <w:spacing w:line="360" w:lineRule="auto"/>
        <w:jc w:val="both"/>
        <w:rPr>
          <w:rFonts w:ascii="Arial" w:hAnsi="Arial" w:cs="Arial"/>
          <w:sz w:val="24"/>
          <w:szCs w:val="24"/>
        </w:rPr>
      </w:pPr>
      <w:r w:rsidRPr="00897C65">
        <w:rPr>
          <w:rFonts w:ascii="Arial" w:hAnsi="Arial" w:cs="Arial"/>
          <w:sz w:val="24"/>
          <w:szCs w:val="24"/>
        </w:rPr>
        <w:t>Simmel, G.</w:t>
      </w:r>
      <w:r>
        <w:rPr>
          <w:rFonts w:ascii="Arial" w:hAnsi="Arial" w:cs="Arial"/>
          <w:sz w:val="24"/>
          <w:szCs w:val="24"/>
        </w:rPr>
        <w:t>,</w:t>
      </w:r>
      <w:r w:rsidRPr="00897C65">
        <w:rPr>
          <w:rFonts w:ascii="Arial" w:hAnsi="Arial" w:cs="Arial"/>
          <w:sz w:val="24"/>
          <w:szCs w:val="24"/>
        </w:rPr>
        <w:t xml:space="preserve"> </w:t>
      </w:r>
      <w:r>
        <w:rPr>
          <w:rFonts w:ascii="Arial" w:hAnsi="Arial" w:cs="Arial"/>
          <w:sz w:val="24"/>
          <w:szCs w:val="24"/>
        </w:rPr>
        <w:t>(</w:t>
      </w:r>
      <w:r w:rsidRPr="00897C65">
        <w:rPr>
          <w:rFonts w:ascii="Arial" w:hAnsi="Arial" w:cs="Arial"/>
          <w:sz w:val="24"/>
          <w:szCs w:val="24"/>
        </w:rPr>
        <w:t>1955</w:t>
      </w:r>
      <w:r>
        <w:rPr>
          <w:rFonts w:ascii="Arial" w:hAnsi="Arial" w:cs="Arial"/>
          <w:sz w:val="24"/>
          <w:szCs w:val="24"/>
        </w:rPr>
        <w:t xml:space="preserve">), </w:t>
      </w:r>
      <w:r w:rsidRPr="00897C65">
        <w:rPr>
          <w:rFonts w:ascii="Arial" w:hAnsi="Arial" w:cs="Arial"/>
          <w:i/>
          <w:iCs/>
          <w:sz w:val="24"/>
          <w:szCs w:val="24"/>
        </w:rPr>
        <w:t>Conflict and the web of group-affiliation</w:t>
      </w:r>
      <w:r>
        <w:rPr>
          <w:rFonts w:ascii="Arial" w:hAnsi="Arial" w:cs="Arial"/>
          <w:sz w:val="24"/>
          <w:szCs w:val="24"/>
        </w:rPr>
        <w:t>,</w:t>
      </w:r>
      <w:r w:rsidRPr="00897C65">
        <w:rPr>
          <w:rFonts w:ascii="Arial" w:hAnsi="Arial" w:cs="Arial"/>
          <w:sz w:val="24"/>
          <w:szCs w:val="24"/>
        </w:rPr>
        <w:t xml:space="preserve"> New York: Free Press</w:t>
      </w:r>
    </w:p>
    <w:p w14:paraId="408E3C99" w14:textId="4F2B858D" w:rsidR="0008664D" w:rsidRDefault="0008664D" w:rsidP="00957BB6">
      <w:pPr>
        <w:spacing w:line="360" w:lineRule="auto"/>
        <w:jc w:val="both"/>
        <w:rPr>
          <w:rFonts w:ascii="Arial" w:hAnsi="Arial" w:cs="Arial"/>
          <w:sz w:val="24"/>
          <w:szCs w:val="24"/>
        </w:rPr>
      </w:pPr>
      <w:r>
        <w:rPr>
          <w:rFonts w:ascii="Arial" w:hAnsi="Arial" w:cs="Arial"/>
          <w:sz w:val="24"/>
          <w:szCs w:val="24"/>
        </w:rPr>
        <w:t xml:space="preserve">Simmons, Nathaniel, (2014), ‘Speaking like a Queen in RuPaul’s Drag Race: Towards a Speech Code of American Drag Queens’, </w:t>
      </w:r>
      <w:r>
        <w:rPr>
          <w:rFonts w:ascii="Arial" w:hAnsi="Arial" w:cs="Arial"/>
          <w:i/>
          <w:iCs/>
          <w:sz w:val="24"/>
          <w:szCs w:val="24"/>
        </w:rPr>
        <w:t xml:space="preserve">Sexuality &amp; culture, </w:t>
      </w:r>
      <w:r>
        <w:rPr>
          <w:rFonts w:ascii="Arial" w:hAnsi="Arial" w:cs="Arial"/>
          <w:sz w:val="24"/>
          <w:szCs w:val="24"/>
        </w:rPr>
        <w:t>2014, 18 (3), pp.630-648</w:t>
      </w:r>
    </w:p>
    <w:p w14:paraId="53AF63D0" w14:textId="6FAAA528" w:rsidR="008906DF" w:rsidRPr="008906DF" w:rsidRDefault="008906DF" w:rsidP="00957BB6">
      <w:pPr>
        <w:spacing w:line="360" w:lineRule="auto"/>
        <w:jc w:val="both"/>
        <w:rPr>
          <w:rFonts w:ascii="Arial" w:hAnsi="Arial" w:cs="Arial"/>
          <w:sz w:val="24"/>
          <w:szCs w:val="24"/>
        </w:rPr>
      </w:pPr>
      <w:r>
        <w:rPr>
          <w:rFonts w:ascii="Arial" w:hAnsi="Arial" w:cs="Arial"/>
          <w:sz w:val="24"/>
          <w:szCs w:val="24"/>
        </w:rPr>
        <w:t xml:space="preserve">Stein, Marc, (2023), </w:t>
      </w:r>
      <w:r>
        <w:rPr>
          <w:rFonts w:ascii="Arial" w:hAnsi="Arial" w:cs="Arial"/>
          <w:i/>
          <w:iCs/>
          <w:sz w:val="24"/>
          <w:szCs w:val="24"/>
        </w:rPr>
        <w:t xml:space="preserve">Rethinking the Gay and Lesbian Movement (second edition), </w:t>
      </w:r>
      <w:r>
        <w:rPr>
          <w:rFonts w:ascii="Arial" w:hAnsi="Arial" w:cs="Arial"/>
          <w:sz w:val="24"/>
          <w:szCs w:val="24"/>
        </w:rPr>
        <w:t>New York: Routledge</w:t>
      </w:r>
    </w:p>
    <w:p w14:paraId="4BE04374" w14:textId="3E1708CA" w:rsidR="00341943" w:rsidRDefault="00341943" w:rsidP="00957BB6">
      <w:pPr>
        <w:spacing w:line="360" w:lineRule="auto"/>
        <w:jc w:val="both"/>
        <w:rPr>
          <w:rFonts w:ascii="Arial" w:hAnsi="Arial" w:cs="Arial"/>
          <w:sz w:val="24"/>
          <w:szCs w:val="24"/>
        </w:rPr>
      </w:pPr>
      <w:r w:rsidRPr="00291CE9">
        <w:rPr>
          <w:rFonts w:ascii="Arial" w:hAnsi="Arial" w:cs="Arial"/>
          <w:sz w:val="24"/>
          <w:szCs w:val="24"/>
        </w:rPr>
        <w:t>Stryker, S.</w:t>
      </w:r>
      <w:r>
        <w:rPr>
          <w:rFonts w:ascii="Arial" w:hAnsi="Arial" w:cs="Arial"/>
          <w:sz w:val="24"/>
          <w:szCs w:val="24"/>
        </w:rPr>
        <w:t>,</w:t>
      </w:r>
      <w:r w:rsidRPr="00291CE9">
        <w:rPr>
          <w:rFonts w:ascii="Arial" w:hAnsi="Arial" w:cs="Arial"/>
          <w:sz w:val="24"/>
          <w:szCs w:val="24"/>
        </w:rPr>
        <w:t xml:space="preserve"> </w:t>
      </w:r>
      <w:r>
        <w:rPr>
          <w:rFonts w:ascii="Arial" w:hAnsi="Arial" w:cs="Arial"/>
          <w:sz w:val="24"/>
          <w:szCs w:val="24"/>
        </w:rPr>
        <w:t>(</w:t>
      </w:r>
      <w:r w:rsidRPr="00291CE9">
        <w:rPr>
          <w:rFonts w:ascii="Arial" w:hAnsi="Arial" w:cs="Arial"/>
          <w:sz w:val="24"/>
          <w:szCs w:val="24"/>
        </w:rPr>
        <w:t>1980</w:t>
      </w:r>
      <w:r>
        <w:rPr>
          <w:rFonts w:ascii="Arial" w:hAnsi="Arial" w:cs="Arial"/>
          <w:sz w:val="24"/>
          <w:szCs w:val="24"/>
        </w:rPr>
        <w:t>),</w:t>
      </w:r>
      <w:r w:rsidRPr="00291CE9">
        <w:rPr>
          <w:rFonts w:ascii="Arial" w:hAnsi="Arial" w:cs="Arial"/>
          <w:sz w:val="24"/>
          <w:szCs w:val="24"/>
        </w:rPr>
        <w:t xml:space="preserve"> </w:t>
      </w:r>
      <w:r w:rsidRPr="00897C65">
        <w:rPr>
          <w:rFonts w:ascii="Arial" w:hAnsi="Arial" w:cs="Arial"/>
          <w:i/>
          <w:iCs/>
          <w:sz w:val="24"/>
          <w:szCs w:val="24"/>
        </w:rPr>
        <w:t>Symbolic interactionism: A social structural version</w:t>
      </w:r>
      <w:r>
        <w:rPr>
          <w:rFonts w:ascii="Arial" w:hAnsi="Arial" w:cs="Arial"/>
          <w:sz w:val="24"/>
          <w:szCs w:val="24"/>
        </w:rPr>
        <w:t>, California</w:t>
      </w:r>
      <w:r w:rsidRPr="00291CE9">
        <w:rPr>
          <w:rFonts w:ascii="Arial" w:hAnsi="Arial" w:cs="Arial"/>
          <w:sz w:val="24"/>
          <w:szCs w:val="24"/>
        </w:rPr>
        <w:t>: Benjamin Cummings</w:t>
      </w:r>
    </w:p>
    <w:p w14:paraId="72FD00EF" w14:textId="4CB6E864" w:rsidR="00CA7BA1" w:rsidRDefault="00CA7BA1" w:rsidP="00957BB6">
      <w:pPr>
        <w:spacing w:line="360" w:lineRule="auto"/>
        <w:jc w:val="both"/>
        <w:rPr>
          <w:rFonts w:ascii="Arial" w:hAnsi="Arial" w:cs="Arial"/>
          <w:sz w:val="24"/>
          <w:szCs w:val="24"/>
        </w:rPr>
      </w:pPr>
      <w:r>
        <w:rPr>
          <w:rFonts w:ascii="Arial" w:hAnsi="Arial" w:cs="Arial"/>
          <w:sz w:val="24"/>
          <w:szCs w:val="24"/>
        </w:rPr>
        <w:t xml:space="preserve">Stryker, S., and Whittle, S., (2006), </w:t>
      </w:r>
      <w:r>
        <w:rPr>
          <w:rFonts w:ascii="Arial" w:hAnsi="Arial" w:cs="Arial"/>
          <w:i/>
          <w:iCs/>
          <w:sz w:val="24"/>
          <w:szCs w:val="24"/>
        </w:rPr>
        <w:t xml:space="preserve">The transgender studies reader, </w:t>
      </w:r>
      <w:r>
        <w:rPr>
          <w:rFonts w:ascii="Arial" w:hAnsi="Arial" w:cs="Arial"/>
          <w:sz w:val="24"/>
          <w:szCs w:val="24"/>
        </w:rPr>
        <w:t>New York: Routledge</w:t>
      </w:r>
    </w:p>
    <w:p w14:paraId="075F9781" w14:textId="7F9F036B" w:rsidR="00604521" w:rsidRDefault="00604521" w:rsidP="00957BB6">
      <w:pPr>
        <w:spacing w:line="360" w:lineRule="auto"/>
        <w:jc w:val="both"/>
        <w:rPr>
          <w:rFonts w:ascii="Arial" w:hAnsi="Arial" w:cs="Arial"/>
          <w:sz w:val="24"/>
          <w:szCs w:val="24"/>
        </w:rPr>
      </w:pPr>
      <w:r w:rsidRPr="00897C65">
        <w:rPr>
          <w:rFonts w:ascii="Arial" w:hAnsi="Arial" w:cs="Arial"/>
          <w:sz w:val="24"/>
          <w:szCs w:val="24"/>
        </w:rPr>
        <w:t>Taylor, V., and Rupp</w:t>
      </w:r>
      <w:r>
        <w:rPr>
          <w:rFonts w:ascii="Arial" w:hAnsi="Arial" w:cs="Arial"/>
          <w:sz w:val="24"/>
          <w:szCs w:val="24"/>
        </w:rPr>
        <w:t>, L. J.,</w:t>
      </w:r>
      <w:r w:rsidRPr="00897C65">
        <w:rPr>
          <w:rFonts w:ascii="Arial" w:hAnsi="Arial" w:cs="Arial"/>
          <w:sz w:val="24"/>
          <w:szCs w:val="24"/>
        </w:rPr>
        <w:t xml:space="preserve"> </w:t>
      </w:r>
      <w:r>
        <w:rPr>
          <w:rFonts w:ascii="Arial" w:hAnsi="Arial" w:cs="Arial"/>
          <w:sz w:val="24"/>
          <w:szCs w:val="24"/>
        </w:rPr>
        <w:t>(</w:t>
      </w:r>
      <w:r w:rsidRPr="00897C65">
        <w:rPr>
          <w:rFonts w:ascii="Arial" w:hAnsi="Arial" w:cs="Arial"/>
          <w:sz w:val="24"/>
          <w:szCs w:val="24"/>
        </w:rPr>
        <w:t>2005</w:t>
      </w:r>
      <w:r>
        <w:rPr>
          <w:rFonts w:ascii="Arial" w:hAnsi="Arial" w:cs="Arial"/>
          <w:sz w:val="24"/>
          <w:szCs w:val="24"/>
        </w:rPr>
        <w:t>),</w:t>
      </w:r>
      <w:r w:rsidRPr="00897C65">
        <w:rPr>
          <w:rFonts w:ascii="Arial" w:hAnsi="Arial" w:cs="Arial"/>
          <w:sz w:val="24"/>
          <w:szCs w:val="24"/>
        </w:rPr>
        <w:t xml:space="preserve"> </w:t>
      </w:r>
      <w:r>
        <w:rPr>
          <w:rFonts w:ascii="Arial" w:hAnsi="Arial" w:cs="Arial"/>
          <w:sz w:val="24"/>
          <w:szCs w:val="24"/>
        </w:rPr>
        <w:t>‘</w:t>
      </w:r>
      <w:r w:rsidRPr="00897C65">
        <w:rPr>
          <w:rFonts w:ascii="Arial" w:hAnsi="Arial" w:cs="Arial"/>
          <w:sz w:val="24"/>
          <w:szCs w:val="24"/>
        </w:rPr>
        <w:t>When the girls are men: Negotiating gender and sexual dynamics in a study of drag queens</w:t>
      </w:r>
      <w:r>
        <w:rPr>
          <w:rFonts w:ascii="Arial" w:hAnsi="Arial" w:cs="Arial"/>
          <w:sz w:val="24"/>
          <w:szCs w:val="24"/>
        </w:rPr>
        <w:t>’,</w:t>
      </w:r>
      <w:r w:rsidRPr="00897C65">
        <w:rPr>
          <w:rFonts w:ascii="Arial" w:hAnsi="Arial" w:cs="Arial"/>
          <w:sz w:val="24"/>
          <w:szCs w:val="24"/>
        </w:rPr>
        <w:t xml:space="preserve"> </w:t>
      </w:r>
      <w:r w:rsidRPr="00897C65">
        <w:rPr>
          <w:rFonts w:ascii="Arial" w:hAnsi="Arial" w:cs="Arial"/>
          <w:i/>
          <w:iCs/>
          <w:sz w:val="24"/>
          <w:szCs w:val="24"/>
        </w:rPr>
        <w:t>Signs: Journal of Women in Culture and Society</w:t>
      </w:r>
      <w:r>
        <w:rPr>
          <w:rFonts w:ascii="Arial" w:hAnsi="Arial" w:cs="Arial"/>
          <w:i/>
          <w:iCs/>
          <w:sz w:val="24"/>
          <w:szCs w:val="24"/>
        </w:rPr>
        <w:t>,</w:t>
      </w:r>
      <w:r w:rsidRPr="00897C65">
        <w:rPr>
          <w:rFonts w:ascii="Arial" w:hAnsi="Arial" w:cs="Arial"/>
          <w:i/>
          <w:iCs/>
          <w:sz w:val="24"/>
          <w:szCs w:val="24"/>
        </w:rPr>
        <w:t xml:space="preserve"> </w:t>
      </w:r>
      <w:r w:rsidRPr="00897C65">
        <w:rPr>
          <w:rFonts w:ascii="Arial" w:hAnsi="Arial" w:cs="Arial"/>
          <w:sz w:val="24"/>
          <w:szCs w:val="24"/>
        </w:rPr>
        <w:t>30 (4)</w:t>
      </w:r>
      <w:r>
        <w:rPr>
          <w:rFonts w:ascii="Arial" w:hAnsi="Arial" w:cs="Arial"/>
          <w:sz w:val="24"/>
          <w:szCs w:val="24"/>
        </w:rPr>
        <w:t>,</w:t>
      </w:r>
      <w:r w:rsidRPr="00897C65">
        <w:rPr>
          <w:rFonts w:ascii="Arial" w:hAnsi="Arial" w:cs="Arial"/>
          <w:sz w:val="24"/>
          <w:szCs w:val="24"/>
        </w:rPr>
        <w:t xml:space="preserve"> </w:t>
      </w:r>
      <w:r>
        <w:rPr>
          <w:rFonts w:ascii="Arial" w:hAnsi="Arial" w:cs="Arial"/>
          <w:sz w:val="24"/>
          <w:szCs w:val="24"/>
        </w:rPr>
        <w:t>pp.</w:t>
      </w:r>
      <w:r w:rsidRPr="00897C65">
        <w:rPr>
          <w:rFonts w:ascii="Arial" w:hAnsi="Arial" w:cs="Arial"/>
          <w:sz w:val="24"/>
          <w:szCs w:val="24"/>
        </w:rPr>
        <w:t>2115-39</w:t>
      </w:r>
    </w:p>
    <w:p w14:paraId="12531E95" w14:textId="4AE5F546" w:rsidR="00373D82" w:rsidRDefault="00373D82" w:rsidP="00957BB6">
      <w:pPr>
        <w:spacing w:line="360" w:lineRule="auto"/>
        <w:jc w:val="both"/>
        <w:rPr>
          <w:rFonts w:ascii="Arial" w:hAnsi="Arial" w:cs="Arial"/>
          <w:sz w:val="24"/>
          <w:szCs w:val="24"/>
        </w:rPr>
      </w:pPr>
      <w:r w:rsidRPr="000E21C9">
        <w:rPr>
          <w:rFonts w:ascii="Arial" w:hAnsi="Arial" w:cs="Arial"/>
          <w:sz w:val="24"/>
          <w:szCs w:val="24"/>
        </w:rPr>
        <w:t xml:space="preserve">Tewksbury, R., (1993), ‘Gender construction and the female impersonator: The process of transforming “he” to “she”’, </w:t>
      </w:r>
      <w:r w:rsidRPr="000E21C9">
        <w:rPr>
          <w:rFonts w:ascii="Arial" w:hAnsi="Arial" w:cs="Arial"/>
          <w:i/>
          <w:iCs/>
          <w:sz w:val="24"/>
          <w:szCs w:val="24"/>
        </w:rPr>
        <w:t>Deviant Behavior</w:t>
      </w:r>
      <w:r w:rsidRPr="000E21C9">
        <w:rPr>
          <w:rFonts w:ascii="Arial" w:hAnsi="Arial" w:cs="Arial"/>
          <w:sz w:val="24"/>
          <w:szCs w:val="24"/>
        </w:rPr>
        <w:t>, 15, pp.27–43</w:t>
      </w:r>
    </w:p>
    <w:p w14:paraId="0663E1A3" w14:textId="4EABB81B" w:rsidR="006F4CA5" w:rsidRDefault="006F4CA5" w:rsidP="00957BB6">
      <w:pPr>
        <w:spacing w:line="360" w:lineRule="auto"/>
        <w:jc w:val="both"/>
        <w:rPr>
          <w:rFonts w:ascii="Arial" w:hAnsi="Arial" w:cs="Arial"/>
          <w:sz w:val="24"/>
          <w:szCs w:val="24"/>
        </w:rPr>
      </w:pPr>
      <w:r w:rsidRPr="002738CA">
        <w:rPr>
          <w:rFonts w:ascii="Arial" w:hAnsi="Arial" w:cs="Arial"/>
          <w:sz w:val="24"/>
          <w:szCs w:val="24"/>
        </w:rPr>
        <w:t xml:space="preserve">Tewksbury, R., (1994), ‘Men performing as women: Explorations in the world of female impersonators’, </w:t>
      </w:r>
      <w:r w:rsidRPr="002738CA">
        <w:rPr>
          <w:rFonts w:ascii="Arial" w:hAnsi="Arial" w:cs="Arial"/>
          <w:i/>
          <w:iCs/>
          <w:sz w:val="24"/>
          <w:szCs w:val="24"/>
        </w:rPr>
        <w:t>Sociological Spectrum</w:t>
      </w:r>
      <w:r w:rsidRPr="002738CA">
        <w:rPr>
          <w:rFonts w:ascii="Arial" w:hAnsi="Arial" w:cs="Arial"/>
          <w:sz w:val="24"/>
          <w:szCs w:val="24"/>
        </w:rPr>
        <w:t>, 13, pp.465–486</w:t>
      </w:r>
    </w:p>
    <w:p w14:paraId="2CC2BA94" w14:textId="54520CB1" w:rsidR="00B11C0F" w:rsidRPr="0008664D" w:rsidRDefault="00B11C0F" w:rsidP="00957BB6">
      <w:pPr>
        <w:spacing w:line="360" w:lineRule="auto"/>
        <w:jc w:val="both"/>
        <w:rPr>
          <w:rFonts w:ascii="Arial" w:hAnsi="Arial" w:cs="Arial"/>
          <w:sz w:val="24"/>
          <w:szCs w:val="24"/>
        </w:rPr>
      </w:pPr>
      <w:r>
        <w:rPr>
          <w:rFonts w:ascii="Arial" w:hAnsi="Arial" w:cs="Arial"/>
          <w:sz w:val="24"/>
          <w:szCs w:val="24"/>
        </w:rPr>
        <w:lastRenderedPageBreak/>
        <w:t xml:space="preserve">Valentine, D., (2007), </w:t>
      </w:r>
      <w:r>
        <w:rPr>
          <w:rFonts w:ascii="Arial" w:hAnsi="Arial" w:cs="Arial"/>
          <w:i/>
          <w:iCs/>
          <w:sz w:val="24"/>
          <w:szCs w:val="24"/>
        </w:rPr>
        <w:t xml:space="preserve">Imagining transgender: An ethnography of category, </w:t>
      </w:r>
      <w:r>
        <w:rPr>
          <w:rFonts w:ascii="Arial" w:hAnsi="Arial" w:cs="Arial"/>
          <w:sz w:val="24"/>
          <w:szCs w:val="24"/>
        </w:rPr>
        <w:t>Durham: Duke University Press</w:t>
      </w:r>
    </w:p>
    <w:p w14:paraId="7ADBD95C" w14:textId="55603E93" w:rsidR="0008664D" w:rsidRDefault="0008664D" w:rsidP="00957BB6">
      <w:pPr>
        <w:spacing w:line="360" w:lineRule="auto"/>
        <w:jc w:val="both"/>
        <w:rPr>
          <w:rFonts w:ascii="Arial" w:hAnsi="Arial" w:cs="Arial"/>
          <w:sz w:val="24"/>
          <w:szCs w:val="24"/>
        </w:rPr>
      </w:pPr>
      <w:r>
        <w:rPr>
          <w:rFonts w:ascii="Arial" w:hAnsi="Arial" w:cs="Arial"/>
          <w:sz w:val="24"/>
          <w:szCs w:val="24"/>
        </w:rPr>
        <w:t xml:space="preserve">Vidal-Ortiz, S., (2008), ‘Transgender and transsexual studies: Sociology’s influence and future steps’, </w:t>
      </w:r>
      <w:r>
        <w:rPr>
          <w:rFonts w:ascii="Arial" w:hAnsi="Arial" w:cs="Arial"/>
          <w:i/>
          <w:iCs/>
          <w:sz w:val="24"/>
          <w:szCs w:val="24"/>
        </w:rPr>
        <w:t xml:space="preserve">Sociology Compass, </w:t>
      </w:r>
      <w:r>
        <w:rPr>
          <w:rFonts w:ascii="Arial" w:hAnsi="Arial" w:cs="Arial"/>
          <w:sz w:val="24"/>
          <w:szCs w:val="24"/>
        </w:rPr>
        <w:t>2 (2), pp.433-450</w:t>
      </w:r>
    </w:p>
    <w:p w14:paraId="684D6E0F" w14:textId="5FCE0F1E" w:rsidR="00341460" w:rsidRPr="003F1206" w:rsidRDefault="00341460" w:rsidP="00957BB6">
      <w:pPr>
        <w:spacing w:line="360" w:lineRule="auto"/>
        <w:jc w:val="both"/>
        <w:rPr>
          <w:rFonts w:ascii="Arial" w:hAnsi="Arial" w:cs="Arial"/>
          <w:sz w:val="24"/>
          <w:szCs w:val="24"/>
        </w:rPr>
      </w:pPr>
      <w:r>
        <w:rPr>
          <w:rFonts w:ascii="Arial" w:hAnsi="Arial" w:cs="Arial"/>
          <w:sz w:val="24"/>
          <w:szCs w:val="24"/>
        </w:rPr>
        <w:t xml:space="preserve">Vincent, </w:t>
      </w:r>
      <w:r w:rsidR="003F1206">
        <w:rPr>
          <w:rFonts w:ascii="Arial" w:hAnsi="Arial" w:cs="Arial"/>
          <w:sz w:val="24"/>
          <w:szCs w:val="24"/>
        </w:rPr>
        <w:t xml:space="preserve">Ben, and Manzano, Ana, (2017), ‘History and Cultural Diversity’, in Christina Richards, Walter Pierre Bouman and Meg-John Barker (Eds.), </w:t>
      </w:r>
      <w:r w:rsidR="003F1206">
        <w:rPr>
          <w:rFonts w:ascii="Arial" w:hAnsi="Arial" w:cs="Arial"/>
          <w:i/>
          <w:iCs/>
          <w:sz w:val="24"/>
          <w:szCs w:val="24"/>
        </w:rPr>
        <w:t xml:space="preserve">Genderqueer and non-binary genders, </w:t>
      </w:r>
      <w:r w:rsidR="003F1206">
        <w:rPr>
          <w:rFonts w:ascii="Arial" w:hAnsi="Arial" w:cs="Arial"/>
          <w:sz w:val="24"/>
          <w:szCs w:val="24"/>
        </w:rPr>
        <w:t>London: Palgrave Macmillan, pp.11-30</w:t>
      </w:r>
    </w:p>
    <w:p w14:paraId="75927599" w14:textId="03C8749B" w:rsidR="0096098F" w:rsidRDefault="0096098F" w:rsidP="00957BB6">
      <w:pPr>
        <w:spacing w:line="360" w:lineRule="auto"/>
        <w:jc w:val="both"/>
        <w:rPr>
          <w:rFonts w:ascii="Arial" w:hAnsi="Arial" w:cs="Arial"/>
          <w:sz w:val="24"/>
          <w:szCs w:val="24"/>
        </w:rPr>
      </w:pPr>
      <w:r w:rsidRPr="00C3125E">
        <w:rPr>
          <w:rFonts w:ascii="Arial" w:hAnsi="Arial" w:cs="Arial"/>
          <w:sz w:val="24"/>
          <w:szCs w:val="24"/>
        </w:rPr>
        <w:t xml:space="preserve">West, C., and Zimmerman, D. H., (1987), ‘Doing gender’, </w:t>
      </w:r>
      <w:r w:rsidRPr="00C3125E">
        <w:rPr>
          <w:rFonts w:ascii="Arial" w:hAnsi="Arial" w:cs="Arial"/>
          <w:i/>
          <w:iCs/>
          <w:sz w:val="24"/>
          <w:szCs w:val="24"/>
        </w:rPr>
        <w:t>Gender &amp; Society</w:t>
      </w:r>
      <w:r w:rsidRPr="00C3125E">
        <w:rPr>
          <w:rFonts w:ascii="Arial" w:hAnsi="Arial" w:cs="Arial"/>
          <w:sz w:val="24"/>
          <w:szCs w:val="24"/>
        </w:rPr>
        <w:t>, 1, pp.125–151</w:t>
      </w:r>
    </w:p>
    <w:p w14:paraId="3230BF4A" w14:textId="0D39BC67" w:rsidR="003C55E7" w:rsidRDefault="003C55E7" w:rsidP="00957BB6">
      <w:pPr>
        <w:spacing w:line="360" w:lineRule="auto"/>
        <w:jc w:val="both"/>
        <w:rPr>
          <w:rFonts w:ascii="Arial" w:hAnsi="Arial" w:cs="Arial"/>
          <w:sz w:val="24"/>
          <w:szCs w:val="24"/>
        </w:rPr>
      </w:pPr>
      <w:r w:rsidRPr="00291CE9">
        <w:rPr>
          <w:rFonts w:ascii="Arial" w:hAnsi="Arial" w:cs="Arial"/>
          <w:sz w:val="24"/>
          <w:szCs w:val="24"/>
        </w:rPr>
        <w:t>Williams, C.</w:t>
      </w:r>
      <w:r>
        <w:rPr>
          <w:rFonts w:ascii="Arial" w:hAnsi="Arial" w:cs="Arial"/>
          <w:sz w:val="24"/>
          <w:szCs w:val="24"/>
        </w:rPr>
        <w:t>,</w:t>
      </w:r>
      <w:r w:rsidRPr="00291CE9">
        <w:rPr>
          <w:rFonts w:ascii="Arial" w:hAnsi="Arial" w:cs="Arial"/>
          <w:sz w:val="24"/>
          <w:szCs w:val="24"/>
        </w:rPr>
        <w:t xml:space="preserve"> </w:t>
      </w:r>
      <w:r>
        <w:rPr>
          <w:rFonts w:ascii="Arial" w:hAnsi="Arial" w:cs="Arial"/>
          <w:sz w:val="24"/>
          <w:szCs w:val="24"/>
        </w:rPr>
        <w:t>(</w:t>
      </w:r>
      <w:r w:rsidRPr="00291CE9">
        <w:rPr>
          <w:rFonts w:ascii="Arial" w:hAnsi="Arial" w:cs="Arial"/>
          <w:sz w:val="24"/>
          <w:szCs w:val="24"/>
        </w:rPr>
        <w:t>1995</w:t>
      </w:r>
      <w:r>
        <w:rPr>
          <w:rFonts w:ascii="Arial" w:hAnsi="Arial" w:cs="Arial"/>
          <w:sz w:val="24"/>
          <w:szCs w:val="24"/>
        </w:rPr>
        <w:t>),</w:t>
      </w:r>
      <w:r w:rsidRPr="00291CE9">
        <w:rPr>
          <w:rFonts w:ascii="Arial" w:hAnsi="Arial" w:cs="Arial"/>
          <w:sz w:val="24"/>
          <w:szCs w:val="24"/>
        </w:rPr>
        <w:t xml:space="preserve"> </w:t>
      </w:r>
      <w:r w:rsidRPr="00291CE9">
        <w:rPr>
          <w:rFonts w:ascii="Arial" w:hAnsi="Arial" w:cs="Arial"/>
          <w:i/>
          <w:iCs/>
          <w:sz w:val="24"/>
          <w:szCs w:val="24"/>
        </w:rPr>
        <w:t>Still a man’s world:  Men who do “women’s work”</w:t>
      </w:r>
      <w:r>
        <w:rPr>
          <w:rFonts w:ascii="Arial" w:hAnsi="Arial" w:cs="Arial"/>
          <w:i/>
          <w:iCs/>
          <w:sz w:val="24"/>
          <w:szCs w:val="24"/>
        </w:rPr>
        <w:t>,</w:t>
      </w:r>
      <w:r w:rsidRPr="00291CE9">
        <w:rPr>
          <w:rFonts w:ascii="Arial" w:hAnsi="Arial" w:cs="Arial"/>
          <w:sz w:val="24"/>
          <w:szCs w:val="24"/>
        </w:rPr>
        <w:t xml:space="preserve"> Berkeley: University of California Press</w:t>
      </w:r>
    </w:p>
    <w:p w14:paraId="7AFD6E5E" w14:textId="339DCA84" w:rsidR="00F206F5" w:rsidRPr="00F206F5" w:rsidRDefault="00F206F5" w:rsidP="00957BB6">
      <w:pPr>
        <w:spacing w:line="360" w:lineRule="auto"/>
        <w:jc w:val="both"/>
        <w:rPr>
          <w:rFonts w:ascii="Arial" w:hAnsi="Arial" w:cs="Arial"/>
          <w:sz w:val="28"/>
          <w:szCs w:val="28"/>
        </w:rPr>
      </w:pPr>
      <w:r w:rsidRPr="00405216">
        <w:rPr>
          <w:rFonts w:ascii="Arial" w:hAnsi="Arial" w:cs="Arial"/>
          <w:sz w:val="24"/>
          <w:szCs w:val="24"/>
        </w:rPr>
        <w:t>Wiseman, M. C., and Moradi, B., (2010), ‘Body image and eating disorder symptoms in sexual minority men: A test and extension of objectification theory’</w:t>
      </w:r>
      <w:r w:rsidRPr="00405216">
        <w:rPr>
          <w:rFonts w:ascii="Arial" w:hAnsi="Arial" w:cs="Arial"/>
          <w:i/>
          <w:iCs/>
          <w:sz w:val="24"/>
          <w:szCs w:val="24"/>
        </w:rPr>
        <w:t>, Journal of Counseling Psychology</w:t>
      </w:r>
      <w:r w:rsidRPr="00405216">
        <w:rPr>
          <w:rFonts w:ascii="Arial" w:hAnsi="Arial" w:cs="Arial"/>
          <w:sz w:val="24"/>
          <w:szCs w:val="24"/>
        </w:rPr>
        <w:t>, 57, pp.154–166</w:t>
      </w:r>
    </w:p>
    <w:p w14:paraId="192981A7" w14:textId="77777777" w:rsidR="0008664D" w:rsidRPr="00BB6450" w:rsidRDefault="0008664D" w:rsidP="00957BB6">
      <w:pPr>
        <w:spacing w:line="360" w:lineRule="auto"/>
        <w:jc w:val="both"/>
        <w:rPr>
          <w:rFonts w:ascii="Arial" w:hAnsi="Arial" w:cs="Arial"/>
          <w:sz w:val="24"/>
          <w:szCs w:val="24"/>
        </w:rPr>
      </w:pPr>
      <w:r>
        <w:rPr>
          <w:rFonts w:ascii="Arial" w:hAnsi="Arial" w:cs="Arial"/>
          <w:sz w:val="24"/>
          <w:szCs w:val="24"/>
        </w:rPr>
        <w:t xml:space="preserve">Zervigon, A. M., (2009), ‘Drag shows: Drag queens and female impersonators’, </w:t>
      </w:r>
      <w:r>
        <w:rPr>
          <w:rFonts w:ascii="Arial" w:hAnsi="Arial" w:cs="Arial"/>
          <w:i/>
          <w:iCs/>
          <w:sz w:val="24"/>
          <w:szCs w:val="24"/>
        </w:rPr>
        <w:t xml:space="preserve">GLBTQ Arts, </w:t>
      </w:r>
      <w:r>
        <w:rPr>
          <w:rFonts w:ascii="Arial" w:hAnsi="Arial" w:cs="Arial"/>
          <w:sz w:val="24"/>
          <w:szCs w:val="24"/>
        </w:rPr>
        <w:t>2, pp.1-4</w:t>
      </w:r>
    </w:p>
    <w:p w14:paraId="2AE83238" w14:textId="28DB6603" w:rsidR="001C19B5" w:rsidRDefault="001C19B5" w:rsidP="00957BB6">
      <w:pPr>
        <w:spacing w:line="360" w:lineRule="auto"/>
        <w:jc w:val="both"/>
        <w:rPr>
          <w:rFonts w:ascii="Arial" w:hAnsi="Arial" w:cs="Arial"/>
          <w:b/>
          <w:bCs/>
          <w:sz w:val="24"/>
          <w:szCs w:val="24"/>
        </w:rPr>
      </w:pPr>
    </w:p>
    <w:p w14:paraId="03E54880" w14:textId="0E1B0DF3" w:rsidR="001C19B5" w:rsidRDefault="001C19B5" w:rsidP="00957BB6">
      <w:pPr>
        <w:spacing w:line="360" w:lineRule="auto"/>
        <w:jc w:val="both"/>
        <w:rPr>
          <w:rFonts w:ascii="Arial" w:hAnsi="Arial" w:cs="Arial"/>
          <w:b/>
          <w:bCs/>
          <w:sz w:val="24"/>
          <w:szCs w:val="24"/>
        </w:rPr>
      </w:pPr>
    </w:p>
    <w:p w14:paraId="3EF2E6A3" w14:textId="0786E05F" w:rsidR="001C19B5" w:rsidRDefault="001C19B5" w:rsidP="00957BB6">
      <w:pPr>
        <w:spacing w:line="360" w:lineRule="auto"/>
        <w:jc w:val="both"/>
        <w:rPr>
          <w:rFonts w:ascii="Arial" w:hAnsi="Arial" w:cs="Arial"/>
          <w:b/>
          <w:bCs/>
          <w:sz w:val="24"/>
          <w:szCs w:val="24"/>
        </w:rPr>
      </w:pPr>
    </w:p>
    <w:p w14:paraId="5C5A583A" w14:textId="10F7A05C" w:rsidR="001C19B5" w:rsidRDefault="001C19B5" w:rsidP="00957BB6">
      <w:pPr>
        <w:spacing w:line="360" w:lineRule="auto"/>
        <w:jc w:val="both"/>
        <w:rPr>
          <w:rFonts w:ascii="Arial" w:hAnsi="Arial" w:cs="Arial"/>
          <w:b/>
          <w:bCs/>
          <w:sz w:val="24"/>
          <w:szCs w:val="24"/>
        </w:rPr>
      </w:pPr>
    </w:p>
    <w:p w14:paraId="06CFA37F" w14:textId="66BFE9D8" w:rsidR="001C19B5" w:rsidRDefault="001C19B5" w:rsidP="00957BB6">
      <w:pPr>
        <w:spacing w:line="360" w:lineRule="auto"/>
        <w:jc w:val="both"/>
        <w:rPr>
          <w:rFonts w:ascii="Arial" w:hAnsi="Arial" w:cs="Arial"/>
          <w:b/>
          <w:bCs/>
          <w:sz w:val="24"/>
          <w:szCs w:val="24"/>
        </w:rPr>
      </w:pPr>
    </w:p>
    <w:p w14:paraId="6F44CA3E" w14:textId="3D0FAD7A" w:rsidR="001C19B5" w:rsidRDefault="001C19B5" w:rsidP="00957BB6">
      <w:pPr>
        <w:spacing w:line="360" w:lineRule="auto"/>
        <w:jc w:val="both"/>
        <w:rPr>
          <w:rFonts w:ascii="Arial" w:hAnsi="Arial" w:cs="Arial"/>
          <w:b/>
          <w:bCs/>
          <w:sz w:val="24"/>
          <w:szCs w:val="24"/>
        </w:rPr>
      </w:pPr>
    </w:p>
    <w:p w14:paraId="1A0AF212" w14:textId="30F56E36" w:rsidR="006310B1" w:rsidRDefault="006310B1" w:rsidP="00957BB6">
      <w:pPr>
        <w:spacing w:line="360" w:lineRule="auto"/>
        <w:jc w:val="both"/>
        <w:rPr>
          <w:rFonts w:ascii="Arial" w:hAnsi="Arial" w:cs="Arial"/>
          <w:sz w:val="24"/>
          <w:szCs w:val="24"/>
        </w:rPr>
      </w:pPr>
    </w:p>
    <w:p w14:paraId="34F0C093" w14:textId="57873180" w:rsidR="003213B9" w:rsidRDefault="003213B9" w:rsidP="00957BB6">
      <w:pPr>
        <w:spacing w:line="360" w:lineRule="auto"/>
        <w:jc w:val="both"/>
        <w:rPr>
          <w:rFonts w:ascii="Arial" w:hAnsi="Arial" w:cs="Arial"/>
          <w:sz w:val="24"/>
          <w:szCs w:val="24"/>
        </w:rPr>
      </w:pPr>
    </w:p>
    <w:p w14:paraId="7882D2DD" w14:textId="77777777" w:rsidR="001215F9" w:rsidRPr="003213B9" w:rsidRDefault="001215F9" w:rsidP="00957BB6">
      <w:pPr>
        <w:spacing w:line="360" w:lineRule="auto"/>
        <w:jc w:val="both"/>
        <w:rPr>
          <w:rFonts w:ascii="Arial" w:hAnsi="Arial" w:cs="Arial"/>
          <w:sz w:val="24"/>
          <w:szCs w:val="24"/>
        </w:rPr>
      </w:pPr>
    </w:p>
    <w:sectPr w:rsidR="001215F9" w:rsidRPr="003213B9" w:rsidSect="00BF35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80B6A"/>
    <w:multiLevelType w:val="hybridMultilevel"/>
    <w:tmpl w:val="DFD22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270DAE"/>
    <w:multiLevelType w:val="hybridMultilevel"/>
    <w:tmpl w:val="26502732"/>
    <w:lvl w:ilvl="0" w:tplc="9B38200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C62EEE"/>
    <w:multiLevelType w:val="hybridMultilevel"/>
    <w:tmpl w:val="B11022C4"/>
    <w:lvl w:ilvl="0" w:tplc="2A0A289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C40830"/>
    <w:multiLevelType w:val="hybridMultilevel"/>
    <w:tmpl w:val="8C1A5B88"/>
    <w:lvl w:ilvl="0" w:tplc="3F3E86AA">
      <w:numFmt w:val="bullet"/>
      <w:lvlText w:val="-"/>
      <w:lvlJc w:val="left"/>
      <w:pPr>
        <w:ind w:left="720" w:hanging="360"/>
      </w:pPr>
      <w:rPr>
        <w:rFonts w:ascii="Arial" w:eastAsiaTheme="minorHAnsi" w:hAnsi="Arial" w:cs="Aria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806A8C"/>
    <w:multiLevelType w:val="hybridMultilevel"/>
    <w:tmpl w:val="BA9C94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E349EA"/>
    <w:multiLevelType w:val="hybridMultilevel"/>
    <w:tmpl w:val="D08AD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117FD2"/>
    <w:multiLevelType w:val="hybridMultilevel"/>
    <w:tmpl w:val="D66EE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AD4354"/>
    <w:multiLevelType w:val="hybridMultilevel"/>
    <w:tmpl w:val="FD2074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7C68AC"/>
    <w:multiLevelType w:val="hybridMultilevel"/>
    <w:tmpl w:val="D62AB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91209D"/>
    <w:multiLevelType w:val="hybridMultilevel"/>
    <w:tmpl w:val="CE8A2C76"/>
    <w:lvl w:ilvl="0" w:tplc="3F3E86AA">
      <w:numFmt w:val="bullet"/>
      <w:lvlText w:val="-"/>
      <w:lvlJc w:val="left"/>
      <w:pPr>
        <w:ind w:left="720" w:hanging="360"/>
      </w:pPr>
      <w:rPr>
        <w:rFonts w:ascii="Arial" w:eastAsiaTheme="minorHAnsi" w:hAnsi="Arial" w:cs="Aria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9699581">
    <w:abstractNumId w:val="0"/>
  </w:num>
  <w:num w:numId="2" w16cid:durableId="747774659">
    <w:abstractNumId w:val="4"/>
  </w:num>
  <w:num w:numId="3" w16cid:durableId="693111286">
    <w:abstractNumId w:val="5"/>
  </w:num>
  <w:num w:numId="4" w16cid:durableId="1473064221">
    <w:abstractNumId w:val="7"/>
  </w:num>
  <w:num w:numId="5" w16cid:durableId="910386995">
    <w:abstractNumId w:val="6"/>
  </w:num>
  <w:num w:numId="6" w16cid:durableId="946696039">
    <w:abstractNumId w:val="9"/>
  </w:num>
  <w:num w:numId="7" w16cid:durableId="167405593">
    <w:abstractNumId w:val="3"/>
  </w:num>
  <w:num w:numId="8" w16cid:durableId="813761645">
    <w:abstractNumId w:val="8"/>
  </w:num>
  <w:num w:numId="9" w16cid:durableId="23603784">
    <w:abstractNumId w:val="1"/>
  </w:num>
  <w:num w:numId="10" w16cid:durableId="19695832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3B9"/>
    <w:rsid w:val="00006727"/>
    <w:rsid w:val="00051312"/>
    <w:rsid w:val="00054127"/>
    <w:rsid w:val="00056396"/>
    <w:rsid w:val="000602FC"/>
    <w:rsid w:val="000618AF"/>
    <w:rsid w:val="00065550"/>
    <w:rsid w:val="000701EA"/>
    <w:rsid w:val="00071D83"/>
    <w:rsid w:val="00072473"/>
    <w:rsid w:val="00074F11"/>
    <w:rsid w:val="0008664D"/>
    <w:rsid w:val="000A68AE"/>
    <w:rsid w:val="000D6AB1"/>
    <w:rsid w:val="000E1BA4"/>
    <w:rsid w:val="000E21C9"/>
    <w:rsid w:val="000E7688"/>
    <w:rsid w:val="001215F9"/>
    <w:rsid w:val="001300F8"/>
    <w:rsid w:val="00152AAC"/>
    <w:rsid w:val="00167027"/>
    <w:rsid w:val="00167915"/>
    <w:rsid w:val="00171406"/>
    <w:rsid w:val="00187E8F"/>
    <w:rsid w:val="001A4AED"/>
    <w:rsid w:val="001B01AC"/>
    <w:rsid w:val="001C19B5"/>
    <w:rsid w:val="001C7009"/>
    <w:rsid w:val="001F1C1B"/>
    <w:rsid w:val="00207D68"/>
    <w:rsid w:val="00226D36"/>
    <w:rsid w:val="00253D8F"/>
    <w:rsid w:val="002738CA"/>
    <w:rsid w:val="002912D8"/>
    <w:rsid w:val="00291CE9"/>
    <w:rsid w:val="00291E06"/>
    <w:rsid w:val="002933E7"/>
    <w:rsid w:val="002961AA"/>
    <w:rsid w:val="002A0046"/>
    <w:rsid w:val="002D35BC"/>
    <w:rsid w:val="003213B9"/>
    <w:rsid w:val="00333449"/>
    <w:rsid w:val="00341460"/>
    <w:rsid w:val="00341943"/>
    <w:rsid w:val="00347926"/>
    <w:rsid w:val="00373D82"/>
    <w:rsid w:val="00393840"/>
    <w:rsid w:val="00395BAD"/>
    <w:rsid w:val="003C55E7"/>
    <w:rsid w:val="003D6168"/>
    <w:rsid w:val="003F0170"/>
    <w:rsid w:val="003F1206"/>
    <w:rsid w:val="003F20B0"/>
    <w:rsid w:val="00405216"/>
    <w:rsid w:val="00416BCE"/>
    <w:rsid w:val="00420608"/>
    <w:rsid w:val="00434CC9"/>
    <w:rsid w:val="00457B05"/>
    <w:rsid w:val="00474D13"/>
    <w:rsid w:val="00480FFB"/>
    <w:rsid w:val="00497A37"/>
    <w:rsid w:val="004C0C33"/>
    <w:rsid w:val="004E2938"/>
    <w:rsid w:val="0051085C"/>
    <w:rsid w:val="005110D2"/>
    <w:rsid w:val="00520152"/>
    <w:rsid w:val="00530F7C"/>
    <w:rsid w:val="005451CB"/>
    <w:rsid w:val="005457DE"/>
    <w:rsid w:val="00546C48"/>
    <w:rsid w:val="00553CBD"/>
    <w:rsid w:val="005675C6"/>
    <w:rsid w:val="00584C65"/>
    <w:rsid w:val="00595408"/>
    <w:rsid w:val="005B64C3"/>
    <w:rsid w:val="005B73D6"/>
    <w:rsid w:val="005C440E"/>
    <w:rsid w:val="00604521"/>
    <w:rsid w:val="00614418"/>
    <w:rsid w:val="006234EF"/>
    <w:rsid w:val="00626746"/>
    <w:rsid w:val="006310B1"/>
    <w:rsid w:val="00642213"/>
    <w:rsid w:val="00642B5A"/>
    <w:rsid w:val="00654610"/>
    <w:rsid w:val="00685510"/>
    <w:rsid w:val="00692B3F"/>
    <w:rsid w:val="006A468C"/>
    <w:rsid w:val="006C5F7D"/>
    <w:rsid w:val="006C765E"/>
    <w:rsid w:val="006E3BC3"/>
    <w:rsid w:val="006F4CA5"/>
    <w:rsid w:val="007130D6"/>
    <w:rsid w:val="007164C2"/>
    <w:rsid w:val="007307FC"/>
    <w:rsid w:val="00736F6A"/>
    <w:rsid w:val="007471FE"/>
    <w:rsid w:val="0075764E"/>
    <w:rsid w:val="007825E4"/>
    <w:rsid w:val="007A46EE"/>
    <w:rsid w:val="007A76B1"/>
    <w:rsid w:val="007B0F05"/>
    <w:rsid w:val="007B77CC"/>
    <w:rsid w:val="007C5BF1"/>
    <w:rsid w:val="007E2B8A"/>
    <w:rsid w:val="007E65E9"/>
    <w:rsid w:val="007F2808"/>
    <w:rsid w:val="008121A7"/>
    <w:rsid w:val="008602AC"/>
    <w:rsid w:val="00871980"/>
    <w:rsid w:val="0087654B"/>
    <w:rsid w:val="008906DF"/>
    <w:rsid w:val="00897C65"/>
    <w:rsid w:val="00940F69"/>
    <w:rsid w:val="00950520"/>
    <w:rsid w:val="00951FF8"/>
    <w:rsid w:val="00955EB4"/>
    <w:rsid w:val="00957BB6"/>
    <w:rsid w:val="0096098F"/>
    <w:rsid w:val="00960E28"/>
    <w:rsid w:val="00970856"/>
    <w:rsid w:val="0099192B"/>
    <w:rsid w:val="009A477E"/>
    <w:rsid w:val="009F154B"/>
    <w:rsid w:val="009F65AF"/>
    <w:rsid w:val="009F7CC9"/>
    <w:rsid w:val="00A01F38"/>
    <w:rsid w:val="00A24C83"/>
    <w:rsid w:val="00A36B42"/>
    <w:rsid w:val="00A47373"/>
    <w:rsid w:val="00A54E0C"/>
    <w:rsid w:val="00A65A4A"/>
    <w:rsid w:val="00A70B22"/>
    <w:rsid w:val="00A70E15"/>
    <w:rsid w:val="00A94DBF"/>
    <w:rsid w:val="00AB57D5"/>
    <w:rsid w:val="00AC0511"/>
    <w:rsid w:val="00AC3FC3"/>
    <w:rsid w:val="00B021B5"/>
    <w:rsid w:val="00B077E0"/>
    <w:rsid w:val="00B11C0F"/>
    <w:rsid w:val="00B14913"/>
    <w:rsid w:val="00B151EB"/>
    <w:rsid w:val="00B21D99"/>
    <w:rsid w:val="00B4106F"/>
    <w:rsid w:val="00B45888"/>
    <w:rsid w:val="00B46B45"/>
    <w:rsid w:val="00B52273"/>
    <w:rsid w:val="00B5460B"/>
    <w:rsid w:val="00B621F6"/>
    <w:rsid w:val="00B66260"/>
    <w:rsid w:val="00B668BF"/>
    <w:rsid w:val="00B76C21"/>
    <w:rsid w:val="00B85560"/>
    <w:rsid w:val="00B93F5A"/>
    <w:rsid w:val="00B943A1"/>
    <w:rsid w:val="00BB6450"/>
    <w:rsid w:val="00BB7491"/>
    <w:rsid w:val="00BC19F9"/>
    <w:rsid w:val="00BC1D12"/>
    <w:rsid w:val="00BD556C"/>
    <w:rsid w:val="00BE5AB5"/>
    <w:rsid w:val="00BF35D1"/>
    <w:rsid w:val="00C001AA"/>
    <w:rsid w:val="00C1469A"/>
    <w:rsid w:val="00C22D8A"/>
    <w:rsid w:val="00C25E64"/>
    <w:rsid w:val="00C268B5"/>
    <w:rsid w:val="00C3125E"/>
    <w:rsid w:val="00C313C1"/>
    <w:rsid w:val="00C405C3"/>
    <w:rsid w:val="00C54103"/>
    <w:rsid w:val="00C77EA6"/>
    <w:rsid w:val="00C80B37"/>
    <w:rsid w:val="00C90572"/>
    <w:rsid w:val="00C91234"/>
    <w:rsid w:val="00C962E4"/>
    <w:rsid w:val="00CA2C3B"/>
    <w:rsid w:val="00CA7A5C"/>
    <w:rsid w:val="00CA7BA1"/>
    <w:rsid w:val="00CD45EF"/>
    <w:rsid w:val="00CE0578"/>
    <w:rsid w:val="00D1126A"/>
    <w:rsid w:val="00D16C4B"/>
    <w:rsid w:val="00D25D63"/>
    <w:rsid w:val="00D27405"/>
    <w:rsid w:val="00D427F0"/>
    <w:rsid w:val="00D6147E"/>
    <w:rsid w:val="00D622F6"/>
    <w:rsid w:val="00D67972"/>
    <w:rsid w:val="00D84F04"/>
    <w:rsid w:val="00D93F3E"/>
    <w:rsid w:val="00D96C58"/>
    <w:rsid w:val="00DA3D7A"/>
    <w:rsid w:val="00DC748F"/>
    <w:rsid w:val="00DD0D11"/>
    <w:rsid w:val="00DD216A"/>
    <w:rsid w:val="00E03CB1"/>
    <w:rsid w:val="00E330C1"/>
    <w:rsid w:val="00E42023"/>
    <w:rsid w:val="00E43D2C"/>
    <w:rsid w:val="00E74564"/>
    <w:rsid w:val="00EA3CE9"/>
    <w:rsid w:val="00EB0887"/>
    <w:rsid w:val="00ED2A6A"/>
    <w:rsid w:val="00F05D60"/>
    <w:rsid w:val="00F114A2"/>
    <w:rsid w:val="00F206F5"/>
    <w:rsid w:val="00F24610"/>
    <w:rsid w:val="00F40A5F"/>
    <w:rsid w:val="00F45778"/>
    <w:rsid w:val="00F523B2"/>
    <w:rsid w:val="00F7628D"/>
    <w:rsid w:val="00F91002"/>
    <w:rsid w:val="00FA2095"/>
    <w:rsid w:val="00FA36ED"/>
    <w:rsid w:val="00FA7C7B"/>
    <w:rsid w:val="00FD006F"/>
    <w:rsid w:val="00FD5A52"/>
    <w:rsid w:val="00FD772E"/>
    <w:rsid w:val="00FF0F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66864"/>
  <w15:chartTrackingRefBased/>
  <w15:docId w15:val="{1881080C-FFA2-4795-B010-85BF88CA8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7B77CC"/>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10B1"/>
    <w:pPr>
      <w:ind w:left="720"/>
      <w:contextualSpacing/>
    </w:pPr>
  </w:style>
  <w:style w:type="character" w:customStyle="1" w:styleId="Heading4Char">
    <w:name w:val="Heading 4 Char"/>
    <w:basedOn w:val="DefaultParagraphFont"/>
    <w:link w:val="Heading4"/>
    <w:uiPriority w:val="9"/>
    <w:rsid w:val="007B77CC"/>
    <w:rPr>
      <w:rFonts w:ascii="Times New Roman" w:eastAsia="Times New Roman" w:hAnsi="Times New Roman" w:cs="Times New Roman"/>
      <w:b/>
      <w:bCs/>
      <w:sz w:val="24"/>
      <w:szCs w:val="24"/>
      <w:lang w:eastAsia="en-GB"/>
    </w:rPr>
  </w:style>
  <w:style w:type="character" w:styleId="Emphasis">
    <w:name w:val="Emphasis"/>
    <w:basedOn w:val="DefaultParagraphFont"/>
    <w:uiPriority w:val="20"/>
    <w:qFormat/>
    <w:rsid w:val="00291E06"/>
    <w:rPr>
      <w:i/>
      <w:iCs/>
    </w:rPr>
  </w:style>
  <w:style w:type="character" w:styleId="Hyperlink">
    <w:name w:val="Hyperlink"/>
    <w:basedOn w:val="DefaultParagraphFont"/>
    <w:uiPriority w:val="99"/>
    <w:semiHidden/>
    <w:unhideWhenUsed/>
    <w:rsid w:val="00291E06"/>
    <w:rPr>
      <w:color w:val="0000FF"/>
      <w:u w:val="single"/>
    </w:rPr>
  </w:style>
  <w:style w:type="character" w:styleId="FollowedHyperlink">
    <w:name w:val="FollowedHyperlink"/>
    <w:basedOn w:val="DefaultParagraphFont"/>
    <w:uiPriority w:val="99"/>
    <w:semiHidden/>
    <w:unhideWhenUsed/>
    <w:rsid w:val="00291E06"/>
    <w:rPr>
      <w:color w:val="954F72" w:themeColor="followedHyperlink"/>
      <w:u w:val="single"/>
    </w:rPr>
  </w:style>
  <w:style w:type="character" w:styleId="CommentReference">
    <w:name w:val="annotation reference"/>
    <w:basedOn w:val="DefaultParagraphFont"/>
    <w:uiPriority w:val="99"/>
    <w:semiHidden/>
    <w:unhideWhenUsed/>
    <w:rsid w:val="00D427F0"/>
    <w:rPr>
      <w:sz w:val="16"/>
      <w:szCs w:val="16"/>
    </w:rPr>
  </w:style>
  <w:style w:type="paragraph" w:styleId="CommentText">
    <w:name w:val="annotation text"/>
    <w:basedOn w:val="Normal"/>
    <w:link w:val="CommentTextChar"/>
    <w:uiPriority w:val="99"/>
    <w:unhideWhenUsed/>
    <w:rsid w:val="00D427F0"/>
    <w:pPr>
      <w:spacing w:line="240" w:lineRule="auto"/>
    </w:pPr>
    <w:rPr>
      <w:sz w:val="20"/>
      <w:szCs w:val="20"/>
    </w:rPr>
  </w:style>
  <w:style w:type="character" w:customStyle="1" w:styleId="CommentTextChar">
    <w:name w:val="Comment Text Char"/>
    <w:basedOn w:val="DefaultParagraphFont"/>
    <w:link w:val="CommentText"/>
    <w:uiPriority w:val="99"/>
    <w:rsid w:val="00D427F0"/>
    <w:rPr>
      <w:sz w:val="20"/>
      <w:szCs w:val="20"/>
    </w:rPr>
  </w:style>
  <w:style w:type="paragraph" w:styleId="CommentSubject">
    <w:name w:val="annotation subject"/>
    <w:basedOn w:val="CommentText"/>
    <w:next w:val="CommentText"/>
    <w:link w:val="CommentSubjectChar"/>
    <w:uiPriority w:val="99"/>
    <w:semiHidden/>
    <w:unhideWhenUsed/>
    <w:rsid w:val="00D427F0"/>
    <w:rPr>
      <w:b/>
      <w:bCs/>
    </w:rPr>
  </w:style>
  <w:style w:type="character" w:customStyle="1" w:styleId="CommentSubjectChar">
    <w:name w:val="Comment Subject Char"/>
    <w:basedOn w:val="CommentTextChar"/>
    <w:link w:val="CommentSubject"/>
    <w:uiPriority w:val="99"/>
    <w:semiHidden/>
    <w:rsid w:val="00D427F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0121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wussymag.com/all/its-still-the-age-of-aquaria-an-interview-with-the-rupauls-drag-race-season-10-winne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adamgcarver.com/about/fatt-butcher/" TargetMode="External"/><Relationship Id="rId5" Type="http://schemas.openxmlformats.org/officeDocument/2006/relationships/webSettings" Target="webSettings.xml"/><Relationship Id="rId10" Type="http://schemas.openxmlformats.org/officeDocument/2006/relationships/hyperlink" Target="https://trixiemattel.com/about/" TargetMode="External"/><Relationship Id="rId4" Type="http://schemas.openxmlformats.org/officeDocument/2006/relationships/settings" Target="settings.xml"/><Relationship Id="rId9" Type="http://schemas.openxmlformats.org/officeDocument/2006/relationships/hyperlink" Target="https://www.theguardian.com/lifeandstyle/2021/jun/06/sunday-with-trixie-mattel-i-refuse-to-stop-every-day-is-a-monda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B24502-2D93-41F0-9D91-1EF10F39C0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1013</TotalTime>
  <Pages>15</Pages>
  <Words>4291</Words>
  <Characters>24459</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SALMON, Rachel (SHEFFIELD TEACHING HOSPITALS NHS FOUNDATION TRUST)</dc:creator>
  <cp:keywords/>
  <dc:description/>
  <cp:lastModifiedBy>SALMON, Rachel (SHEFFIELD TEACHING HOSPITALS NHS FOUNDATION TRUST)</cp:lastModifiedBy>
  <cp:revision>63</cp:revision>
  <dcterms:created xsi:type="dcterms:W3CDTF">2022-12-17T20:27:00Z</dcterms:created>
  <dcterms:modified xsi:type="dcterms:W3CDTF">2023-02-28T12:25:00Z</dcterms:modified>
</cp:coreProperties>
</file>