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66DA45" w14:textId="2B2AF129" w:rsidR="00385909" w:rsidRDefault="00385909" w:rsidP="00385909">
      <w:pPr>
        <w:jc w:val="both"/>
        <w:rPr>
          <w:rFonts w:ascii="Arial" w:hAnsi="Arial" w:cs="Arial"/>
          <w:sz w:val="24"/>
          <w:szCs w:val="24"/>
        </w:rPr>
      </w:pPr>
    </w:p>
    <w:p w14:paraId="1EE14793" w14:textId="3E93DD86" w:rsidR="00D217CD" w:rsidRDefault="00D217CD" w:rsidP="00A67FB1">
      <w:pPr>
        <w:ind w:left="720"/>
        <w:rPr>
          <w:rFonts w:ascii="Arial" w:hAnsi="Arial" w:cs="Arial"/>
          <w:sz w:val="24"/>
          <w:szCs w:val="24"/>
        </w:rPr>
      </w:pPr>
      <w:r w:rsidRPr="00B61956">
        <w:rPr>
          <w:rFonts w:asciiTheme="minorHAnsi" w:hAnsiTheme="minorHAnsi" w:cstheme="minorHAnsi"/>
          <w:noProof/>
          <w:sz w:val="22"/>
          <w:szCs w:val="22"/>
        </w:rPr>
        <w:drawing>
          <wp:anchor distT="0" distB="0" distL="114300" distR="114300" simplePos="0" relativeHeight="251659264" behindDoc="1" locked="0" layoutInCell="1" allowOverlap="1" wp14:anchorId="11F61731" wp14:editId="49A62E61">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4BA3A2ED" w14:textId="3F125D58" w:rsidR="00D217CD" w:rsidRPr="00B61956" w:rsidRDefault="00D217CD" w:rsidP="00D217CD">
      <w:pPr>
        <w:rPr>
          <w:rFonts w:asciiTheme="minorHAnsi" w:hAnsiTheme="minorHAnsi" w:cstheme="minorHAnsi"/>
          <w:sz w:val="22"/>
          <w:szCs w:val="22"/>
        </w:rPr>
      </w:pPr>
      <w:bookmarkStart w:id="0" w:name="_Toc303070346"/>
    </w:p>
    <w:p w14:paraId="5FAE390F" w14:textId="71158F51" w:rsidR="00D217CD" w:rsidRPr="00B61956" w:rsidRDefault="00D217CD" w:rsidP="00D217CD">
      <w:pPr>
        <w:jc w:val="center"/>
        <w:rPr>
          <w:rFonts w:asciiTheme="minorHAnsi" w:hAnsiTheme="minorHAnsi" w:cstheme="minorHAnsi"/>
          <w:sz w:val="22"/>
          <w:szCs w:val="22"/>
        </w:rPr>
      </w:pPr>
    </w:p>
    <w:bookmarkEnd w:id="0"/>
    <w:p w14:paraId="39CFE1EC" w14:textId="77777777" w:rsidR="00D217CD" w:rsidRDefault="00D217CD" w:rsidP="00D217CD">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0316"/>
      </w:tblGrid>
      <w:tr w:rsidR="00D217CD" w:rsidRPr="00661453" w14:paraId="05772AE5" w14:textId="77777777" w:rsidTr="00D217CD">
        <w:trPr>
          <w:trHeight w:val="1164"/>
        </w:trPr>
        <w:tc>
          <w:tcPr>
            <w:tcW w:w="10316" w:type="dxa"/>
            <w:shd w:val="clear" w:color="auto" w:fill="EEECE1" w:themeFill="background2"/>
          </w:tcPr>
          <w:p w14:paraId="771ADCAB" w14:textId="77777777" w:rsidR="00D217CD" w:rsidRPr="00661453" w:rsidRDefault="00D217CD" w:rsidP="001B20D3">
            <w:pPr>
              <w:jc w:val="center"/>
              <w:rPr>
                <w:rFonts w:ascii="Arial" w:hAnsi="Arial" w:cs="Arial"/>
                <w:b/>
                <w:szCs w:val="24"/>
              </w:rPr>
            </w:pPr>
          </w:p>
          <w:p w14:paraId="5C908654" w14:textId="77777777" w:rsidR="00D217CD" w:rsidRPr="00661453" w:rsidRDefault="00D217CD" w:rsidP="001B20D3">
            <w:pPr>
              <w:jc w:val="center"/>
              <w:rPr>
                <w:rFonts w:ascii="Arial" w:hAnsi="Arial" w:cs="Arial"/>
                <w:b/>
                <w:sz w:val="28"/>
                <w:szCs w:val="28"/>
              </w:rPr>
            </w:pPr>
            <w:r w:rsidRPr="00661453">
              <w:rPr>
                <w:rFonts w:ascii="Arial" w:hAnsi="Arial" w:cs="Arial"/>
                <w:b/>
                <w:sz w:val="28"/>
                <w:szCs w:val="28"/>
              </w:rPr>
              <w:t>UNDERGRADUATE DISSERTATION</w:t>
            </w:r>
          </w:p>
          <w:p w14:paraId="2F7E283F" w14:textId="77777777" w:rsidR="00D217CD" w:rsidRPr="00661453" w:rsidRDefault="00D217CD" w:rsidP="001B20D3">
            <w:pPr>
              <w:jc w:val="center"/>
              <w:rPr>
                <w:rFonts w:ascii="Arial" w:hAnsi="Arial" w:cs="Arial"/>
                <w:b/>
                <w:bCs/>
                <w:sz w:val="28"/>
                <w:szCs w:val="28"/>
              </w:rPr>
            </w:pPr>
            <w:r w:rsidRPr="00661453">
              <w:rPr>
                <w:rFonts w:ascii="Arial" w:hAnsi="Arial" w:cs="Arial"/>
                <w:b/>
                <w:bCs/>
                <w:sz w:val="28"/>
                <w:szCs w:val="28"/>
              </w:rPr>
              <w:t>RESEARCH PROPOSAL FORM</w:t>
            </w:r>
          </w:p>
          <w:p w14:paraId="15DAC9AA" w14:textId="77777777" w:rsidR="00D217CD" w:rsidRPr="00661453" w:rsidRDefault="00D217CD" w:rsidP="001B20D3">
            <w:pPr>
              <w:jc w:val="center"/>
              <w:rPr>
                <w:rFonts w:ascii="Arial" w:hAnsi="Arial" w:cs="Arial"/>
                <w:sz w:val="22"/>
                <w:szCs w:val="22"/>
              </w:rPr>
            </w:pPr>
          </w:p>
        </w:tc>
      </w:tr>
    </w:tbl>
    <w:p w14:paraId="47B54624" w14:textId="77777777" w:rsidR="00D217CD" w:rsidRPr="00661453" w:rsidRDefault="00D217CD" w:rsidP="00D217CD">
      <w:pPr>
        <w:ind w:right="-199"/>
        <w:rPr>
          <w:rFonts w:ascii="Arial" w:hAnsi="Arial" w:cs="Arial"/>
          <w:sz w:val="22"/>
          <w:szCs w:val="22"/>
        </w:rPr>
      </w:pPr>
      <w:r w:rsidRPr="00661453">
        <w:rPr>
          <w:rFonts w:ascii="Arial" w:hAnsi="Arial" w:cs="Arial"/>
          <w:b/>
          <w:bCs/>
          <w:sz w:val="22"/>
          <w:szCs w:val="22"/>
        </w:rPr>
        <w:t xml:space="preserve"> </w:t>
      </w:r>
    </w:p>
    <w:p w14:paraId="1050C0B4" w14:textId="77777777" w:rsidR="00D217CD" w:rsidRPr="00661453" w:rsidRDefault="00D217CD" w:rsidP="00D217CD">
      <w:pPr>
        <w:jc w:val="both"/>
        <w:rPr>
          <w:rFonts w:ascii="Arial" w:hAnsi="Arial" w:cs="Arial"/>
          <w:sz w:val="22"/>
          <w:szCs w:val="22"/>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D217CD" w:rsidRPr="00661453" w14:paraId="588220F8" w14:textId="77777777" w:rsidTr="00D217CD">
        <w:trPr>
          <w:trHeight w:val="971"/>
        </w:trPr>
        <w:tc>
          <w:tcPr>
            <w:tcW w:w="7082" w:type="dxa"/>
            <w:tcMar>
              <w:top w:w="0" w:type="dxa"/>
              <w:left w:w="108" w:type="dxa"/>
              <w:bottom w:w="0" w:type="dxa"/>
              <w:right w:w="108" w:type="dxa"/>
            </w:tcMar>
          </w:tcPr>
          <w:p w14:paraId="04FD62E8" w14:textId="0C08EDEC" w:rsidR="00D217CD" w:rsidRPr="00661453" w:rsidRDefault="00D217CD" w:rsidP="001B20D3">
            <w:pPr>
              <w:pStyle w:val="BodyText"/>
              <w:jc w:val="both"/>
              <w:rPr>
                <w:rFonts w:ascii="Arial" w:hAnsi="Arial" w:cs="Arial"/>
                <w:b/>
                <w:bCs/>
                <w:sz w:val="22"/>
                <w:szCs w:val="22"/>
              </w:rPr>
            </w:pPr>
            <w:r w:rsidRPr="00661453">
              <w:rPr>
                <w:rFonts w:ascii="Arial" w:hAnsi="Arial" w:cs="Arial"/>
                <w:b/>
                <w:bCs/>
                <w:sz w:val="22"/>
                <w:szCs w:val="22"/>
              </w:rPr>
              <w:t xml:space="preserve">NAME: </w:t>
            </w:r>
            <w:r w:rsidR="00D15EAF" w:rsidRPr="00D15EAF">
              <w:rPr>
                <w:rFonts w:ascii="Arial" w:hAnsi="Arial" w:cs="Arial"/>
                <w:sz w:val="22"/>
                <w:szCs w:val="22"/>
              </w:rPr>
              <w:t>Jacob Nathaniel Cox</w:t>
            </w:r>
          </w:p>
          <w:p w14:paraId="07C80386" w14:textId="77777777" w:rsidR="00D217CD" w:rsidRPr="00661453" w:rsidRDefault="00D217CD" w:rsidP="001B20D3">
            <w:pPr>
              <w:pStyle w:val="BodyText"/>
              <w:jc w:val="both"/>
              <w:rPr>
                <w:rFonts w:ascii="Arial" w:hAnsi="Arial" w:cs="Arial"/>
                <w:b/>
                <w:bCs/>
                <w:sz w:val="22"/>
                <w:szCs w:val="22"/>
              </w:rPr>
            </w:pPr>
          </w:p>
        </w:tc>
        <w:tc>
          <w:tcPr>
            <w:tcW w:w="3216" w:type="dxa"/>
          </w:tcPr>
          <w:p w14:paraId="1F3BE9B9" w14:textId="75C74091" w:rsidR="00D217CD" w:rsidRPr="00661453" w:rsidRDefault="00D217CD" w:rsidP="001B20D3">
            <w:pPr>
              <w:jc w:val="both"/>
              <w:rPr>
                <w:rFonts w:ascii="Arial" w:hAnsi="Arial" w:cs="Arial"/>
                <w:sz w:val="22"/>
                <w:szCs w:val="22"/>
              </w:rPr>
            </w:pPr>
            <w:r w:rsidRPr="00661453">
              <w:rPr>
                <w:rFonts w:ascii="Arial" w:hAnsi="Arial" w:cs="Arial"/>
                <w:b/>
                <w:bCs/>
                <w:sz w:val="22"/>
                <w:szCs w:val="22"/>
              </w:rPr>
              <w:t xml:space="preserve"> </w:t>
            </w:r>
            <w:r w:rsidR="001D537B" w:rsidRPr="00661453">
              <w:rPr>
                <w:rFonts w:ascii="Arial" w:hAnsi="Arial" w:cs="Arial"/>
                <w:b/>
                <w:bCs/>
                <w:sz w:val="22"/>
                <w:szCs w:val="22"/>
              </w:rPr>
              <w:t>Student number:</w:t>
            </w:r>
            <w:r w:rsidR="00D15EAF" w:rsidRPr="00D15EAF">
              <w:rPr>
                <w:rFonts w:ascii="Arial" w:hAnsi="Arial" w:cs="Arial"/>
                <w:sz w:val="22"/>
                <w:szCs w:val="22"/>
              </w:rPr>
              <w:t>2205411</w:t>
            </w:r>
          </w:p>
        </w:tc>
      </w:tr>
      <w:tr w:rsidR="00D217CD" w:rsidRPr="00661453" w14:paraId="375911FF" w14:textId="77777777" w:rsidTr="00D217CD">
        <w:trPr>
          <w:trHeight w:val="1637"/>
        </w:trPr>
        <w:tc>
          <w:tcPr>
            <w:tcW w:w="10299" w:type="dxa"/>
            <w:gridSpan w:val="2"/>
            <w:shd w:val="clear" w:color="auto" w:fill="FFFFFF"/>
            <w:tcMar>
              <w:top w:w="0" w:type="dxa"/>
              <w:left w:w="108" w:type="dxa"/>
              <w:bottom w:w="0" w:type="dxa"/>
              <w:right w:w="108" w:type="dxa"/>
            </w:tcMar>
          </w:tcPr>
          <w:p w14:paraId="13379DDE" w14:textId="77777777" w:rsidR="00D217CD" w:rsidRPr="00661453" w:rsidRDefault="00D217CD" w:rsidP="001B20D3">
            <w:pPr>
              <w:jc w:val="both"/>
              <w:rPr>
                <w:rFonts w:ascii="Arial" w:hAnsi="Arial" w:cs="Arial"/>
                <w:sz w:val="22"/>
                <w:szCs w:val="22"/>
              </w:rPr>
            </w:pPr>
            <w:r w:rsidRPr="00661453">
              <w:rPr>
                <w:rFonts w:ascii="Arial" w:hAnsi="Arial" w:cs="Arial"/>
                <w:b/>
                <w:bCs/>
                <w:sz w:val="22"/>
                <w:szCs w:val="22"/>
              </w:rPr>
              <w:t>DRAFT RESEARCH TITLE QUESTION:</w:t>
            </w:r>
          </w:p>
          <w:p w14:paraId="57B003F8" w14:textId="6CD20E8A" w:rsidR="00D217CD" w:rsidRPr="00661453" w:rsidRDefault="00D217CD" w:rsidP="001B20D3">
            <w:pPr>
              <w:jc w:val="both"/>
              <w:rPr>
                <w:rFonts w:ascii="Arial" w:hAnsi="Arial" w:cs="Arial"/>
                <w:color w:val="000000" w:themeColor="text1"/>
                <w:sz w:val="22"/>
                <w:szCs w:val="22"/>
                <w:highlight w:val="yellow"/>
              </w:rPr>
            </w:pPr>
            <w:r w:rsidRPr="00661453">
              <w:rPr>
                <w:rFonts w:ascii="Arial" w:hAnsi="Arial" w:cs="Arial"/>
                <w:color w:val="000000" w:themeColor="text1"/>
                <w:sz w:val="22"/>
                <w:szCs w:val="22"/>
              </w:rPr>
              <w:t xml:space="preserve">Why this topic?  </w:t>
            </w:r>
            <w:r w:rsidR="00E027BF" w:rsidRPr="00661453">
              <w:rPr>
                <w:rFonts w:ascii="Arial" w:hAnsi="Arial" w:cs="Arial"/>
                <w:color w:val="000000" w:themeColor="text1"/>
                <w:sz w:val="22"/>
                <w:szCs w:val="22"/>
              </w:rPr>
              <w:t>Wh</w:t>
            </w:r>
            <w:r w:rsidR="00E027BF">
              <w:rPr>
                <w:rFonts w:ascii="Arial" w:hAnsi="Arial" w:cs="Arial"/>
                <w:color w:val="000000" w:themeColor="text1"/>
                <w:sz w:val="22"/>
                <w:szCs w:val="22"/>
              </w:rPr>
              <w:t>y</w:t>
            </w:r>
            <w:r w:rsidRPr="00661453">
              <w:rPr>
                <w:rFonts w:ascii="Arial" w:hAnsi="Arial" w:cs="Arial"/>
                <w:color w:val="000000" w:themeColor="text1"/>
                <w:sz w:val="22"/>
                <w:szCs w:val="22"/>
              </w:rPr>
              <w:t xml:space="preserve"> is it worthy of consideration for an undergraduate dissertation? </w:t>
            </w:r>
          </w:p>
          <w:p w14:paraId="58BED03B" w14:textId="77777777" w:rsidR="008A35B9" w:rsidRDefault="008A35B9" w:rsidP="001B20D3">
            <w:pPr>
              <w:tabs>
                <w:tab w:val="left" w:pos="1860"/>
              </w:tabs>
              <w:jc w:val="both"/>
              <w:rPr>
                <w:rFonts w:ascii="Arial" w:hAnsi="Arial" w:cs="Arial"/>
                <w:sz w:val="22"/>
                <w:szCs w:val="22"/>
              </w:rPr>
            </w:pPr>
          </w:p>
          <w:p w14:paraId="16953563" w14:textId="05648EAD" w:rsidR="00D217CD" w:rsidRPr="006C43DC" w:rsidRDefault="006C43DC" w:rsidP="001B20D3">
            <w:pPr>
              <w:tabs>
                <w:tab w:val="left" w:pos="1860"/>
              </w:tabs>
              <w:jc w:val="both"/>
              <w:rPr>
                <w:rFonts w:ascii="Arial" w:hAnsi="Arial" w:cs="Arial"/>
                <w:sz w:val="22"/>
                <w:szCs w:val="22"/>
              </w:rPr>
            </w:pPr>
            <w:r w:rsidRPr="006C43DC">
              <w:rPr>
                <w:rFonts w:ascii="Arial" w:hAnsi="Arial" w:cs="Arial"/>
                <w:sz w:val="22"/>
                <w:szCs w:val="22"/>
              </w:rPr>
              <w:t xml:space="preserve">The </w:t>
            </w:r>
            <w:r>
              <w:rPr>
                <w:rFonts w:ascii="Arial" w:hAnsi="Arial" w:cs="Arial"/>
                <w:sz w:val="22"/>
                <w:szCs w:val="22"/>
              </w:rPr>
              <w:t xml:space="preserve">chosen question </w:t>
            </w:r>
            <w:r w:rsidR="00DC0735">
              <w:rPr>
                <w:rFonts w:ascii="Arial" w:hAnsi="Arial" w:cs="Arial"/>
                <w:sz w:val="22"/>
                <w:szCs w:val="22"/>
              </w:rPr>
              <w:t xml:space="preserve">is” </w:t>
            </w:r>
            <w:r w:rsidR="00A80C60">
              <w:rPr>
                <w:rFonts w:ascii="Arial" w:hAnsi="Arial" w:cs="Arial"/>
                <w:sz w:val="22"/>
                <w:szCs w:val="22"/>
              </w:rPr>
              <w:t xml:space="preserve">Understand how </w:t>
            </w:r>
            <w:r w:rsidR="00CF1869">
              <w:rPr>
                <w:rFonts w:ascii="Arial" w:hAnsi="Arial" w:cs="Arial"/>
                <w:sz w:val="22"/>
                <w:szCs w:val="22"/>
              </w:rPr>
              <w:t xml:space="preserve">offenders </w:t>
            </w:r>
            <w:r w:rsidR="003709F1">
              <w:rPr>
                <w:rFonts w:ascii="Arial" w:hAnsi="Arial" w:cs="Arial"/>
                <w:sz w:val="22"/>
                <w:szCs w:val="22"/>
              </w:rPr>
              <w:t xml:space="preserve">and </w:t>
            </w:r>
            <w:r w:rsidR="00E41069">
              <w:rPr>
                <w:rFonts w:ascii="Arial" w:hAnsi="Arial" w:cs="Arial"/>
                <w:sz w:val="22"/>
                <w:szCs w:val="22"/>
              </w:rPr>
              <w:t>potential</w:t>
            </w:r>
            <w:r w:rsidR="003709F1">
              <w:rPr>
                <w:rFonts w:ascii="Arial" w:hAnsi="Arial" w:cs="Arial"/>
                <w:sz w:val="22"/>
                <w:szCs w:val="22"/>
              </w:rPr>
              <w:t xml:space="preserve"> </w:t>
            </w:r>
            <w:r w:rsidR="00B95A18">
              <w:rPr>
                <w:rFonts w:ascii="Arial" w:hAnsi="Arial" w:cs="Arial"/>
                <w:sz w:val="22"/>
                <w:szCs w:val="22"/>
              </w:rPr>
              <w:t xml:space="preserve">offenders </w:t>
            </w:r>
            <w:r w:rsidR="00E41069">
              <w:rPr>
                <w:rFonts w:ascii="Arial" w:hAnsi="Arial" w:cs="Arial"/>
                <w:sz w:val="22"/>
                <w:szCs w:val="22"/>
              </w:rPr>
              <w:t xml:space="preserve">use physical characteristics </w:t>
            </w:r>
            <w:r w:rsidR="00CF1869">
              <w:rPr>
                <w:rFonts w:ascii="Arial" w:hAnsi="Arial" w:cs="Arial"/>
                <w:sz w:val="22"/>
                <w:szCs w:val="22"/>
              </w:rPr>
              <w:t xml:space="preserve">select </w:t>
            </w:r>
            <w:r w:rsidR="00322C69">
              <w:rPr>
                <w:rFonts w:ascii="Arial" w:hAnsi="Arial" w:cs="Arial"/>
                <w:sz w:val="22"/>
                <w:szCs w:val="22"/>
              </w:rPr>
              <w:t>individuals</w:t>
            </w:r>
            <w:r w:rsidR="00B95A18">
              <w:rPr>
                <w:rFonts w:ascii="Arial" w:hAnsi="Arial" w:cs="Arial"/>
                <w:sz w:val="22"/>
                <w:szCs w:val="22"/>
              </w:rPr>
              <w:t xml:space="preserve"> to </w:t>
            </w:r>
            <w:r w:rsidR="00322C69">
              <w:rPr>
                <w:rFonts w:ascii="Arial" w:hAnsi="Arial" w:cs="Arial"/>
                <w:sz w:val="22"/>
                <w:szCs w:val="22"/>
              </w:rPr>
              <w:t>victimise”</w:t>
            </w:r>
            <w:r w:rsidR="00DC0735">
              <w:rPr>
                <w:rFonts w:ascii="Arial" w:hAnsi="Arial" w:cs="Arial"/>
                <w:sz w:val="22"/>
                <w:szCs w:val="22"/>
              </w:rPr>
              <w:t>.</w:t>
            </w:r>
            <w:r w:rsidR="00322C69">
              <w:rPr>
                <w:rFonts w:ascii="Arial" w:hAnsi="Arial" w:cs="Arial"/>
                <w:sz w:val="22"/>
                <w:szCs w:val="22"/>
              </w:rPr>
              <w:t xml:space="preserve"> </w:t>
            </w:r>
            <w:r w:rsidR="00DC0735">
              <w:rPr>
                <w:rFonts w:ascii="Arial" w:hAnsi="Arial" w:cs="Arial"/>
                <w:sz w:val="22"/>
                <w:szCs w:val="22"/>
              </w:rPr>
              <w:t xml:space="preserve">It is worthy </w:t>
            </w:r>
            <w:r w:rsidR="00F42387">
              <w:rPr>
                <w:rFonts w:ascii="Arial" w:hAnsi="Arial" w:cs="Arial"/>
                <w:sz w:val="22"/>
                <w:szCs w:val="22"/>
              </w:rPr>
              <w:t xml:space="preserve">of consideration as this topic can help to inform </w:t>
            </w:r>
            <w:r w:rsidR="00322C69">
              <w:rPr>
                <w:rFonts w:ascii="Arial" w:hAnsi="Arial" w:cs="Arial"/>
                <w:sz w:val="22"/>
                <w:szCs w:val="22"/>
              </w:rPr>
              <w:t>diverse levels</w:t>
            </w:r>
            <w:r w:rsidR="00F42387">
              <w:rPr>
                <w:rFonts w:ascii="Arial" w:hAnsi="Arial" w:cs="Arial"/>
                <w:sz w:val="22"/>
                <w:szCs w:val="22"/>
              </w:rPr>
              <w:t xml:space="preserve"> of the </w:t>
            </w:r>
            <w:r w:rsidR="00230463">
              <w:rPr>
                <w:rFonts w:ascii="Arial" w:hAnsi="Arial" w:cs="Arial"/>
                <w:sz w:val="22"/>
                <w:szCs w:val="22"/>
              </w:rPr>
              <w:t>police</w:t>
            </w:r>
            <w:r w:rsidR="00F42387">
              <w:rPr>
                <w:rFonts w:ascii="Arial" w:hAnsi="Arial" w:cs="Arial"/>
                <w:sz w:val="22"/>
                <w:szCs w:val="22"/>
              </w:rPr>
              <w:t xml:space="preserve"> service. This would include </w:t>
            </w:r>
            <w:r w:rsidR="00230463">
              <w:rPr>
                <w:rFonts w:ascii="Arial" w:hAnsi="Arial" w:cs="Arial"/>
                <w:sz w:val="22"/>
                <w:szCs w:val="22"/>
              </w:rPr>
              <w:t>patrolling</w:t>
            </w:r>
            <w:r w:rsidR="00F42387">
              <w:rPr>
                <w:rFonts w:ascii="Arial" w:hAnsi="Arial" w:cs="Arial"/>
                <w:sz w:val="22"/>
                <w:szCs w:val="22"/>
              </w:rPr>
              <w:t xml:space="preserve"> officers and detectiv</w:t>
            </w:r>
            <w:r w:rsidR="00230463">
              <w:rPr>
                <w:rFonts w:ascii="Arial" w:hAnsi="Arial" w:cs="Arial"/>
                <w:sz w:val="22"/>
                <w:szCs w:val="22"/>
              </w:rPr>
              <w:t>es.</w:t>
            </w:r>
            <w:r w:rsidR="00322C69">
              <w:rPr>
                <w:rFonts w:ascii="Arial" w:hAnsi="Arial" w:cs="Arial"/>
                <w:sz w:val="22"/>
                <w:szCs w:val="22"/>
              </w:rPr>
              <w:t xml:space="preserve"> This would also allow for </w:t>
            </w:r>
            <w:r w:rsidR="00632EA9">
              <w:rPr>
                <w:rFonts w:ascii="Arial" w:hAnsi="Arial" w:cs="Arial"/>
                <w:sz w:val="22"/>
                <w:szCs w:val="22"/>
              </w:rPr>
              <w:t xml:space="preserve">individual citizens to identify and understand </w:t>
            </w:r>
            <w:r w:rsidR="00B92321">
              <w:rPr>
                <w:rFonts w:ascii="Arial" w:hAnsi="Arial" w:cs="Arial"/>
                <w:sz w:val="22"/>
                <w:szCs w:val="22"/>
              </w:rPr>
              <w:t xml:space="preserve">and implement preventative </w:t>
            </w:r>
            <w:r w:rsidR="001E1BCB">
              <w:rPr>
                <w:rFonts w:ascii="Arial" w:hAnsi="Arial" w:cs="Arial"/>
                <w:sz w:val="22"/>
                <w:szCs w:val="22"/>
              </w:rPr>
              <w:t>measures</w:t>
            </w:r>
            <w:r w:rsidR="00B92321">
              <w:rPr>
                <w:rFonts w:ascii="Arial" w:hAnsi="Arial" w:cs="Arial"/>
                <w:sz w:val="22"/>
                <w:szCs w:val="22"/>
              </w:rPr>
              <w:t xml:space="preserve"> to reduce the </w:t>
            </w:r>
            <w:r w:rsidR="003D7668">
              <w:rPr>
                <w:rFonts w:ascii="Arial" w:hAnsi="Arial" w:cs="Arial"/>
                <w:sz w:val="22"/>
                <w:szCs w:val="22"/>
              </w:rPr>
              <w:t>likelihood</w:t>
            </w:r>
            <w:r w:rsidR="00B92321">
              <w:rPr>
                <w:rFonts w:ascii="Arial" w:hAnsi="Arial" w:cs="Arial"/>
                <w:sz w:val="22"/>
                <w:szCs w:val="22"/>
              </w:rPr>
              <w:t xml:space="preserve"> of being victimised.</w:t>
            </w:r>
            <w:r w:rsidR="005976F7">
              <w:rPr>
                <w:rFonts w:ascii="Arial" w:hAnsi="Arial" w:cs="Arial"/>
                <w:sz w:val="22"/>
                <w:szCs w:val="22"/>
              </w:rPr>
              <w:t xml:space="preserve"> The selection of </w:t>
            </w:r>
            <w:r w:rsidR="0005428F">
              <w:rPr>
                <w:rFonts w:ascii="Arial" w:hAnsi="Arial" w:cs="Arial"/>
                <w:sz w:val="22"/>
                <w:szCs w:val="22"/>
              </w:rPr>
              <w:t>potential</w:t>
            </w:r>
            <w:r w:rsidR="005976F7">
              <w:rPr>
                <w:rFonts w:ascii="Arial" w:hAnsi="Arial" w:cs="Arial"/>
                <w:sz w:val="22"/>
                <w:szCs w:val="22"/>
              </w:rPr>
              <w:t xml:space="preserve"> victims could be applied for</w:t>
            </w:r>
            <w:r w:rsidR="0005428F">
              <w:rPr>
                <w:rFonts w:ascii="Arial" w:hAnsi="Arial" w:cs="Arial"/>
                <w:sz w:val="22"/>
                <w:szCs w:val="22"/>
              </w:rPr>
              <w:t xml:space="preserve"> the majority of crimes that are committed in person with slightly different nuances. </w:t>
            </w:r>
          </w:p>
          <w:p w14:paraId="752DC6D7" w14:textId="77777777" w:rsidR="00D217CD" w:rsidRPr="00661453" w:rsidRDefault="00D217CD" w:rsidP="001B20D3">
            <w:pPr>
              <w:tabs>
                <w:tab w:val="left" w:pos="1860"/>
              </w:tabs>
              <w:jc w:val="both"/>
              <w:rPr>
                <w:rFonts w:ascii="Arial" w:hAnsi="Arial" w:cs="Arial"/>
                <w:sz w:val="22"/>
                <w:szCs w:val="22"/>
                <w:highlight w:val="yellow"/>
              </w:rPr>
            </w:pPr>
          </w:p>
          <w:p w14:paraId="783228ED" w14:textId="77777777" w:rsidR="00D217CD" w:rsidRPr="00661453" w:rsidRDefault="00D217CD" w:rsidP="001B20D3">
            <w:pPr>
              <w:tabs>
                <w:tab w:val="left" w:pos="1860"/>
              </w:tabs>
              <w:jc w:val="both"/>
              <w:rPr>
                <w:rFonts w:ascii="Arial" w:hAnsi="Arial" w:cs="Arial"/>
                <w:sz w:val="22"/>
                <w:szCs w:val="22"/>
              </w:rPr>
            </w:pPr>
          </w:p>
        </w:tc>
      </w:tr>
      <w:tr w:rsidR="00D217CD" w:rsidRPr="00661453" w14:paraId="4AB74C33" w14:textId="77777777" w:rsidTr="00D217CD">
        <w:trPr>
          <w:trHeight w:val="1998"/>
        </w:trPr>
        <w:tc>
          <w:tcPr>
            <w:tcW w:w="10299" w:type="dxa"/>
            <w:gridSpan w:val="2"/>
            <w:tcMar>
              <w:top w:w="0" w:type="dxa"/>
              <w:left w:w="108" w:type="dxa"/>
              <w:bottom w:w="0" w:type="dxa"/>
              <w:right w:w="108" w:type="dxa"/>
            </w:tcMar>
          </w:tcPr>
          <w:p w14:paraId="6F142DE3" w14:textId="77777777" w:rsidR="00D217CD" w:rsidRPr="00661453" w:rsidRDefault="00D217CD" w:rsidP="001B20D3">
            <w:pPr>
              <w:jc w:val="both"/>
              <w:rPr>
                <w:rFonts w:ascii="Arial" w:hAnsi="Arial" w:cs="Arial"/>
                <w:b/>
                <w:bCs/>
                <w:sz w:val="22"/>
                <w:szCs w:val="22"/>
              </w:rPr>
            </w:pPr>
            <w:r w:rsidRPr="00661453">
              <w:rPr>
                <w:rFonts w:ascii="Arial" w:hAnsi="Arial" w:cs="Arial"/>
                <w:b/>
                <w:bCs/>
                <w:sz w:val="22"/>
                <w:szCs w:val="22"/>
              </w:rPr>
              <w:t xml:space="preserve">SUMMARY OF RESEARCH AIM &amp; OBJECTIVES: </w:t>
            </w:r>
          </w:p>
          <w:p w14:paraId="09740992" w14:textId="77777777" w:rsidR="008D18DE" w:rsidRDefault="00D217CD" w:rsidP="001B20D3">
            <w:pPr>
              <w:rPr>
                <w:rFonts w:ascii="Arial" w:hAnsi="Arial" w:cs="Arial"/>
                <w:sz w:val="22"/>
                <w:szCs w:val="22"/>
              </w:rPr>
            </w:pPr>
            <w:r w:rsidRPr="00661453">
              <w:rPr>
                <w:rFonts w:ascii="Arial" w:hAnsi="Arial" w:cs="Arial"/>
                <w:sz w:val="22"/>
                <w:szCs w:val="22"/>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14:paraId="680A4750" w14:textId="77777777" w:rsidR="008A35B9" w:rsidRDefault="008A35B9" w:rsidP="001B20D3">
            <w:pPr>
              <w:rPr>
                <w:rFonts w:ascii="Arial" w:hAnsi="Arial" w:cs="Arial"/>
                <w:sz w:val="22"/>
                <w:szCs w:val="22"/>
              </w:rPr>
            </w:pPr>
          </w:p>
          <w:p w14:paraId="24EBDA8F" w14:textId="309CA7BF" w:rsidR="00D217CD" w:rsidRPr="00661453" w:rsidRDefault="003F2312" w:rsidP="006832FE">
            <w:pPr>
              <w:rPr>
                <w:rFonts w:ascii="Arial" w:hAnsi="Arial" w:cs="Arial"/>
                <w:sz w:val="22"/>
                <w:szCs w:val="22"/>
              </w:rPr>
            </w:pPr>
            <w:r>
              <w:rPr>
                <w:rFonts w:ascii="Arial" w:hAnsi="Arial" w:cs="Arial"/>
                <w:sz w:val="22"/>
                <w:szCs w:val="22"/>
              </w:rPr>
              <w:t xml:space="preserve">The </w:t>
            </w:r>
            <w:r w:rsidR="007D32C6">
              <w:rPr>
                <w:rFonts w:ascii="Arial" w:hAnsi="Arial" w:cs="Arial"/>
                <w:sz w:val="22"/>
                <w:szCs w:val="22"/>
              </w:rPr>
              <w:t xml:space="preserve">key </w:t>
            </w:r>
            <w:r>
              <w:rPr>
                <w:rFonts w:ascii="Arial" w:hAnsi="Arial" w:cs="Arial"/>
                <w:sz w:val="22"/>
                <w:szCs w:val="22"/>
              </w:rPr>
              <w:t>objective would be to</w:t>
            </w:r>
            <w:r w:rsidR="009124DE">
              <w:rPr>
                <w:rFonts w:ascii="Arial" w:hAnsi="Arial" w:cs="Arial"/>
                <w:sz w:val="22"/>
                <w:szCs w:val="22"/>
              </w:rPr>
              <w:t xml:space="preserve"> identify</w:t>
            </w:r>
            <w:r>
              <w:rPr>
                <w:rFonts w:ascii="Arial" w:hAnsi="Arial" w:cs="Arial"/>
                <w:sz w:val="22"/>
                <w:szCs w:val="22"/>
              </w:rPr>
              <w:t xml:space="preserve"> how</w:t>
            </w:r>
            <w:r w:rsidR="007D32C6">
              <w:rPr>
                <w:rFonts w:ascii="Arial" w:hAnsi="Arial" w:cs="Arial"/>
                <w:sz w:val="22"/>
                <w:szCs w:val="22"/>
              </w:rPr>
              <w:t xml:space="preserve"> an offender or </w:t>
            </w:r>
            <w:r w:rsidR="007F76C0">
              <w:rPr>
                <w:rFonts w:ascii="Arial" w:hAnsi="Arial" w:cs="Arial"/>
                <w:sz w:val="22"/>
                <w:szCs w:val="22"/>
              </w:rPr>
              <w:t>potential</w:t>
            </w:r>
            <w:r w:rsidR="007D32C6">
              <w:rPr>
                <w:rFonts w:ascii="Arial" w:hAnsi="Arial" w:cs="Arial"/>
                <w:sz w:val="22"/>
                <w:szCs w:val="22"/>
              </w:rPr>
              <w:t xml:space="preserve"> offender</w:t>
            </w:r>
            <w:r w:rsidR="007F76C0">
              <w:rPr>
                <w:rFonts w:ascii="Arial" w:hAnsi="Arial" w:cs="Arial"/>
                <w:sz w:val="22"/>
                <w:szCs w:val="22"/>
              </w:rPr>
              <w:t xml:space="preserve"> would select their target to commit a crime.</w:t>
            </w:r>
            <w:r w:rsidR="008A35B9">
              <w:rPr>
                <w:rFonts w:ascii="Arial" w:hAnsi="Arial" w:cs="Arial"/>
                <w:sz w:val="22"/>
                <w:szCs w:val="22"/>
              </w:rPr>
              <w:t xml:space="preserve"> This selection </w:t>
            </w:r>
            <w:r w:rsidR="00081492">
              <w:rPr>
                <w:rFonts w:ascii="Arial" w:hAnsi="Arial" w:cs="Arial"/>
                <w:sz w:val="22"/>
                <w:szCs w:val="22"/>
              </w:rPr>
              <w:t>process</w:t>
            </w:r>
            <w:r w:rsidR="008A35B9">
              <w:rPr>
                <w:rFonts w:ascii="Arial" w:hAnsi="Arial" w:cs="Arial"/>
                <w:sz w:val="22"/>
                <w:szCs w:val="22"/>
              </w:rPr>
              <w:t xml:space="preserve"> </w:t>
            </w:r>
            <w:r w:rsidR="00081492">
              <w:rPr>
                <w:rFonts w:ascii="Arial" w:hAnsi="Arial" w:cs="Arial"/>
                <w:sz w:val="22"/>
                <w:szCs w:val="22"/>
              </w:rPr>
              <w:t>would look at con</w:t>
            </w:r>
            <w:r w:rsidR="000F56B9">
              <w:rPr>
                <w:rFonts w:ascii="Arial" w:hAnsi="Arial" w:cs="Arial"/>
                <w:sz w:val="22"/>
                <w:szCs w:val="22"/>
              </w:rPr>
              <w:t>scious</w:t>
            </w:r>
            <w:r w:rsidR="00081492">
              <w:rPr>
                <w:rFonts w:ascii="Arial" w:hAnsi="Arial" w:cs="Arial"/>
                <w:sz w:val="22"/>
                <w:szCs w:val="22"/>
              </w:rPr>
              <w:t xml:space="preserve"> and </w:t>
            </w:r>
            <w:r w:rsidR="000F56B9">
              <w:rPr>
                <w:rFonts w:ascii="Arial" w:hAnsi="Arial" w:cs="Arial"/>
                <w:sz w:val="22"/>
                <w:szCs w:val="22"/>
              </w:rPr>
              <w:t>unconscious</w:t>
            </w:r>
            <w:r w:rsidR="00081492">
              <w:rPr>
                <w:rFonts w:ascii="Arial" w:hAnsi="Arial" w:cs="Arial"/>
                <w:sz w:val="22"/>
                <w:szCs w:val="22"/>
              </w:rPr>
              <w:t xml:space="preserve"> </w:t>
            </w:r>
            <w:r w:rsidR="000F56B9">
              <w:rPr>
                <w:rFonts w:ascii="Arial" w:hAnsi="Arial" w:cs="Arial"/>
                <w:sz w:val="22"/>
                <w:szCs w:val="22"/>
              </w:rPr>
              <w:t>process</w:t>
            </w:r>
            <w:r w:rsidR="00A405B9">
              <w:rPr>
                <w:rFonts w:ascii="Arial" w:hAnsi="Arial" w:cs="Arial"/>
                <w:sz w:val="22"/>
                <w:szCs w:val="22"/>
              </w:rPr>
              <w:t xml:space="preserve"> of victim selection</w:t>
            </w:r>
            <w:r w:rsidR="00081492">
              <w:rPr>
                <w:rFonts w:ascii="Arial" w:hAnsi="Arial" w:cs="Arial"/>
                <w:sz w:val="22"/>
                <w:szCs w:val="22"/>
              </w:rPr>
              <w:t>.</w:t>
            </w:r>
            <w:r w:rsidR="007F76C0">
              <w:rPr>
                <w:rFonts w:ascii="Arial" w:hAnsi="Arial" w:cs="Arial"/>
                <w:sz w:val="22"/>
                <w:szCs w:val="22"/>
              </w:rPr>
              <w:t xml:space="preserve"> This would include a </w:t>
            </w:r>
            <w:r w:rsidR="008D18DE">
              <w:rPr>
                <w:rFonts w:ascii="Arial" w:hAnsi="Arial" w:cs="Arial"/>
                <w:sz w:val="22"/>
                <w:szCs w:val="22"/>
              </w:rPr>
              <w:t>variety</w:t>
            </w:r>
            <w:r w:rsidR="007F76C0">
              <w:rPr>
                <w:rFonts w:ascii="Arial" w:hAnsi="Arial" w:cs="Arial"/>
                <w:sz w:val="22"/>
                <w:szCs w:val="22"/>
              </w:rPr>
              <w:t xml:space="preserve"> of crimes </w:t>
            </w:r>
            <w:r w:rsidR="006832FE">
              <w:rPr>
                <w:rFonts w:ascii="Arial" w:hAnsi="Arial" w:cs="Arial"/>
                <w:sz w:val="22"/>
                <w:szCs w:val="22"/>
              </w:rPr>
              <w:t>t</w:t>
            </w:r>
            <w:r w:rsidR="00A405B9">
              <w:rPr>
                <w:rFonts w:ascii="Arial" w:hAnsi="Arial" w:cs="Arial"/>
                <w:sz w:val="22"/>
                <w:szCs w:val="22"/>
              </w:rPr>
              <w:t>o understand the nuances of the difference</w:t>
            </w:r>
            <w:r w:rsidR="00D93BEB">
              <w:rPr>
                <w:rFonts w:ascii="Arial" w:hAnsi="Arial" w:cs="Arial"/>
                <w:sz w:val="22"/>
                <w:szCs w:val="22"/>
              </w:rPr>
              <w:t>s in victim selection</w:t>
            </w:r>
            <w:r w:rsidR="00EA7466">
              <w:rPr>
                <w:rFonts w:ascii="Arial" w:hAnsi="Arial" w:cs="Arial"/>
                <w:sz w:val="22"/>
                <w:szCs w:val="22"/>
              </w:rPr>
              <w:t>.</w:t>
            </w:r>
            <w:r w:rsidR="0070375A">
              <w:rPr>
                <w:rFonts w:ascii="Arial" w:hAnsi="Arial" w:cs="Arial"/>
                <w:sz w:val="22"/>
                <w:szCs w:val="22"/>
              </w:rPr>
              <w:t xml:space="preserve"> This would require gaining an understanding of different selection of the victim</w:t>
            </w:r>
            <w:r w:rsidR="000B44E7">
              <w:rPr>
                <w:rFonts w:ascii="Arial" w:hAnsi="Arial" w:cs="Arial"/>
                <w:sz w:val="22"/>
                <w:szCs w:val="22"/>
              </w:rPr>
              <w:t xml:space="preserve"> selection </w:t>
            </w:r>
            <w:r w:rsidR="00A227B6">
              <w:rPr>
                <w:rFonts w:ascii="Arial" w:hAnsi="Arial" w:cs="Arial"/>
                <w:sz w:val="22"/>
                <w:szCs w:val="22"/>
              </w:rPr>
              <w:t>process</w:t>
            </w:r>
            <w:r w:rsidR="0070375A">
              <w:rPr>
                <w:rFonts w:ascii="Arial" w:hAnsi="Arial" w:cs="Arial"/>
                <w:sz w:val="22"/>
                <w:szCs w:val="22"/>
              </w:rPr>
              <w:t xml:space="preserve">. </w:t>
            </w:r>
            <w:r w:rsidR="007D50D4">
              <w:rPr>
                <w:rFonts w:ascii="Arial" w:hAnsi="Arial" w:cs="Arial"/>
                <w:sz w:val="22"/>
                <w:szCs w:val="22"/>
              </w:rPr>
              <w:t>There will need to be analysis of the victims themselves</w:t>
            </w:r>
            <w:r w:rsidR="00A227B6">
              <w:rPr>
                <w:rFonts w:ascii="Arial" w:hAnsi="Arial" w:cs="Arial"/>
                <w:sz w:val="22"/>
                <w:szCs w:val="22"/>
              </w:rPr>
              <w:t xml:space="preserve">. There would also need to be analysis of the situation </w:t>
            </w:r>
            <w:r w:rsidR="006E5618">
              <w:rPr>
                <w:rFonts w:ascii="Arial" w:hAnsi="Arial" w:cs="Arial"/>
                <w:sz w:val="22"/>
                <w:szCs w:val="22"/>
              </w:rPr>
              <w:t xml:space="preserve">and position </w:t>
            </w:r>
            <w:r w:rsidR="00A227B6">
              <w:rPr>
                <w:rFonts w:ascii="Arial" w:hAnsi="Arial" w:cs="Arial"/>
                <w:sz w:val="22"/>
                <w:szCs w:val="22"/>
              </w:rPr>
              <w:t xml:space="preserve">of the </w:t>
            </w:r>
            <w:r w:rsidR="006E5618">
              <w:rPr>
                <w:rFonts w:ascii="Arial" w:hAnsi="Arial" w:cs="Arial"/>
                <w:sz w:val="22"/>
                <w:szCs w:val="22"/>
              </w:rPr>
              <w:t>potential</w:t>
            </w:r>
            <w:r w:rsidR="00A227B6">
              <w:rPr>
                <w:rFonts w:ascii="Arial" w:hAnsi="Arial" w:cs="Arial"/>
                <w:sz w:val="22"/>
                <w:szCs w:val="22"/>
              </w:rPr>
              <w:t xml:space="preserve"> victim and </w:t>
            </w:r>
            <w:r w:rsidR="006E5618">
              <w:rPr>
                <w:rFonts w:ascii="Arial" w:hAnsi="Arial" w:cs="Arial"/>
                <w:sz w:val="22"/>
                <w:szCs w:val="22"/>
              </w:rPr>
              <w:t xml:space="preserve">consideration of how all the </w:t>
            </w:r>
            <w:r w:rsidR="00E9031B">
              <w:rPr>
                <w:rFonts w:ascii="Arial" w:hAnsi="Arial" w:cs="Arial"/>
                <w:sz w:val="22"/>
                <w:szCs w:val="22"/>
              </w:rPr>
              <w:t>different information fits together.</w:t>
            </w:r>
            <w:r w:rsidR="000B44E7">
              <w:rPr>
                <w:rFonts w:ascii="Arial" w:hAnsi="Arial" w:cs="Arial"/>
                <w:sz w:val="22"/>
                <w:szCs w:val="22"/>
              </w:rPr>
              <w:t xml:space="preserve"> This would also change with the </w:t>
            </w:r>
            <w:r w:rsidR="003E7D42">
              <w:rPr>
                <w:rFonts w:ascii="Arial" w:hAnsi="Arial" w:cs="Arial"/>
                <w:sz w:val="22"/>
                <w:szCs w:val="22"/>
              </w:rPr>
              <w:t>considerations</w:t>
            </w:r>
            <w:r w:rsidR="000B44E7">
              <w:rPr>
                <w:rFonts w:ascii="Arial" w:hAnsi="Arial" w:cs="Arial"/>
                <w:sz w:val="22"/>
                <w:szCs w:val="22"/>
              </w:rPr>
              <w:t xml:space="preserve"> of criminal motivation. This means that there is a wide area of considerations </w:t>
            </w:r>
            <w:r w:rsidR="003E7D42">
              <w:rPr>
                <w:rFonts w:ascii="Arial" w:hAnsi="Arial" w:cs="Arial"/>
                <w:sz w:val="22"/>
                <w:szCs w:val="22"/>
              </w:rPr>
              <w:t xml:space="preserve">that need to be involved in the analysis of </w:t>
            </w:r>
            <w:r w:rsidR="006906D2">
              <w:rPr>
                <w:rFonts w:ascii="Arial" w:hAnsi="Arial" w:cs="Arial"/>
                <w:sz w:val="22"/>
                <w:szCs w:val="22"/>
              </w:rPr>
              <w:t>offender selection.</w:t>
            </w:r>
          </w:p>
          <w:p w14:paraId="072C54A1" w14:textId="77777777" w:rsidR="00D217CD" w:rsidRPr="00661453" w:rsidRDefault="00D217CD" w:rsidP="001B20D3">
            <w:pPr>
              <w:jc w:val="both"/>
              <w:rPr>
                <w:rFonts w:ascii="Arial" w:hAnsi="Arial" w:cs="Arial"/>
                <w:sz w:val="22"/>
                <w:szCs w:val="22"/>
              </w:rPr>
            </w:pPr>
          </w:p>
        </w:tc>
      </w:tr>
      <w:tr w:rsidR="00D217CD" w:rsidRPr="00661453" w14:paraId="47DCC05C" w14:textId="77777777" w:rsidTr="00D217CD">
        <w:trPr>
          <w:trHeight w:val="2275"/>
        </w:trPr>
        <w:tc>
          <w:tcPr>
            <w:tcW w:w="10299" w:type="dxa"/>
            <w:gridSpan w:val="2"/>
            <w:tcMar>
              <w:top w:w="0" w:type="dxa"/>
              <w:left w:w="108" w:type="dxa"/>
              <w:bottom w:w="0" w:type="dxa"/>
              <w:right w:w="108" w:type="dxa"/>
            </w:tcMar>
          </w:tcPr>
          <w:p w14:paraId="74F324B4" w14:textId="77777777" w:rsidR="00D217CD" w:rsidRPr="00661453" w:rsidRDefault="00D217CD" w:rsidP="001B20D3">
            <w:pPr>
              <w:rPr>
                <w:rFonts w:ascii="Arial" w:hAnsi="Arial" w:cs="Arial"/>
                <w:b/>
                <w:bCs/>
                <w:sz w:val="22"/>
                <w:szCs w:val="22"/>
              </w:rPr>
            </w:pPr>
            <w:r w:rsidRPr="00661453">
              <w:rPr>
                <w:rFonts w:ascii="Arial" w:hAnsi="Arial" w:cs="Arial"/>
                <w:b/>
                <w:bCs/>
                <w:sz w:val="22"/>
                <w:szCs w:val="22"/>
              </w:rPr>
              <w:t>THEORETICAL CONTEXT:</w:t>
            </w:r>
          </w:p>
          <w:p w14:paraId="2ED407FA" w14:textId="77777777" w:rsidR="00D217CD" w:rsidRPr="00661453" w:rsidRDefault="00D217CD" w:rsidP="001B20D3">
            <w:pPr>
              <w:rPr>
                <w:rFonts w:ascii="Arial" w:hAnsi="Arial" w:cs="Arial"/>
                <w:sz w:val="22"/>
                <w:szCs w:val="22"/>
              </w:rPr>
            </w:pPr>
            <w:r w:rsidRPr="00661453">
              <w:rPr>
                <w:rFonts w:ascii="Arial" w:hAnsi="Arial" w:cs="Arial"/>
                <w:sz w:val="22"/>
                <w:szCs w:val="22"/>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1742BB98" w14:textId="77777777" w:rsidR="00D217CD" w:rsidRPr="00661453" w:rsidRDefault="00D217CD" w:rsidP="001B20D3">
            <w:pPr>
              <w:jc w:val="both"/>
              <w:rPr>
                <w:rStyle w:val="lookup-resultcontent"/>
                <w:rFonts w:ascii="Arial" w:hAnsi="Arial" w:cs="Arial"/>
                <w:b/>
                <w:bCs/>
                <w:sz w:val="22"/>
                <w:szCs w:val="22"/>
              </w:rPr>
            </w:pPr>
          </w:p>
          <w:p w14:paraId="277D8992" w14:textId="787A1172" w:rsidR="004B3FF8" w:rsidRDefault="004B3FF8" w:rsidP="004B3FF8">
            <w:pPr>
              <w:jc w:val="both"/>
              <w:rPr>
                <w:rFonts w:ascii="Arial" w:hAnsi="Arial" w:cs="Arial"/>
                <w:sz w:val="22"/>
                <w:szCs w:val="22"/>
              </w:rPr>
            </w:pPr>
            <w:r w:rsidRPr="004B3FF8">
              <w:rPr>
                <w:rFonts w:ascii="Arial" w:hAnsi="Arial" w:cs="Arial"/>
                <w:sz w:val="22"/>
                <w:szCs w:val="22"/>
              </w:rPr>
              <w:t xml:space="preserve">Book, A., Costello, K. and Camilleri, J.A. (2013) “Psychopathy and Victim Selection: The Use of Gait as a Cue to Vulnerability,” Journal of interpersonal violence, 28(11), pp. 2368–2383. Available at: </w:t>
            </w:r>
            <w:hyperlink r:id="rId9" w:history="1">
              <w:r w:rsidRPr="004706AA">
                <w:rPr>
                  <w:rStyle w:val="Hyperlink"/>
                  <w:rFonts w:ascii="Arial" w:hAnsi="Arial" w:cs="Arial"/>
                  <w:sz w:val="22"/>
                  <w:szCs w:val="22"/>
                </w:rPr>
                <w:t>https://doi.org/10.1177/0886260512475315</w:t>
              </w:r>
            </w:hyperlink>
            <w:r w:rsidRPr="004B3FF8">
              <w:rPr>
                <w:rFonts w:ascii="Arial" w:hAnsi="Arial" w:cs="Arial"/>
                <w:sz w:val="22"/>
                <w:szCs w:val="22"/>
              </w:rPr>
              <w:t xml:space="preserve">. </w:t>
            </w:r>
          </w:p>
          <w:p w14:paraId="24A3DC51" w14:textId="77777777" w:rsidR="004B3FF8" w:rsidRPr="004B3FF8" w:rsidRDefault="004B3FF8" w:rsidP="004B3FF8">
            <w:pPr>
              <w:jc w:val="both"/>
              <w:rPr>
                <w:rFonts w:ascii="Arial" w:hAnsi="Arial" w:cs="Arial"/>
                <w:sz w:val="22"/>
                <w:szCs w:val="22"/>
              </w:rPr>
            </w:pPr>
          </w:p>
          <w:p w14:paraId="3251E588" w14:textId="0362D518" w:rsidR="004B3FF8" w:rsidRDefault="004B3FF8" w:rsidP="004B3FF8">
            <w:pPr>
              <w:jc w:val="both"/>
              <w:rPr>
                <w:rFonts w:ascii="Arial" w:hAnsi="Arial" w:cs="Arial"/>
                <w:sz w:val="22"/>
                <w:szCs w:val="22"/>
              </w:rPr>
            </w:pPr>
            <w:r w:rsidRPr="004B3FF8">
              <w:rPr>
                <w:rFonts w:ascii="Arial" w:hAnsi="Arial" w:cs="Arial"/>
                <w:sz w:val="22"/>
                <w:szCs w:val="22"/>
              </w:rPr>
              <w:t xml:space="preserve">Grayson, B. and Stein, M.I. (1981), Attracting Assault: Victims ’Nonverbal Cues. Journal of Communication, 31: 68-75. </w:t>
            </w:r>
            <w:hyperlink r:id="rId10" w:history="1">
              <w:r w:rsidRPr="004706AA">
                <w:rPr>
                  <w:rStyle w:val="Hyperlink"/>
                  <w:rFonts w:ascii="Arial" w:hAnsi="Arial" w:cs="Arial"/>
                  <w:sz w:val="22"/>
                  <w:szCs w:val="22"/>
                </w:rPr>
                <w:t>https://doi.org/10.1111/j.1460-2466</w:t>
              </w:r>
            </w:hyperlink>
            <w:r w:rsidRPr="004B3FF8">
              <w:rPr>
                <w:rFonts w:ascii="Arial" w:hAnsi="Arial" w:cs="Arial"/>
                <w:sz w:val="22"/>
                <w:szCs w:val="22"/>
              </w:rPr>
              <w:t>.</w:t>
            </w:r>
          </w:p>
          <w:p w14:paraId="1613656E" w14:textId="518339EC" w:rsidR="004B3FF8" w:rsidRPr="004B3FF8" w:rsidRDefault="004B3FF8" w:rsidP="004B3FF8">
            <w:pPr>
              <w:jc w:val="both"/>
              <w:rPr>
                <w:rFonts w:ascii="Arial" w:hAnsi="Arial" w:cs="Arial"/>
                <w:sz w:val="22"/>
                <w:szCs w:val="22"/>
              </w:rPr>
            </w:pPr>
            <w:r w:rsidRPr="004B3FF8">
              <w:rPr>
                <w:rFonts w:ascii="Arial" w:hAnsi="Arial" w:cs="Arial"/>
                <w:sz w:val="22"/>
                <w:szCs w:val="22"/>
              </w:rPr>
              <w:t xml:space="preserve"> </w:t>
            </w:r>
          </w:p>
          <w:p w14:paraId="4A16EA1C" w14:textId="5F230C2D" w:rsidR="004B3FF8" w:rsidRDefault="004B3FF8" w:rsidP="004B3FF8">
            <w:pPr>
              <w:jc w:val="both"/>
              <w:rPr>
                <w:rFonts w:ascii="Arial" w:hAnsi="Arial" w:cs="Arial"/>
                <w:sz w:val="22"/>
                <w:szCs w:val="22"/>
              </w:rPr>
            </w:pPr>
            <w:r w:rsidRPr="004B3FF8">
              <w:rPr>
                <w:rFonts w:ascii="Arial" w:hAnsi="Arial" w:cs="Arial"/>
                <w:sz w:val="22"/>
                <w:szCs w:val="22"/>
              </w:rPr>
              <w:t xml:space="preserve">Hareli, S., Shomrat, N. and Hess, U. (2009) “Emotional Versus Neutral Expressions and Perceptions of Social Dominance and Submissiveness,” Emotion (Washington, D.C.), 9(3), pp. 378–384. Available at: </w:t>
            </w:r>
            <w:hyperlink r:id="rId11" w:history="1">
              <w:r w:rsidRPr="004706AA">
                <w:rPr>
                  <w:rStyle w:val="Hyperlink"/>
                  <w:rFonts w:ascii="Arial" w:hAnsi="Arial" w:cs="Arial"/>
                  <w:sz w:val="22"/>
                  <w:szCs w:val="22"/>
                </w:rPr>
                <w:t>https://doi.org/10.1037/a0015958</w:t>
              </w:r>
            </w:hyperlink>
            <w:r w:rsidRPr="004B3FF8">
              <w:rPr>
                <w:rFonts w:ascii="Arial" w:hAnsi="Arial" w:cs="Arial"/>
                <w:sz w:val="22"/>
                <w:szCs w:val="22"/>
              </w:rPr>
              <w:t>.</w:t>
            </w:r>
          </w:p>
          <w:p w14:paraId="160E861F" w14:textId="77777777" w:rsidR="004B3FF8" w:rsidRPr="004B3FF8" w:rsidRDefault="004B3FF8" w:rsidP="004B3FF8">
            <w:pPr>
              <w:jc w:val="both"/>
              <w:rPr>
                <w:rFonts w:ascii="Arial" w:hAnsi="Arial" w:cs="Arial"/>
                <w:sz w:val="22"/>
                <w:szCs w:val="22"/>
              </w:rPr>
            </w:pPr>
          </w:p>
          <w:p w14:paraId="53E9D912" w14:textId="44F18958" w:rsidR="00D217CD" w:rsidRDefault="004B3FF8" w:rsidP="004B3FF8">
            <w:pPr>
              <w:jc w:val="both"/>
              <w:rPr>
                <w:rFonts w:ascii="Arial" w:hAnsi="Arial" w:cs="Arial"/>
                <w:sz w:val="22"/>
                <w:szCs w:val="22"/>
              </w:rPr>
            </w:pPr>
            <w:r w:rsidRPr="004B3FF8">
              <w:rPr>
                <w:rFonts w:ascii="Arial" w:hAnsi="Arial" w:cs="Arial"/>
                <w:sz w:val="22"/>
                <w:szCs w:val="22"/>
              </w:rPr>
              <w:t xml:space="preserve">Wheeler, S., Book, A. and Costello, K. (2009) “Psychopathic Traits and Perceptions of Victim Vulnerability,” Criminal justice and </w:t>
            </w:r>
            <w:r w:rsidR="00EF4CD9" w:rsidRPr="004B3FF8">
              <w:rPr>
                <w:rFonts w:ascii="Arial" w:hAnsi="Arial" w:cs="Arial"/>
                <w:sz w:val="22"/>
                <w:szCs w:val="22"/>
              </w:rPr>
              <w:t>behaviour</w:t>
            </w:r>
            <w:r w:rsidRPr="004B3FF8">
              <w:rPr>
                <w:rFonts w:ascii="Arial" w:hAnsi="Arial" w:cs="Arial"/>
                <w:sz w:val="22"/>
                <w:szCs w:val="22"/>
              </w:rPr>
              <w:t xml:space="preserve">, 36(6), pp. 635–648. Available at: </w:t>
            </w:r>
            <w:hyperlink r:id="rId12" w:history="1">
              <w:r w:rsidR="00EF4CD9" w:rsidRPr="004706AA">
                <w:rPr>
                  <w:rStyle w:val="Hyperlink"/>
                  <w:rFonts w:ascii="Arial" w:hAnsi="Arial" w:cs="Arial"/>
                  <w:sz w:val="22"/>
                  <w:szCs w:val="22"/>
                </w:rPr>
                <w:t>https://doi.org/10.1177/0093854809333958</w:t>
              </w:r>
            </w:hyperlink>
            <w:r w:rsidRPr="004B3FF8">
              <w:rPr>
                <w:rFonts w:ascii="Arial" w:hAnsi="Arial" w:cs="Arial"/>
                <w:sz w:val="22"/>
                <w:szCs w:val="22"/>
              </w:rPr>
              <w:t>.</w:t>
            </w:r>
          </w:p>
          <w:p w14:paraId="76236B6A" w14:textId="56382120" w:rsidR="00EF4CD9" w:rsidRPr="00661453" w:rsidRDefault="00EF4CD9" w:rsidP="004B3FF8">
            <w:pPr>
              <w:jc w:val="both"/>
              <w:rPr>
                <w:rFonts w:ascii="Arial" w:hAnsi="Arial" w:cs="Arial"/>
                <w:sz w:val="22"/>
                <w:szCs w:val="22"/>
              </w:rPr>
            </w:pPr>
          </w:p>
        </w:tc>
      </w:tr>
      <w:tr w:rsidR="00D217CD" w:rsidRPr="00661453" w14:paraId="5221158D" w14:textId="77777777" w:rsidTr="00D217CD">
        <w:trPr>
          <w:trHeight w:val="1332"/>
        </w:trPr>
        <w:tc>
          <w:tcPr>
            <w:tcW w:w="10299" w:type="dxa"/>
            <w:gridSpan w:val="2"/>
            <w:tcMar>
              <w:top w:w="0" w:type="dxa"/>
              <w:left w:w="108" w:type="dxa"/>
              <w:bottom w:w="0" w:type="dxa"/>
              <w:right w:w="108" w:type="dxa"/>
            </w:tcMar>
          </w:tcPr>
          <w:p w14:paraId="7ACC7730" w14:textId="77777777" w:rsidR="00D217CD" w:rsidRPr="00661453" w:rsidRDefault="00D217CD" w:rsidP="001B20D3">
            <w:pPr>
              <w:rPr>
                <w:rFonts w:ascii="Arial" w:hAnsi="Arial" w:cs="Arial"/>
                <w:b/>
                <w:bCs/>
                <w:sz w:val="22"/>
                <w:szCs w:val="22"/>
              </w:rPr>
            </w:pPr>
            <w:r w:rsidRPr="00661453">
              <w:rPr>
                <w:rFonts w:ascii="Arial" w:hAnsi="Arial" w:cs="Arial"/>
                <w:b/>
                <w:bCs/>
                <w:sz w:val="22"/>
                <w:szCs w:val="22"/>
              </w:rPr>
              <w:lastRenderedPageBreak/>
              <w:t xml:space="preserve">SUMMARY OF RESEARCH –SURVEY METHOD: </w:t>
            </w:r>
          </w:p>
          <w:p w14:paraId="1105709D" w14:textId="77777777" w:rsidR="00D217CD" w:rsidRPr="00661453" w:rsidRDefault="00D217CD" w:rsidP="001B20D3">
            <w:pPr>
              <w:rPr>
                <w:rFonts w:ascii="Arial" w:hAnsi="Arial" w:cs="Arial"/>
                <w:sz w:val="22"/>
                <w:szCs w:val="22"/>
              </w:rPr>
            </w:pPr>
            <w:r w:rsidRPr="00661453">
              <w:rPr>
                <w:rFonts w:ascii="Arial" w:hAnsi="Arial" w:cs="Arial"/>
                <w:sz w:val="22"/>
                <w:szCs w:val="22"/>
              </w:rPr>
              <w:t>Summary of qualitative or quantitative methods, and survey techniques being considered.</w:t>
            </w:r>
          </w:p>
          <w:p w14:paraId="3EC58B27" w14:textId="77777777" w:rsidR="009633D2" w:rsidRDefault="00D217CD" w:rsidP="001B20D3">
            <w:pPr>
              <w:rPr>
                <w:rFonts w:ascii="Arial" w:hAnsi="Arial" w:cs="Arial"/>
                <w:sz w:val="22"/>
                <w:szCs w:val="22"/>
              </w:rPr>
            </w:pPr>
            <w:r w:rsidRPr="00661453">
              <w:rPr>
                <w:rFonts w:ascii="Arial" w:hAnsi="Arial" w:cs="Arial"/>
                <w:sz w:val="22"/>
                <w:szCs w:val="22"/>
              </w:rPr>
              <w:t xml:space="preserve"> </w:t>
            </w:r>
          </w:p>
          <w:p w14:paraId="18BDFA66" w14:textId="3E041C7C" w:rsidR="00D217CD" w:rsidRPr="00661453" w:rsidRDefault="009633D2" w:rsidP="001B20D3">
            <w:pPr>
              <w:rPr>
                <w:rFonts w:ascii="Arial" w:hAnsi="Arial" w:cs="Arial"/>
                <w:sz w:val="22"/>
                <w:szCs w:val="22"/>
              </w:rPr>
            </w:pPr>
            <w:r w:rsidRPr="009633D2">
              <w:rPr>
                <w:rFonts w:ascii="Arial" w:hAnsi="Arial" w:cs="Arial"/>
                <w:sz w:val="22"/>
                <w:szCs w:val="22"/>
              </w:rPr>
              <w:t>The majority of the research will be secondary data. The only form of primary data that will be used is a questionnaire. The questionnaire will be quantitative and qualitive. Quantitative information will take on different forms. Some questions could be a scale while others could have two or more available options. There will be a variety of methods used to analyse the data. Statistical analysis will be employed on most of the quantitative information gathered in the questionnaire. The use of content and thematic analysis will be used from the qualitive questions in the questionnaire as well as from secondary data. This will be done to gain an understanding of patterns that are applicable to the research question. The qualitive questions will be open to allow participants to use their own words. This will allow for commonalties to be detected. All survey questions will be free from biased or leading wording.</w:t>
            </w:r>
          </w:p>
          <w:p w14:paraId="4B3BD9D8" w14:textId="77777777" w:rsidR="00D217CD" w:rsidRPr="00661453" w:rsidRDefault="00D217CD" w:rsidP="001B20D3">
            <w:pPr>
              <w:jc w:val="both"/>
              <w:rPr>
                <w:rFonts w:ascii="Arial" w:hAnsi="Arial" w:cs="Arial"/>
                <w:sz w:val="22"/>
                <w:szCs w:val="22"/>
              </w:rPr>
            </w:pPr>
          </w:p>
        </w:tc>
      </w:tr>
      <w:tr w:rsidR="00D217CD" w:rsidRPr="00661453" w14:paraId="625E0AD9" w14:textId="77777777" w:rsidTr="00D217CD">
        <w:trPr>
          <w:trHeight w:val="1998"/>
        </w:trPr>
        <w:tc>
          <w:tcPr>
            <w:tcW w:w="10299" w:type="dxa"/>
            <w:gridSpan w:val="2"/>
            <w:tcMar>
              <w:top w:w="0" w:type="dxa"/>
              <w:left w:w="108" w:type="dxa"/>
              <w:bottom w:w="0" w:type="dxa"/>
              <w:right w:w="108" w:type="dxa"/>
            </w:tcMar>
          </w:tcPr>
          <w:p w14:paraId="5A449325" w14:textId="77777777" w:rsidR="00D217CD" w:rsidRPr="00661453" w:rsidRDefault="00D217CD" w:rsidP="001B20D3">
            <w:pPr>
              <w:rPr>
                <w:rFonts w:ascii="Arial" w:hAnsi="Arial" w:cs="Arial"/>
                <w:sz w:val="22"/>
                <w:szCs w:val="22"/>
              </w:rPr>
            </w:pPr>
            <w:r w:rsidRPr="00661453">
              <w:rPr>
                <w:rFonts w:ascii="Arial" w:hAnsi="Arial" w:cs="Arial"/>
                <w:b/>
                <w:bCs/>
                <w:sz w:val="22"/>
                <w:szCs w:val="22"/>
              </w:rPr>
              <w:t>SUMMARY OF SAMPLING FRAMEWORK:</w:t>
            </w:r>
            <w:r w:rsidRPr="00661453">
              <w:rPr>
                <w:rFonts w:ascii="Arial" w:hAnsi="Arial" w:cs="Arial"/>
                <w:sz w:val="22"/>
                <w:szCs w:val="22"/>
              </w:rPr>
              <w:t xml:space="preserve"> </w:t>
            </w:r>
          </w:p>
          <w:p w14:paraId="13CDD2E1" w14:textId="77777777" w:rsidR="00D217CD" w:rsidRPr="00661453" w:rsidRDefault="00D217CD" w:rsidP="001B20D3">
            <w:pPr>
              <w:rPr>
                <w:rFonts w:ascii="Arial" w:hAnsi="Arial" w:cs="Arial"/>
                <w:sz w:val="22"/>
                <w:szCs w:val="22"/>
              </w:rPr>
            </w:pPr>
            <w:r w:rsidRPr="00661453">
              <w:rPr>
                <w:rFonts w:ascii="Arial" w:hAnsi="Arial" w:cs="Arial"/>
                <w:sz w:val="22"/>
                <w:szCs w:val="22"/>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5A1FAC72" w14:textId="77777777" w:rsidR="00D217CD" w:rsidRPr="00661453" w:rsidRDefault="00D217CD" w:rsidP="001B20D3">
            <w:pPr>
              <w:jc w:val="both"/>
              <w:rPr>
                <w:rFonts w:ascii="Arial" w:hAnsi="Arial" w:cs="Arial"/>
                <w:sz w:val="22"/>
                <w:szCs w:val="22"/>
              </w:rPr>
            </w:pPr>
          </w:p>
          <w:p w14:paraId="387C00BC" w14:textId="77777777" w:rsidR="00D217CD" w:rsidRDefault="00605BB0" w:rsidP="001B20D3">
            <w:pPr>
              <w:jc w:val="both"/>
              <w:rPr>
                <w:rFonts w:ascii="Arial" w:hAnsi="Arial" w:cs="Arial"/>
                <w:sz w:val="22"/>
                <w:szCs w:val="22"/>
              </w:rPr>
            </w:pPr>
            <w:r w:rsidRPr="00605BB0">
              <w:rPr>
                <w:rFonts w:ascii="Arial" w:hAnsi="Arial" w:cs="Arial"/>
                <w:sz w:val="22"/>
                <w:szCs w:val="22"/>
              </w:rPr>
              <w:t>The questionnaire will be given to the public. Specifically, people who are 18 years old or over 18. There will be no other requirements to be given the opportunity to answer the survey. This is so that the opinions of the public, that the police service is required to protect, can be heard. Students within the university can also be asked as the majority of them are also part of the populus.</w:t>
            </w:r>
          </w:p>
          <w:p w14:paraId="7167EA5B" w14:textId="77777777" w:rsidR="00605BB0" w:rsidRDefault="00605BB0" w:rsidP="001B20D3">
            <w:pPr>
              <w:jc w:val="both"/>
              <w:rPr>
                <w:rFonts w:ascii="Arial" w:hAnsi="Arial" w:cs="Arial"/>
                <w:sz w:val="22"/>
                <w:szCs w:val="22"/>
              </w:rPr>
            </w:pPr>
          </w:p>
          <w:p w14:paraId="0C277FC9" w14:textId="08405DCE" w:rsidR="00605BB0" w:rsidRPr="00661453" w:rsidRDefault="00605BB0" w:rsidP="001B20D3">
            <w:pPr>
              <w:jc w:val="both"/>
              <w:rPr>
                <w:rFonts w:ascii="Arial" w:hAnsi="Arial" w:cs="Arial"/>
                <w:sz w:val="22"/>
                <w:szCs w:val="22"/>
              </w:rPr>
            </w:pPr>
          </w:p>
        </w:tc>
      </w:tr>
      <w:tr w:rsidR="00D217CD" w:rsidRPr="00661453" w14:paraId="23CBFBEB" w14:textId="77777777" w:rsidTr="00D217CD">
        <w:trPr>
          <w:trHeight w:val="1332"/>
        </w:trPr>
        <w:tc>
          <w:tcPr>
            <w:tcW w:w="10299" w:type="dxa"/>
            <w:gridSpan w:val="2"/>
            <w:tcMar>
              <w:top w:w="0" w:type="dxa"/>
              <w:left w:w="108" w:type="dxa"/>
              <w:bottom w:w="0" w:type="dxa"/>
              <w:right w:w="108" w:type="dxa"/>
            </w:tcMar>
          </w:tcPr>
          <w:p w14:paraId="4CD315F3" w14:textId="77777777" w:rsidR="00D217CD" w:rsidRPr="00661453" w:rsidRDefault="00D217CD" w:rsidP="001B20D3">
            <w:pPr>
              <w:jc w:val="both"/>
              <w:rPr>
                <w:rFonts w:ascii="Arial" w:hAnsi="Arial" w:cs="Arial"/>
                <w:b/>
                <w:bCs/>
                <w:sz w:val="22"/>
                <w:szCs w:val="22"/>
              </w:rPr>
            </w:pPr>
            <w:r w:rsidRPr="00661453">
              <w:rPr>
                <w:rFonts w:ascii="Arial" w:hAnsi="Arial" w:cs="Arial"/>
                <w:b/>
                <w:bCs/>
                <w:sz w:val="22"/>
                <w:szCs w:val="22"/>
              </w:rPr>
              <w:t>INITIAL REFERENCE LIST:</w:t>
            </w:r>
          </w:p>
          <w:p w14:paraId="58FDF36D" w14:textId="77777777" w:rsidR="00D217CD" w:rsidRDefault="00D217CD" w:rsidP="001B20D3">
            <w:pPr>
              <w:jc w:val="both"/>
              <w:rPr>
                <w:rFonts w:ascii="Arial" w:hAnsi="Arial" w:cs="Arial"/>
                <w:sz w:val="22"/>
                <w:szCs w:val="22"/>
              </w:rPr>
            </w:pPr>
            <w:r w:rsidRPr="00661453">
              <w:rPr>
                <w:rFonts w:ascii="Arial" w:hAnsi="Arial" w:cs="Arial"/>
                <w:sz w:val="22"/>
                <w:szCs w:val="22"/>
              </w:rPr>
              <w:t>Please follow the Harvard referencing system</w:t>
            </w:r>
          </w:p>
          <w:p w14:paraId="31A8C04E" w14:textId="77777777" w:rsidR="00BE1BC7" w:rsidRPr="00661453" w:rsidRDefault="00BE1BC7" w:rsidP="001B20D3">
            <w:pPr>
              <w:jc w:val="both"/>
              <w:rPr>
                <w:rFonts w:ascii="Arial" w:hAnsi="Arial" w:cs="Arial"/>
                <w:sz w:val="22"/>
                <w:szCs w:val="22"/>
              </w:rPr>
            </w:pPr>
          </w:p>
          <w:p w14:paraId="7EEFD911" w14:textId="4F3EC40D" w:rsidR="003B125B" w:rsidRPr="001764DC" w:rsidRDefault="003B125B" w:rsidP="003B125B">
            <w:pPr>
              <w:pStyle w:val="Bibliography"/>
              <w:rPr>
                <w:rFonts w:ascii="Arial" w:hAnsi="Arial" w:cs="Arial"/>
                <w:noProof/>
                <w:sz w:val="22"/>
                <w:szCs w:val="22"/>
              </w:rPr>
            </w:pPr>
            <w:r w:rsidRPr="001764DC">
              <w:rPr>
                <w:rFonts w:ascii="Arial" w:hAnsi="Arial" w:cs="Arial"/>
                <w:noProof/>
                <w:sz w:val="22"/>
                <w:szCs w:val="22"/>
              </w:rPr>
              <w:t xml:space="preserve">Azumah, F. D., Nachinaab, J. O., Krampah, S. &amp; Ayim, P. N., 2020. Determinants of Target Victim Selection: A Case Study of Criminals from Gambaga Prisons. </w:t>
            </w:r>
            <w:r w:rsidRPr="001764DC">
              <w:rPr>
                <w:rFonts w:ascii="Arial" w:hAnsi="Arial" w:cs="Arial"/>
                <w:i/>
                <w:iCs/>
                <w:noProof/>
                <w:sz w:val="22"/>
                <w:szCs w:val="22"/>
              </w:rPr>
              <w:t xml:space="preserve">Journal of Victimology and Victim Justice, </w:t>
            </w:r>
            <w:r w:rsidRPr="001764DC">
              <w:rPr>
                <w:rFonts w:ascii="Arial" w:hAnsi="Arial" w:cs="Arial"/>
                <w:noProof/>
                <w:sz w:val="22"/>
                <w:szCs w:val="22"/>
              </w:rPr>
              <w:t>3(1), pp. 93-112.</w:t>
            </w:r>
            <w:r w:rsidR="00BE1BC7" w:rsidRPr="004A0835">
              <w:rPr>
                <w:rFonts w:ascii="Arial" w:hAnsi="Arial" w:cs="Arial"/>
                <w:sz w:val="22"/>
                <w:szCs w:val="22"/>
              </w:rPr>
              <w:t xml:space="preserve"> Available at:</w:t>
            </w:r>
            <w:r w:rsidR="003B1C47">
              <w:t xml:space="preserve"> </w:t>
            </w:r>
            <w:hyperlink r:id="rId13" w:history="1">
              <w:r w:rsidR="003B1C47" w:rsidRPr="00A254EC">
                <w:rPr>
                  <w:rStyle w:val="Hyperlink"/>
                  <w:rFonts w:ascii="Arial" w:hAnsi="Arial" w:cs="Arial"/>
                  <w:sz w:val="22"/>
                  <w:szCs w:val="22"/>
                </w:rPr>
                <w:t>https://doi.org/10.1177/2516606920927258</w:t>
              </w:r>
            </w:hyperlink>
            <w:r w:rsidR="003B1C47">
              <w:rPr>
                <w:rFonts w:ascii="Arial" w:hAnsi="Arial" w:cs="Arial"/>
                <w:sz w:val="22"/>
                <w:szCs w:val="22"/>
              </w:rPr>
              <w:t xml:space="preserve"> </w:t>
            </w:r>
          </w:p>
          <w:p w14:paraId="52674DF6" w14:textId="77777777" w:rsidR="003B125B" w:rsidRDefault="003B125B" w:rsidP="003B125B">
            <w:pPr>
              <w:jc w:val="both"/>
              <w:rPr>
                <w:rFonts w:ascii="Arial" w:hAnsi="Arial" w:cs="Arial"/>
                <w:sz w:val="22"/>
                <w:szCs w:val="22"/>
              </w:rPr>
            </w:pPr>
          </w:p>
          <w:p w14:paraId="6026BD8B" w14:textId="77777777" w:rsidR="003B125B" w:rsidRDefault="003B125B" w:rsidP="003B125B">
            <w:pPr>
              <w:jc w:val="both"/>
              <w:rPr>
                <w:rFonts w:ascii="Arial" w:hAnsi="Arial" w:cs="Arial"/>
                <w:sz w:val="22"/>
                <w:szCs w:val="22"/>
              </w:rPr>
            </w:pPr>
            <w:r w:rsidRPr="004A0835">
              <w:rPr>
                <w:rFonts w:ascii="Arial" w:hAnsi="Arial" w:cs="Arial"/>
                <w:sz w:val="22"/>
                <w:szCs w:val="22"/>
              </w:rPr>
              <w:t xml:space="preserve">Book, A., Costello, K. and Camilleri, J.A. (2013) “Psychopathy and Victim Selection: The Use of Gait as a Cue to Vulnerability,” Journal of interpersonal violence, 28(11), pp. 2368–2383. Available at: </w:t>
            </w:r>
            <w:hyperlink r:id="rId14" w:history="1">
              <w:r w:rsidRPr="004706AA">
                <w:rPr>
                  <w:rStyle w:val="Hyperlink"/>
                  <w:rFonts w:ascii="Arial" w:hAnsi="Arial" w:cs="Arial"/>
                  <w:sz w:val="22"/>
                  <w:szCs w:val="22"/>
                </w:rPr>
                <w:t>https://doi.org/10.1177/0886260512475315</w:t>
              </w:r>
            </w:hyperlink>
            <w:r w:rsidRPr="004A0835">
              <w:rPr>
                <w:rFonts w:ascii="Arial" w:hAnsi="Arial" w:cs="Arial"/>
                <w:sz w:val="22"/>
                <w:szCs w:val="22"/>
              </w:rPr>
              <w:t>.</w:t>
            </w:r>
          </w:p>
          <w:p w14:paraId="49425BE8" w14:textId="77777777" w:rsidR="003B125B" w:rsidRDefault="003B125B" w:rsidP="003B125B">
            <w:pPr>
              <w:jc w:val="both"/>
              <w:rPr>
                <w:rFonts w:ascii="Arial" w:hAnsi="Arial" w:cs="Arial"/>
                <w:sz w:val="22"/>
                <w:szCs w:val="22"/>
              </w:rPr>
            </w:pPr>
            <w:r w:rsidRPr="004A0835">
              <w:rPr>
                <w:rFonts w:ascii="Arial" w:hAnsi="Arial" w:cs="Arial"/>
                <w:sz w:val="22"/>
                <w:szCs w:val="22"/>
              </w:rPr>
              <w:t xml:space="preserve"> </w:t>
            </w:r>
          </w:p>
          <w:p w14:paraId="11CCA807" w14:textId="77777777" w:rsidR="003B125B" w:rsidRDefault="003B125B" w:rsidP="003B125B">
            <w:pPr>
              <w:jc w:val="both"/>
              <w:rPr>
                <w:rFonts w:ascii="Arial" w:hAnsi="Arial" w:cs="Arial"/>
                <w:sz w:val="22"/>
                <w:szCs w:val="22"/>
              </w:rPr>
            </w:pPr>
          </w:p>
          <w:p w14:paraId="7356D8BA" w14:textId="1D0FF501" w:rsidR="003B125B" w:rsidRPr="004A0835" w:rsidRDefault="003B125B" w:rsidP="003B125B">
            <w:pPr>
              <w:jc w:val="both"/>
              <w:rPr>
                <w:rFonts w:ascii="Arial" w:hAnsi="Arial" w:cs="Arial"/>
                <w:sz w:val="22"/>
                <w:szCs w:val="22"/>
              </w:rPr>
            </w:pPr>
            <w:r w:rsidRPr="000458D3">
              <w:rPr>
                <w:rFonts w:ascii="Arial" w:hAnsi="Arial" w:cs="Arial"/>
                <w:noProof/>
                <w:sz w:val="22"/>
                <w:szCs w:val="22"/>
              </w:rPr>
              <w:t>Díaz-Faes, D. A., Codina, M. &amp; Noemí Pereda, 2024. Identifying victimization clusters across people with intellectual disabilities: A latent class analysis. Disability and Health Journal, 17(2).</w:t>
            </w:r>
            <w:r w:rsidR="00BE1BC7" w:rsidRPr="00BE1BC7">
              <w:rPr>
                <w:rFonts w:ascii="Arial" w:hAnsi="Arial" w:cs="Arial"/>
                <w:noProof/>
                <w:sz w:val="22"/>
                <w:szCs w:val="22"/>
              </w:rPr>
              <w:t xml:space="preserve"> Available at:</w:t>
            </w:r>
            <w:r w:rsidR="00676B2C">
              <w:t xml:space="preserve"> </w:t>
            </w:r>
            <w:r w:rsidR="00676B2C" w:rsidRPr="00676B2C">
              <w:rPr>
                <w:rFonts w:ascii="Arial" w:hAnsi="Arial" w:cs="Arial"/>
                <w:noProof/>
                <w:sz w:val="22"/>
                <w:szCs w:val="22"/>
              </w:rPr>
              <w:t>10.1016/j.dhjo.2023.101573</w:t>
            </w:r>
            <w:r w:rsidR="00676B2C">
              <w:rPr>
                <w:rFonts w:ascii="Arial" w:hAnsi="Arial" w:cs="Arial"/>
                <w:noProof/>
                <w:sz w:val="22"/>
                <w:szCs w:val="22"/>
              </w:rPr>
              <w:t xml:space="preserve"> </w:t>
            </w:r>
          </w:p>
          <w:p w14:paraId="65C53CA6" w14:textId="77777777" w:rsidR="003B125B" w:rsidRPr="004A0835" w:rsidRDefault="003B125B" w:rsidP="003B125B">
            <w:pPr>
              <w:jc w:val="both"/>
              <w:rPr>
                <w:rFonts w:ascii="Arial" w:hAnsi="Arial" w:cs="Arial"/>
                <w:sz w:val="22"/>
                <w:szCs w:val="22"/>
              </w:rPr>
            </w:pPr>
          </w:p>
          <w:p w14:paraId="5AB4877E" w14:textId="77777777" w:rsidR="003B125B" w:rsidRDefault="003B125B" w:rsidP="003B125B">
            <w:pPr>
              <w:jc w:val="both"/>
              <w:rPr>
                <w:rFonts w:ascii="Arial" w:hAnsi="Arial" w:cs="Arial"/>
                <w:sz w:val="22"/>
                <w:szCs w:val="22"/>
              </w:rPr>
            </w:pPr>
            <w:r w:rsidRPr="004A0835">
              <w:rPr>
                <w:rFonts w:ascii="Arial" w:hAnsi="Arial" w:cs="Arial"/>
                <w:sz w:val="22"/>
                <w:szCs w:val="22"/>
              </w:rPr>
              <w:t xml:space="preserve">Grayson, B. and Stein, M.I. (1981), Attracting Assault: Victims ’Nonverbal Cues. Journal of Communication, 31: 68-75. </w:t>
            </w:r>
            <w:hyperlink r:id="rId15" w:history="1">
              <w:r w:rsidRPr="004706AA">
                <w:rPr>
                  <w:rStyle w:val="Hyperlink"/>
                  <w:rFonts w:ascii="Arial" w:hAnsi="Arial" w:cs="Arial"/>
                  <w:sz w:val="22"/>
                  <w:szCs w:val="22"/>
                </w:rPr>
                <w:t>https://doi.org/10.1111/j.1460-2466</w:t>
              </w:r>
            </w:hyperlink>
            <w:r w:rsidRPr="004A0835">
              <w:rPr>
                <w:rFonts w:ascii="Arial" w:hAnsi="Arial" w:cs="Arial"/>
                <w:sz w:val="22"/>
                <w:szCs w:val="22"/>
              </w:rPr>
              <w:t>.</w:t>
            </w:r>
          </w:p>
          <w:p w14:paraId="5ABEC8C9" w14:textId="77777777" w:rsidR="003B125B" w:rsidRDefault="003B125B" w:rsidP="003B125B">
            <w:pPr>
              <w:jc w:val="both"/>
              <w:rPr>
                <w:rFonts w:ascii="Arial" w:hAnsi="Arial" w:cs="Arial"/>
                <w:sz w:val="22"/>
                <w:szCs w:val="22"/>
              </w:rPr>
            </w:pPr>
          </w:p>
          <w:p w14:paraId="6429A2F4" w14:textId="77777777" w:rsidR="003B125B" w:rsidRPr="004A0835" w:rsidRDefault="003B125B" w:rsidP="003B125B">
            <w:pPr>
              <w:jc w:val="both"/>
              <w:rPr>
                <w:rFonts w:ascii="Arial" w:hAnsi="Arial" w:cs="Arial"/>
                <w:sz w:val="22"/>
                <w:szCs w:val="22"/>
              </w:rPr>
            </w:pPr>
          </w:p>
          <w:p w14:paraId="161DDA8D" w14:textId="6E5528DB" w:rsidR="003B125B" w:rsidRDefault="003B125B" w:rsidP="003B125B">
            <w:pPr>
              <w:jc w:val="both"/>
              <w:rPr>
                <w:rFonts w:ascii="Arial" w:hAnsi="Arial" w:cs="Arial"/>
                <w:sz w:val="22"/>
                <w:szCs w:val="22"/>
              </w:rPr>
            </w:pPr>
            <w:r w:rsidRPr="0026259F">
              <w:rPr>
                <w:rFonts w:ascii="Arial" w:hAnsi="Arial" w:cs="Arial"/>
                <w:sz w:val="22"/>
                <w:szCs w:val="22"/>
              </w:rPr>
              <w:t>Haoran, X., Verhage, A. &amp; Vandeviver, C., 2022. Violence against on-duty police officers: the role of criminal motivation and premeditation in offenders' choice of weapons. an international journal of police strategies &amp; management, 45 (6), p. 1023–1036.</w:t>
            </w:r>
            <w:r w:rsidR="00BE1BC7" w:rsidRPr="00BE1BC7">
              <w:rPr>
                <w:rFonts w:ascii="Arial" w:hAnsi="Arial" w:cs="Arial"/>
                <w:sz w:val="22"/>
                <w:szCs w:val="22"/>
              </w:rPr>
              <w:t xml:space="preserve"> Available at:</w:t>
            </w:r>
            <w:r w:rsidR="004E3F9A">
              <w:rPr>
                <w:rFonts w:ascii="Arial" w:hAnsi="Arial" w:cs="Arial"/>
                <w:sz w:val="22"/>
                <w:szCs w:val="22"/>
              </w:rPr>
              <w:t xml:space="preserve"> </w:t>
            </w:r>
            <w:r w:rsidR="004E3F9A" w:rsidRPr="004E3F9A">
              <w:rPr>
                <w:rFonts w:ascii="Arial" w:hAnsi="Arial" w:cs="Arial"/>
                <w:sz w:val="22"/>
                <w:szCs w:val="22"/>
              </w:rPr>
              <w:t>DOI:10.1108/PIJPSM-04-2022-0062</w:t>
            </w:r>
            <w:r w:rsidR="004E3F9A">
              <w:rPr>
                <w:rFonts w:ascii="Arial" w:hAnsi="Arial" w:cs="Arial"/>
                <w:sz w:val="22"/>
                <w:szCs w:val="22"/>
              </w:rPr>
              <w:t xml:space="preserve"> </w:t>
            </w:r>
          </w:p>
          <w:p w14:paraId="44FB0E01" w14:textId="77777777" w:rsidR="004E3F9A" w:rsidRDefault="004E3F9A" w:rsidP="003B125B">
            <w:pPr>
              <w:jc w:val="both"/>
              <w:rPr>
                <w:rFonts w:ascii="Arial" w:hAnsi="Arial" w:cs="Arial"/>
                <w:sz w:val="22"/>
                <w:szCs w:val="22"/>
              </w:rPr>
            </w:pPr>
          </w:p>
          <w:p w14:paraId="12560594" w14:textId="77777777" w:rsidR="003B125B" w:rsidRDefault="003B125B" w:rsidP="003B125B">
            <w:pPr>
              <w:jc w:val="both"/>
              <w:rPr>
                <w:rFonts w:ascii="Arial" w:hAnsi="Arial" w:cs="Arial"/>
                <w:sz w:val="22"/>
                <w:szCs w:val="22"/>
              </w:rPr>
            </w:pPr>
            <w:r w:rsidRPr="004A0835">
              <w:rPr>
                <w:rFonts w:ascii="Arial" w:hAnsi="Arial" w:cs="Arial"/>
                <w:sz w:val="22"/>
                <w:szCs w:val="22"/>
              </w:rPr>
              <w:lastRenderedPageBreak/>
              <w:t xml:space="preserve">Hareli, S., Shomrat, N. and Hess, U. (2009) “Emotional Versus Neutral Expressions and Perceptions of Social Dominance and Submissiveness,” Emotion (Washington, D.C.), 9(3), pp. 378–384. Available at: </w:t>
            </w:r>
            <w:hyperlink r:id="rId16" w:history="1">
              <w:r w:rsidRPr="004706AA">
                <w:rPr>
                  <w:rStyle w:val="Hyperlink"/>
                  <w:rFonts w:ascii="Arial" w:hAnsi="Arial" w:cs="Arial"/>
                  <w:sz w:val="22"/>
                  <w:szCs w:val="22"/>
                </w:rPr>
                <w:t>https://doi.org/10.1037/a0015958</w:t>
              </w:r>
            </w:hyperlink>
            <w:r w:rsidRPr="004A0835">
              <w:rPr>
                <w:rFonts w:ascii="Arial" w:hAnsi="Arial" w:cs="Arial"/>
                <w:sz w:val="22"/>
                <w:szCs w:val="22"/>
              </w:rPr>
              <w:t>.</w:t>
            </w:r>
          </w:p>
          <w:p w14:paraId="0920B4A5" w14:textId="77777777" w:rsidR="003B125B" w:rsidRDefault="003B125B" w:rsidP="003B125B">
            <w:pPr>
              <w:jc w:val="both"/>
              <w:rPr>
                <w:rFonts w:ascii="Arial" w:hAnsi="Arial" w:cs="Arial"/>
                <w:sz w:val="22"/>
                <w:szCs w:val="22"/>
              </w:rPr>
            </w:pPr>
          </w:p>
          <w:p w14:paraId="46BEC20F" w14:textId="77777777" w:rsidR="003B125B" w:rsidRDefault="003B125B" w:rsidP="003B125B">
            <w:pPr>
              <w:jc w:val="both"/>
              <w:rPr>
                <w:rFonts w:ascii="Arial" w:hAnsi="Arial" w:cs="Arial"/>
                <w:sz w:val="22"/>
                <w:szCs w:val="22"/>
              </w:rPr>
            </w:pPr>
          </w:p>
          <w:p w14:paraId="1F27820F" w14:textId="58D4377D" w:rsidR="003B125B" w:rsidRPr="009A3DC0" w:rsidRDefault="003B125B" w:rsidP="003B125B">
            <w:pPr>
              <w:jc w:val="both"/>
              <w:rPr>
                <w:rFonts w:ascii="Arial" w:hAnsi="Arial" w:cs="Arial"/>
                <w:sz w:val="22"/>
                <w:szCs w:val="22"/>
              </w:rPr>
            </w:pPr>
            <w:r w:rsidRPr="009A3DC0">
              <w:rPr>
                <w:rFonts w:ascii="Arial" w:hAnsi="Arial" w:cs="Arial"/>
                <w:sz w:val="22"/>
                <w:szCs w:val="22"/>
              </w:rPr>
              <w:t>Koegl, C. J. &amp; Farrington, D. P., 2022 . Advancing Knowledge about Motivations for Criminal Offending. An International Journal of Evidence-based Research, Policy, and Practice, 17(3), pp. 313-334.</w:t>
            </w:r>
            <w:r w:rsidR="00BE1BC7" w:rsidRPr="00BE1BC7">
              <w:rPr>
                <w:rFonts w:ascii="Arial" w:hAnsi="Arial" w:cs="Arial"/>
                <w:sz w:val="22"/>
                <w:szCs w:val="22"/>
              </w:rPr>
              <w:t xml:space="preserve"> Available at:</w:t>
            </w:r>
            <w:r w:rsidR="00700A31">
              <w:rPr>
                <w:rFonts w:ascii="Arial" w:hAnsi="Arial" w:cs="Arial"/>
                <w:sz w:val="22"/>
                <w:szCs w:val="22"/>
              </w:rPr>
              <w:t xml:space="preserve"> </w:t>
            </w:r>
            <w:hyperlink r:id="rId17" w:history="1">
              <w:r w:rsidR="00C072FF" w:rsidRPr="00A254EC">
                <w:rPr>
                  <w:rStyle w:val="Hyperlink"/>
                  <w:rFonts w:ascii="Arial" w:hAnsi="Arial" w:cs="Arial"/>
                  <w:sz w:val="22"/>
                  <w:szCs w:val="22"/>
                </w:rPr>
                <w:t>https://doi.org/10.1080/15564886.2021.1895940</w:t>
              </w:r>
            </w:hyperlink>
            <w:r w:rsidR="00C072FF">
              <w:rPr>
                <w:rFonts w:ascii="Arial" w:hAnsi="Arial" w:cs="Arial"/>
                <w:sz w:val="22"/>
                <w:szCs w:val="22"/>
              </w:rPr>
              <w:t xml:space="preserve"> </w:t>
            </w:r>
          </w:p>
          <w:p w14:paraId="49B52D4D" w14:textId="77777777" w:rsidR="003B125B" w:rsidRPr="004A0835" w:rsidRDefault="003B125B" w:rsidP="003B125B">
            <w:pPr>
              <w:jc w:val="both"/>
              <w:rPr>
                <w:rFonts w:ascii="Arial" w:hAnsi="Arial" w:cs="Arial"/>
                <w:sz w:val="22"/>
                <w:szCs w:val="22"/>
              </w:rPr>
            </w:pPr>
          </w:p>
          <w:p w14:paraId="4697B11F" w14:textId="77777777" w:rsidR="003B125B" w:rsidRDefault="003B125B" w:rsidP="003B125B">
            <w:pPr>
              <w:jc w:val="both"/>
              <w:rPr>
                <w:rFonts w:ascii="Arial" w:hAnsi="Arial" w:cs="Arial"/>
                <w:sz w:val="22"/>
                <w:szCs w:val="22"/>
              </w:rPr>
            </w:pPr>
            <w:r w:rsidRPr="00FA4211">
              <w:rPr>
                <w:rFonts w:ascii="Arial" w:hAnsi="Arial" w:cs="Arial"/>
                <w:sz w:val="22"/>
                <w:szCs w:val="22"/>
              </w:rPr>
              <w:t xml:space="preserve">Miu, K. et al., 2022. Exploring subconscious bias. Journal of laryngology and otology, 136(10), pp. 961-963. Available at: </w:t>
            </w:r>
            <w:hyperlink r:id="rId18" w:history="1">
              <w:r w:rsidRPr="004706AA">
                <w:rPr>
                  <w:rStyle w:val="Hyperlink"/>
                  <w:rFonts w:ascii="Arial" w:hAnsi="Arial" w:cs="Arial"/>
                  <w:sz w:val="22"/>
                  <w:szCs w:val="22"/>
                </w:rPr>
                <w:t>https://doi.org/10.1017/S0022215121004199</w:t>
              </w:r>
            </w:hyperlink>
            <w:r w:rsidRPr="00FA4211">
              <w:rPr>
                <w:rFonts w:ascii="Arial" w:hAnsi="Arial" w:cs="Arial"/>
                <w:sz w:val="22"/>
                <w:szCs w:val="22"/>
              </w:rPr>
              <w:t>.</w:t>
            </w:r>
          </w:p>
          <w:p w14:paraId="4472DD69" w14:textId="77777777" w:rsidR="003B125B" w:rsidRDefault="003B125B" w:rsidP="003B125B">
            <w:pPr>
              <w:jc w:val="both"/>
              <w:rPr>
                <w:rFonts w:ascii="Arial" w:hAnsi="Arial" w:cs="Arial"/>
                <w:sz w:val="22"/>
                <w:szCs w:val="22"/>
              </w:rPr>
            </w:pPr>
          </w:p>
          <w:p w14:paraId="05A4D53F" w14:textId="77777777" w:rsidR="003B125B" w:rsidRDefault="003B125B" w:rsidP="003B125B">
            <w:pPr>
              <w:jc w:val="both"/>
              <w:rPr>
                <w:rFonts w:ascii="Arial" w:hAnsi="Arial" w:cs="Arial"/>
                <w:sz w:val="22"/>
                <w:szCs w:val="22"/>
              </w:rPr>
            </w:pPr>
          </w:p>
          <w:p w14:paraId="1F958C09" w14:textId="15E56A77" w:rsidR="003B125B" w:rsidRDefault="003B125B" w:rsidP="003B125B">
            <w:pPr>
              <w:jc w:val="both"/>
              <w:rPr>
                <w:rFonts w:ascii="Arial" w:hAnsi="Arial" w:cs="Arial"/>
                <w:sz w:val="22"/>
                <w:szCs w:val="22"/>
              </w:rPr>
            </w:pPr>
            <w:r w:rsidRPr="003B7802">
              <w:rPr>
                <w:rFonts w:ascii="Arial" w:hAnsi="Arial" w:cs="Arial"/>
                <w:sz w:val="22"/>
                <w:szCs w:val="22"/>
              </w:rPr>
              <w:t>Monti, E. et al., 2024. Can perpetrators discern survivors from voice?. European Journal of Psychotraumatology, 15(1).</w:t>
            </w:r>
            <w:r w:rsidR="00BE1BC7" w:rsidRPr="00BE1BC7">
              <w:rPr>
                <w:rFonts w:ascii="Arial" w:hAnsi="Arial" w:cs="Arial"/>
                <w:sz w:val="22"/>
                <w:szCs w:val="22"/>
              </w:rPr>
              <w:t xml:space="preserve"> Available at:</w:t>
            </w:r>
            <w:r w:rsidR="00401566">
              <w:t xml:space="preserve"> </w:t>
            </w:r>
            <w:r w:rsidR="00401566" w:rsidRPr="00401566">
              <w:rPr>
                <w:rFonts w:ascii="Arial" w:hAnsi="Arial" w:cs="Arial"/>
                <w:sz w:val="22"/>
                <w:szCs w:val="22"/>
              </w:rPr>
              <w:t>doi: 10.1080/20008066.2024.2358681</w:t>
            </w:r>
            <w:r w:rsidR="00401566">
              <w:rPr>
                <w:rFonts w:ascii="Arial" w:hAnsi="Arial" w:cs="Arial"/>
                <w:sz w:val="22"/>
                <w:szCs w:val="22"/>
              </w:rPr>
              <w:t xml:space="preserve"> </w:t>
            </w:r>
          </w:p>
          <w:p w14:paraId="4729E6F2" w14:textId="77777777" w:rsidR="003B125B" w:rsidRDefault="003B125B" w:rsidP="003B125B">
            <w:pPr>
              <w:jc w:val="both"/>
              <w:rPr>
                <w:rFonts w:ascii="Arial" w:hAnsi="Arial" w:cs="Arial"/>
                <w:sz w:val="22"/>
                <w:szCs w:val="22"/>
              </w:rPr>
            </w:pPr>
          </w:p>
          <w:p w14:paraId="2D8DBC2A" w14:textId="73759C9E" w:rsidR="003B125B" w:rsidRDefault="003B125B" w:rsidP="003B125B">
            <w:pPr>
              <w:jc w:val="both"/>
              <w:rPr>
                <w:rFonts w:ascii="Arial" w:hAnsi="Arial" w:cs="Arial"/>
                <w:sz w:val="22"/>
                <w:szCs w:val="22"/>
              </w:rPr>
            </w:pPr>
            <w:r w:rsidRPr="00EF3C5E">
              <w:rPr>
                <w:rFonts w:ascii="Arial" w:hAnsi="Arial" w:cs="Arial"/>
                <w:sz w:val="22"/>
                <w:szCs w:val="22"/>
              </w:rPr>
              <w:t>Reboch, M. F. &amp; P. S., 2014. Target selection in rapists: The role of environmental and contextual factors. Aggression and Violent Behavior, 19(1), pp. 42-49.</w:t>
            </w:r>
            <w:r w:rsidR="00BE1BC7" w:rsidRPr="00BE1BC7">
              <w:rPr>
                <w:rFonts w:ascii="Arial" w:hAnsi="Arial" w:cs="Arial"/>
                <w:sz w:val="22"/>
                <w:szCs w:val="22"/>
              </w:rPr>
              <w:t xml:space="preserve"> Available at:</w:t>
            </w:r>
            <w:r w:rsidR="001C1F57">
              <w:rPr>
                <w:rFonts w:ascii="Arial" w:hAnsi="Arial" w:cs="Arial"/>
                <w:sz w:val="22"/>
                <w:szCs w:val="22"/>
              </w:rPr>
              <w:t xml:space="preserve"> </w:t>
            </w:r>
          </w:p>
          <w:p w14:paraId="747F73AD" w14:textId="1A22E206" w:rsidR="00717573" w:rsidRDefault="00717573" w:rsidP="003B125B">
            <w:pPr>
              <w:jc w:val="both"/>
              <w:rPr>
                <w:rFonts w:ascii="Arial" w:hAnsi="Arial" w:cs="Arial"/>
                <w:sz w:val="22"/>
                <w:szCs w:val="22"/>
              </w:rPr>
            </w:pPr>
            <w:r w:rsidRPr="00717573">
              <w:rPr>
                <w:rFonts w:ascii="Arial" w:hAnsi="Arial" w:cs="Arial"/>
                <w:sz w:val="22"/>
                <w:szCs w:val="22"/>
              </w:rPr>
              <w:t>https://doi.org/10.1016/j.avb.2013.12.003.</w:t>
            </w:r>
          </w:p>
          <w:p w14:paraId="31786077" w14:textId="77777777" w:rsidR="003B125B" w:rsidRDefault="003B125B" w:rsidP="003B125B">
            <w:pPr>
              <w:jc w:val="both"/>
              <w:rPr>
                <w:rFonts w:ascii="Arial" w:hAnsi="Arial" w:cs="Arial"/>
                <w:sz w:val="22"/>
                <w:szCs w:val="22"/>
              </w:rPr>
            </w:pPr>
          </w:p>
          <w:p w14:paraId="72197A76" w14:textId="3EB7D248" w:rsidR="003B125B" w:rsidRDefault="003B125B" w:rsidP="003B125B">
            <w:pPr>
              <w:jc w:val="both"/>
              <w:rPr>
                <w:rFonts w:ascii="Arial" w:hAnsi="Arial" w:cs="Arial"/>
                <w:sz w:val="22"/>
                <w:szCs w:val="22"/>
              </w:rPr>
            </w:pPr>
            <w:r w:rsidRPr="004E7D8D">
              <w:rPr>
                <w:rFonts w:ascii="Arial" w:hAnsi="Arial" w:cs="Arial"/>
                <w:sz w:val="22"/>
                <w:szCs w:val="22"/>
              </w:rPr>
              <w:t xml:space="preserve">Townsley, M. et al., 2015. Burglar Target Selection. </w:t>
            </w:r>
            <w:r w:rsidR="00717573">
              <w:rPr>
                <w:rFonts w:ascii="Arial" w:hAnsi="Arial" w:cs="Arial"/>
                <w:sz w:val="22"/>
                <w:szCs w:val="22"/>
              </w:rPr>
              <w:t>J</w:t>
            </w:r>
            <w:r w:rsidRPr="004E7D8D">
              <w:rPr>
                <w:rFonts w:ascii="Arial" w:hAnsi="Arial" w:cs="Arial"/>
                <w:sz w:val="22"/>
                <w:szCs w:val="22"/>
              </w:rPr>
              <w:t>ournal of Research in Crime and Delinquency, 52(1), pp. 3-31.</w:t>
            </w:r>
            <w:r w:rsidR="00BE1BC7" w:rsidRPr="00BE1BC7">
              <w:rPr>
                <w:rFonts w:ascii="Arial" w:hAnsi="Arial" w:cs="Arial"/>
                <w:sz w:val="22"/>
                <w:szCs w:val="22"/>
              </w:rPr>
              <w:t xml:space="preserve"> Available at:</w:t>
            </w:r>
            <w:r w:rsidR="00AD0A74">
              <w:rPr>
                <w:rFonts w:ascii="Arial" w:hAnsi="Arial" w:cs="Arial"/>
                <w:sz w:val="22"/>
                <w:szCs w:val="22"/>
              </w:rPr>
              <w:t xml:space="preserve"> </w:t>
            </w:r>
            <w:r w:rsidR="00AD0A74" w:rsidRPr="00AD0A74">
              <w:rPr>
                <w:rFonts w:ascii="Arial" w:hAnsi="Arial" w:cs="Arial"/>
                <w:sz w:val="22"/>
                <w:szCs w:val="22"/>
              </w:rPr>
              <w:t>doi: 10.1177/0022427814541447</w:t>
            </w:r>
          </w:p>
          <w:p w14:paraId="567BFAC6" w14:textId="77777777" w:rsidR="003B125B" w:rsidRDefault="003B125B" w:rsidP="003B125B">
            <w:pPr>
              <w:jc w:val="both"/>
              <w:rPr>
                <w:rFonts w:ascii="Arial" w:hAnsi="Arial" w:cs="Arial"/>
                <w:sz w:val="22"/>
                <w:szCs w:val="22"/>
              </w:rPr>
            </w:pPr>
          </w:p>
          <w:p w14:paraId="6D506C26" w14:textId="77777777" w:rsidR="003B125B" w:rsidRPr="004A0835" w:rsidRDefault="003B125B" w:rsidP="003B125B">
            <w:pPr>
              <w:jc w:val="both"/>
              <w:rPr>
                <w:rFonts w:ascii="Arial" w:hAnsi="Arial" w:cs="Arial"/>
                <w:sz w:val="22"/>
                <w:szCs w:val="22"/>
              </w:rPr>
            </w:pPr>
          </w:p>
          <w:p w14:paraId="4151CF10" w14:textId="77777777" w:rsidR="003B125B" w:rsidRDefault="003B125B" w:rsidP="003B125B">
            <w:pPr>
              <w:jc w:val="both"/>
              <w:rPr>
                <w:rFonts w:ascii="Arial" w:hAnsi="Arial" w:cs="Arial"/>
                <w:sz w:val="22"/>
                <w:szCs w:val="22"/>
              </w:rPr>
            </w:pPr>
            <w:r w:rsidRPr="004A0835">
              <w:rPr>
                <w:rFonts w:ascii="Arial" w:hAnsi="Arial" w:cs="Arial"/>
                <w:sz w:val="22"/>
                <w:szCs w:val="22"/>
              </w:rPr>
              <w:t xml:space="preserve">Wheeler, S., Book, A. and Costello, K. (2009) “Psychopathic Traits and Perceptions of Victim Vulnerability,” Criminal justice and behaviour, 36(6), pp. 635–648. Available at: </w:t>
            </w:r>
            <w:hyperlink r:id="rId19" w:history="1">
              <w:r w:rsidRPr="004706AA">
                <w:rPr>
                  <w:rStyle w:val="Hyperlink"/>
                  <w:rFonts w:ascii="Arial" w:hAnsi="Arial" w:cs="Arial"/>
                  <w:sz w:val="22"/>
                  <w:szCs w:val="22"/>
                </w:rPr>
                <w:t>https://doi.org/10.1177/0093854809333958</w:t>
              </w:r>
            </w:hyperlink>
            <w:r w:rsidRPr="004A0835">
              <w:rPr>
                <w:rFonts w:ascii="Arial" w:hAnsi="Arial" w:cs="Arial"/>
                <w:sz w:val="22"/>
                <w:szCs w:val="22"/>
              </w:rPr>
              <w:t>.</w:t>
            </w:r>
          </w:p>
          <w:p w14:paraId="7E3CE87B" w14:textId="77777777" w:rsidR="00C05F47" w:rsidRDefault="00C05F47" w:rsidP="004A0835">
            <w:pPr>
              <w:jc w:val="both"/>
              <w:rPr>
                <w:rFonts w:ascii="Arial" w:hAnsi="Arial" w:cs="Arial"/>
                <w:sz w:val="22"/>
                <w:szCs w:val="22"/>
              </w:rPr>
            </w:pPr>
          </w:p>
          <w:p w14:paraId="753F988B" w14:textId="7750C239" w:rsidR="00C05F47" w:rsidRPr="00661453" w:rsidRDefault="00C05F47" w:rsidP="004A0835">
            <w:pPr>
              <w:jc w:val="both"/>
              <w:rPr>
                <w:rFonts w:ascii="Arial" w:hAnsi="Arial" w:cs="Arial"/>
                <w:sz w:val="22"/>
                <w:szCs w:val="22"/>
              </w:rPr>
            </w:pPr>
          </w:p>
        </w:tc>
      </w:tr>
    </w:tbl>
    <w:p w14:paraId="110460D1" w14:textId="77777777" w:rsidR="00152E9D" w:rsidRPr="00A406E5" w:rsidRDefault="00152E9D" w:rsidP="00D217CD">
      <w:pPr>
        <w:rPr>
          <w:rFonts w:ascii="Arial" w:hAnsi="Arial" w:cs="Arial"/>
          <w:sz w:val="24"/>
          <w:szCs w:val="24"/>
        </w:rPr>
      </w:pPr>
    </w:p>
    <w:p w14:paraId="40858C84" w14:textId="77777777" w:rsidR="00FA4211" w:rsidRPr="00A406E5" w:rsidRDefault="00FA4211">
      <w:pPr>
        <w:ind w:left="720"/>
        <w:rPr>
          <w:rFonts w:ascii="Arial" w:hAnsi="Arial" w:cs="Arial"/>
          <w:sz w:val="24"/>
          <w:szCs w:val="24"/>
        </w:rPr>
      </w:pPr>
    </w:p>
    <w:sectPr w:rsidR="00FA4211" w:rsidRPr="00A406E5" w:rsidSect="008D6C94">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7FBC93" w14:textId="77777777" w:rsidR="00253F41" w:rsidRDefault="00253F41">
      <w:r>
        <w:separator/>
      </w:r>
    </w:p>
  </w:endnote>
  <w:endnote w:type="continuationSeparator" w:id="0">
    <w:p w14:paraId="59ABB048" w14:textId="77777777" w:rsidR="00253F41" w:rsidRDefault="00253F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A4D9BC" w14:textId="77777777" w:rsidR="00253F41" w:rsidRDefault="00253F41">
      <w:r>
        <w:separator/>
      </w:r>
    </w:p>
  </w:footnote>
  <w:footnote w:type="continuationSeparator" w:id="0">
    <w:p w14:paraId="6A1E35BE" w14:textId="77777777" w:rsidR="00253F41" w:rsidRDefault="00253F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7E25FE"/>
    <w:multiLevelType w:val="hybridMultilevel"/>
    <w:tmpl w:val="7156730A"/>
    <w:lvl w:ilvl="0" w:tplc="C4E28CC4">
      <w:start w:val="1"/>
      <w:numFmt w:val="bullet"/>
      <w:lvlText w:val="•"/>
      <w:lvlJc w:val="left"/>
      <w:pPr>
        <w:tabs>
          <w:tab w:val="num" w:pos="720"/>
        </w:tabs>
        <w:ind w:left="720" w:hanging="360"/>
      </w:pPr>
      <w:rPr>
        <w:rFonts w:ascii="Arial" w:hAnsi="Arial" w:hint="default"/>
      </w:rPr>
    </w:lvl>
    <w:lvl w:ilvl="1" w:tplc="C7E4FEC8" w:tentative="1">
      <w:start w:val="1"/>
      <w:numFmt w:val="bullet"/>
      <w:lvlText w:val="•"/>
      <w:lvlJc w:val="left"/>
      <w:pPr>
        <w:tabs>
          <w:tab w:val="num" w:pos="1440"/>
        </w:tabs>
        <w:ind w:left="1440" w:hanging="360"/>
      </w:pPr>
      <w:rPr>
        <w:rFonts w:ascii="Arial" w:hAnsi="Arial" w:hint="default"/>
      </w:rPr>
    </w:lvl>
    <w:lvl w:ilvl="2" w:tplc="07E41BB2" w:tentative="1">
      <w:start w:val="1"/>
      <w:numFmt w:val="bullet"/>
      <w:lvlText w:val="•"/>
      <w:lvlJc w:val="left"/>
      <w:pPr>
        <w:tabs>
          <w:tab w:val="num" w:pos="2160"/>
        </w:tabs>
        <w:ind w:left="2160" w:hanging="360"/>
      </w:pPr>
      <w:rPr>
        <w:rFonts w:ascii="Arial" w:hAnsi="Arial" w:hint="default"/>
      </w:rPr>
    </w:lvl>
    <w:lvl w:ilvl="3" w:tplc="FE06BB6C" w:tentative="1">
      <w:start w:val="1"/>
      <w:numFmt w:val="bullet"/>
      <w:lvlText w:val="•"/>
      <w:lvlJc w:val="left"/>
      <w:pPr>
        <w:tabs>
          <w:tab w:val="num" w:pos="2880"/>
        </w:tabs>
        <w:ind w:left="2880" w:hanging="360"/>
      </w:pPr>
      <w:rPr>
        <w:rFonts w:ascii="Arial" w:hAnsi="Arial" w:hint="default"/>
      </w:rPr>
    </w:lvl>
    <w:lvl w:ilvl="4" w:tplc="911C7FDC" w:tentative="1">
      <w:start w:val="1"/>
      <w:numFmt w:val="bullet"/>
      <w:lvlText w:val="•"/>
      <w:lvlJc w:val="left"/>
      <w:pPr>
        <w:tabs>
          <w:tab w:val="num" w:pos="3600"/>
        </w:tabs>
        <w:ind w:left="3600" w:hanging="360"/>
      </w:pPr>
      <w:rPr>
        <w:rFonts w:ascii="Arial" w:hAnsi="Arial" w:hint="default"/>
      </w:rPr>
    </w:lvl>
    <w:lvl w:ilvl="5" w:tplc="99B6657E" w:tentative="1">
      <w:start w:val="1"/>
      <w:numFmt w:val="bullet"/>
      <w:lvlText w:val="•"/>
      <w:lvlJc w:val="left"/>
      <w:pPr>
        <w:tabs>
          <w:tab w:val="num" w:pos="4320"/>
        </w:tabs>
        <w:ind w:left="4320" w:hanging="360"/>
      </w:pPr>
      <w:rPr>
        <w:rFonts w:ascii="Arial" w:hAnsi="Arial" w:hint="default"/>
      </w:rPr>
    </w:lvl>
    <w:lvl w:ilvl="6" w:tplc="19F04A2C" w:tentative="1">
      <w:start w:val="1"/>
      <w:numFmt w:val="bullet"/>
      <w:lvlText w:val="•"/>
      <w:lvlJc w:val="left"/>
      <w:pPr>
        <w:tabs>
          <w:tab w:val="num" w:pos="5040"/>
        </w:tabs>
        <w:ind w:left="5040" w:hanging="360"/>
      </w:pPr>
      <w:rPr>
        <w:rFonts w:ascii="Arial" w:hAnsi="Arial" w:hint="default"/>
      </w:rPr>
    </w:lvl>
    <w:lvl w:ilvl="7" w:tplc="109A3018" w:tentative="1">
      <w:start w:val="1"/>
      <w:numFmt w:val="bullet"/>
      <w:lvlText w:val="•"/>
      <w:lvlJc w:val="left"/>
      <w:pPr>
        <w:tabs>
          <w:tab w:val="num" w:pos="5760"/>
        </w:tabs>
        <w:ind w:left="5760" w:hanging="360"/>
      </w:pPr>
      <w:rPr>
        <w:rFonts w:ascii="Arial" w:hAnsi="Arial" w:hint="default"/>
      </w:rPr>
    </w:lvl>
    <w:lvl w:ilvl="8" w:tplc="72465C8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1"/>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806004601">
    <w:abstractNumId w:val="17"/>
  </w:num>
  <w:num w:numId="18" w16cid:durableId="48204768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4F"/>
    <w:rsid w:val="00011666"/>
    <w:rsid w:val="00026B02"/>
    <w:rsid w:val="00044836"/>
    <w:rsid w:val="000458D3"/>
    <w:rsid w:val="0005428F"/>
    <w:rsid w:val="000641B1"/>
    <w:rsid w:val="000749CF"/>
    <w:rsid w:val="00077B8A"/>
    <w:rsid w:val="00081492"/>
    <w:rsid w:val="000822E5"/>
    <w:rsid w:val="00085DD4"/>
    <w:rsid w:val="000961F5"/>
    <w:rsid w:val="000971FC"/>
    <w:rsid w:val="000A2A3A"/>
    <w:rsid w:val="000A481C"/>
    <w:rsid w:val="000A492A"/>
    <w:rsid w:val="000B3084"/>
    <w:rsid w:val="000B44E7"/>
    <w:rsid w:val="000B7F89"/>
    <w:rsid w:val="000D2F80"/>
    <w:rsid w:val="000E413A"/>
    <w:rsid w:val="000F56B9"/>
    <w:rsid w:val="000F5AA3"/>
    <w:rsid w:val="00100396"/>
    <w:rsid w:val="00100B5C"/>
    <w:rsid w:val="001106E9"/>
    <w:rsid w:val="0011405A"/>
    <w:rsid w:val="00121642"/>
    <w:rsid w:val="00124CA5"/>
    <w:rsid w:val="00134F77"/>
    <w:rsid w:val="00152E9D"/>
    <w:rsid w:val="00154487"/>
    <w:rsid w:val="00164708"/>
    <w:rsid w:val="0017512A"/>
    <w:rsid w:val="001764DC"/>
    <w:rsid w:val="00196958"/>
    <w:rsid w:val="001A0753"/>
    <w:rsid w:val="001A1E39"/>
    <w:rsid w:val="001A24F3"/>
    <w:rsid w:val="001B405C"/>
    <w:rsid w:val="001B5F45"/>
    <w:rsid w:val="001C1F57"/>
    <w:rsid w:val="001D537B"/>
    <w:rsid w:val="001E1050"/>
    <w:rsid w:val="001E1BCB"/>
    <w:rsid w:val="001E1E1F"/>
    <w:rsid w:val="001E2007"/>
    <w:rsid w:val="001E57C1"/>
    <w:rsid w:val="001F07EF"/>
    <w:rsid w:val="001F50B6"/>
    <w:rsid w:val="001F6D7A"/>
    <w:rsid w:val="0020464A"/>
    <w:rsid w:val="0022746E"/>
    <w:rsid w:val="00230463"/>
    <w:rsid w:val="00235F71"/>
    <w:rsid w:val="002444CA"/>
    <w:rsid w:val="00253F41"/>
    <w:rsid w:val="00254D01"/>
    <w:rsid w:val="00260DE6"/>
    <w:rsid w:val="0026259F"/>
    <w:rsid w:val="00273195"/>
    <w:rsid w:val="00273FEE"/>
    <w:rsid w:val="0028204E"/>
    <w:rsid w:val="00284B09"/>
    <w:rsid w:val="0028591B"/>
    <w:rsid w:val="002878BF"/>
    <w:rsid w:val="00291841"/>
    <w:rsid w:val="00294D1B"/>
    <w:rsid w:val="002C15EF"/>
    <w:rsid w:val="002C2E1E"/>
    <w:rsid w:val="002C449B"/>
    <w:rsid w:val="002C6040"/>
    <w:rsid w:val="002D5B3F"/>
    <w:rsid w:val="002E272E"/>
    <w:rsid w:val="002F5778"/>
    <w:rsid w:val="003223E0"/>
    <w:rsid w:val="00322C69"/>
    <w:rsid w:val="00352A15"/>
    <w:rsid w:val="00352C4A"/>
    <w:rsid w:val="00360AD6"/>
    <w:rsid w:val="00362560"/>
    <w:rsid w:val="003709F1"/>
    <w:rsid w:val="003732FD"/>
    <w:rsid w:val="003753B2"/>
    <w:rsid w:val="00376559"/>
    <w:rsid w:val="00382BAA"/>
    <w:rsid w:val="00384D73"/>
    <w:rsid w:val="00385909"/>
    <w:rsid w:val="00393EB6"/>
    <w:rsid w:val="003A3CE5"/>
    <w:rsid w:val="003B0AA0"/>
    <w:rsid w:val="003B125B"/>
    <w:rsid w:val="003B1C47"/>
    <w:rsid w:val="003B366F"/>
    <w:rsid w:val="003B3F9D"/>
    <w:rsid w:val="003B6C95"/>
    <w:rsid w:val="003B7802"/>
    <w:rsid w:val="003C62F2"/>
    <w:rsid w:val="003D2BFC"/>
    <w:rsid w:val="003D7668"/>
    <w:rsid w:val="003E5751"/>
    <w:rsid w:val="003E7D42"/>
    <w:rsid w:val="003F2312"/>
    <w:rsid w:val="00401566"/>
    <w:rsid w:val="004046A9"/>
    <w:rsid w:val="00404C50"/>
    <w:rsid w:val="004101B3"/>
    <w:rsid w:val="00423934"/>
    <w:rsid w:val="00426244"/>
    <w:rsid w:val="00451810"/>
    <w:rsid w:val="00470A38"/>
    <w:rsid w:val="00477880"/>
    <w:rsid w:val="004874DE"/>
    <w:rsid w:val="004A0835"/>
    <w:rsid w:val="004A4073"/>
    <w:rsid w:val="004B3FF8"/>
    <w:rsid w:val="004B5334"/>
    <w:rsid w:val="004B6C14"/>
    <w:rsid w:val="004D5E9B"/>
    <w:rsid w:val="004D63D9"/>
    <w:rsid w:val="004E3F9A"/>
    <w:rsid w:val="004E6585"/>
    <w:rsid w:val="004E7D8D"/>
    <w:rsid w:val="004F2207"/>
    <w:rsid w:val="004F2BC9"/>
    <w:rsid w:val="004F52EC"/>
    <w:rsid w:val="0050249F"/>
    <w:rsid w:val="00524566"/>
    <w:rsid w:val="00527E60"/>
    <w:rsid w:val="00530BEF"/>
    <w:rsid w:val="00552351"/>
    <w:rsid w:val="005560E1"/>
    <w:rsid w:val="00561F00"/>
    <w:rsid w:val="00562C4E"/>
    <w:rsid w:val="00562DEC"/>
    <w:rsid w:val="00576AB4"/>
    <w:rsid w:val="00577917"/>
    <w:rsid w:val="00590667"/>
    <w:rsid w:val="005969E2"/>
    <w:rsid w:val="005976F7"/>
    <w:rsid w:val="005A1689"/>
    <w:rsid w:val="005B61CD"/>
    <w:rsid w:val="005D1D58"/>
    <w:rsid w:val="005D1FE2"/>
    <w:rsid w:val="005D432C"/>
    <w:rsid w:val="005E285E"/>
    <w:rsid w:val="005E38A6"/>
    <w:rsid w:val="005E72F8"/>
    <w:rsid w:val="005F0579"/>
    <w:rsid w:val="005F17B3"/>
    <w:rsid w:val="005F3A53"/>
    <w:rsid w:val="00605BB0"/>
    <w:rsid w:val="006062A3"/>
    <w:rsid w:val="00610E08"/>
    <w:rsid w:val="006140BF"/>
    <w:rsid w:val="006161BE"/>
    <w:rsid w:val="00620787"/>
    <w:rsid w:val="00632434"/>
    <w:rsid w:val="00632EA9"/>
    <w:rsid w:val="0063478F"/>
    <w:rsid w:val="006379DF"/>
    <w:rsid w:val="00644256"/>
    <w:rsid w:val="00661138"/>
    <w:rsid w:val="00661453"/>
    <w:rsid w:val="00661D6F"/>
    <w:rsid w:val="006628E9"/>
    <w:rsid w:val="0066725E"/>
    <w:rsid w:val="006716C7"/>
    <w:rsid w:val="00676B2C"/>
    <w:rsid w:val="00681208"/>
    <w:rsid w:val="00681FA9"/>
    <w:rsid w:val="006832FE"/>
    <w:rsid w:val="006906D2"/>
    <w:rsid w:val="00691EA9"/>
    <w:rsid w:val="006934D4"/>
    <w:rsid w:val="006A6DC3"/>
    <w:rsid w:val="006B104A"/>
    <w:rsid w:val="006B22F5"/>
    <w:rsid w:val="006C2341"/>
    <w:rsid w:val="006C43DC"/>
    <w:rsid w:val="006D49ED"/>
    <w:rsid w:val="006D55CE"/>
    <w:rsid w:val="006D637A"/>
    <w:rsid w:val="006D6F24"/>
    <w:rsid w:val="006E5618"/>
    <w:rsid w:val="006F0F95"/>
    <w:rsid w:val="006F45BF"/>
    <w:rsid w:val="006F60E0"/>
    <w:rsid w:val="00700A31"/>
    <w:rsid w:val="00702A00"/>
    <w:rsid w:val="00702C59"/>
    <w:rsid w:val="00702F71"/>
    <w:rsid w:val="0070375A"/>
    <w:rsid w:val="00717573"/>
    <w:rsid w:val="007366DF"/>
    <w:rsid w:val="00757839"/>
    <w:rsid w:val="00770C81"/>
    <w:rsid w:val="00791024"/>
    <w:rsid w:val="00793F0A"/>
    <w:rsid w:val="007A2657"/>
    <w:rsid w:val="007A4379"/>
    <w:rsid w:val="007B42C5"/>
    <w:rsid w:val="007B69DA"/>
    <w:rsid w:val="007C4314"/>
    <w:rsid w:val="007C682C"/>
    <w:rsid w:val="007D2385"/>
    <w:rsid w:val="007D32C6"/>
    <w:rsid w:val="007D50D4"/>
    <w:rsid w:val="007D54A3"/>
    <w:rsid w:val="007F214F"/>
    <w:rsid w:val="007F76C0"/>
    <w:rsid w:val="00800069"/>
    <w:rsid w:val="00800A63"/>
    <w:rsid w:val="008042F0"/>
    <w:rsid w:val="008310A0"/>
    <w:rsid w:val="00835D29"/>
    <w:rsid w:val="00842E7F"/>
    <w:rsid w:val="0085255D"/>
    <w:rsid w:val="00852933"/>
    <w:rsid w:val="008566E5"/>
    <w:rsid w:val="008566FE"/>
    <w:rsid w:val="00865B46"/>
    <w:rsid w:val="00876745"/>
    <w:rsid w:val="00882A18"/>
    <w:rsid w:val="00896134"/>
    <w:rsid w:val="008A00C5"/>
    <w:rsid w:val="008A35B9"/>
    <w:rsid w:val="008A62BC"/>
    <w:rsid w:val="008B43E7"/>
    <w:rsid w:val="008D114A"/>
    <w:rsid w:val="008D18DE"/>
    <w:rsid w:val="008D6C94"/>
    <w:rsid w:val="008D763F"/>
    <w:rsid w:val="008E1D3C"/>
    <w:rsid w:val="008E530F"/>
    <w:rsid w:val="008F036F"/>
    <w:rsid w:val="008F1308"/>
    <w:rsid w:val="008F78C2"/>
    <w:rsid w:val="00904568"/>
    <w:rsid w:val="00911394"/>
    <w:rsid w:val="009124DE"/>
    <w:rsid w:val="00923EF2"/>
    <w:rsid w:val="00926D25"/>
    <w:rsid w:val="00926E9D"/>
    <w:rsid w:val="0092728D"/>
    <w:rsid w:val="009315A0"/>
    <w:rsid w:val="00932C6E"/>
    <w:rsid w:val="00933F10"/>
    <w:rsid w:val="009433C5"/>
    <w:rsid w:val="00956991"/>
    <w:rsid w:val="009633D2"/>
    <w:rsid w:val="00965881"/>
    <w:rsid w:val="009871FF"/>
    <w:rsid w:val="00990799"/>
    <w:rsid w:val="00995D51"/>
    <w:rsid w:val="009A0631"/>
    <w:rsid w:val="009A3DC0"/>
    <w:rsid w:val="009B10ED"/>
    <w:rsid w:val="009C1B5F"/>
    <w:rsid w:val="009D3EA4"/>
    <w:rsid w:val="009D649C"/>
    <w:rsid w:val="009E4BC1"/>
    <w:rsid w:val="009F20B4"/>
    <w:rsid w:val="009F5CB2"/>
    <w:rsid w:val="00A03BB8"/>
    <w:rsid w:val="00A16E98"/>
    <w:rsid w:val="00A227B6"/>
    <w:rsid w:val="00A3505D"/>
    <w:rsid w:val="00A4036F"/>
    <w:rsid w:val="00A405B9"/>
    <w:rsid w:val="00A406E5"/>
    <w:rsid w:val="00A462E8"/>
    <w:rsid w:val="00A4641C"/>
    <w:rsid w:val="00A55876"/>
    <w:rsid w:val="00A67FB1"/>
    <w:rsid w:val="00A80C60"/>
    <w:rsid w:val="00A85BFE"/>
    <w:rsid w:val="00A909C4"/>
    <w:rsid w:val="00AA5AFA"/>
    <w:rsid w:val="00AB4AA6"/>
    <w:rsid w:val="00AB6FE7"/>
    <w:rsid w:val="00AB7AD7"/>
    <w:rsid w:val="00AC5E8F"/>
    <w:rsid w:val="00AD0A74"/>
    <w:rsid w:val="00AD2430"/>
    <w:rsid w:val="00AE41A6"/>
    <w:rsid w:val="00AF0E34"/>
    <w:rsid w:val="00AF271D"/>
    <w:rsid w:val="00AF56C2"/>
    <w:rsid w:val="00B004E6"/>
    <w:rsid w:val="00B03042"/>
    <w:rsid w:val="00B0744D"/>
    <w:rsid w:val="00B446FB"/>
    <w:rsid w:val="00B50EA8"/>
    <w:rsid w:val="00B577EE"/>
    <w:rsid w:val="00B64082"/>
    <w:rsid w:val="00B72325"/>
    <w:rsid w:val="00B732F1"/>
    <w:rsid w:val="00B81AD3"/>
    <w:rsid w:val="00B829D8"/>
    <w:rsid w:val="00B84B5B"/>
    <w:rsid w:val="00B86446"/>
    <w:rsid w:val="00B92321"/>
    <w:rsid w:val="00B95A18"/>
    <w:rsid w:val="00BA1176"/>
    <w:rsid w:val="00BD4F9E"/>
    <w:rsid w:val="00BE0B01"/>
    <w:rsid w:val="00BE1BC7"/>
    <w:rsid w:val="00BE79C7"/>
    <w:rsid w:val="00BF3CB5"/>
    <w:rsid w:val="00C01A3F"/>
    <w:rsid w:val="00C05F47"/>
    <w:rsid w:val="00C06FDB"/>
    <w:rsid w:val="00C072FF"/>
    <w:rsid w:val="00C073F1"/>
    <w:rsid w:val="00C1285B"/>
    <w:rsid w:val="00C1361B"/>
    <w:rsid w:val="00C14E1F"/>
    <w:rsid w:val="00C20267"/>
    <w:rsid w:val="00C315AF"/>
    <w:rsid w:val="00C36D9A"/>
    <w:rsid w:val="00C44A72"/>
    <w:rsid w:val="00C61FC2"/>
    <w:rsid w:val="00C676C0"/>
    <w:rsid w:val="00C705F9"/>
    <w:rsid w:val="00C80F0F"/>
    <w:rsid w:val="00C8667A"/>
    <w:rsid w:val="00C93BCB"/>
    <w:rsid w:val="00CA1A08"/>
    <w:rsid w:val="00CC241A"/>
    <w:rsid w:val="00CE4035"/>
    <w:rsid w:val="00CE65AB"/>
    <w:rsid w:val="00CF1869"/>
    <w:rsid w:val="00CF4266"/>
    <w:rsid w:val="00D110AD"/>
    <w:rsid w:val="00D133F1"/>
    <w:rsid w:val="00D15EAF"/>
    <w:rsid w:val="00D217CD"/>
    <w:rsid w:val="00D22D9C"/>
    <w:rsid w:val="00D241F1"/>
    <w:rsid w:val="00D24918"/>
    <w:rsid w:val="00D275CB"/>
    <w:rsid w:val="00D30DFA"/>
    <w:rsid w:val="00D463A5"/>
    <w:rsid w:val="00D46727"/>
    <w:rsid w:val="00D4710D"/>
    <w:rsid w:val="00D47D25"/>
    <w:rsid w:val="00D536BA"/>
    <w:rsid w:val="00D62ACD"/>
    <w:rsid w:val="00D66BB3"/>
    <w:rsid w:val="00D8667B"/>
    <w:rsid w:val="00D93BEB"/>
    <w:rsid w:val="00DA36EE"/>
    <w:rsid w:val="00DB116D"/>
    <w:rsid w:val="00DB5EE4"/>
    <w:rsid w:val="00DC0735"/>
    <w:rsid w:val="00DC45D9"/>
    <w:rsid w:val="00DD17CC"/>
    <w:rsid w:val="00DE217A"/>
    <w:rsid w:val="00DF321B"/>
    <w:rsid w:val="00E027BF"/>
    <w:rsid w:val="00E124A2"/>
    <w:rsid w:val="00E230E0"/>
    <w:rsid w:val="00E27F15"/>
    <w:rsid w:val="00E41069"/>
    <w:rsid w:val="00E51AAC"/>
    <w:rsid w:val="00E66CC0"/>
    <w:rsid w:val="00E728A9"/>
    <w:rsid w:val="00E807D9"/>
    <w:rsid w:val="00E86D7E"/>
    <w:rsid w:val="00E9031B"/>
    <w:rsid w:val="00EA0F4E"/>
    <w:rsid w:val="00EA295B"/>
    <w:rsid w:val="00EA3B9B"/>
    <w:rsid w:val="00EA5475"/>
    <w:rsid w:val="00EA6801"/>
    <w:rsid w:val="00EA7466"/>
    <w:rsid w:val="00EB4F96"/>
    <w:rsid w:val="00ED1862"/>
    <w:rsid w:val="00ED1891"/>
    <w:rsid w:val="00ED4A08"/>
    <w:rsid w:val="00ED7072"/>
    <w:rsid w:val="00EE3132"/>
    <w:rsid w:val="00EE3D9D"/>
    <w:rsid w:val="00EE6F25"/>
    <w:rsid w:val="00EF3C5E"/>
    <w:rsid w:val="00EF4CD9"/>
    <w:rsid w:val="00F01CBF"/>
    <w:rsid w:val="00F02126"/>
    <w:rsid w:val="00F03D85"/>
    <w:rsid w:val="00F07C8C"/>
    <w:rsid w:val="00F249F1"/>
    <w:rsid w:val="00F25B9D"/>
    <w:rsid w:val="00F2664E"/>
    <w:rsid w:val="00F31163"/>
    <w:rsid w:val="00F31C04"/>
    <w:rsid w:val="00F42387"/>
    <w:rsid w:val="00F442A7"/>
    <w:rsid w:val="00F57A89"/>
    <w:rsid w:val="00F61A20"/>
    <w:rsid w:val="00F63DD9"/>
    <w:rsid w:val="00F66489"/>
    <w:rsid w:val="00F67644"/>
    <w:rsid w:val="00F8381F"/>
    <w:rsid w:val="00FA04CD"/>
    <w:rsid w:val="00FA25F5"/>
    <w:rsid w:val="00FA2810"/>
    <w:rsid w:val="00FA4211"/>
    <w:rsid w:val="00FA68F8"/>
    <w:rsid w:val="00FB1DC0"/>
    <w:rsid w:val="00FB3B4E"/>
    <w:rsid w:val="00FB4521"/>
    <w:rsid w:val="00FB4F84"/>
    <w:rsid w:val="00FB5CF8"/>
    <w:rsid w:val="00FC6E05"/>
    <w:rsid w:val="00FD7C44"/>
    <w:rsid w:val="00FF1B31"/>
    <w:rsid w:val="00FF24F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446F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446FB"/>
    <w:rPr>
      <w:sz w:val="24"/>
      <w:lang w:eastAsia="en-GB"/>
    </w:rPr>
  </w:style>
  <w:style w:type="paragraph" w:styleId="BodyText">
    <w:name w:val="Body Text"/>
    <w:basedOn w:val="Normal"/>
    <w:link w:val="BodyTextChar"/>
    <w:semiHidden/>
    <w:unhideWhenUsed/>
    <w:rsid w:val="00D217CD"/>
    <w:pPr>
      <w:spacing w:after="120"/>
    </w:pPr>
  </w:style>
  <w:style w:type="character" w:customStyle="1" w:styleId="BodyTextChar">
    <w:name w:val="Body Text Char"/>
    <w:basedOn w:val="DefaultParagraphFont"/>
    <w:link w:val="BodyText"/>
    <w:semiHidden/>
    <w:rsid w:val="00D217CD"/>
    <w:rPr>
      <w:lang w:eastAsia="en-GB"/>
    </w:rPr>
  </w:style>
  <w:style w:type="character" w:customStyle="1" w:styleId="lookup-resultcontent">
    <w:name w:val="lookup-result__content"/>
    <w:rsid w:val="00D217CD"/>
  </w:style>
  <w:style w:type="character" w:styleId="UnresolvedMention">
    <w:name w:val="Unresolved Mention"/>
    <w:basedOn w:val="DefaultParagraphFont"/>
    <w:uiPriority w:val="99"/>
    <w:semiHidden/>
    <w:unhideWhenUsed/>
    <w:rsid w:val="00121642"/>
    <w:rPr>
      <w:color w:val="605E5C"/>
      <w:shd w:val="clear" w:color="auto" w:fill="E1DFDD"/>
    </w:rPr>
  </w:style>
  <w:style w:type="character" w:styleId="FollowedHyperlink">
    <w:name w:val="FollowedHyperlink"/>
    <w:basedOn w:val="DefaultParagraphFont"/>
    <w:semiHidden/>
    <w:unhideWhenUsed/>
    <w:rsid w:val="00882A18"/>
    <w:rPr>
      <w:color w:val="800080" w:themeColor="followedHyperlink"/>
      <w:u w:val="single"/>
    </w:rPr>
  </w:style>
  <w:style w:type="character" w:customStyle="1" w:styleId="Heading1Char">
    <w:name w:val="Heading 1 Char"/>
    <w:basedOn w:val="DefaultParagraphFont"/>
    <w:link w:val="Heading1"/>
    <w:uiPriority w:val="9"/>
    <w:rsid w:val="001764DC"/>
    <w:rPr>
      <w:b/>
      <w:sz w:val="36"/>
      <w:shd w:val="pct15" w:color="auto" w:fill="auto"/>
      <w:lang w:eastAsia="en-GB"/>
    </w:rPr>
  </w:style>
  <w:style w:type="paragraph" w:styleId="Bibliography">
    <w:name w:val="Bibliography"/>
    <w:basedOn w:val="Normal"/>
    <w:next w:val="Normal"/>
    <w:uiPriority w:val="37"/>
    <w:unhideWhenUsed/>
    <w:rsid w:val="001764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403978">
      <w:bodyDiv w:val="1"/>
      <w:marLeft w:val="0"/>
      <w:marRight w:val="0"/>
      <w:marTop w:val="0"/>
      <w:marBottom w:val="0"/>
      <w:divBdr>
        <w:top w:val="none" w:sz="0" w:space="0" w:color="auto"/>
        <w:left w:val="none" w:sz="0" w:space="0" w:color="auto"/>
        <w:bottom w:val="none" w:sz="0" w:space="0" w:color="auto"/>
        <w:right w:val="none" w:sz="0" w:space="0" w:color="auto"/>
      </w:divBdr>
    </w:div>
    <w:div w:id="700398657">
      <w:bodyDiv w:val="1"/>
      <w:marLeft w:val="0"/>
      <w:marRight w:val="0"/>
      <w:marTop w:val="0"/>
      <w:marBottom w:val="0"/>
      <w:divBdr>
        <w:top w:val="none" w:sz="0" w:space="0" w:color="auto"/>
        <w:left w:val="none" w:sz="0" w:space="0" w:color="auto"/>
        <w:bottom w:val="none" w:sz="0" w:space="0" w:color="auto"/>
        <w:right w:val="none" w:sz="0" w:space="0" w:color="auto"/>
      </w:divBdr>
    </w:div>
    <w:div w:id="728967355">
      <w:bodyDiv w:val="1"/>
      <w:marLeft w:val="0"/>
      <w:marRight w:val="0"/>
      <w:marTop w:val="0"/>
      <w:marBottom w:val="0"/>
      <w:divBdr>
        <w:top w:val="none" w:sz="0" w:space="0" w:color="auto"/>
        <w:left w:val="none" w:sz="0" w:space="0" w:color="auto"/>
        <w:bottom w:val="none" w:sz="0" w:space="0" w:color="auto"/>
        <w:right w:val="none" w:sz="0" w:space="0" w:color="auto"/>
      </w:divBdr>
    </w:div>
    <w:div w:id="1128742748">
      <w:bodyDiv w:val="1"/>
      <w:marLeft w:val="0"/>
      <w:marRight w:val="0"/>
      <w:marTop w:val="0"/>
      <w:marBottom w:val="0"/>
      <w:divBdr>
        <w:top w:val="none" w:sz="0" w:space="0" w:color="auto"/>
        <w:left w:val="none" w:sz="0" w:space="0" w:color="auto"/>
        <w:bottom w:val="none" w:sz="0" w:space="0" w:color="auto"/>
        <w:right w:val="none" w:sz="0" w:space="0" w:color="auto"/>
      </w:divBdr>
      <w:divsChild>
        <w:div w:id="104890150">
          <w:marLeft w:val="288"/>
          <w:marRight w:val="0"/>
          <w:marTop w:val="154"/>
          <w:marBottom w:val="0"/>
          <w:divBdr>
            <w:top w:val="none" w:sz="0" w:space="0" w:color="auto"/>
            <w:left w:val="none" w:sz="0" w:space="0" w:color="auto"/>
            <w:bottom w:val="none" w:sz="0" w:space="0" w:color="auto"/>
            <w:right w:val="none" w:sz="0" w:space="0" w:color="auto"/>
          </w:divBdr>
        </w:div>
        <w:div w:id="716124232">
          <w:marLeft w:val="288"/>
          <w:marRight w:val="0"/>
          <w:marTop w:val="154"/>
          <w:marBottom w:val="0"/>
          <w:divBdr>
            <w:top w:val="none" w:sz="0" w:space="0" w:color="auto"/>
            <w:left w:val="none" w:sz="0" w:space="0" w:color="auto"/>
            <w:bottom w:val="none" w:sz="0" w:space="0" w:color="auto"/>
            <w:right w:val="none" w:sz="0" w:space="0" w:color="auto"/>
          </w:divBdr>
        </w:div>
      </w:divsChild>
    </w:div>
    <w:div w:id="1338969339">
      <w:bodyDiv w:val="1"/>
      <w:marLeft w:val="0"/>
      <w:marRight w:val="0"/>
      <w:marTop w:val="0"/>
      <w:marBottom w:val="0"/>
      <w:divBdr>
        <w:top w:val="none" w:sz="0" w:space="0" w:color="auto"/>
        <w:left w:val="none" w:sz="0" w:space="0" w:color="auto"/>
        <w:bottom w:val="none" w:sz="0" w:space="0" w:color="auto"/>
        <w:right w:val="none" w:sz="0" w:space="0" w:color="auto"/>
      </w:divBdr>
    </w:div>
    <w:div w:id="142144075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5076501">
      <w:bodyDiv w:val="1"/>
      <w:marLeft w:val="0"/>
      <w:marRight w:val="0"/>
      <w:marTop w:val="0"/>
      <w:marBottom w:val="0"/>
      <w:divBdr>
        <w:top w:val="none" w:sz="0" w:space="0" w:color="auto"/>
        <w:left w:val="none" w:sz="0" w:space="0" w:color="auto"/>
        <w:bottom w:val="none" w:sz="0" w:space="0" w:color="auto"/>
        <w:right w:val="none" w:sz="0" w:space="0" w:color="auto"/>
      </w:divBdr>
    </w:div>
    <w:div w:id="1830169297">
      <w:bodyDiv w:val="1"/>
      <w:marLeft w:val="0"/>
      <w:marRight w:val="0"/>
      <w:marTop w:val="0"/>
      <w:marBottom w:val="0"/>
      <w:divBdr>
        <w:top w:val="none" w:sz="0" w:space="0" w:color="auto"/>
        <w:left w:val="none" w:sz="0" w:space="0" w:color="auto"/>
        <w:bottom w:val="none" w:sz="0" w:space="0" w:color="auto"/>
        <w:right w:val="none" w:sz="0" w:space="0" w:color="auto"/>
      </w:divBdr>
    </w:div>
    <w:div w:id="1875001072">
      <w:bodyDiv w:val="1"/>
      <w:marLeft w:val="0"/>
      <w:marRight w:val="0"/>
      <w:marTop w:val="0"/>
      <w:marBottom w:val="0"/>
      <w:divBdr>
        <w:top w:val="none" w:sz="0" w:space="0" w:color="auto"/>
        <w:left w:val="none" w:sz="0" w:space="0" w:color="auto"/>
        <w:bottom w:val="none" w:sz="0" w:space="0" w:color="auto"/>
        <w:right w:val="none" w:sz="0" w:space="0" w:color="auto"/>
      </w:divBdr>
    </w:div>
    <w:div w:id="196912198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2516606920927258" TargetMode="External"/><Relationship Id="rId18" Type="http://schemas.openxmlformats.org/officeDocument/2006/relationships/hyperlink" Target="https://doi.org/10.1017/S0022215121004199"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77/0093854809333958" TargetMode="External"/><Relationship Id="rId17" Type="http://schemas.openxmlformats.org/officeDocument/2006/relationships/hyperlink" Target="https://doi.org/10.1080/15564886.2021.1895940" TargetMode="External"/><Relationship Id="rId2" Type="http://schemas.openxmlformats.org/officeDocument/2006/relationships/numbering" Target="numbering.xml"/><Relationship Id="rId16" Type="http://schemas.openxmlformats.org/officeDocument/2006/relationships/hyperlink" Target="https://doi.org/10.1037/a001595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7/a0015958" TargetMode="External"/><Relationship Id="rId5" Type="http://schemas.openxmlformats.org/officeDocument/2006/relationships/webSettings" Target="webSettings.xml"/><Relationship Id="rId15" Type="http://schemas.openxmlformats.org/officeDocument/2006/relationships/hyperlink" Target="https://doi.org/10.1111/j.1460-2466" TargetMode="External"/><Relationship Id="rId10" Type="http://schemas.openxmlformats.org/officeDocument/2006/relationships/hyperlink" Target="https://doi.org/10.1111/j.1460-2466" TargetMode="External"/><Relationship Id="rId19" Type="http://schemas.openxmlformats.org/officeDocument/2006/relationships/hyperlink" Target="https://doi.org/10.1177/0093854809333958" TargetMode="External"/><Relationship Id="rId4" Type="http://schemas.openxmlformats.org/officeDocument/2006/relationships/settings" Target="settings.xml"/><Relationship Id="rId9" Type="http://schemas.openxmlformats.org/officeDocument/2006/relationships/hyperlink" Target="https://doi.org/10.1177/0886260512475315" TargetMode="External"/><Relationship Id="rId14" Type="http://schemas.openxmlformats.org/officeDocument/2006/relationships/hyperlink" Target="https://doi.org/10.1177/0886260512475315"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Eli24</b:Tag>
    <b:SourceType>JournalArticle</b:SourceType>
    <b:Guid>{C58871A0-68C0-4398-8481-792796B19090}</b:Guid>
    <b:Title>Can perpetrators discern survivors from voice?</b:Title>
    <b:Year>2024</b:Year>
    <b:Author>
      <b:Author>
        <b:NameList>
          <b:Person>
            <b:Last>Monti</b:Last>
            <b:First>Elisa</b:First>
          </b:Person>
          <b:Person>
            <b:Last>D’Andrea</b:Last>
            <b:First>Wendy</b:First>
          </b:Person>
          <b:Person>
            <b:Last>Carroll</b:Last>
            <b:First>Linda</b:First>
            <b:Middle>M.</b:Middle>
          </b:Person>
          <b:Person>
            <b:Last>Norton</b:Last>
            <b:First>Katherine</b:First>
          </b:Person>
          <b:Person>
            <b:Last>Miron</b:Last>
            <b:First>Noga</b:First>
          </b:Person>
          <b:Person>
            <b:Last>Resto</b:Last>
            <b:First>Olivia</b:First>
          </b:Person>
          <b:Person>
            <b:Last>Toscano</b:Last>
            <b:First>Kayla</b:First>
          </b:Person>
          <b:Person>
            <b:Last>Williams</b:Last>
            <b:First>John</b:First>
          </b:Person>
          <b:Person>
            <b:Last>Harris</b:Last>
            <b:First>David</b:First>
          </b:Person>
          <b:Person>
            <b:Last>Irene</b:Last>
            <b:First>Laurel</b:First>
          </b:Person>
          <b:Person>
            <b:Last>Maass</b:Last>
            <b:First>Anne</b:First>
          </b:Person>
        </b:NameList>
      </b:Author>
    </b:Author>
    <b:JournalName>European Journal of Psychotraumatology</b:JournalName>
    <b:Volume>15</b:Volume>
    <b:Issue>1</b:Issue>
    <b:RefOrder>1</b:RefOrder>
  </b:Source>
  <b:Source>
    <b:Tag>Die24</b:Tag>
    <b:SourceType>JournalArticle</b:SourceType>
    <b:Guid>{3A68B4FB-E284-46B3-A02C-0D96781C1070}</b:Guid>
    <b:Author>
      <b:Author>
        <b:NameList>
          <b:Person>
            <b:Last>Díaz-Faes</b:Last>
            <b:First>Diego</b:First>
            <b:Middle>A.</b:Middle>
          </b:Person>
          <b:Person>
            <b:Last>Codina</b:Last>
            <b:First>Marta</b:First>
          </b:Person>
          <b:Person>
            <b:Last>Noemí Pereda</b:Last>
          </b:Person>
        </b:NameList>
      </b:Author>
    </b:Author>
    <b:Title>Identifying victimization clusters across people with intellectual disabilities: A latent class analysis</b:Title>
    <b:JournalName>Disability and Health Journal</b:JournalName>
    <b:Year>2024</b:Year>
    <b:Volume>17</b:Volume>
    <b:Issue>2</b:Issue>
    <b:RefOrder>2</b:RefOrder>
  </b:Source>
  <b:Source>
    <b:Tag>Mar14</b:Tag>
    <b:SourceType>JournalArticle</b:SourceType>
    <b:Guid>{74144DD4-EC63-489D-B76F-BDAC6EFABDF4}</b:Guid>
    <b:Author>
      <b:Author>
        <b:NameList>
          <b:Person>
            <b:Last>Reboch</b:Last>
            <b:First>Maria</b:First>
            <b:Middle>Francisca</b:Middle>
          </b:Person>
          <b:Person>
            <b:First>Patrícia</b:First>
            <b:Middle>Silva</b:Middle>
          </b:Person>
        </b:NameList>
      </b:Author>
    </b:Author>
    <b:Title>Target selection in rapists: The role of environmental and contextual factors</b:Title>
    <b:JournalName>Aggression and Violent Behavior</b:JournalName>
    <b:Year>2014</b:Year>
    <b:Pages>42-49</b:Pages>
    <b:Volume>19</b:Volume>
    <b:Issue>1</b:Issue>
    <b:RefOrder>3</b:RefOrder>
  </b:Source>
  <b:Source>
    <b:Tag>Fra20</b:Tag>
    <b:SourceType>JournalArticle</b:SourceType>
    <b:Guid>{1B98EA30-0778-4B99-98B1-E18441D728DA}</b:Guid>
    <b:Author>
      <b:Author>
        <b:NameList>
          <b:Person>
            <b:Last>Azumah</b:Last>
            <b:First>Francess</b:First>
            <b:Middle>Dufie</b:Middle>
          </b:Person>
          <b:Person>
            <b:Last>Nachinaab</b:Last>
            <b:First>John</b:First>
            <b:Middle>Onzaberigu</b:Middle>
          </b:Person>
          <b:Person>
            <b:Last>Krampah</b:Last>
            <b:First>Samuel</b:First>
          </b:Person>
          <b:Person>
            <b:Last>Ayim</b:Last>
            <b:First>Pius</b:First>
            <b:Middle>Nzeh</b:Middle>
          </b:Person>
        </b:NameList>
      </b:Author>
    </b:Author>
    <b:Title>Determinants of Target Victim Selection: A Case Study of Criminals from Gambaga Prisons</b:Title>
    <b:JournalName>Journal of Victimology and Victim Justice</b:JournalName>
    <b:Year>2020</b:Year>
    <b:Pages>93-112</b:Pages>
    <b:Volume>3</b:Volume>
    <b:Issue>1</b:Issue>
    <b:RefOrder>4</b:RefOrder>
  </b:Source>
  <b:Source>
    <b:Tag>Hao22</b:Tag>
    <b:SourceType>JournalArticle</b:SourceType>
    <b:Guid>{AC669BC4-7989-41CE-85A7-57FC9CA56943}</b:Guid>
    <b:Author>
      <b:Author>
        <b:NameList>
          <b:Person>
            <b:Last>Haoran</b:Last>
            <b:First>Xu</b:First>
          </b:Person>
          <b:Person>
            <b:Last>Verhage</b:Last>
            <b:First>Antoinette</b:First>
          </b:Person>
          <b:Person>
            <b:Last>Vandeviver</b:Last>
            <b:First>Christophe</b:First>
          </b:Person>
        </b:NameList>
      </b:Author>
    </b:Author>
    <b:Title>Violence against on-duty police officers: the role of criminal motivation and premeditation in offenders' choice of weapons</b:Title>
    <b:JournalName>an international journal of police strategies &amp; management</b:JournalName>
    <b:Year>2022</b:Year>
    <b:Pages>1023–1036</b:Pages>
    <b:Volume>45 </b:Volume>
    <b:Issue>6</b:Issue>
    <b:RefOrder>5</b:RefOrder>
  </b:Source>
  <b:Source>
    <b:Tag>Chr22</b:Tag>
    <b:SourceType>JournalArticle</b:SourceType>
    <b:Guid>{B3541582-6FFA-46DA-BC72-38B08C843BEC}</b:Guid>
    <b:Author>
      <b:Author>
        <b:NameList>
          <b:Person>
            <b:Last>Koegl</b:Last>
            <b:First>Christopher</b:First>
            <b:Middle>J.</b:Middle>
          </b:Person>
          <b:Person>
            <b:Last>Farrington</b:Last>
            <b:First>David</b:First>
            <b:Middle>P.</b:Middle>
          </b:Person>
        </b:NameList>
      </b:Author>
    </b:Author>
    <b:Title>Advancing Knowledge about Motivations for Criminal Offending</b:Title>
    <b:JournalName>An International Journal of Evidence-based Research, Policy, and Practice</b:JournalName>
    <b:Year>2022 </b:Year>
    <b:Pages>313-334</b:Pages>
    <b:Volume>17</b:Volume>
    <b:Issue>3</b:Issue>
    <b:RefOrder>6</b:RefOrder>
  </b:Source>
  <b:Source>
    <b:Tag>Mic15</b:Tag>
    <b:SourceType>JournalArticle</b:SourceType>
    <b:Guid>{D0D2E9C4-BCC3-4D95-A09A-B891C95E9FDA}</b:Guid>
    <b:Author>
      <b:Author>
        <b:NameList>
          <b:Person>
            <b:Last>Townsley</b:Last>
            <b:First>Michael</b:First>
          </b:Person>
          <b:Person>
            <b:Last>Birks</b:Last>
            <b:First>Daniel</b:First>
          </b:Person>
          <b:Person>
            <b:Last>Bernasco</b:Last>
            <b:First>Wim</b:First>
          </b:Person>
          <b:Person>
            <b:Last>Ruiter</b:Last>
            <b:First>Stijn</b:First>
          </b:Person>
          <b:Person>
            <b:Last>Johnson</b:Last>
            <b:First>Shane</b:First>
            <b:Middle>D.</b:Middle>
          </b:Person>
          <b:Person>
            <b:Last>White</b:Last>
            <b:First>Gentry</b:First>
          </b:Person>
          <b:Person>
            <b:Last>Baum</b:Last>
            <b:First>Scott</b:First>
          </b:Person>
        </b:NameList>
      </b:Author>
    </b:Author>
    <b:Title>Burglar Target Selection</b:Title>
    <b:JournalName>Journal of Research in Crime and Delinquency</b:JournalName>
    <b:Year>2015</b:Year>
    <b:Pages>3-31</b:Pages>
    <b:Volume>52</b:Volume>
    <b:Issue>1</b:Issue>
    <b:RefOrder>7</b:RefOrder>
  </b:Source>
</b:Sources>
</file>

<file path=customXml/itemProps1.xml><?xml version="1.0" encoding="utf-8"?>
<ds:datastoreItem xmlns:ds="http://schemas.openxmlformats.org/officeDocument/2006/customXml" ds:itemID="{13B64E3E-777F-4204-A933-AC51731B36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167</TotalTime>
  <Pages>3</Pages>
  <Words>1224</Words>
  <Characters>6981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8189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Jacob Cox (2205411)</cp:lastModifiedBy>
  <cp:revision>107</cp:revision>
  <cp:lastPrinted>2014-10-10T07:42:00Z</cp:lastPrinted>
  <dcterms:created xsi:type="dcterms:W3CDTF">2024-05-03T04:26:00Z</dcterms:created>
  <dcterms:modified xsi:type="dcterms:W3CDTF">2024-10-11T22:43:00Z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