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62288" w14:textId="77777777" w:rsidR="003F5EC5" w:rsidRDefault="003F5EC5" w:rsidP="00C2695B">
      <w:pPr>
        <w:jc w:val="center"/>
        <w:rPr>
          <w:rFonts w:asciiTheme="minorHAnsi" w:hAnsiTheme="minorHAnsi" w:cstheme="minorHAnsi"/>
          <w:sz w:val="40"/>
          <w:szCs w:val="40"/>
          <w:lang w:eastAsia="en-GB"/>
        </w:rPr>
      </w:pPr>
    </w:p>
    <w:p w14:paraId="770C6ED3" w14:textId="77777777" w:rsidR="003F5EC5" w:rsidRDefault="003F5EC5" w:rsidP="00C2695B">
      <w:pPr>
        <w:jc w:val="center"/>
        <w:rPr>
          <w:rFonts w:asciiTheme="minorHAnsi" w:hAnsiTheme="minorHAnsi" w:cstheme="minorHAnsi"/>
          <w:sz w:val="40"/>
          <w:szCs w:val="40"/>
          <w:lang w:eastAsia="en-GB"/>
        </w:rPr>
      </w:pPr>
    </w:p>
    <w:p w14:paraId="4EFB07E5" w14:textId="77777777" w:rsidR="003F5EC5" w:rsidRDefault="003F5EC5" w:rsidP="00C2695B">
      <w:pPr>
        <w:jc w:val="center"/>
        <w:rPr>
          <w:rFonts w:asciiTheme="minorHAnsi" w:hAnsiTheme="minorHAnsi" w:cstheme="minorHAnsi"/>
          <w:sz w:val="40"/>
          <w:szCs w:val="40"/>
          <w:lang w:eastAsia="en-GB"/>
        </w:rPr>
      </w:pPr>
    </w:p>
    <w:p w14:paraId="25D939FA" w14:textId="330481F9" w:rsidR="00C2695B" w:rsidRDefault="00C2695B" w:rsidP="00C2695B">
      <w:pPr>
        <w:jc w:val="center"/>
        <w:rPr>
          <w:rFonts w:asciiTheme="minorHAnsi" w:hAnsiTheme="minorHAnsi" w:cstheme="minorHAnsi"/>
          <w:sz w:val="40"/>
          <w:szCs w:val="40"/>
          <w:lang w:eastAsia="en-GB"/>
        </w:rPr>
      </w:pPr>
      <w:r>
        <w:rPr>
          <w:rFonts w:asciiTheme="minorHAnsi" w:hAnsiTheme="minorHAnsi" w:cstheme="minorHAnsi"/>
          <w:sz w:val="40"/>
          <w:szCs w:val="40"/>
          <w:lang w:eastAsia="en-GB"/>
        </w:rPr>
        <w:t>Qualification: CIPD Diploma in Applied Human Resources</w:t>
      </w:r>
    </w:p>
    <w:p w14:paraId="1991ECF0" w14:textId="77777777" w:rsidR="00C2695B" w:rsidRDefault="00C2695B" w:rsidP="00C2695B">
      <w:pPr>
        <w:jc w:val="center"/>
        <w:rPr>
          <w:rFonts w:asciiTheme="minorHAnsi" w:hAnsiTheme="minorHAnsi" w:cstheme="minorHAnsi"/>
          <w:sz w:val="40"/>
          <w:szCs w:val="40"/>
          <w:lang w:eastAsia="en-GB"/>
        </w:rPr>
      </w:pPr>
    </w:p>
    <w:p w14:paraId="0E3B60BF" w14:textId="2EB3DC07" w:rsidR="00C2695B" w:rsidRDefault="00C2695B" w:rsidP="00C2695B">
      <w:pPr>
        <w:jc w:val="center"/>
        <w:rPr>
          <w:rFonts w:asciiTheme="minorHAnsi" w:hAnsiTheme="minorHAnsi" w:cstheme="minorHAnsi"/>
          <w:sz w:val="40"/>
          <w:szCs w:val="40"/>
          <w:lang w:eastAsia="en-GB"/>
        </w:rPr>
      </w:pPr>
      <w:r>
        <w:rPr>
          <w:rFonts w:asciiTheme="minorHAnsi" w:hAnsiTheme="minorHAnsi" w:cstheme="minorHAnsi"/>
          <w:sz w:val="40"/>
          <w:szCs w:val="40"/>
          <w:lang w:eastAsia="en-GB"/>
        </w:rPr>
        <w:t>Module Name: 5KEEG Understanding Employee Engagement</w:t>
      </w:r>
    </w:p>
    <w:p w14:paraId="16FB43A6" w14:textId="77777777" w:rsidR="00C2695B" w:rsidRDefault="00C2695B" w:rsidP="00C2695B">
      <w:pPr>
        <w:jc w:val="center"/>
        <w:rPr>
          <w:rFonts w:asciiTheme="minorHAnsi" w:hAnsiTheme="minorHAnsi" w:cstheme="minorHAnsi"/>
          <w:sz w:val="40"/>
          <w:szCs w:val="40"/>
          <w:lang w:eastAsia="en-GB"/>
        </w:rPr>
      </w:pPr>
    </w:p>
    <w:p w14:paraId="405EFCFD" w14:textId="56C7EC81" w:rsidR="00C2695B" w:rsidRDefault="00C2695B" w:rsidP="00C2695B">
      <w:pPr>
        <w:jc w:val="center"/>
        <w:rPr>
          <w:rFonts w:asciiTheme="minorHAnsi" w:hAnsiTheme="minorHAnsi" w:cstheme="minorHAnsi"/>
          <w:sz w:val="40"/>
          <w:szCs w:val="40"/>
          <w:lang w:eastAsia="en-GB"/>
        </w:rPr>
      </w:pPr>
      <w:r>
        <w:rPr>
          <w:rFonts w:asciiTheme="minorHAnsi" w:hAnsiTheme="minorHAnsi" w:cstheme="minorHAnsi"/>
          <w:sz w:val="40"/>
          <w:szCs w:val="40"/>
          <w:lang w:eastAsia="en-GB"/>
        </w:rPr>
        <w:t>Assessment: Briefing Paper</w:t>
      </w:r>
    </w:p>
    <w:p w14:paraId="171C4CE8" w14:textId="77777777" w:rsidR="00C2695B" w:rsidRDefault="00C2695B" w:rsidP="00C2695B">
      <w:pPr>
        <w:jc w:val="center"/>
        <w:rPr>
          <w:rFonts w:asciiTheme="minorHAnsi" w:hAnsiTheme="minorHAnsi" w:cstheme="minorHAnsi"/>
          <w:sz w:val="40"/>
          <w:szCs w:val="40"/>
          <w:lang w:eastAsia="en-GB"/>
        </w:rPr>
      </w:pPr>
    </w:p>
    <w:p w14:paraId="33BF0F56" w14:textId="2F0B9D67" w:rsidR="00C2695B" w:rsidRDefault="00C2695B" w:rsidP="00C2695B">
      <w:pPr>
        <w:jc w:val="center"/>
        <w:rPr>
          <w:rFonts w:asciiTheme="minorHAnsi" w:hAnsiTheme="minorHAnsi" w:cstheme="minorHAnsi"/>
          <w:sz w:val="40"/>
          <w:szCs w:val="40"/>
          <w:lang w:eastAsia="en-GB"/>
        </w:rPr>
      </w:pPr>
      <w:r>
        <w:rPr>
          <w:rFonts w:asciiTheme="minorHAnsi" w:hAnsiTheme="minorHAnsi" w:cstheme="minorHAnsi"/>
          <w:sz w:val="40"/>
          <w:szCs w:val="40"/>
          <w:lang w:eastAsia="en-GB"/>
        </w:rPr>
        <w:t xml:space="preserve">Word Count: </w:t>
      </w:r>
      <w:r w:rsidR="00B875DB">
        <w:rPr>
          <w:rFonts w:asciiTheme="minorHAnsi" w:hAnsiTheme="minorHAnsi" w:cstheme="minorHAnsi"/>
          <w:sz w:val="40"/>
          <w:szCs w:val="40"/>
          <w:lang w:eastAsia="en-GB"/>
        </w:rPr>
        <w:t>3028</w:t>
      </w:r>
    </w:p>
    <w:p w14:paraId="43BC32C7" w14:textId="77777777" w:rsidR="00C2695B" w:rsidRDefault="00C2695B" w:rsidP="00C2695B">
      <w:pPr>
        <w:jc w:val="center"/>
        <w:rPr>
          <w:rFonts w:asciiTheme="minorHAnsi" w:hAnsiTheme="minorHAnsi" w:cstheme="minorHAnsi"/>
          <w:sz w:val="40"/>
          <w:szCs w:val="40"/>
          <w:lang w:eastAsia="en-GB"/>
        </w:rPr>
      </w:pPr>
    </w:p>
    <w:p w14:paraId="25F4E2A6" w14:textId="5C053AF2" w:rsidR="00C2695B" w:rsidRDefault="00C2695B" w:rsidP="00C2695B">
      <w:pPr>
        <w:jc w:val="center"/>
        <w:rPr>
          <w:rFonts w:asciiTheme="minorHAnsi" w:hAnsiTheme="minorHAnsi" w:cstheme="minorHAnsi"/>
          <w:sz w:val="40"/>
          <w:szCs w:val="40"/>
          <w:lang w:eastAsia="en-GB"/>
        </w:rPr>
      </w:pPr>
      <w:r>
        <w:rPr>
          <w:rFonts w:asciiTheme="minorHAnsi" w:hAnsiTheme="minorHAnsi" w:cstheme="minorHAnsi"/>
          <w:sz w:val="40"/>
          <w:szCs w:val="40"/>
          <w:lang w:eastAsia="en-GB"/>
        </w:rPr>
        <w:t xml:space="preserve">Student Name: Jessica </w:t>
      </w:r>
      <w:r w:rsidR="00B41009">
        <w:rPr>
          <w:rFonts w:asciiTheme="minorHAnsi" w:hAnsiTheme="minorHAnsi" w:cstheme="minorHAnsi"/>
          <w:sz w:val="40"/>
          <w:szCs w:val="40"/>
          <w:lang w:eastAsia="en-GB"/>
        </w:rPr>
        <w:t>Rainbow</w:t>
      </w:r>
    </w:p>
    <w:p w14:paraId="3EA7B26D" w14:textId="77777777" w:rsidR="00C2695B" w:rsidRDefault="00C2695B" w:rsidP="00C2695B">
      <w:pPr>
        <w:jc w:val="center"/>
        <w:rPr>
          <w:rFonts w:asciiTheme="minorHAnsi" w:hAnsiTheme="minorHAnsi" w:cstheme="minorHAnsi"/>
          <w:sz w:val="40"/>
          <w:szCs w:val="40"/>
          <w:lang w:eastAsia="en-GB"/>
        </w:rPr>
      </w:pPr>
    </w:p>
    <w:p w14:paraId="4274DB4F" w14:textId="77777777" w:rsidR="00C2695B" w:rsidRDefault="00C2695B" w:rsidP="00C2695B">
      <w:pPr>
        <w:jc w:val="center"/>
        <w:rPr>
          <w:rFonts w:asciiTheme="minorHAnsi" w:hAnsiTheme="minorHAnsi" w:cstheme="minorHAnsi"/>
          <w:sz w:val="40"/>
          <w:szCs w:val="40"/>
          <w:lang w:eastAsia="en-GB"/>
        </w:rPr>
      </w:pPr>
      <w:r>
        <w:rPr>
          <w:rFonts w:asciiTheme="minorHAnsi" w:hAnsiTheme="minorHAnsi" w:cstheme="minorHAnsi"/>
          <w:sz w:val="40"/>
          <w:szCs w:val="40"/>
          <w:lang w:eastAsia="en-GB"/>
        </w:rPr>
        <w:t xml:space="preserve">Student Number: </w:t>
      </w:r>
      <w:r>
        <w:rPr>
          <w:rFonts w:ascii="Segoe UI" w:hAnsi="Segoe UI" w:cs="Segoe UI"/>
          <w:color w:val="323130"/>
          <w:sz w:val="42"/>
          <w:szCs w:val="42"/>
          <w:shd w:val="clear" w:color="auto" w:fill="FFFFFF"/>
        </w:rPr>
        <w:t>1904613</w:t>
      </w:r>
    </w:p>
    <w:p w14:paraId="180E4C21" w14:textId="77777777" w:rsidR="00C2695B" w:rsidRDefault="00C2695B" w:rsidP="00C2695B">
      <w:pPr>
        <w:jc w:val="center"/>
        <w:rPr>
          <w:rFonts w:asciiTheme="minorHAnsi" w:hAnsiTheme="minorHAnsi" w:cstheme="minorHAnsi"/>
          <w:sz w:val="40"/>
          <w:szCs w:val="40"/>
          <w:lang w:eastAsia="en-GB"/>
        </w:rPr>
      </w:pPr>
    </w:p>
    <w:p w14:paraId="778B4D13" w14:textId="77777777" w:rsidR="00C2695B" w:rsidRPr="009B2D02" w:rsidRDefault="00C2695B" w:rsidP="00C2695B">
      <w:pPr>
        <w:jc w:val="center"/>
        <w:rPr>
          <w:rFonts w:asciiTheme="minorHAnsi" w:hAnsiTheme="minorHAnsi" w:cstheme="minorHAnsi"/>
          <w:sz w:val="40"/>
          <w:szCs w:val="40"/>
          <w:lang w:eastAsia="en-GB"/>
        </w:rPr>
      </w:pPr>
      <w:r>
        <w:rPr>
          <w:rFonts w:asciiTheme="minorHAnsi" w:hAnsiTheme="minorHAnsi" w:cstheme="minorHAnsi"/>
          <w:sz w:val="40"/>
          <w:szCs w:val="40"/>
          <w:lang w:eastAsia="en-GB"/>
        </w:rPr>
        <w:t xml:space="preserve">CIPD Membership Number: </w:t>
      </w:r>
      <w:r w:rsidRPr="00B621AD">
        <w:rPr>
          <w:rFonts w:ascii="Segoe UI" w:hAnsi="Segoe UI" w:cs="Segoe UI"/>
          <w:color w:val="323130"/>
          <w:sz w:val="42"/>
          <w:szCs w:val="42"/>
          <w:shd w:val="clear" w:color="auto" w:fill="FFFFFF"/>
        </w:rPr>
        <w:t>54071923</w:t>
      </w:r>
    </w:p>
    <w:p w14:paraId="1A8F6CA4" w14:textId="450CD468" w:rsidR="00A73FC0" w:rsidRDefault="00A73FC0" w:rsidP="00C2695B"/>
    <w:p w14:paraId="183D67C9" w14:textId="06C340DF" w:rsidR="00C2695B" w:rsidRDefault="00C2695B" w:rsidP="00C2695B"/>
    <w:p w14:paraId="0B9C5CFE" w14:textId="08A835AC" w:rsidR="00C2695B" w:rsidRDefault="00C2695B" w:rsidP="00C2695B"/>
    <w:p w14:paraId="381FC035" w14:textId="351D77FD" w:rsidR="00C2695B" w:rsidRDefault="00C2695B" w:rsidP="00C2695B"/>
    <w:p w14:paraId="4690EA5E" w14:textId="407C0099" w:rsidR="00C2695B" w:rsidRDefault="00C2695B" w:rsidP="00C2695B"/>
    <w:p w14:paraId="702FCF5C" w14:textId="7532FE32" w:rsidR="00C2695B" w:rsidRDefault="00C2695B" w:rsidP="00C2695B"/>
    <w:p w14:paraId="404EB515" w14:textId="2685B648" w:rsidR="00C2695B" w:rsidRDefault="00C2695B" w:rsidP="00C2695B"/>
    <w:p w14:paraId="72AE9EDA" w14:textId="301101F7" w:rsidR="00C2695B" w:rsidRDefault="00C2695B" w:rsidP="00C2695B"/>
    <w:p w14:paraId="17852272" w14:textId="69872E5A" w:rsidR="00C2695B" w:rsidRDefault="00C2695B" w:rsidP="00C2695B"/>
    <w:p w14:paraId="020A22B8" w14:textId="59E28F29" w:rsidR="00C2695B" w:rsidRDefault="00C2695B" w:rsidP="00C2695B"/>
    <w:p w14:paraId="639AF914" w14:textId="4B52554C" w:rsidR="00C2695B" w:rsidRDefault="00C2695B" w:rsidP="00C2695B"/>
    <w:p w14:paraId="309F2711" w14:textId="05DA39AD" w:rsidR="00C2695B" w:rsidRDefault="00C2695B" w:rsidP="00C2695B"/>
    <w:p w14:paraId="1FE34F7B" w14:textId="6E6CECE9" w:rsidR="00C2695B" w:rsidRDefault="00C2695B" w:rsidP="00C2695B"/>
    <w:p w14:paraId="63C98E91" w14:textId="466F4E7B" w:rsidR="00C2695B" w:rsidRDefault="00C2695B" w:rsidP="00C2695B"/>
    <w:p w14:paraId="37229D8D" w14:textId="4602EE08" w:rsidR="00C2695B" w:rsidRDefault="00C2695B" w:rsidP="00C2695B"/>
    <w:p w14:paraId="79729181" w14:textId="3B44F195" w:rsidR="00C2695B" w:rsidRDefault="00C2695B" w:rsidP="00C2695B"/>
    <w:p w14:paraId="5EF4B45F" w14:textId="6CB89925" w:rsidR="00C2695B" w:rsidRDefault="00C2695B" w:rsidP="00C2695B"/>
    <w:p w14:paraId="00D80B38" w14:textId="7B3310AC" w:rsidR="00C2695B" w:rsidRDefault="00C2695B" w:rsidP="00C2695B"/>
    <w:p w14:paraId="71139290" w14:textId="0F6ABF40" w:rsidR="00C2695B" w:rsidRDefault="00C2695B" w:rsidP="00C2695B"/>
    <w:p w14:paraId="0D37B2AD" w14:textId="2CCE41B5" w:rsidR="003F5EC5" w:rsidRDefault="003F5EC5" w:rsidP="00C2695B"/>
    <w:p w14:paraId="7FBB92B1" w14:textId="59F79D9D" w:rsidR="003F5EC5" w:rsidRDefault="003F5EC5" w:rsidP="00C2695B"/>
    <w:p w14:paraId="0B66800E" w14:textId="77777777" w:rsidR="003F5EC5" w:rsidRDefault="003F5EC5" w:rsidP="00C2695B"/>
    <w:p w14:paraId="425FB93C" w14:textId="6D5204EA" w:rsidR="00C2695B" w:rsidRDefault="00C2695B" w:rsidP="00C2695B"/>
    <w:p w14:paraId="7E938834" w14:textId="7CDD3530" w:rsidR="00C2695B" w:rsidRDefault="00C2695B" w:rsidP="00C2695B"/>
    <w:p w14:paraId="4D4E6DD8" w14:textId="54D8D79A" w:rsidR="00C2695B" w:rsidRDefault="00C2695B" w:rsidP="00C2695B"/>
    <w:p w14:paraId="27F5776E" w14:textId="0EF37621" w:rsidR="00C2695B" w:rsidRDefault="00C2695B" w:rsidP="00C2695B"/>
    <w:p w14:paraId="2D078830" w14:textId="207A74CB" w:rsidR="00C2695B" w:rsidRPr="008350A2" w:rsidRDefault="00C2695B" w:rsidP="00C2695B">
      <w:pPr>
        <w:pStyle w:val="ListParagraph"/>
        <w:numPr>
          <w:ilvl w:val="0"/>
          <w:numId w:val="1"/>
        </w:numPr>
        <w:rPr>
          <w:rFonts w:asciiTheme="minorHAnsi" w:hAnsiTheme="minorHAnsi" w:cstheme="minorHAnsi"/>
          <w:b/>
          <w:bCs/>
          <w:sz w:val="20"/>
          <w:szCs w:val="20"/>
        </w:rPr>
      </w:pPr>
      <w:r w:rsidRPr="008350A2">
        <w:rPr>
          <w:rFonts w:asciiTheme="minorHAnsi" w:hAnsiTheme="minorHAnsi" w:cstheme="minorHAnsi"/>
          <w:b/>
          <w:bCs/>
          <w:sz w:val="20"/>
          <w:szCs w:val="20"/>
        </w:rPr>
        <w:lastRenderedPageBreak/>
        <w:t>Define employee engagement and explain how it relates to other concepts such as organisational commitment, employer involvement and job satisfaction</w:t>
      </w:r>
      <w:r w:rsidR="00853C01" w:rsidRPr="008350A2">
        <w:rPr>
          <w:rFonts w:asciiTheme="minorHAnsi" w:hAnsiTheme="minorHAnsi" w:cstheme="minorHAnsi"/>
          <w:b/>
          <w:bCs/>
          <w:sz w:val="20"/>
          <w:szCs w:val="20"/>
        </w:rPr>
        <w:t>. (500 words).</w:t>
      </w:r>
    </w:p>
    <w:p w14:paraId="2E9FC7D5" w14:textId="42C20820" w:rsidR="00951D35" w:rsidRPr="008350A2" w:rsidRDefault="00951D35" w:rsidP="00951D35">
      <w:pPr>
        <w:rPr>
          <w:rFonts w:asciiTheme="minorHAnsi" w:hAnsiTheme="minorHAnsi" w:cstheme="minorHAnsi"/>
          <w:sz w:val="20"/>
          <w:szCs w:val="20"/>
        </w:rPr>
      </w:pPr>
    </w:p>
    <w:p w14:paraId="0CB38C0B" w14:textId="13D7593A" w:rsidR="00951D35" w:rsidRPr="008350A2" w:rsidRDefault="00951D35" w:rsidP="00951D35">
      <w:pPr>
        <w:pStyle w:val="ListParagraph"/>
        <w:numPr>
          <w:ilvl w:val="1"/>
          <w:numId w:val="1"/>
        </w:numPr>
        <w:rPr>
          <w:rFonts w:asciiTheme="minorHAnsi" w:hAnsiTheme="minorHAnsi" w:cstheme="minorHAnsi"/>
          <w:b/>
          <w:bCs/>
          <w:sz w:val="20"/>
          <w:szCs w:val="20"/>
        </w:rPr>
      </w:pPr>
      <w:r w:rsidRPr="008350A2">
        <w:rPr>
          <w:rFonts w:asciiTheme="minorHAnsi" w:hAnsiTheme="minorHAnsi" w:cstheme="minorHAnsi"/>
          <w:b/>
          <w:bCs/>
          <w:sz w:val="20"/>
          <w:szCs w:val="20"/>
        </w:rPr>
        <w:t>Define employee engagement</w:t>
      </w:r>
    </w:p>
    <w:p w14:paraId="4786D1E6" w14:textId="6E1EA038" w:rsidR="00951D35" w:rsidRPr="00951D35" w:rsidRDefault="00951D35" w:rsidP="00951D35">
      <w:pPr>
        <w:pStyle w:val="ListParagraph"/>
        <w:rPr>
          <w:rFonts w:asciiTheme="minorHAnsi" w:hAnsiTheme="minorHAnsi" w:cstheme="minorHAnsi"/>
          <w:sz w:val="20"/>
          <w:szCs w:val="20"/>
        </w:rPr>
      </w:pPr>
    </w:p>
    <w:p w14:paraId="1A1AD478" w14:textId="77777777" w:rsidR="00074CD4" w:rsidRPr="00032295" w:rsidRDefault="006B2FDD" w:rsidP="002F59DE">
      <w:pPr>
        <w:jc w:val="both"/>
        <w:rPr>
          <w:rFonts w:asciiTheme="minorHAnsi" w:hAnsiTheme="minorHAnsi" w:cstheme="minorHAnsi"/>
          <w:sz w:val="20"/>
          <w:szCs w:val="20"/>
        </w:rPr>
      </w:pPr>
      <w:r w:rsidRPr="00032295">
        <w:rPr>
          <w:rFonts w:asciiTheme="minorHAnsi" w:hAnsiTheme="minorHAnsi" w:cstheme="minorHAnsi"/>
          <w:sz w:val="20"/>
          <w:szCs w:val="20"/>
        </w:rPr>
        <w:t xml:space="preserve">There are several </w:t>
      </w:r>
      <w:r w:rsidR="007C3290" w:rsidRPr="00032295">
        <w:rPr>
          <w:rFonts w:asciiTheme="minorHAnsi" w:hAnsiTheme="minorHAnsi" w:cstheme="minorHAnsi"/>
          <w:sz w:val="20"/>
          <w:szCs w:val="20"/>
        </w:rPr>
        <w:t>definitions</w:t>
      </w:r>
      <w:r w:rsidRPr="00032295">
        <w:rPr>
          <w:rFonts w:asciiTheme="minorHAnsi" w:hAnsiTheme="minorHAnsi" w:cstheme="minorHAnsi"/>
          <w:sz w:val="20"/>
          <w:szCs w:val="20"/>
        </w:rPr>
        <w:t xml:space="preserve"> of</w:t>
      </w:r>
      <w:r w:rsidR="007C3290" w:rsidRPr="00032295">
        <w:rPr>
          <w:rFonts w:asciiTheme="minorHAnsi" w:hAnsiTheme="minorHAnsi" w:cstheme="minorHAnsi"/>
          <w:sz w:val="20"/>
          <w:szCs w:val="20"/>
        </w:rPr>
        <w:t xml:space="preserve"> employee engagement</w:t>
      </w:r>
      <w:r w:rsidR="00853C01" w:rsidRPr="00032295">
        <w:rPr>
          <w:rFonts w:asciiTheme="minorHAnsi" w:hAnsiTheme="minorHAnsi" w:cstheme="minorHAnsi"/>
          <w:sz w:val="20"/>
          <w:szCs w:val="20"/>
        </w:rPr>
        <w:t>.</w:t>
      </w:r>
      <w:r w:rsidR="001C4D73" w:rsidRPr="00032295">
        <w:rPr>
          <w:rFonts w:asciiTheme="minorHAnsi" w:hAnsiTheme="minorHAnsi" w:cstheme="minorHAnsi"/>
          <w:sz w:val="20"/>
          <w:szCs w:val="20"/>
        </w:rPr>
        <w:t xml:space="preserve"> There is a need to define employee engagement, however there is a lack of agreement within the HR community and this is reflected within the Macleod Review which found over 50 definitions. </w:t>
      </w:r>
    </w:p>
    <w:p w14:paraId="7BBDF6FA" w14:textId="3E42775B" w:rsidR="00074CD4" w:rsidRPr="00032295" w:rsidRDefault="00074CD4" w:rsidP="002F59DE">
      <w:pPr>
        <w:jc w:val="both"/>
        <w:rPr>
          <w:rFonts w:asciiTheme="minorHAnsi" w:hAnsiTheme="minorHAnsi" w:cstheme="minorHAnsi"/>
          <w:sz w:val="20"/>
          <w:szCs w:val="20"/>
        </w:rPr>
      </w:pPr>
    </w:p>
    <w:p w14:paraId="16E9A29F" w14:textId="679E37D8" w:rsidR="00074CD4" w:rsidRPr="00032295" w:rsidRDefault="00074CD4" w:rsidP="002F59DE">
      <w:pPr>
        <w:jc w:val="both"/>
        <w:rPr>
          <w:rFonts w:asciiTheme="minorHAnsi" w:hAnsiTheme="minorHAnsi" w:cstheme="minorHAnsi"/>
          <w:sz w:val="20"/>
          <w:szCs w:val="20"/>
        </w:rPr>
      </w:pPr>
      <w:r w:rsidRPr="00032295">
        <w:rPr>
          <w:rFonts w:asciiTheme="minorHAnsi" w:hAnsiTheme="minorHAnsi" w:cstheme="minorHAnsi"/>
          <w:sz w:val="20"/>
          <w:szCs w:val="20"/>
        </w:rPr>
        <w:t xml:space="preserve">Employee engagement is broadly an approach to work resulting in the right conditions for employees to feel commitment to the company values and objectives, motivated to contribute to the company’s success and feeling an enhanced sense of well-being. As an employee, it is understanding your role and its purpose within the organisations overarching objectives, alongside having a voice. </w:t>
      </w:r>
      <w:r w:rsidR="0015732A" w:rsidRPr="00032295">
        <w:rPr>
          <w:rFonts w:asciiTheme="minorHAnsi" w:hAnsiTheme="minorHAnsi" w:cstheme="minorHAnsi"/>
          <w:sz w:val="20"/>
          <w:szCs w:val="20"/>
        </w:rPr>
        <w:t>Organisations who are engaged tend to have strong and genuine values alongside two way trust, fairness and commitment</w:t>
      </w:r>
      <w:r w:rsidR="003F5EC5">
        <w:rPr>
          <w:rFonts w:asciiTheme="minorHAnsi" w:hAnsiTheme="minorHAnsi" w:cstheme="minorHAnsi"/>
          <w:sz w:val="20"/>
          <w:szCs w:val="20"/>
        </w:rPr>
        <w:t xml:space="preserve"> </w:t>
      </w:r>
      <w:r w:rsidR="003F5EC5" w:rsidRPr="003F5EC5">
        <w:rPr>
          <w:rFonts w:asciiTheme="minorHAnsi" w:hAnsiTheme="minorHAnsi" w:cstheme="minorHAnsi"/>
          <w:sz w:val="20"/>
          <w:szCs w:val="20"/>
        </w:rPr>
        <w:t>(What is Employee Engagement - Engage for Success, 2021)</w:t>
      </w:r>
      <w:r w:rsidR="0015732A" w:rsidRPr="00032295">
        <w:rPr>
          <w:rFonts w:asciiTheme="minorHAnsi" w:hAnsiTheme="minorHAnsi" w:cstheme="minorHAnsi"/>
          <w:sz w:val="20"/>
          <w:szCs w:val="20"/>
        </w:rPr>
        <w:t>.</w:t>
      </w:r>
      <w:r w:rsidR="003F5EC5" w:rsidRPr="00032295">
        <w:rPr>
          <w:rFonts w:asciiTheme="minorHAnsi" w:hAnsiTheme="minorHAnsi" w:cstheme="minorHAnsi"/>
          <w:sz w:val="20"/>
          <w:szCs w:val="20"/>
        </w:rPr>
        <w:t xml:space="preserve"> </w:t>
      </w:r>
    </w:p>
    <w:p w14:paraId="7D6EAF7D" w14:textId="77777777" w:rsidR="0015732A" w:rsidRPr="00032295" w:rsidRDefault="0015732A" w:rsidP="002F59DE">
      <w:pPr>
        <w:jc w:val="both"/>
        <w:rPr>
          <w:rFonts w:asciiTheme="minorHAnsi" w:hAnsiTheme="minorHAnsi" w:cstheme="minorHAnsi"/>
          <w:sz w:val="20"/>
          <w:szCs w:val="20"/>
        </w:rPr>
      </w:pPr>
    </w:p>
    <w:p w14:paraId="4F165686" w14:textId="41C3EDB8" w:rsidR="00853C01" w:rsidRPr="00032295" w:rsidRDefault="00853C01" w:rsidP="002F59DE">
      <w:pPr>
        <w:jc w:val="both"/>
        <w:rPr>
          <w:rFonts w:asciiTheme="minorHAnsi" w:hAnsiTheme="minorHAnsi" w:cstheme="minorHAnsi"/>
          <w:sz w:val="20"/>
          <w:szCs w:val="20"/>
        </w:rPr>
      </w:pPr>
      <w:r w:rsidRPr="00032295">
        <w:rPr>
          <w:rFonts w:asciiTheme="minorHAnsi" w:hAnsiTheme="minorHAnsi" w:cstheme="minorHAnsi"/>
          <w:sz w:val="20"/>
          <w:szCs w:val="20"/>
        </w:rPr>
        <w:t xml:space="preserve">Kahn (1990) is often linked to the beginning of academic writing around employee engagement. His definition of employee engagement was a three-dimensional concept whereby people apply themselves physically, cognitively, and emotionally. This definition also relates their level of engagement with their behaviours for example applying discretionary effort with their work. This definition, </w:t>
      </w:r>
      <w:r w:rsidR="00D9601E" w:rsidRPr="00032295">
        <w:rPr>
          <w:rFonts w:asciiTheme="minorHAnsi" w:hAnsiTheme="minorHAnsi" w:cstheme="minorHAnsi"/>
          <w:sz w:val="20"/>
          <w:szCs w:val="20"/>
        </w:rPr>
        <w:t xml:space="preserve">in </w:t>
      </w:r>
      <w:r w:rsidRPr="00032295">
        <w:rPr>
          <w:rFonts w:asciiTheme="minorHAnsi" w:hAnsiTheme="minorHAnsi" w:cstheme="minorHAnsi"/>
          <w:sz w:val="20"/>
          <w:szCs w:val="20"/>
        </w:rPr>
        <w:t>line many others in academic research, suggests that employee engagement is a psychological state</w:t>
      </w:r>
      <w:r w:rsidR="00074CD4" w:rsidRPr="00032295">
        <w:rPr>
          <w:rFonts w:asciiTheme="minorHAnsi" w:hAnsiTheme="minorHAnsi" w:cstheme="minorHAnsi"/>
          <w:sz w:val="20"/>
          <w:szCs w:val="20"/>
        </w:rPr>
        <w:t xml:space="preserve"> (Taylor and Woodams, 2016)</w:t>
      </w:r>
      <w:r w:rsidRPr="00032295">
        <w:rPr>
          <w:rFonts w:asciiTheme="minorHAnsi" w:hAnsiTheme="minorHAnsi" w:cstheme="minorHAnsi"/>
          <w:sz w:val="20"/>
          <w:szCs w:val="20"/>
        </w:rPr>
        <w:t xml:space="preserve">. </w:t>
      </w:r>
    </w:p>
    <w:p w14:paraId="5AF885E0" w14:textId="0B34D47F" w:rsidR="001C4D73" w:rsidRPr="00032295" w:rsidRDefault="001C4D73" w:rsidP="00C2695B">
      <w:pPr>
        <w:rPr>
          <w:rFonts w:asciiTheme="minorHAnsi" w:hAnsiTheme="minorHAnsi" w:cstheme="minorHAnsi"/>
          <w:sz w:val="20"/>
          <w:szCs w:val="20"/>
        </w:rPr>
      </w:pPr>
    </w:p>
    <w:p w14:paraId="04C8B1C1" w14:textId="73D98B7D" w:rsidR="001C4D73" w:rsidRPr="00032295" w:rsidRDefault="001C4D73" w:rsidP="00EB04AB">
      <w:pPr>
        <w:rPr>
          <w:rFonts w:asciiTheme="minorHAnsi" w:hAnsiTheme="minorHAnsi" w:cstheme="minorHAnsi"/>
          <w:sz w:val="20"/>
          <w:szCs w:val="20"/>
        </w:rPr>
      </w:pPr>
      <w:r w:rsidRPr="00032295">
        <w:rPr>
          <w:rFonts w:asciiTheme="minorHAnsi" w:hAnsiTheme="minorHAnsi" w:cstheme="minorHAnsi"/>
          <w:sz w:val="20"/>
          <w:szCs w:val="20"/>
        </w:rPr>
        <w:t>This is supported within the CIPD (2021) report - employee engagement: definitions, measures and outcomes and have grouped definitions into four categories:</w:t>
      </w:r>
    </w:p>
    <w:p w14:paraId="11FD0D3B" w14:textId="33F15285" w:rsidR="001C4D73" w:rsidRPr="00032295" w:rsidRDefault="001C4D73" w:rsidP="00C2695B">
      <w:pPr>
        <w:rPr>
          <w:rFonts w:asciiTheme="minorHAnsi" w:hAnsiTheme="minorHAnsi" w:cstheme="minorHAnsi"/>
          <w:sz w:val="20"/>
          <w:szCs w:val="20"/>
        </w:rPr>
      </w:pPr>
    </w:p>
    <w:p w14:paraId="4BF79A19" w14:textId="75CC84A0" w:rsidR="001C4D73" w:rsidRPr="00032295" w:rsidRDefault="00EB04AB" w:rsidP="00EB04AB">
      <w:pPr>
        <w:pStyle w:val="ListParagraph"/>
        <w:numPr>
          <w:ilvl w:val="0"/>
          <w:numId w:val="3"/>
        </w:numPr>
        <w:rPr>
          <w:rFonts w:asciiTheme="minorHAnsi" w:hAnsiTheme="minorHAnsi" w:cstheme="minorHAnsi"/>
          <w:sz w:val="20"/>
          <w:szCs w:val="20"/>
        </w:rPr>
      </w:pPr>
      <w:r w:rsidRPr="00032295">
        <w:rPr>
          <w:rFonts w:asciiTheme="minorHAnsi" w:hAnsiTheme="minorHAnsi" w:cstheme="minorHAnsi"/>
          <w:sz w:val="20"/>
          <w:szCs w:val="20"/>
        </w:rPr>
        <w:t xml:space="preserve">Personal role engagement – the ability to express </w:t>
      </w:r>
      <w:r w:rsidR="0015732A" w:rsidRPr="00032295">
        <w:rPr>
          <w:rFonts w:asciiTheme="minorHAnsi" w:hAnsiTheme="minorHAnsi" w:cstheme="minorHAnsi"/>
          <w:sz w:val="20"/>
          <w:szCs w:val="20"/>
        </w:rPr>
        <w:t>oneself</w:t>
      </w:r>
      <w:r w:rsidRPr="00032295">
        <w:rPr>
          <w:rFonts w:asciiTheme="minorHAnsi" w:hAnsiTheme="minorHAnsi" w:cstheme="minorHAnsi"/>
          <w:sz w:val="20"/>
          <w:szCs w:val="20"/>
        </w:rPr>
        <w:t xml:space="preserve"> cognitively, </w:t>
      </w:r>
      <w:r w:rsidR="0015732A" w:rsidRPr="00032295">
        <w:rPr>
          <w:rFonts w:asciiTheme="minorHAnsi" w:hAnsiTheme="minorHAnsi" w:cstheme="minorHAnsi"/>
          <w:sz w:val="20"/>
          <w:szCs w:val="20"/>
        </w:rPr>
        <w:t>emotionally,</w:t>
      </w:r>
      <w:r w:rsidRPr="00032295">
        <w:rPr>
          <w:rFonts w:asciiTheme="minorHAnsi" w:hAnsiTheme="minorHAnsi" w:cstheme="minorHAnsi"/>
          <w:sz w:val="20"/>
          <w:szCs w:val="20"/>
        </w:rPr>
        <w:t xml:space="preserve"> and physically resulting in employees being energised and feeling connected to others</w:t>
      </w:r>
    </w:p>
    <w:p w14:paraId="0A87AEF4" w14:textId="0A196EB9" w:rsidR="00EB04AB" w:rsidRPr="00032295" w:rsidRDefault="00EB04AB" w:rsidP="00EB04AB">
      <w:pPr>
        <w:pStyle w:val="ListParagraph"/>
        <w:numPr>
          <w:ilvl w:val="0"/>
          <w:numId w:val="3"/>
        </w:numPr>
        <w:rPr>
          <w:rFonts w:asciiTheme="minorHAnsi" w:hAnsiTheme="minorHAnsi" w:cstheme="minorHAnsi"/>
          <w:sz w:val="20"/>
          <w:szCs w:val="20"/>
        </w:rPr>
      </w:pPr>
      <w:r w:rsidRPr="00032295">
        <w:rPr>
          <w:rFonts w:asciiTheme="minorHAnsi" w:hAnsiTheme="minorHAnsi" w:cstheme="minorHAnsi"/>
          <w:sz w:val="20"/>
          <w:szCs w:val="20"/>
        </w:rPr>
        <w:t>Work engagement – also known as task or job engagement and is fully focussed on the psychological state experienced by employees.</w:t>
      </w:r>
    </w:p>
    <w:p w14:paraId="30BB5CD8" w14:textId="0D9CA9EC" w:rsidR="00EB04AB" w:rsidRPr="00032295" w:rsidRDefault="00EB04AB" w:rsidP="00EB04AB">
      <w:pPr>
        <w:pStyle w:val="ListParagraph"/>
        <w:numPr>
          <w:ilvl w:val="0"/>
          <w:numId w:val="3"/>
        </w:numPr>
        <w:rPr>
          <w:rFonts w:asciiTheme="minorHAnsi" w:hAnsiTheme="minorHAnsi" w:cstheme="minorHAnsi"/>
          <w:sz w:val="20"/>
          <w:szCs w:val="20"/>
        </w:rPr>
      </w:pPr>
      <w:r w:rsidRPr="00032295">
        <w:rPr>
          <w:rFonts w:asciiTheme="minorHAnsi" w:hAnsiTheme="minorHAnsi" w:cstheme="minorHAnsi"/>
          <w:sz w:val="20"/>
          <w:szCs w:val="20"/>
        </w:rPr>
        <w:t xml:space="preserve">Multidimensional engagement – similar to role engagement, this definition incorporates cognitive, </w:t>
      </w:r>
      <w:r w:rsidR="002F59DE" w:rsidRPr="00032295">
        <w:rPr>
          <w:rFonts w:asciiTheme="minorHAnsi" w:hAnsiTheme="minorHAnsi" w:cstheme="minorHAnsi"/>
          <w:sz w:val="20"/>
          <w:szCs w:val="20"/>
        </w:rPr>
        <w:t>emotional,</w:t>
      </w:r>
      <w:r w:rsidRPr="00032295">
        <w:rPr>
          <w:rFonts w:asciiTheme="minorHAnsi" w:hAnsiTheme="minorHAnsi" w:cstheme="minorHAnsi"/>
          <w:sz w:val="20"/>
          <w:szCs w:val="20"/>
        </w:rPr>
        <w:t xml:space="preserve"> and behavioural aspects</w:t>
      </w:r>
      <w:r w:rsidR="002F59DE" w:rsidRPr="00032295">
        <w:rPr>
          <w:rFonts w:asciiTheme="minorHAnsi" w:hAnsiTheme="minorHAnsi" w:cstheme="minorHAnsi"/>
          <w:sz w:val="20"/>
          <w:szCs w:val="20"/>
        </w:rPr>
        <w:t xml:space="preserve"> distinguishing job focussed engagement with organisation focussed engagement.</w:t>
      </w:r>
    </w:p>
    <w:p w14:paraId="4AB96F06" w14:textId="0303911D" w:rsidR="00EB04AB" w:rsidRPr="00032295" w:rsidRDefault="00EB04AB" w:rsidP="00EB04AB">
      <w:pPr>
        <w:pStyle w:val="ListParagraph"/>
        <w:numPr>
          <w:ilvl w:val="0"/>
          <w:numId w:val="3"/>
        </w:numPr>
        <w:rPr>
          <w:rFonts w:asciiTheme="minorHAnsi" w:hAnsiTheme="minorHAnsi" w:cstheme="minorHAnsi"/>
          <w:sz w:val="20"/>
          <w:szCs w:val="20"/>
        </w:rPr>
      </w:pPr>
      <w:r w:rsidRPr="00032295">
        <w:rPr>
          <w:rFonts w:asciiTheme="minorHAnsi" w:hAnsiTheme="minorHAnsi" w:cstheme="minorHAnsi"/>
          <w:sz w:val="20"/>
          <w:szCs w:val="20"/>
        </w:rPr>
        <w:t>Self-engagement with performance</w:t>
      </w:r>
      <w:r w:rsidR="002F59DE" w:rsidRPr="00032295">
        <w:rPr>
          <w:rFonts w:asciiTheme="minorHAnsi" w:hAnsiTheme="minorHAnsi" w:cstheme="minorHAnsi"/>
          <w:sz w:val="20"/>
          <w:szCs w:val="20"/>
        </w:rPr>
        <w:t xml:space="preserve"> – this definition is based on importantly high performance is regarded by </w:t>
      </w:r>
      <w:r w:rsidR="0015732A" w:rsidRPr="00032295">
        <w:rPr>
          <w:rFonts w:asciiTheme="minorHAnsi" w:hAnsiTheme="minorHAnsi" w:cstheme="minorHAnsi"/>
          <w:sz w:val="20"/>
          <w:szCs w:val="20"/>
        </w:rPr>
        <w:t>employees and</w:t>
      </w:r>
      <w:r w:rsidR="002F59DE" w:rsidRPr="00032295">
        <w:rPr>
          <w:rFonts w:asciiTheme="minorHAnsi" w:hAnsiTheme="minorHAnsi" w:cstheme="minorHAnsi"/>
          <w:sz w:val="20"/>
          <w:szCs w:val="20"/>
        </w:rPr>
        <w:t xml:space="preserve"> is particularly rare</w:t>
      </w:r>
      <w:r w:rsidR="003F5EC5">
        <w:rPr>
          <w:rFonts w:asciiTheme="minorHAnsi" w:hAnsiTheme="minorHAnsi" w:cstheme="minorHAnsi"/>
          <w:sz w:val="20"/>
          <w:szCs w:val="20"/>
        </w:rPr>
        <w:t xml:space="preserve"> </w:t>
      </w:r>
      <w:r w:rsidR="003F5EC5" w:rsidRPr="003F5EC5">
        <w:rPr>
          <w:rFonts w:asciiTheme="minorHAnsi" w:hAnsiTheme="minorHAnsi" w:cstheme="minorHAnsi"/>
          <w:sz w:val="20"/>
          <w:szCs w:val="20"/>
        </w:rPr>
        <w:t>(Gifford and Young, 2021)</w:t>
      </w:r>
      <w:r w:rsidR="002F59DE" w:rsidRPr="00032295">
        <w:rPr>
          <w:rFonts w:asciiTheme="minorHAnsi" w:hAnsiTheme="minorHAnsi" w:cstheme="minorHAnsi"/>
          <w:sz w:val="20"/>
          <w:szCs w:val="20"/>
        </w:rPr>
        <w:t xml:space="preserve">. </w:t>
      </w:r>
    </w:p>
    <w:p w14:paraId="0FEAEC32" w14:textId="4273EA45" w:rsidR="00951D35" w:rsidRDefault="00951D35" w:rsidP="00C2695B">
      <w:pPr>
        <w:rPr>
          <w:rFonts w:asciiTheme="minorHAnsi" w:hAnsiTheme="minorHAnsi" w:cstheme="minorHAnsi"/>
          <w:sz w:val="20"/>
          <w:szCs w:val="20"/>
        </w:rPr>
      </w:pPr>
    </w:p>
    <w:p w14:paraId="73EF2411" w14:textId="5C2A52C2" w:rsidR="00951D35" w:rsidRPr="008350A2" w:rsidRDefault="000B0AD1" w:rsidP="00C2695B">
      <w:pPr>
        <w:rPr>
          <w:rFonts w:asciiTheme="minorHAnsi" w:hAnsiTheme="minorHAnsi" w:cstheme="minorHAnsi"/>
          <w:b/>
          <w:bCs/>
          <w:sz w:val="20"/>
          <w:szCs w:val="20"/>
        </w:rPr>
      </w:pPr>
      <w:r w:rsidRPr="008350A2">
        <w:rPr>
          <w:rFonts w:asciiTheme="minorHAnsi" w:hAnsiTheme="minorHAnsi" w:cstheme="minorHAnsi"/>
          <w:b/>
          <w:bCs/>
          <w:sz w:val="20"/>
          <w:szCs w:val="20"/>
        </w:rPr>
        <w:t xml:space="preserve">1.2 </w:t>
      </w:r>
      <w:r w:rsidR="00951D35" w:rsidRPr="008350A2">
        <w:rPr>
          <w:rFonts w:asciiTheme="minorHAnsi" w:hAnsiTheme="minorHAnsi" w:cstheme="minorHAnsi"/>
          <w:b/>
          <w:bCs/>
          <w:sz w:val="20"/>
          <w:szCs w:val="20"/>
        </w:rPr>
        <w:t>Compare and contrast employee engagement with other related concepts</w:t>
      </w:r>
    </w:p>
    <w:p w14:paraId="2DDAE6AE" w14:textId="77777777" w:rsidR="00951D35" w:rsidRPr="00032295" w:rsidRDefault="00951D35" w:rsidP="00C2695B">
      <w:pPr>
        <w:rPr>
          <w:rFonts w:asciiTheme="minorHAnsi" w:hAnsiTheme="minorHAnsi" w:cstheme="minorHAnsi"/>
          <w:sz w:val="20"/>
          <w:szCs w:val="20"/>
        </w:rPr>
      </w:pPr>
    </w:p>
    <w:p w14:paraId="46F67AD9" w14:textId="5C7CC1A4" w:rsidR="001C4D73" w:rsidRPr="00032295" w:rsidRDefault="0015732A" w:rsidP="00C2695B">
      <w:pPr>
        <w:rPr>
          <w:rFonts w:asciiTheme="minorHAnsi" w:hAnsiTheme="minorHAnsi" w:cstheme="minorHAnsi"/>
          <w:sz w:val="20"/>
          <w:szCs w:val="20"/>
        </w:rPr>
      </w:pPr>
      <w:r w:rsidRPr="00032295">
        <w:rPr>
          <w:rFonts w:asciiTheme="minorHAnsi" w:hAnsiTheme="minorHAnsi" w:cstheme="minorHAnsi"/>
          <w:sz w:val="20"/>
          <w:szCs w:val="20"/>
        </w:rPr>
        <w:t>Whilst employee engagement is often viewed as contributing to</w:t>
      </w:r>
      <w:r w:rsidR="00147594" w:rsidRPr="00032295">
        <w:rPr>
          <w:rFonts w:asciiTheme="minorHAnsi" w:hAnsiTheme="minorHAnsi" w:cstheme="minorHAnsi"/>
          <w:sz w:val="20"/>
          <w:szCs w:val="20"/>
        </w:rPr>
        <w:t xml:space="preserve"> performance, there are other positive potential outcomes. Evidence suggests that whilst</w:t>
      </w:r>
      <w:r w:rsidR="00417148" w:rsidRPr="00032295">
        <w:rPr>
          <w:rFonts w:asciiTheme="minorHAnsi" w:hAnsiTheme="minorHAnsi" w:cstheme="minorHAnsi"/>
          <w:sz w:val="20"/>
          <w:szCs w:val="20"/>
        </w:rPr>
        <w:t xml:space="preserve"> there is a clear link between performance and engagement, there is also evidence that other variables are positively influenced by engagement, which in turn improves performance. </w:t>
      </w:r>
    </w:p>
    <w:p w14:paraId="558DBCB2" w14:textId="2413CBA3" w:rsidR="00417148" w:rsidRPr="00032295" w:rsidRDefault="00417148" w:rsidP="00C2695B">
      <w:pPr>
        <w:rPr>
          <w:rFonts w:asciiTheme="minorHAnsi" w:hAnsiTheme="minorHAnsi" w:cstheme="minorHAnsi"/>
          <w:sz w:val="20"/>
          <w:szCs w:val="20"/>
        </w:rPr>
      </w:pPr>
    </w:p>
    <w:p w14:paraId="2677EA7B" w14:textId="496F71BD" w:rsidR="00417148" w:rsidRPr="00032295" w:rsidRDefault="00436BD3" w:rsidP="00C2695B">
      <w:pPr>
        <w:rPr>
          <w:rFonts w:asciiTheme="minorHAnsi" w:hAnsiTheme="minorHAnsi" w:cstheme="minorHAnsi"/>
          <w:sz w:val="20"/>
          <w:szCs w:val="20"/>
        </w:rPr>
      </w:pPr>
      <w:r w:rsidRPr="00032295">
        <w:rPr>
          <w:rFonts w:asciiTheme="minorHAnsi" w:hAnsiTheme="minorHAnsi" w:cstheme="minorHAnsi"/>
          <w:sz w:val="20"/>
          <w:szCs w:val="20"/>
        </w:rPr>
        <w:t xml:space="preserve">One of these variables includes organisational commitment, a concept closely related to employee engagement. Broadly, this refers to an individual’s psychological attachment to an organisation. </w:t>
      </w:r>
      <w:r w:rsidR="00180708" w:rsidRPr="00032295">
        <w:rPr>
          <w:rFonts w:asciiTheme="minorHAnsi" w:hAnsiTheme="minorHAnsi" w:cstheme="minorHAnsi"/>
          <w:sz w:val="20"/>
          <w:szCs w:val="20"/>
        </w:rPr>
        <w:t xml:space="preserve">An </w:t>
      </w:r>
      <w:r w:rsidR="0038548D" w:rsidRPr="00032295">
        <w:rPr>
          <w:rFonts w:asciiTheme="minorHAnsi" w:hAnsiTheme="minorHAnsi" w:cstheme="minorHAnsi"/>
          <w:sz w:val="20"/>
          <w:szCs w:val="20"/>
        </w:rPr>
        <w:t>individual’s</w:t>
      </w:r>
      <w:r w:rsidR="00180708" w:rsidRPr="00032295">
        <w:rPr>
          <w:rFonts w:asciiTheme="minorHAnsi" w:hAnsiTheme="minorHAnsi" w:cstheme="minorHAnsi"/>
          <w:sz w:val="20"/>
          <w:szCs w:val="20"/>
        </w:rPr>
        <w:t xml:space="preserve"> commitment to an organisation can be characterised into three ‘mindsets’:</w:t>
      </w:r>
      <w:r w:rsidR="003F5EC5">
        <w:rPr>
          <w:rFonts w:asciiTheme="minorHAnsi" w:hAnsiTheme="minorHAnsi" w:cstheme="minorHAnsi"/>
          <w:sz w:val="20"/>
          <w:szCs w:val="20"/>
        </w:rPr>
        <w:t xml:space="preserve"> </w:t>
      </w:r>
    </w:p>
    <w:p w14:paraId="185BB451" w14:textId="11213416" w:rsidR="00180708" w:rsidRPr="00032295" w:rsidRDefault="00180708" w:rsidP="00C2695B">
      <w:pPr>
        <w:rPr>
          <w:rFonts w:asciiTheme="minorHAnsi" w:hAnsiTheme="minorHAnsi" w:cstheme="minorHAnsi"/>
          <w:sz w:val="20"/>
          <w:szCs w:val="20"/>
        </w:rPr>
      </w:pPr>
    </w:p>
    <w:p w14:paraId="41D7ED5C" w14:textId="0FC8B4A3" w:rsidR="00180708" w:rsidRPr="00032295" w:rsidRDefault="00180708" w:rsidP="00180708">
      <w:pPr>
        <w:pStyle w:val="ListParagraph"/>
        <w:numPr>
          <w:ilvl w:val="0"/>
          <w:numId w:val="4"/>
        </w:numPr>
        <w:rPr>
          <w:rFonts w:asciiTheme="minorHAnsi" w:hAnsiTheme="minorHAnsi" w:cstheme="minorHAnsi"/>
          <w:sz w:val="20"/>
          <w:szCs w:val="20"/>
        </w:rPr>
      </w:pPr>
      <w:r w:rsidRPr="00032295">
        <w:rPr>
          <w:rFonts w:asciiTheme="minorHAnsi" w:hAnsiTheme="minorHAnsi" w:cstheme="minorHAnsi"/>
          <w:sz w:val="20"/>
          <w:szCs w:val="20"/>
        </w:rPr>
        <w:t xml:space="preserve">Affective commitment </w:t>
      </w:r>
      <w:r w:rsidR="00D9601E" w:rsidRPr="00032295">
        <w:rPr>
          <w:rFonts w:asciiTheme="minorHAnsi" w:hAnsiTheme="minorHAnsi" w:cstheme="minorHAnsi"/>
          <w:sz w:val="20"/>
          <w:szCs w:val="20"/>
        </w:rPr>
        <w:t>–</w:t>
      </w:r>
      <w:r w:rsidRPr="00032295">
        <w:rPr>
          <w:rFonts w:asciiTheme="minorHAnsi" w:hAnsiTheme="minorHAnsi" w:cstheme="minorHAnsi"/>
          <w:sz w:val="20"/>
          <w:szCs w:val="20"/>
        </w:rPr>
        <w:t xml:space="preserve"> </w:t>
      </w:r>
      <w:r w:rsidR="00D9601E" w:rsidRPr="00032295">
        <w:rPr>
          <w:rFonts w:asciiTheme="minorHAnsi" w:hAnsiTheme="minorHAnsi" w:cstheme="minorHAnsi"/>
          <w:sz w:val="20"/>
          <w:szCs w:val="20"/>
        </w:rPr>
        <w:t xml:space="preserve">an </w:t>
      </w:r>
      <w:r w:rsidR="0038548D" w:rsidRPr="00032295">
        <w:rPr>
          <w:rFonts w:asciiTheme="minorHAnsi" w:hAnsiTheme="minorHAnsi" w:cstheme="minorHAnsi"/>
          <w:sz w:val="20"/>
          <w:szCs w:val="20"/>
        </w:rPr>
        <w:t>employee’s</w:t>
      </w:r>
      <w:r w:rsidR="00D9601E" w:rsidRPr="00032295">
        <w:rPr>
          <w:rFonts w:asciiTheme="minorHAnsi" w:hAnsiTheme="minorHAnsi" w:cstheme="minorHAnsi"/>
          <w:sz w:val="20"/>
          <w:szCs w:val="20"/>
        </w:rPr>
        <w:t xml:space="preserve"> positive persona</w:t>
      </w:r>
      <w:r w:rsidR="00C82414" w:rsidRPr="00032295">
        <w:rPr>
          <w:rFonts w:asciiTheme="minorHAnsi" w:hAnsiTheme="minorHAnsi" w:cstheme="minorHAnsi"/>
          <w:sz w:val="20"/>
          <w:szCs w:val="20"/>
        </w:rPr>
        <w:t>l attachment. Employees who are committed in this way align with the company objectives and remain a part of it because they want to.</w:t>
      </w:r>
    </w:p>
    <w:p w14:paraId="78BC9001" w14:textId="133907CB" w:rsidR="007201BC" w:rsidRPr="00032295" w:rsidRDefault="00180708" w:rsidP="00180708">
      <w:pPr>
        <w:pStyle w:val="ListParagraph"/>
        <w:numPr>
          <w:ilvl w:val="0"/>
          <w:numId w:val="4"/>
        </w:numPr>
        <w:rPr>
          <w:rFonts w:asciiTheme="minorHAnsi" w:hAnsiTheme="minorHAnsi" w:cstheme="minorHAnsi"/>
          <w:sz w:val="20"/>
          <w:szCs w:val="20"/>
        </w:rPr>
      </w:pPr>
      <w:r w:rsidRPr="00032295">
        <w:rPr>
          <w:rFonts w:asciiTheme="minorHAnsi" w:hAnsiTheme="minorHAnsi" w:cstheme="minorHAnsi"/>
          <w:sz w:val="20"/>
          <w:szCs w:val="20"/>
        </w:rPr>
        <w:t>Continuance commitment</w:t>
      </w:r>
      <w:r w:rsidR="00C82414" w:rsidRPr="00032295">
        <w:rPr>
          <w:rFonts w:asciiTheme="minorHAnsi" w:hAnsiTheme="minorHAnsi" w:cstheme="minorHAnsi"/>
          <w:sz w:val="20"/>
          <w:szCs w:val="20"/>
        </w:rPr>
        <w:t xml:space="preserve"> - </w:t>
      </w:r>
      <w:r w:rsidR="00756CDF" w:rsidRPr="00032295">
        <w:rPr>
          <w:rFonts w:asciiTheme="minorHAnsi" w:hAnsiTheme="minorHAnsi" w:cstheme="minorHAnsi"/>
          <w:sz w:val="20"/>
          <w:szCs w:val="20"/>
        </w:rPr>
        <w:t>t</w:t>
      </w:r>
      <w:r w:rsidR="007201BC" w:rsidRPr="00032295">
        <w:rPr>
          <w:rFonts w:asciiTheme="minorHAnsi" w:hAnsiTheme="minorHAnsi" w:cstheme="minorHAnsi"/>
          <w:sz w:val="20"/>
          <w:szCs w:val="20"/>
        </w:rPr>
        <w:t>his type of commitment is where employees remain with a company due to the costs associated with leaving e.g. social, personal and economic costs, remaining with the organisation because they feel they have to.</w:t>
      </w:r>
    </w:p>
    <w:p w14:paraId="2B3C0A0A" w14:textId="5FDDE6D8" w:rsidR="00180708" w:rsidRPr="00032295" w:rsidRDefault="00180708" w:rsidP="00180708">
      <w:pPr>
        <w:pStyle w:val="ListParagraph"/>
        <w:numPr>
          <w:ilvl w:val="0"/>
          <w:numId w:val="4"/>
        </w:numPr>
        <w:rPr>
          <w:rFonts w:asciiTheme="minorHAnsi" w:hAnsiTheme="minorHAnsi" w:cstheme="minorHAnsi"/>
          <w:sz w:val="20"/>
          <w:szCs w:val="20"/>
        </w:rPr>
      </w:pPr>
      <w:r w:rsidRPr="00032295">
        <w:rPr>
          <w:rFonts w:asciiTheme="minorHAnsi" w:hAnsiTheme="minorHAnsi" w:cstheme="minorHAnsi"/>
          <w:sz w:val="20"/>
          <w:szCs w:val="20"/>
        </w:rPr>
        <w:t>Normative commitment</w:t>
      </w:r>
      <w:r w:rsidR="007201BC" w:rsidRPr="00032295">
        <w:rPr>
          <w:rFonts w:asciiTheme="minorHAnsi" w:hAnsiTheme="minorHAnsi" w:cstheme="minorHAnsi"/>
          <w:sz w:val="20"/>
          <w:szCs w:val="20"/>
        </w:rPr>
        <w:t xml:space="preserve"> -This type of commitment is where employees feel a moral obligation and remain with the organisation because they feel they ought to. </w:t>
      </w:r>
    </w:p>
    <w:p w14:paraId="2EE3A105" w14:textId="5198923D" w:rsidR="00985DA8" w:rsidRPr="00B41009" w:rsidRDefault="007201BC" w:rsidP="00DD1D29">
      <w:pPr>
        <w:pStyle w:val="ListParagraph"/>
        <w:numPr>
          <w:ilvl w:val="0"/>
          <w:numId w:val="4"/>
        </w:numPr>
        <w:rPr>
          <w:rFonts w:asciiTheme="minorHAnsi" w:hAnsiTheme="minorHAnsi" w:cstheme="minorHAnsi"/>
          <w:sz w:val="20"/>
          <w:szCs w:val="20"/>
        </w:rPr>
      </w:pPr>
      <w:r w:rsidRPr="00B41009">
        <w:rPr>
          <w:rFonts w:asciiTheme="minorHAnsi" w:hAnsiTheme="minorHAnsi" w:cstheme="minorHAnsi"/>
          <w:sz w:val="20"/>
          <w:szCs w:val="20"/>
        </w:rPr>
        <w:t>There is evidence to suggest that affective commitment is related to psychological wellbeing, whereby individuals who experience an emotional attachment to their place of work display better coping mechanisms of stress, and moderate levels of engagement correlate with positive health and wellbeing</w:t>
      </w:r>
      <w:r w:rsidR="00B41009" w:rsidRPr="00B41009">
        <w:rPr>
          <w:rFonts w:asciiTheme="minorHAnsi" w:hAnsiTheme="minorHAnsi" w:cstheme="minorHAnsi"/>
          <w:sz w:val="20"/>
          <w:szCs w:val="20"/>
        </w:rPr>
        <w:t xml:space="preserve"> </w:t>
      </w:r>
      <w:r w:rsidR="00DD1D29" w:rsidRPr="00B41009">
        <w:rPr>
          <w:rFonts w:asciiTheme="minorHAnsi" w:hAnsiTheme="minorHAnsi" w:cstheme="minorHAnsi"/>
          <w:sz w:val="20"/>
          <w:szCs w:val="20"/>
        </w:rPr>
        <w:t>(Cioca, Wietrak, Barends and Rousseau, 2021).</w:t>
      </w:r>
    </w:p>
    <w:p w14:paraId="5139E5C5" w14:textId="77777777" w:rsidR="00180708" w:rsidRPr="00032295" w:rsidRDefault="00180708" w:rsidP="00C2695B">
      <w:pPr>
        <w:rPr>
          <w:rFonts w:asciiTheme="minorHAnsi" w:hAnsiTheme="minorHAnsi" w:cstheme="minorHAnsi"/>
          <w:sz w:val="20"/>
          <w:szCs w:val="20"/>
        </w:rPr>
      </w:pPr>
    </w:p>
    <w:p w14:paraId="181FD6B5" w14:textId="183E3CD8" w:rsidR="00F92ADB" w:rsidRPr="00032295" w:rsidRDefault="00436BD3" w:rsidP="00C2695B">
      <w:pPr>
        <w:rPr>
          <w:rFonts w:asciiTheme="minorHAnsi" w:hAnsiTheme="minorHAnsi" w:cstheme="minorHAnsi"/>
          <w:sz w:val="20"/>
          <w:szCs w:val="20"/>
        </w:rPr>
      </w:pPr>
      <w:r w:rsidRPr="00032295">
        <w:rPr>
          <w:rFonts w:asciiTheme="minorHAnsi" w:hAnsiTheme="minorHAnsi" w:cstheme="minorHAnsi"/>
          <w:sz w:val="20"/>
          <w:szCs w:val="20"/>
        </w:rPr>
        <w:t xml:space="preserve">Organisational commitment can also be contrasted to other work-related </w:t>
      </w:r>
      <w:r w:rsidR="00180708" w:rsidRPr="00032295">
        <w:rPr>
          <w:rFonts w:asciiTheme="minorHAnsi" w:hAnsiTheme="minorHAnsi" w:cstheme="minorHAnsi"/>
          <w:sz w:val="20"/>
          <w:szCs w:val="20"/>
        </w:rPr>
        <w:t xml:space="preserve">attitudes for example job satisfaction. Job satisfaction is the employee’s feelings about their work. </w:t>
      </w:r>
      <w:r w:rsidR="00853C01" w:rsidRPr="00032295">
        <w:rPr>
          <w:rFonts w:asciiTheme="minorHAnsi" w:hAnsiTheme="minorHAnsi" w:cstheme="minorHAnsi"/>
          <w:sz w:val="20"/>
          <w:szCs w:val="20"/>
        </w:rPr>
        <w:t xml:space="preserve"> </w:t>
      </w:r>
      <w:r w:rsidR="00F92ADB" w:rsidRPr="00032295">
        <w:rPr>
          <w:rFonts w:asciiTheme="minorHAnsi" w:hAnsiTheme="minorHAnsi" w:cstheme="minorHAnsi"/>
          <w:sz w:val="20"/>
          <w:szCs w:val="20"/>
        </w:rPr>
        <w:t xml:space="preserve">Job satisfaction can be achieved through matters associated with motivating an employee within their own work for example achievement, recognition, </w:t>
      </w:r>
      <w:r w:rsidR="0038548D" w:rsidRPr="00032295">
        <w:rPr>
          <w:rFonts w:asciiTheme="minorHAnsi" w:hAnsiTheme="minorHAnsi" w:cstheme="minorHAnsi"/>
          <w:sz w:val="20"/>
          <w:szCs w:val="20"/>
        </w:rPr>
        <w:t>responsibility,</w:t>
      </w:r>
      <w:r w:rsidR="00F92ADB" w:rsidRPr="00032295">
        <w:rPr>
          <w:rFonts w:asciiTheme="minorHAnsi" w:hAnsiTheme="minorHAnsi" w:cstheme="minorHAnsi"/>
          <w:sz w:val="20"/>
          <w:szCs w:val="20"/>
        </w:rPr>
        <w:t xml:space="preserve"> and growth. This is a large component of employee engagement</w:t>
      </w:r>
      <w:r w:rsidR="00A61990" w:rsidRPr="00032295">
        <w:rPr>
          <w:rFonts w:asciiTheme="minorHAnsi" w:hAnsiTheme="minorHAnsi" w:cstheme="minorHAnsi"/>
          <w:sz w:val="20"/>
          <w:szCs w:val="20"/>
        </w:rPr>
        <w:t>, but important to note that engagement does not automatically follow from job satisfaction. An employee can be satisfied with their own work, but it does not in turn create high performance working</w:t>
      </w:r>
      <w:r w:rsidR="00B41009">
        <w:rPr>
          <w:rFonts w:asciiTheme="minorHAnsi" w:hAnsiTheme="minorHAnsi" w:cstheme="minorHAnsi"/>
          <w:sz w:val="20"/>
          <w:szCs w:val="20"/>
        </w:rPr>
        <w:t xml:space="preserve"> </w:t>
      </w:r>
      <w:r w:rsidR="00B41009" w:rsidRPr="00B41009">
        <w:rPr>
          <w:rFonts w:asciiTheme="minorHAnsi" w:hAnsiTheme="minorHAnsi" w:cstheme="minorHAnsi"/>
          <w:sz w:val="20"/>
          <w:szCs w:val="20"/>
        </w:rPr>
        <w:t>(Wietrak, Rousseau and Barends, 2021)</w:t>
      </w:r>
      <w:r w:rsidR="00A61990" w:rsidRPr="00032295">
        <w:rPr>
          <w:rFonts w:asciiTheme="minorHAnsi" w:hAnsiTheme="minorHAnsi" w:cstheme="minorHAnsi"/>
          <w:sz w:val="20"/>
          <w:szCs w:val="20"/>
        </w:rPr>
        <w:t xml:space="preserve">. </w:t>
      </w:r>
    </w:p>
    <w:p w14:paraId="6E85650B" w14:textId="666DE3D9" w:rsidR="00F92ADB" w:rsidRPr="00032295" w:rsidRDefault="00F92ADB" w:rsidP="00C2695B">
      <w:pPr>
        <w:rPr>
          <w:rFonts w:asciiTheme="minorHAnsi" w:hAnsiTheme="minorHAnsi" w:cstheme="minorHAnsi"/>
          <w:sz w:val="20"/>
          <w:szCs w:val="20"/>
        </w:rPr>
      </w:pPr>
    </w:p>
    <w:p w14:paraId="20CAF8F7" w14:textId="25BDDC3F" w:rsidR="00F92ADB" w:rsidRPr="00032295" w:rsidRDefault="00F92ADB" w:rsidP="00C2695B">
      <w:pPr>
        <w:rPr>
          <w:rFonts w:asciiTheme="minorHAnsi" w:hAnsiTheme="minorHAnsi" w:cstheme="minorHAnsi"/>
          <w:sz w:val="20"/>
          <w:szCs w:val="20"/>
        </w:rPr>
      </w:pPr>
    </w:p>
    <w:p w14:paraId="0E4A8D2E" w14:textId="5D16D8D4" w:rsidR="00032295" w:rsidRDefault="00032295" w:rsidP="00C2695B">
      <w:pPr>
        <w:rPr>
          <w:rFonts w:asciiTheme="minorHAnsi" w:hAnsiTheme="minorHAnsi" w:cstheme="minorHAnsi"/>
          <w:sz w:val="20"/>
          <w:szCs w:val="20"/>
        </w:rPr>
      </w:pPr>
    </w:p>
    <w:p w14:paraId="498EF880" w14:textId="602F149E" w:rsidR="000B0AD1" w:rsidRPr="008350A2" w:rsidRDefault="00C2695B" w:rsidP="00F92ADB">
      <w:pPr>
        <w:pStyle w:val="ListParagraph"/>
        <w:numPr>
          <w:ilvl w:val="0"/>
          <w:numId w:val="1"/>
        </w:numPr>
        <w:ind w:left="360"/>
        <w:rPr>
          <w:rFonts w:asciiTheme="minorHAnsi" w:hAnsiTheme="minorHAnsi" w:cstheme="minorHAnsi"/>
          <w:b/>
          <w:bCs/>
          <w:sz w:val="20"/>
          <w:szCs w:val="20"/>
        </w:rPr>
      </w:pPr>
      <w:r w:rsidRPr="008350A2">
        <w:rPr>
          <w:rFonts w:asciiTheme="minorHAnsi" w:hAnsiTheme="minorHAnsi" w:cstheme="minorHAnsi"/>
          <w:b/>
          <w:bCs/>
          <w:sz w:val="20"/>
          <w:szCs w:val="20"/>
        </w:rPr>
        <w:lastRenderedPageBreak/>
        <w:t>Describe the HR, leadership and cultural elements of organisations which have high levels of employee engagement, making reference to academic literature on the subject. You should also explain the need for aligning employee engagement with other key organisational factors</w:t>
      </w:r>
      <w:r w:rsidR="008350A2">
        <w:rPr>
          <w:rFonts w:asciiTheme="minorHAnsi" w:hAnsiTheme="minorHAnsi" w:cstheme="minorHAnsi"/>
          <w:b/>
          <w:bCs/>
          <w:sz w:val="20"/>
          <w:szCs w:val="20"/>
        </w:rPr>
        <w:t>.</w:t>
      </w:r>
      <w:r w:rsidR="00417148" w:rsidRPr="008350A2">
        <w:rPr>
          <w:rFonts w:asciiTheme="minorHAnsi" w:hAnsiTheme="minorHAnsi" w:cstheme="minorHAnsi"/>
          <w:b/>
          <w:bCs/>
          <w:sz w:val="20"/>
          <w:szCs w:val="20"/>
        </w:rPr>
        <w:t xml:space="preserve"> </w:t>
      </w:r>
    </w:p>
    <w:p w14:paraId="62822DBC" w14:textId="77777777" w:rsidR="008350A2" w:rsidRPr="008350A2" w:rsidRDefault="008350A2" w:rsidP="008350A2">
      <w:pPr>
        <w:pStyle w:val="ListParagraph"/>
        <w:ind w:left="360"/>
        <w:rPr>
          <w:rFonts w:asciiTheme="minorHAnsi" w:hAnsiTheme="minorHAnsi" w:cstheme="minorHAnsi"/>
          <w:sz w:val="20"/>
          <w:szCs w:val="20"/>
        </w:rPr>
      </w:pPr>
    </w:p>
    <w:p w14:paraId="10677733" w14:textId="6C709489" w:rsidR="000B0AD1" w:rsidRPr="008350A2" w:rsidRDefault="000B0AD1" w:rsidP="000B0AD1">
      <w:pPr>
        <w:pStyle w:val="ListParagraph"/>
        <w:numPr>
          <w:ilvl w:val="1"/>
          <w:numId w:val="1"/>
        </w:numPr>
        <w:rPr>
          <w:rFonts w:asciiTheme="minorHAnsi" w:hAnsiTheme="minorHAnsi" w:cstheme="minorHAnsi"/>
          <w:b/>
          <w:bCs/>
          <w:sz w:val="20"/>
          <w:szCs w:val="20"/>
        </w:rPr>
      </w:pPr>
      <w:r w:rsidRPr="008350A2">
        <w:rPr>
          <w:rFonts w:asciiTheme="minorHAnsi" w:hAnsiTheme="minorHAnsi" w:cstheme="minorHAnsi"/>
          <w:b/>
          <w:bCs/>
          <w:sz w:val="20"/>
          <w:szCs w:val="20"/>
        </w:rPr>
        <w:t>Describe the typical HR, leadership, and cultural elements likely to be found in an organisation characterised by high levels of employee engagement</w:t>
      </w:r>
    </w:p>
    <w:p w14:paraId="35FF4A53" w14:textId="77777777" w:rsidR="000B0AD1" w:rsidRPr="000B0AD1" w:rsidRDefault="000B0AD1" w:rsidP="000B0AD1">
      <w:pPr>
        <w:rPr>
          <w:rFonts w:asciiTheme="minorHAnsi" w:hAnsiTheme="minorHAnsi" w:cstheme="minorHAnsi"/>
          <w:sz w:val="20"/>
          <w:szCs w:val="20"/>
        </w:rPr>
      </w:pPr>
    </w:p>
    <w:p w14:paraId="3845CDC5" w14:textId="456757D3" w:rsidR="00F92ADB" w:rsidRPr="00032295" w:rsidRDefault="00A61990" w:rsidP="00F92ADB">
      <w:pPr>
        <w:rPr>
          <w:rFonts w:asciiTheme="minorHAnsi" w:hAnsiTheme="minorHAnsi" w:cstheme="minorHAnsi"/>
          <w:sz w:val="20"/>
          <w:szCs w:val="20"/>
        </w:rPr>
      </w:pPr>
      <w:r w:rsidRPr="00032295">
        <w:rPr>
          <w:rFonts w:asciiTheme="minorHAnsi" w:hAnsiTheme="minorHAnsi" w:cstheme="minorHAnsi"/>
          <w:sz w:val="20"/>
          <w:szCs w:val="20"/>
        </w:rPr>
        <w:t>There are many different dimensions of employee engagement, however Purcell (2010), defines building blocks of engagement</w:t>
      </w:r>
      <w:r w:rsidR="0022003C">
        <w:rPr>
          <w:rFonts w:asciiTheme="minorHAnsi" w:hAnsiTheme="minorHAnsi" w:cstheme="minorHAnsi"/>
          <w:sz w:val="20"/>
          <w:szCs w:val="20"/>
        </w:rPr>
        <w:t xml:space="preserve"> as</w:t>
      </w:r>
      <w:r w:rsidRPr="00032295">
        <w:rPr>
          <w:rFonts w:asciiTheme="minorHAnsi" w:hAnsiTheme="minorHAnsi" w:cstheme="minorHAnsi"/>
          <w:sz w:val="20"/>
          <w:szCs w:val="20"/>
        </w:rPr>
        <w:t>:</w:t>
      </w:r>
    </w:p>
    <w:p w14:paraId="0E31D060" w14:textId="77777777" w:rsidR="00A61990" w:rsidRPr="00032295" w:rsidRDefault="00A61990" w:rsidP="00F92ADB">
      <w:pPr>
        <w:rPr>
          <w:rFonts w:asciiTheme="minorHAnsi" w:hAnsiTheme="minorHAnsi" w:cstheme="minorHAnsi"/>
          <w:sz w:val="20"/>
          <w:szCs w:val="20"/>
        </w:rPr>
      </w:pPr>
    </w:p>
    <w:p w14:paraId="679D8DFD" w14:textId="6A873E76" w:rsidR="00A61990" w:rsidRPr="00032295" w:rsidRDefault="00A61990" w:rsidP="00A61990">
      <w:pPr>
        <w:pStyle w:val="ListParagraph"/>
        <w:numPr>
          <w:ilvl w:val="0"/>
          <w:numId w:val="5"/>
        </w:numPr>
        <w:rPr>
          <w:rFonts w:asciiTheme="minorHAnsi" w:hAnsiTheme="minorHAnsi" w:cstheme="minorHAnsi"/>
          <w:sz w:val="20"/>
          <w:szCs w:val="20"/>
        </w:rPr>
      </w:pPr>
      <w:r w:rsidRPr="00032295">
        <w:rPr>
          <w:rFonts w:asciiTheme="minorHAnsi" w:hAnsiTheme="minorHAnsi" w:cstheme="minorHAnsi"/>
          <w:sz w:val="20"/>
          <w:szCs w:val="20"/>
        </w:rPr>
        <w:t>Employee trust in management</w:t>
      </w:r>
    </w:p>
    <w:p w14:paraId="2F08BC84" w14:textId="10DBC5F5" w:rsidR="00A61990" w:rsidRPr="00032295" w:rsidRDefault="00A61990" w:rsidP="00A61990">
      <w:pPr>
        <w:pStyle w:val="ListParagraph"/>
        <w:numPr>
          <w:ilvl w:val="0"/>
          <w:numId w:val="5"/>
        </w:numPr>
        <w:rPr>
          <w:rFonts w:asciiTheme="minorHAnsi" w:hAnsiTheme="minorHAnsi" w:cstheme="minorHAnsi"/>
          <w:sz w:val="20"/>
          <w:szCs w:val="20"/>
        </w:rPr>
      </w:pPr>
      <w:r w:rsidRPr="00032295">
        <w:rPr>
          <w:rFonts w:asciiTheme="minorHAnsi" w:hAnsiTheme="minorHAnsi" w:cstheme="minorHAnsi"/>
          <w:sz w:val="20"/>
          <w:szCs w:val="20"/>
        </w:rPr>
        <w:t>Satisfaction with the work itself</w:t>
      </w:r>
    </w:p>
    <w:p w14:paraId="5A45FD94" w14:textId="0977F675" w:rsidR="00A61990" w:rsidRPr="00032295" w:rsidRDefault="00A61990" w:rsidP="00A61990">
      <w:pPr>
        <w:pStyle w:val="ListParagraph"/>
        <w:numPr>
          <w:ilvl w:val="0"/>
          <w:numId w:val="5"/>
        </w:numPr>
        <w:rPr>
          <w:rFonts w:asciiTheme="minorHAnsi" w:hAnsiTheme="minorHAnsi" w:cstheme="minorHAnsi"/>
          <w:sz w:val="20"/>
          <w:szCs w:val="20"/>
        </w:rPr>
      </w:pPr>
      <w:r w:rsidRPr="00032295">
        <w:rPr>
          <w:rFonts w:asciiTheme="minorHAnsi" w:hAnsiTheme="minorHAnsi" w:cstheme="minorHAnsi"/>
          <w:sz w:val="20"/>
          <w:szCs w:val="20"/>
        </w:rPr>
        <w:t>Satisfaction with involvement in decision-making at the workplace</w:t>
      </w:r>
    </w:p>
    <w:p w14:paraId="5A368F0A" w14:textId="52476DC0" w:rsidR="00A61990" w:rsidRPr="00032295" w:rsidRDefault="00A61990" w:rsidP="00A61990">
      <w:pPr>
        <w:pStyle w:val="ListParagraph"/>
        <w:numPr>
          <w:ilvl w:val="0"/>
          <w:numId w:val="5"/>
        </w:numPr>
        <w:rPr>
          <w:rFonts w:asciiTheme="minorHAnsi" w:hAnsiTheme="minorHAnsi" w:cstheme="minorHAnsi"/>
          <w:sz w:val="20"/>
          <w:szCs w:val="20"/>
        </w:rPr>
      </w:pPr>
      <w:r w:rsidRPr="00032295">
        <w:rPr>
          <w:rFonts w:asciiTheme="minorHAnsi" w:hAnsiTheme="minorHAnsi" w:cstheme="minorHAnsi"/>
          <w:sz w:val="20"/>
          <w:szCs w:val="20"/>
        </w:rPr>
        <w:t>Quality of relationships between management and employees</w:t>
      </w:r>
    </w:p>
    <w:p w14:paraId="194A3C0A" w14:textId="18ABF48B" w:rsidR="00A61990" w:rsidRPr="00032295" w:rsidRDefault="00A61990" w:rsidP="00A61990">
      <w:pPr>
        <w:pStyle w:val="ListParagraph"/>
        <w:numPr>
          <w:ilvl w:val="0"/>
          <w:numId w:val="5"/>
        </w:numPr>
        <w:rPr>
          <w:rFonts w:asciiTheme="minorHAnsi" w:hAnsiTheme="minorHAnsi" w:cstheme="minorHAnsi"/>
          <w:sz w:val="20"/>
          <w:szCs w:val="20"/>
        </w:rPr>
      </w:pPr>
      <w:r w:rsidRPr="00032295">
        <w:rPr>
          <w:rFonts w:asciiTheme="minorHAnsi" w:hAnsiTheme="minorHAnsi" w:cstheme="minorHAnsi"/>
          <w:sz w:val="20"/>
          <w:szCs w:val="20"/>
        </w:rPr>
        <w:t>Satisfaction with the amount of pay received</w:t>
      </w:r>
    </w:p>
    <w:p w14:paraId="7F253EE6" w14:textId="06DE56B6" w:rsidR="00A61990" w:rsidRPr="00032295" w:rsidRDefault="00A61990" w:rsidP="00A61990">
      <w:pPr>
        <w:pStyle w:val="ListParagraph"/>
        <w:numPr>
          <w:ilvl w:val="0"/>
          <w:numId w:val="5"/>
        </w:numPr>
        <w:rPr>
          <w:rFonts w:asciiTheme="minorHAnsi" w:hAnsiTheme="minorHAnsi" w:cstheme="minorHAnsi"/>
          <w:sz w:val="20"/>
          <w:szCs w:val="20"/>
        </w:rPr>
      </w:pPr>
      <w:r w:rsidRPr="00032295">
        <w:rPr>
          <w:rFonts w:asciiTheme="minorHAnsi" w:hAnsiTheme="minorHAnsi" w:cstheme="minorHAnsi"/>
          <w:sz w:val="20"/>
          <w:szCs w:val="20"/>
        </w:rPr>
        <w:t>Job challenge</w:t>
      </w:r>
    </w:p>
    <w:p w14:paraId="1AB132BA" w14:textId="391A4017" w:rsidR="00A61990" w:rsidRDefault="00A61990" w:rsidP="00A61990">
      <w:pPr>
        <w:pStyle w:val="ListParagraph"/>
        <w:numPr>
          <w:ilvl w:val="0"/>
          <w:numId w:val="5"/>
        </w:numPr>
        <w:rPr>
          <w:rFonts w:asciiTheme="minorHAnsi" w:hAnsiTheme="minorHAnsi" w:cstheme="minorHAnsi"/>
          <w:sz w:val="20"/>
          <w:szCs w:val="20"/>
        </w:rPr>
      </w:pPr>
      <w:r w:rsidRPr="00032295">
        <w:rPr>
          <w:rFonts w:asciiTheme="minorHAnsi" w:hAnsiTheme="minorHAnsi" w:cstheme="minorHAnsi"/>
          <w:sz w:val="20"/>
          <w:szCs w:val="20"/>
        </w:rPr>
        <w:t>Satisfaction with the sense of achievement from work</w:t>
      </w:r>
      <w:r w:rsidR="0022003C">
        <w:rPr>
          <w:rFonts w:asciiTheme="minorHAnsi" w:hAnsiTheme="minorHAnsi" w:cstheme="minorHAnsi"/>
          <w:sz w:val="20"/>
          <w:szCs w:val="20"/>
        </w:rPr>
        <w:t xml:space="preserve"> </w:t>
      </w:r>
    </w:p>
    <w:p w14:paraId="3F1991BD" w14:textId="5933E48F" w:rsidR="0022003C" w:rsidRDefault="0022003C" w:rsidP="0022003C">
      <w:pPr>
        <w:rPr>
          <w:rFonts w:asciiTheme="minorHAnsi" w:hAnsiTheme="minorHAnsi" w:cstheme="minorHAnsi"/>
          <w:sz w:val="20"/>
          <w:szCs w:val="20"/>
        </w:rPr>
      </w:pPr>
    </w:p>
    <w:p w14:paraId="01A56CC9" w14:textId="77777777" w:rsidR="0022003C" w:rsidRPr="00032295" w:rsidRDefault="0022003C" w:rsidP="0022003C">
      <w:pPr>
        <w:rPr>
          <w:rFonts w:asciiTheme="minorHAnsi" w:hAnsiTheme="minorHAnsi" w:cstheme="minorHAnsi"/>
          <w:sz w:val="20"/>
          <w:szCs w:val="20"/>
        </w:rPr>
      </w:pPr>
      <w:r w:rsidRPr="00032295">
        <w:rPr>
          <w:rFonts w:asciiTheme="minorHAnsi" w:hAnsiTheme="minorHAnsi" w:cstheme="minorHAnsi"/>
          <w:sz w:val="20"/>
          <w:szCs w:val="20"/>
        </w:rPr>
        <w:t>(Taylor and Woodams, 2016).</w:t>
      </w:r>
    </w:p>
    <w:p w14:paraId="26203800" w14:textId="3D112208" w:rsidR="00131D34" w:rsidRPr="00032295" w:rsidRDefault="00131D34" w:rsidP="00A61990">
      <w:pPr>
        <w:rPr>
          <w:rFonts w:asciiTheme="minorHAnsi" w:hAnsiTheme="minorHAnsi" w:cstheme="minorHAnsi"/>
          <w:sz w:val="20"/>
          <w:szCs w:val="20"/>
        </w:rPr>
      </w:pPr>
    </w:p>
    <w:p w14:paraId="5595F177" w14:textId="474AFA58" w:rsidR="00131D34" w:rsidRDefault="00131D34" w:rsidP="00A61990">
      <w:pPr>
        <w:rPr>
          <w:rFonts w:asciiTheme="minorHAnsi" w:hAnsiTheme="minorHAnsi" w:cstheme="minorHAnsi"/>
          <w:sz w:val="20"/>
          <w:szCs w:val="20"/>
        </w:rPr>
      </w:pPr>
      <w:r w:rsidRPr="00032295">
        <w:rPr>
          <w:rFonts w:asciiTheme="minorHAnsi" w:hAnsiTheme="minorHAnsi" w:cstheme="minorHAnsi"/>
          <w:sz w:val="20"/>
          <w:szCs w:val="20"/>
        </w:rPr>
        <w:t>The concept of employee engagement is further developed in the Macleod Report (2009), which identifies four enablers of engagement</w:t>
      </w:r>
      <w:r w:rsidR="00032295">
        <w:rPr>
          <w:rFonts w:asciiTheme="minorHAnsi" w:hAnsiTheme="minorHAnsi" w:cstheme="minorHAnsi"/>
          <w:sz w:val="20"/>
          <w:szCs w:val="20"/>
        </w:rPr>
        <w:t>:</w:t>
      </w:r>
    </w:p>
    <w:p w14:paraId="62D0FA7C" w14:textId="5680B294" w:rsidR="00131D34" w:rsidRDefault="00131D34" w:rsidP="00A61990">
      <w:pPr>
        <w:rPr>
          <w:rFonts w:asciiTheme="minorHAnsi" w:hAnsiTheme="minorHAnsi" w:cstheme="minorHAnsi"/>
          <w:sz w:val="20"/>
          <w:szCs w:val="20"/>
        </w:rPr>
      </w:pPr>
    </w:p>
    <w:p w14:paraId="224FBBF2" w14:textId="7CD1C6B1" w:rsidR="00032295" w:rsidRPr="00032295" w:rsidRDefault="00032295" w:rsidP="00A61990">
      <w:pPr>
        <w:rPr>
          <w:rFonts w:asciiTheme="minorHAnsi" w:hAnsiTheme="minorHAnsi" w:cstheme="minorHAnsi"/>
          <w:b/>
          <w:bCs/>
          <w:i/>
          <w:iCs/>
          <w:sz w:val="18"/>
          <w:szCs w:val="18"/>
        </w:rPr>
      </w:pPr>
      <w:r w:rsidRPr="00032295">
        <w:rPr>
          <w:rFonts w:asciiTheme="minorHAnsi" w:hAnsiTheme="minorHAnsi" w:cstheme="minorHAnsi"/>
          <w:b/>
          <w:bCs/>
          <w:i/>
          <w:iCs/>
          <w:sz w:val="18"/>
          <w:szCs w:val="18"/>
        </w:rPr>
        <w:t>Enablers of employee engagement</w:t>
      </w:r>
    </w:p>
    <w:tbl>
      <w:tblPr>
        <w:tblStyle w:val="TableGrid"/>
        <w:tblW w:w="0" w:type="auto"/>
        <w:tblLook w:val="04A0" w:firstRow="1" w:lastRow="0" w:firstColumn="1" w:lastColumn="0" w:noHBand="0" w:noVBand="1"/>
      </w:tblPr>
      <w:tblGrid>
        <w:gridCol w:w="1980"/>
        <w:gridCol w:w="7036"/>
      </w:tblGrid>
      <w:tr w:rsidR="00131D34" w:rsidRPr="00032295" w14:paraId="38386B3D" w14:textId="77777777" w:rsidTr="00131D34">
        <w:tc>
          <w:tcPr>
            <w:tcW w:w="1980" w:type="dxa"/>
          </w:tcPr>
          <w:p w14:paraId="2E07F9F9" w14:textId="3CC823D3" w:rsidR="00131D34" w:rsidRPr="00032295" w:rsidRDefault="00131D34" w:rsidP="00A61990">
            <w:pPr>
              <w:rPr>
                <w:rFonts w:asciiTheme="minorHAnsi" w:hAnsiTheme="minorHAnsi" w:cstheme="minorHAnsi"/>
                <w:b/>
                <w:bCs/>
                <w:i/>
                <w:iCs/>
                <w:sz w:val="18"/>
                <w:szCs w:val="18"/>
              </w:rPr>
            </w:pPr>
            <w:r w:rsidRPr="00032295">
              <w:rPr>
                <w:rFonts w:asciiTheme="minorHAnsi" w:hAnsiTheme="minorHAnsi" w:cstheme="minorHAnsi"/>
                <w:b/>
                <w:bCs/>
                <w:i/>
                <w:iCs/>
                <w:sz w:val="18"/>
                <w:szCs w:val="18"/>
              </w:rPr>
              <w:t>Enabler</w:t>
            </w:r>
          </w:p>
        </w:tc>
        <w:tc>
          <w:tcPr>
            <w:tcW w:w="7036" w:type="dxa"/>
          </w:tcPr>
          <w:p w14:paraId="030D81C7" w14:textId="77777777" w:rsidR="00131D34" w:rsidRPr="00032295" w:rsidRDefault="00131D34" w:rsidP="00A61990">
            <w:pPr>
              <w:rPr>
                <w:rFonts w:asciiTheme="minorHAnsi" w:hAnsiTheme="minorHAnsi" w:cstheme="minorHAnsi"/>
                <w:b/>
                <w:bCs/>
                <w:i/>
                <w:iCs/>
                <w:sz w:val="18"/>
                <w:szCs w:val="18"/>
              </w:rPr>
            </w:pPr>
          </w:p>
        </w:tc>
      </w:tr>
      <w:tr w:rsidR="00131D34" w:rsidRPr="00032295" w14:paraId="18F1F0A9" w14:textId="77777777" w:rsidTr="00131D34">
        <w:tc>
          <w:tcPr>
            <w:tcW w:w="1980" w:type="dxa"/>
          </w:tcPr>
          <w:p w14:paraId="6776C2A0" w14:textId="5F2B9520" w:rsidR="00131D34" w:rsidRPr="00032295" w:rsidRDefault="00131D34" w:rsidP="00A61990">
            <w:pPr>
              <w:rPr>
                <w:rFonts w:asciiTheme="minorHAnsi" w:hAnsiTheme="minorHAnsi" w:cstheme="minorHAnsi"/>
                <w:b/>
                <w:bCs/>
                <w:i/>
                <w:iCs/>
                <w:sz w:val="18"/>
                <w:szCs w:val="18"/>
              </w:rPr>
            </w:pPr>
            <w:r w:rsidRPr="00032295">
              <w:rPr>
                <w:rFonts w:asciiTheme="minorHAnsi" w:hAnsiTheme="minorHAnsi" w:cstheme="minorHAnsi"/>
                <w:b/>
                <w:bCs/>
                <w:i/>
                <w:iCs/>
                <w:sz w:val="18"/>
                <w:szCs w:val="18"/>
              </w:rPr>
              <w:t>A strategic narrative</w:t>
            </w:r>
          </w:p>
        </w:tc>
        <w:tc>
          <w:tcPr>
            <w:tcW w:w="7036" w:type="dxa"/>
          </w:tcPr>
          <w:p w14:paraId="52155F32" w14:textId="243232CD" w:rsidR="00131D34" w:rsidRPr="00032295" w:rsidRDefault="00131D34" w:rsidP="00A61990">
            <w:pPr>
              <w:rPr>
                <w:rFonts w:asciiTheme="minorHAnsi" w:hAnsiTheme="minorHAnsi" w:cstheme="minorHAnsi"/>
                <w:b/>
                <w:bCs/>
                <w:i/>
                <w:iCs/>
                <w:sz w:val="18"/>
                <w:szCs w:val="18"/>
              </w:rPr>
            </w:pPr>
            <w:r w:rsidRPr="00032295">
              <w:rPr>
                <w:rFonts w:asciiTheme="minorHAnsi" w:hAnsiTheme="minorHAnsi" w:cstheme="minorHAnsi"/>
                <w:b/>
                <w:bCs/>
                <w:i/>
                <w:iCs/>
                <w:sz w:val="18"/>
                <w:szCs w:val="18"/>
              </w:rPr>
              <w:t>A strategic narrative is defined as ‘a strong transparent and explicit organisational culture which gives employees a line of sight between their job and the vision and aims of the organisation’ (Macleod and Clarke, 2009, pg31).</w:t>
            </w:r>
          </w:p>
        </w:tc>
      </w:tr>
      <w:tr w:rsidR="00131D34" w:rsidRPr="00032295" w14:paraId="0CF8D539" w14:textId="77777777" w:rsidTr="00131D34">
        <w:tc>
          <w:tcPr>
            <w:tcW w:w="1980" w:type="dxa"/>
          </w:tcPr>
          <w:p w14:paraId="14AA41AA" w14:textId="3F799DF4" w:rsidR="00131D34" w:rsidRPr="00032295" w:rsidRDefault="00131D34" w:rsidP="00A61990">
            <w:pPr>
              <w:rPr>
                <w:rFonts w:asciiTheme="minorHAnsi" w:hAnsiTheme="minorHAnsi" w:cstheme="minorHAnsi"/>
                <w:b/>
                <w:bCs/>
                <w:i/>
                <w:iCs/>
                <w:sz w:val="18"/>
                <w:szCs w:val="18"/>
              </w:rPr>
            </w:pPr>
            <w:r w:rsidRPr="00032295">
              <w:rPr>
                <w:rFonts w:asciiTheme="minorHAnsi" w:hAnsiTheme="minorHAnsi" w:cstheme="minorHAnsi"/>
                <w:b/>
                <w:bCs/>
                <w:i/>
                <w:iCs/>
                <w:sz w:val="18"/>
                <w:szCs w:val="18"/>
              </w:rPr>
              <w:t>Engaging managers</w:t>
            </w:r>
          </w:p>
        </w:tc>
        <w:tc>
          <w:tcPr>
            <w:tcW w:w="7036" w:type="dxa"/>
          </w:tcPr>
          <w:p w14:paraId="62A5C80F" w14:textId="76A4C651" w:rsidR="00131D34" w:rsidRPr="00032295" w:rsidRDefault="00131D34" w:rsidP="00A61990">
            <w:pPr>
              <w:rPr>
                <w:rFonts w:asciiTheme="minorHAnsi" w:hAnsiTheme="minorHAnsi" w:cstheme="minorHAnsi"/>
                <w:b/>
                <w:bCs/>
                <w:i/>
                <w:iCs/>
                <w:sz w:val="18"/>
                <w:szCs w:val="18"/>
              </w:rPr>
            </w:pPr>
            <w:r w:rsidRPr="00032295">
              <w:rPr>
                <w:rFonts w:asciiTheme="minorHAnsi" w:hAnsiTheme="minorHAnsi" w:cstheme="minorHAnsi"/>
                <w:b/>
                <w:bCs/>
                <w:i/>
                <w:iCs/>
                <w:sz w:val="18"/>
                <w:szCs w:val="18"/>
              </w:rPr>
              <w:t>These are defined as managers ‘who offer clarity, appreciation of employees</w:t>
            </w:r>
            <w:r w:rsidR="00032295" w:rsidRPr="00032295">
              <w:rPr>
                <w:rFonts w:asciiTheme="minorHAnsi" w:hAnsiTheme="minorHAnsi" w:cstheme="minorHAnsi"/>
                <w:b/>
                <w:bCs/>
                <w:i/>
                <w:iCs/>
                <w:sz w:val="18"/>
                <w:szCs w:val="18"/>
              </w:rPr>
              <w:t>’ effort and contribution, who treat their people as individuals and who ensure that work is organised efficiently and effectively so that employees feel they are valued, and equipped and supported to do their job’ (McLeod and Clarke, 2009, p80).</w:t>
            </w:r>
          </w:p>
        </w:tc>
      </w:tr>
      <w:tr w:rsidR="00131D34" w:rsidRPr="00032295" w14:paraId="235427FC" w14:textId="77777777" w:rsidTr="00131D34">
        <w:tc>
          <w:tcPr>
            <w:tcW w:w="1980" w:type="dxa"/>
          </w:tcPr>
          <w:p w14:paraId="4118A327" w14:textId="59D41FE4" w:rsidR="00131D34" w:rsidRPr="00032295" w:rsidRDefault="00032295" w:rsidP="00A61990">
            <w:pPr>
              <w:rPr>
                <w:rFonts w:asciiTheme="minorHAnsi" w:hAnsiTheme="minorHAnsi" w:cstheme="minorHAnsi"/>
                <w:b/>
                <w:bCs/>
                <w:i/>
                <w:iCs/>
                <w:sz w:val="18"/>
                <w:szCs w:val="18"/>
              </w:rPr>
            </w:pPr>
            <w:r w:rsidRPr="00032295">
              <w:rPr>
                <w:rFonts w:asciiTheme="minorHAnsi" w:hAnsiTheme="minorHAnsi" w:cstheme="minorHAnsi"/>
                <w:b/>
                <w:bCs/>
                <w:i/>
                <w:iCs/>
                <w:sz w:val="18"/>
                <w:szCs w:val="18"/>
              </w:rPr>
              <w:t>Employee voice</w:t>
            </w:r>
          </w:p>
        </w:tc>
        <w:tc>
          <w:tcPr>
            <w:tcW w:w="7036" w:type="dxa"/>
          </w:tcPr>
          <w:p w14:paraId="6937F8E4" w14:textId="25CCA991" w:rsidR="00131D34" w:rsidRPr="00032295" w:rsidRDefault="00032295" w:rsidP="00A61990">
            <w:pPr>
              <w:rPr>
                <w:rFonts w:asciiTheme="minorHAnsi" w:hAnsiTheme="minorHAnsi" w:cstheme="minorHAnsi"/>
                <w:b/>
                <w:bCs/>
                <w:i/>
                <w:iCs/>
                <w:sz w:val="18"/>
                <w:szCs w:val="18"/>
              </w:rPr>
            </w:pPr>
            <w:r w:rsidRPr="00032295">
              <w:rPr>
                <w:rFonts w:asciiTheme="minorHAnsi" w:hAnsiTheme="minorHAnsi" w:cstheme="minorHAnsi"/>
                <w:b/>
                <w:bCs/>
                <w:i/>
                <w:iCs/>
                <w:sz w:val="18"/>
                <w:szCs w:val="18"/>
              </w:rPr>
              <w:t>This refers to when ‘Employees’ views are sought out; they are listened to and see that their opinions count and make a difference’ (MacLeod and Clarke 2009, p75).</w:t>
            </w:r>
          </w:p>
        </w:tc>
      </w:tr>
      <w:tr w:rsidR="00131D34" w:rsidRPr="00032295" w14:paraId="542BB18F" w14:textId="77777777" w:rsidTr="00131D34">
        <w:tc>
          <w:tcPr>
            <w:tcW w:w="1980" w:type="dxa"/>
          </w:tcPr>
          <w:p w14:paraId="6E8EAA43" w14:textId="2E0AE6A7" w:rsidR="00131D34" w:rsidRPr="00032295" w:rsidRDefault="00032295" w:rsidP="00A61990">
            <w:pPr>
              <w:rPr>
                <w:rFonts w:asciiTheme="minorHAnsi" w:hAnsiTheme="minorHAnsi" w:cstheme="minorHAnsi"/>
                <w:b/>
                <w:bCs/>
                <w:i/>
                <w:iCs/>
                <w:sz w:val="18"/>
                <w:szCs w:val="18"/>
              </w:rPr>
            </w:pPr>
            <w:r w:rsidRPr="00032295">
              <w:rPr>
                <w:rFonts w:asciiTheme="minorHAnsi" w:hAnsiTheme="minorHAnsi" w:cstheme="minorHAnsi"/>
                <w:b/>
                <w:bCs/>
                <w:i/>
                <w:iCs/>
                <w:sz w:val="18"/>
                <w:szCs w:val="18"/>
              </w:rPr>
              <w:t>Integrity</w:t>
            </w:r>
          </w:p>
        </w:tc>
        <w:tc>
          <w:tcPr>
            <w:tcW w:w="7036" w:type="dxa"/>
          </w:tcPr>
          <w:p w14:paraId="7226C39F" w14:textId="16096E03" w:rsidR="00131D34" w:rsidRPr="00032295" w:rsidRDefault="00032295" w:rsidP="00A61990">
            <w:pPr>
              <w:rPr>
                <w:rFonts w:asciiTheme="minorHAnsi" w:hAnsiTheme="minorHAnsi" w:cstheme="minorHAnsi"/>
                <w:b/>
                <w:bCs/>
                <w:i/>
                <w:iCs/>
                <w:sz w:val="18"/>
                <w:szCs w:val="18"/>
              </w:rPr>
            </w:pPr>
            <w:r w:rsidRPr="00032295">
              <w:rPr>
                <w:rFonts w:asciiTheme="minorHAnsi" w:hAnsiTheme="minorHAnsi" w:cstheme="minorHAnsi"/>
                <w:b/>
                <w:bCs/>
                <w:i/>
                <w:iCs/>
                <w:sz w:val="18"/>
                <w:szCs w:val="18"/>
              </w:rPr>
              <w:t xml:space="preserve">Integrity is defined as ‘A belief among employees that the organisation lives its values, and that espoused behavioural norms are adhered to, resulting in trust and a sense of integrity’ (MacLeod and Clarke 2009, p33). </w:t>
            </w:r>
          </w:p>
        </w:tc>
      </w:tr>
    </w:tbl>
    <w:p w14:paraId="0842EBB9" w14:textId="7DBAA4E3" w:rsidR="00131D34" w:rsidRPr="00032295" w:rsidRDefault="00032295" w:rsidP="00A61990">
      <w:pPr>
        <w:rPr>
          <w:rFonts w:asciiTheme="minorHAnsi" w:hAnsiTheme="minorHAnsi" w:cstheme="minorHAnsi"/>
          <w:i/>
          <w:iCs/>
          <w:sz w:val="18"/>
          <w:szCs w:val="18"/>
        </w:rPr>
      </w:pPr>
      <w:r w:rsidRPr="00032295">
        <w:rPr>
          <w:rFonts w:asciiTheme="minorHAnsi" w:hAnsiTheme="minorHAnsi" w:cstheme="minorHAnsi"/>
          <w:i/>
          <w:iCs/>
          <w:sz w:val="18"/>
          <w:szCs w:val="18"/>
        </w:rPr>
        <w:t>Source: Macleod and Clarke 2009</w:t>
      </w:r>
    </w:p>
    <w:p w14:paraId="3997C7ED" w14:textId="0F5186A2" w:rsidR="00032295" w:rsidRDefault="00032295" w:rsidP="00A61990">
      <w:pPr>
        <w:rPr>
          <w:rFonts w:asciiTheme="minorHAnsi" w:hAnsiTheme="minorHAnsi" w:cstheme="minorHAnsi"/>
          <w:sz w:val="20"/>
          <w:szCs w:val="20"/>
        </w:rPr>
      </w:pPr>
    </w:p>
    <w:p w14:paraId="1B4AD12E" w14:textId="0CB43491" w:rsidR="00032295" w:rsidRPr="003B25D8" w:rsidRDefault="00032295" w:rsidP="00032295">
      <w:pPr>
        <w:rPr>
          <w:rFonts w:asciiTheme="minorHAnsi" w:hAnsiTheme="minorHAnsi" w:cstheme="minorHAnsi"/>
          <w:sz w:val="20"/>
          <w:szCs w:val="20"/>
        </w:rPr>
      </w:pPr>
      <w:r>
        <w:rPr>
          <w:rFonts w:asciiTheme="minorHAnsi" w:hAnsiTheme="minorHAnsi" w:cstheme="minorHAnsi"/>
          <w:sz w:val="20"/>
          <w:szCs w:val="20"/>
        </w:rPr>
        <w:t xml:space="preserve">Both areas of research demonstrate the importance of leadership in promoting a culture of engagement. </w:t>
      </w:r>
      <w:r w:rsidRPr="00032295">
        <w:rPr>
          <w:rFonts w:asciiTheme="minorHAnsi" w:hAnsiTheme="minorHAnsi" w:cstheme="minorHAnsi"/>
          <w:sz w:val="20"/>
          <w:szCs w:val="20"/>
        </w:rPr>
        <w:t xml:space="preserve">HRM have an important role within these building blocks by implementing HRM policy and practice, leadership also bring this to life, creating the conditions where there are good working relationships between management and employees, based on trust and fulfilment </w:t>
      </w:r>
      <w:r w:rsidRPr="003B25D8">
        <w:rPr>
          <w:rFonts w:asciiTheme="minorHAnsi" w:hAnsiTheme="minorHAnsi" w:cstheme="minorHAnsi"/>
          <w:sz w:val="20"/>
          <w:szCs w:val="20"/>
        </w:rPr>
        <w:t xml:space="preserve">with their work. The discretionary effort associated with engagement can be encouraged through these methods. </w:t>
      </w:r>
    </w:p>
    <w:p w14:paraId="2B9768AE" w14:textId="02F582F0" w:rsidR="00032295" w:rsidRPr="003B25D8" w:rsidRDefault="00032295" w:rsidP="00A61990">
      <w:pPr>
        <w:rPr>
          <w:rFonts w:asciiTheme="minorHAnsi" w:hAnsiTheme="minorHAnsi" w:cstheme="minorHAnsi"/>
          <w:sz w:val="20"/>
          <w:szCs w:val="20"/>
        </w:rPr>
      </w:pPr>
    </w:p>
    <w:p w14:paraId="364D618A" w14:textId="23FBB637" w:rsidR="000D4745" w:rsidRPr="003B25D8" w:rsidRDefault="000D4745" w:rsidP="00180708">
      <w:pPr>
        <w:rPr>
          <w:rFonts w:asciiTheme="minorHAnsi" w:hAnsiTheme="minorHAnsi" w:cstheme="minorHAnsi"/>
          <w:sz w:val="20"/>
          <w:szCs w:val="20"/>
        </w:rPr>
      </w:pPr>
      <w:r w:rsidRPr="003B25D8">
        <w:rPr>
          <w:rFonts w:asciiTheme="minorHAnsi" w:hAnsiTheme="minorHAnsi" w:cstheme="minorHAnsi"/>
          <w:sz w:val="20"/>
          <w:szCs w:val="20"/>
        </w:rPr>
        <w:t>According to CIPD (2019), line managers are the medium between HR initiatives and company strategy and the employees</w:t>
      </w:r>
      <w:r w:rsidR="00451E06" w:rsidRPr="003B25D8">
        <w:rPr>
          <w:rFonts w:asciiTheme="minorHAnsi" w:hAnsiTheme="minorHAnsi" w:cstheme="minorHAnsi"/>
          <w:sz w:val="20"/>
          <w:szCs w:val="20"/>
        </w:rPr>
        <w:t>. This also emphasises that line managers</w:t>
      </w:r>
      <w:r w:rsidRPr="003B25D8">
        <w:rPr>
          <w:rFonts w:asciiTheme="minorHAnsi" w:hAnsiTheme="minorHAnsi" w:cstheme="minorHAnsi"/>
          <w:sz w:val="20"/>
          <w:szCs w:val="20"/>
        </w:rPr>
        <w:t xml:space="preserve"> are the implementers of engagement initiatives.</w:t>
      </w:r>
      <w:r w:rsidR="0022003C" w:rsidRPr="003B25D8">
        <w:rPr>
          <w:rFonts w:asciiTheme="minorHAnsi" w:hAnsiTheme="minorHAnsi" w:cstheme="minorHAnsi"/>
          <w:sz w:val="20"/>
          <w:szCs w:val="20"/>
        </w:rPr>
        <w:t xml:space="preserve"> </w:t>
      </w:r>
      <w:r w:rsidRPr="003B25D8">
        <w:rPr>
          <w:rFonts w:asciiTheme="minorHAnsi" w:hAnsiTheme="minorHAnsi" w:cstheme="minorHAnsi"/>
          <w:sz w:val="20"/>
          <w:szCs w:val="20"/>
        </w:rPr>
        <w:t>HR have a crucial role to play in facilitating processes and have responsibility for the transactional aspect of engagement. Senior leadership must model behaviours advocating engagement and be accountable for leading and driving it.</w:t>
      </w:r>
      <w:r w:rsidR="00451E06" w:rsidRPr="003B25D8">
        <w:rPr>
          <w:rFonts w:asciiTheme="minorHAnsi" w:hAnsiTheme="minorHAnsi" w:cstheme="minorHAnsi"/>
          <w:sz w:val="20"/>
          <w:szCs w:val="20"/>
        </w:rPr>
        <w:t xml:space="preserve"> E</w:t>
      </w:r>
      <w:r w:rsidRPr="003B25D8">
        <w:rPr>
          <w:rFonts w:asciiTheme="minorHAnsi" w:hAnsiTheme="minorHAnsi" w:cstheme="minorHAnsi"/>
          <w:sz w:val="20"/>
          <w:szCs w:val="20"/>
        </w:rPr>
        <w:t xml:space="preserve">mployees also play a role in partnering and engaging in initiatives. </w:t>
      </w:r>
      <w:r w:rsidR="00B043D4">
        <w:rPr>
          <w:rFonts w:asciiTheme="minorHAnsi" w:hAnsiTheme="minorHAnsi" w:cstheme="minorHAnsi"/>
          <w:sz w:val="20"/>
          <w:szCs w:val="20"/>
        </w:rPr>
        <w:t xml:space="preserve">Engagement requires collaborative working relationships. </w:t>
      </w:r>
    </w:p>
    <w:p w14:paraId="098DBB6B" w14:textId="77777777" w:rsidR="008350A2" w:rsidRPr="003B25D8" w:rsidRDefault="008350A2" w:rsidP="00180708">
      <w:pPr>
        <w:rPr>
          <w:rFonts w:asciiTheme="minorHAnsi" w:hAnsiTheme="minorHAnsi" w:cstheme="minorHAnsi"/>
          <w:sz w:val="20"/>
          <w:szCs w:val="20"/>
        </w:rPr>
      </w:pPr>
    </w:p>
    <w:p w14:paraId="5C766622" w14:textId="4B20CB9C" w:rsidR="000B0AD1" w:rsidRPr="00CA0669" w:rsidRDefault="000B0AD1" w:rsidP="00CA0669">
      <w:pPr>
        <w:pStyle w:val="ListParagraph"/>
        <w:numPr>
          <w:ilvl w:val="1"/>
          <w:numId w:val="1"/>
        </w:numPr>
        <w:rPr>
          <w:rFonts w:asciiTheme="minorHAnsi" w:hAnsiTheme="minorHAnsi" w:cstheme="minorHAnsi"/>
          <w:b/>
          <w:bCs/>
          <w:sz w:val="20"/>
          <w:szCs w:val="20"/>
        </w:rPr>
      </w:pPr>
      <w:r w:rsidRPr="00CA0669">
        <w:rPr>
          <w:rFonts w:asciiTheme="minorHAnsi" w:hAnsiTheme="minorHAnsi" w:cstheme="minorHAnsi"/>
          <w:b/>
          <w:bCs/>
          <w:sz w:val="20"/>
          <w:szCs w:val="20"/>
        </w:rPr>
        <w:t>Evaluate the need for alignment between employee engagement and other organisational factors</w:t>
      </w:r>
    </w:p>
    <w:p w14:paraId="29779B9A" w14:textId="4F5A931C" w:rsidR="000B0AD1" w:rsidRPr="003B25D8" w:rsidRDefault="000B0AD1" w:rsidP="00180708">
      <w:pPr>
        <w:rPr>
          <w:rFonts w:asciiTheme="minorHAnsi" w:hAnsiTheme="minorHAnsi" w:cstheme="minorHAnsi"/>
          <w:sz w:val="20"/>
          <w:szCs w:val="20"/>
        </w:rPr>
      </w:pPr>
    </w:p>
    <w:p w14:paraId="2A834855" w14:textId="53E5BEED" w:rsidR="00451E06" w:rsidRDefault="006E1319" w:rsidP="00180708">
      <w:pPr>
        <w:rPr>
          <w:rFonts w:asciiTheme="minorHAnsi" w:hAnsiTheme="minorHAnsi" w:cstheme="minorHAnsi"/>
          <w:sz w:val="20"/>
          <w:szCs w:val="20"/>
        </w:rPr>
      </w:pPr>
      <w:r>
        <w:rPr>
          <w:rFonts w:asciiTheme="minorHAnsi" w:hAnsiTheme="minorHAnsi" w:cstheme="minorHAnsi"/>
          <w:sz w:val="20"/>
          <w:szCs w:val="20"/>
        </w:rPr>
        <w:t xml:space="preserve">If focussing purely on employee engagement, without considering other organisational factors, there is risk that engagement becomes unsustainable. </w:t>
      </w:r>
      <w:r w:rsidR="0038548D">
        <w:rPr>
          <w:rFonts w:asciiTheme="minorHAnsi" w:hAnsiTheme="minorHAnsi" w:cstheme="minorHAnsi"/>
          <w:sz w:val="20"/>
          <w:szCs w:val="20"/>
        </w:rPr>
        <w:t>- REF</w:t>
      </w:r>
    </w:p>
    <w:p w14:paraId="1F672587" w14:textId="07065C61" w:rsidR="00CA0669" w:rsidRDefault="00CA0669" w:rsidP="00180708">
      <w:pPr>
        <w:rPr>
          <w:rFonts w:asciiTheme="minorHAnsi" w:hAnsiTheme="minorHAnsi" w:cstheme="minorHAnsi"/>
          <w:sz w:val="20"/>
          <w:szCs w:val="20"/>
        </w:rPr>
      </w:pPr>
    </w:p>
    <w:p w14:paraId="1A5CF9CC" w14:textId="7520BDAE" w:rsidR="00B62913" w:rsidRDefault="00980B32" w:rsidP="00180708">
      <w:pPr>
        <w:rPr>
          <w:rFonts w:asciiTheme="minorHAnsi" w:hAnsiTheme="minorHAnsi" w:cstheme="minorHAnsi"/>
          <w:sz w:val="20"/>
          <w:szCs w:val="20"/>
        </w:rPr>
      </w:pPr>
      <w:r>
        <w:rPr>
          <w:rFonts w:asciiTheme="minorHAnsi" w:hAnsiTheme="minorHAnsi" w:cstheme="minorHAnsi"/>
          <w:sz w:val="20"/>
          <w:szCs w:val="20"/>
        </w:rPr>
        <w:t>Performance</w:t>
      </w:r>
      <w:r w:rsidR="00E203DE">
        <w:rPr>
          <w:rFonts w:asciiTheme="minorHAnsi" w:hAnsiTheme="minorHAnsi" w:cstheme="minorHAnsi"/>
          <w:sz w:val="20"/>
          <w:szCs w:val="20"/>
        </w:rPr>
        <w:t xml:space="preserve"> is driven by employee engagement, but is likely to be unsustainable unless it is aligned with employee wellbeing</w:t>
      </w:r>
      <w:r>
        <w:rPr>
          <w:rFonts w:asciiTheme="minorHAnsi" w:hAnsiTheme="minorHAnsi" w:cstheme="minorHAnsi"/>
          <w:sz w:val="20"/>
          <w:szCs w:val="20"/>
        </w:rPr>
        <w:t xml:space="preserve"> </w:t>
      </w:r>
      <w:r w:rsidRPr="005C410F">
        <w:rPr>
          <w:rFonts w:asciiTheme="minorHAnsi" w:hAnsiTheme="minorHAnsi" w:cstheme="minorHAnsi"/>
          <w:sz w:val="20"/>
          <w:szCs w:val="20"/>
        </w:rPr>
        <w:t xml:space="preserve">(Managing for sustainable employee engagement, 2012). </w:t>
      </w:r>
      <w:r w:rsidR="00B62913">
        <w:rPr>
          <w:rFonts w:asciiTheme="minorHAnsi" w:hAnsiTheme="minorHAnsi" w:cstheme="minorHAnsi"/>
          <w:sz w:val="20"/>
          <w:szCs w:val="20"/>
        </w:rPr>
        <w:t>Research demonstrates wellbeing and engagement are reciprocal – each individually influencing the other. Examples of this are when employees are engaged, there is an increase in productivity and a decrease in burnout. Both need to work together to create a thriving workplace</w:t>
      </w:r>
      <w:r>
        <w:rPr>
          <w:rFonts w:asciiTheme="minorHAnsi" w:hAnsiTheme="minorHAnsi" w:cstheme="minorHAnsi"/>
          <w:sz w:val="20"/>
          <w:szCs w:val="20"/>
        </w:rPr>
        <w:t xml:space="preserve"> </w:t>
      </w:r>
      <w:r w:rsidRPr="005C410F">
        <w:rPr>
          <w:rFonts w:asciiTheme="minorHAnsi" w:hAnsiTheme="minorHAnsi" w:cstheme="minorHAnsi"/>
          <w:sz w:val="20"/>
          <w:szCs w:val="20"/>
        </w:rPr>
        <w:t>(Gallup, 2021)</w:t>
      </w:r>
      <w:r w:rsidR="00B62913">
        <w:rPr>
          <w:rFonts w:asciiTheme="minorHAnsi" w:hAnsiTheme="minorHAnsi" w:cstheme="minorHAnsi"/>
          <w:sz w:val="20"/>
          <w:szCs w:val="20"/>
        </w:rPr>
        <w:t xml:space="preserve">. This is supported by </w:t>
      </w:r>
      <w:r>
        <w:rPr>
          <w:rFonts w:asciiTheme="minorHAnsi" w:hAnsiTheme="minorHAnsi" w:cstheme="minorHAnsi"/>
          <w:sz w:val="20"/>
          <w:szCs w:val="20"/>
        </w:rPr>
        <w:t>HR Magazine (</w:t>
      </w:r>
      <w:r w:rsidR="005C410F">
        <w:rPr>
          <w:rFonts w:asciiTheme="minorHAnsi" w:hAnsiTheme="minorHAnsi" w:cstheme="minorHAnsi"/>
          <w:sz w:val="20"/>
          <w:szCs w:val="20"/>
        </w:rPr>
        <w:t>2014</w:t>
      </w:r>
      <w:r>
        <w:rPr>
          <w:rFonts w:asciiTheme="minorHAnsi" w:hAnsiTheme="minorHAnsi" w:cstheme="minorHAnsi"/>
          <w:sz w:val="20"/>
          <w:szCs w:val="20"/>
        </w:rPr>
        <w:t>)</w:t>
      </w:r>
      <w:r w:rsidR="00B62913">
        <w:rPr>
          <w:rFonts w:asciiTheme="minorHAnsi" w:hAnsiTheme="minorHAnsi" w:cstheme="minorHAnsi"/>
          <w:sz w:val="20"/>
          <w:szCs w:val="20"/>
        </w:rPr>
        <w:t xml:space="preserve">, who states </w:t>
      </w:r>
      <w:r>
        <w:rPr>
          <w:rFonts w:asciiTheme="minorHAnsi" w:hAnsiTheme="minorHAnsi" w:cstheme="minorHAnsi"/>
          <w:sz w:val="20"/>
          <w:szCs w:val="20"/>
        </w:rPr>
        <w:t xml:space="preserve">that the research suggest wellbeing is an essential aspect of engagement, where individuals, teams and organisations work over sustained periods more productively where there are high levels of wellbeing and therefore high levels of engagement. Also, where there is high engagement, however low wellbeing, there is a risk that employees will burn out over time. Also, where organisations are invested in employee engagement, people are motivated, and these individuals have higher levels of wellbeing </w:t>
      </w:r>
      <w:r w:rsidRPr="005C410F">
        <w:rPr>
          <w:rFonts w:asciiTheme="minorHAnsi" w:hAnsiTheme="minorHAnsi" w:cstheme="minorHAnsi"/>
          <w:sz w:val="20"/>
          <w:szCs w:val="20"/>
        </w:rPr>
        <w:t xml:space="preserve">(HR Magazine - Employee engagement closely tied to health and wellbeing, </w:t>
      </w:r>
      <w:r w:rsidR="005C410F" w:rsidRPr="005C410F">
        <w:rPr>
          <w:rFonts w:asciiTheme="minorHAnsi" w:hAnsiTheme="minorHAnsi" w:cstheme="minorHAnsi"/>
          <w:sz w:val="20"/>
          <w:szCs w:val="20"/>
        </w:rPr>
        <w:t>2014</w:t>
      </w:r>
      <w:r w:rsidRPr="005C410F">
        <w:rPr>
          <w:rFonts w:asciiTheme="minorHAnsi" w:hAnsiTheme="minorHAnsi" w:cstheme="minorHAnsi"/>
          <w:sz w:val="20"/>
          <w:szCs w:val="20"/>
        </w:rPr>
        <w:t>).</w:t>
      </w:r>
    </w:p>
    <w:p w14:paraId="5BBA30AD" w14:textId="77777777" w:rsidR="00980B32" w:rsidRDefault="00980B32" w:rsidP="00180708">
      <w:pPr>
        <w:rPr>
          <w:rFonts w:asciiTheme="minorHAnsi" w:hAnsiTheme="minorHAnsi" w:cstheme="minorHAnsi"/>
          <w:sz w:val="20"/>
          <w:szCs w:val="20"/>
        </w:rPr>
      </w:pPr>
    </w:p>
    <w:p w14:paraId="3679F842" w14:textId="10AD7EBD" w:rsidR="00DF4C9B" w:rsidRPr="005C410F" w:rsidRDefault="00A557D4" w:rsidP="00180708">
      <w:pPr>
        <w:rPr>
          <w:rFonts w:asciiTheme="minorHAnsi" w:hAnsiTheme="minorHAnsi" w:cstheme="minorHAnsi"/>
          <w:sz w:val="20"/>
          <w:szCs w:val="20"/>
        </w:rPr>
      </w:pPr>
      <w:r w:rsidRPr="005C410F">
        <w:rPr>
          <w:rFonts w:asciiTheme="minorHAnsi" w:hAnsiTheme="minorHAnsi" w:cstheme="minorHAnsi"/>
          <w:sz w:val="20"/>
          <w:szCs w:val="20"/>
        </w:rPr>
        <w:t xml:space="preserve">There are a number of benefits associated with developing trust within organisations between employees and the organisation. According to </w:t>
      </w:r>
      <w:r w:rsidR="005C410F" w:rsidRPr="005C410F">
        <w:rPr>
          <w:rFonts w:asciiTheme="minorHAnsi" w:hAnsiTheme="minorHAnsi" w:cstheme="minorHAnsi"/>
          <w:sz w:val="20"/>
          <w:szCs w:val="20"/>
        </w:rPr>
        <w:t>Sanders (2021)</w:t>
      </w:r>
      <w:r w:rsidRPr="005C410F">
        <w:rPr>
          <w:rFonts w:asciiTheme="minorHAnsi" w:hAnsiTheme="minorHAnsi" w:cstheme="minorHAnsi"/>
          <w:sz w:val="20"/>
          <w:szCs w:val="20"/>
        </w:rPr>
        <w:t>, this trust is at the heart of employee engagement. Trust is formed within workplace relationships from seeing and experiences behaviours which enable trust</w:t>
      </w:r>
      <w:r w:rsidR="00745770" w:rsidRPr="005C410F">
        <w:rPr>
          <w:rFonts w:asciiTheme="minorHAnsi" w:hAnsiTheme="minorHAnsi" w:cstheme="minorHAnsi"/>
          <w:sz w:val="20"/>
          <w:szCs w:val="20"/>
        </w:rPr>
        <w:t>. This trust needs to be two way, and nurtured, developed and embedded in all workplace relationships</w:t>
      </w:r>
      <w:r w:rsidR="005C410F" w:rsidRPr="005C410F">
        <w:rPr>
          <w:rFonts w:asciiTheme="minorHAnsi" w:hAnsiTheme="minorHAnsi" w:cstheme="minorHAnsi"/>
          <w:sz w:val="20"/>
          <w:szCs w:val="20"/>
        </w:rPr>
        <w:t xml:space="preserve">. </w:t>
      </w:r>
      <w:r w:rsidR="00745770" w:rsidRPr="005C410F">
        <w:rPr>
          <w:rFonts w:asciiTheme="minorHAnsi" w:hAnsiTheme="minorHAnsi" w:cstheme="minorHAnsi"/>
          <w:sz w:val="20"/>
          <w:szCs w:val="20"/>
        </w:rPr>
        <w:t xml:space="preserve"> </w:t>
      </w:r>
      <w:r w:rsidR="00DF4C9B" w:rsidRPr="005C410F">
        <w:rPr>
          <w:rFonts w:asciiTheme="minorHAnsi" w:hAnsiTheme="minorHAnsi" w:cstheme="minorHAnsi"/>
          <w:sz w:val="20"/>
          <w:szCs w:val="20"/>
        </w:rPr>
        <w:t>According to</w:t>
      </w:r>
      <w:r w:rsidR="005C410F" w:rsidRPr="005C410F">
        <w:rPr>
          <w:rFonts w:asciiTheme="minorHAnsi" w:hAnsiTheme="minorHAnsi" w:cstheme="minorHAnsi"/>
          <w:sz w:val="20"/>
          <w:szCs w:val="20"/>
        </w:rPr>
        <w:t xml:space="preserve"> HR Zone (2019),</w:t>
      </w:r>
      <w:r w:rsidR="00DF4C9B" w:rsidRPr="005C410F">
        <w:rPr>
          <w:rFonts w:asciiTheme="minorHAnsi" w:hAnsiTheme="minorHAnsi" w:cstheme="minorHAnsi"/>
          <w:sz w:val="20"/>
          <w:szCs w:val="20"/>
        </w:rPr>
        <w:t xml:space="preserve"> trust builds engagement</w:t>
      </w:r>
      <w:r w:rsidR="008519AC" w:rsidRPr="005C410F">
        <w:rPr>
          <w:rFonts w:asciiTheme="minorHAnsi" w:hAnsiTheme="minorHAnsi" w:cstheme="minorHAnsi"/>
          <w:sz w:val="20"/>
          <w:szCs w:val="20"/>
        </w:rPr>
        <w:t>, where employees who feel trusted are empowered to work to the best of their ability.</w:t>
      </w:r>
      <w:r w:rsidR="00FA7A8F" w:rsidRPr="005C410F">
        <w:rPr>
          <w:rFonts w:asciiTheme="minorHAnsi" w:hAnsiTheme="minorHAnsi" w:cstheme="minorHAnsi"/>
          <w:sz w:val="20"/>
          <w:szCs w:val="20"/>
        </w:rPr>
        <w:t xml:space="preserve"> Trust is not implicit within the contract of employment, but time and effort on a personal level alongside a reasonable </w:t>
      </w:r>
      <w:r w:rsidR="005C410F" w:rsidRPr="005C410F">
        <w:rPr>
          <w:rFonts w:asciiTheme="minorHAnsi" w:hAnsiTheme="minorHAnsi" w:cstheme="minorHAnsi"/>
          <w:sz w:val="20"/>
          <w:szCs w:val="20"/>
        </w:rPr>
        <w:t>operating</w:t>
      </w:r>
      <w:r w:rsidR="00FA7A8F" w:rsidRPr="005C410F">
        <w:rPr>
          <w:rFonts w:asciiTheme="minorHAnsi" w:hAnsiTheme="minorHAnsi" w:cstheme="minorHAnsi"/>
          <w:sz w:val="20"/>
          <w:szCs w:val="20"/>
        </w:rPr>
        <w:t xml:space="preserve"> structure that accommodates human needs.</w:t>
      </w:r>
      <w:r w:rsidR="008519AC" w:rsidRPr="005C410F">
        <w:rPr>
          <w:rFonts w:asciiTheme="minorHAnsi" w:hAnsiTheme="minorHAnsi" w:cstheme="minorHAnsi"/>
          <w:sz w:val="20"/>
          <w:szCs w:val="20"/>
        </w:rPr>
        <w:t xml:space="preserve"> The association of trust within employee engagement should be considered</w:t>
      </w:r>
      <w:r w:rsidR="005C410F" w:rsidRPr="005C410F">
        <w:rPr>
          <w:rFonts w:asciiTheme="minorHAnsi" w:hAnsiTheme="minorHAnsi" w:cstheme="minorHAnsi"/>
          <w:sz w:val="20"/>
          <w:szCs w:val="20"/>
        </w:rPr>
        <w:t xml:space="preserve"> (Why building trust can improve employee engagement, 2019).</w:t>
      </w:r>
    </w:p>
    <w:p w14:paraId="3A1E87C2" w14:textId="77777777" w:rsidR="00111C0C" w:rsidRDefault="00111C0C" w:rsidP="00180708">
      <w:pPr>
        <w:rPr>
          <w:rFonts w:asciiTheme="minorHAnsi" w:hAnsiTheme="minorHAnsi" w:cstheme="minorHAnsi"/>
          <w:sz w:val="20"/>
          <w:szCs w:val="20"/>
        </w:rPr>
      </w:pPr>
    </w:p>
    <w:p w14:paraId="7545BB88" w14:textId="0EAF76BE" w:rsidR="00FA7A8F" w:rsidRDefault="00FA7A8F" w:rsidP="00180708">
      <w:pPr>
        <w:rPr>
          <w:rFonts w:asciiTheme="minorHAnsi" w:hAnsiTheme="minorHAnsi" w:cstheme="minorHAnsi"/>
          <w:sz w:val="20"/>
          <w:szCs w:val="20"/>
        </w:rPr>
      </w:pPr>
      <w:r>
        <w:rPr>
          <w:rFonts w:asciiTheme="minorHAnsi" w:hAnsiTheme="minorHAnsi" w:cstheme="minorHAnsi"/>
          <w:sz w:val="20"/>
          <w:szCs w:val="20"/>
        </w:rPr>
        <w:t xml:space="preserve">Another organisational factor that has a significant impact on employee engagement is employee communication. </w:t>
      </w:r>
      <w:r w:rsidR="0078068D">
        <w:rPr>
          <w:rFonts w:asciiTheme="minorHAnsi" w:hAnsiTheme="minorHAnsi" w:cstheme="minorHAnsi"/>
          <w:sz w:val="20"/>
          <w:szCs w:val="20"/>
        </w:rPr>
        <w:t>Effective internal communication ensures transparency within an organisation and is a critical part of employee engagement, promoting better performance, retention and wellbeing. The benefits of good internal communication ensures employees remain connected and feel a sense of belon</w:t>
      </w:r>
      <w:r w:rsidR="00D87621">
        <w:rPr>
          <w:rFonts w:asciiTheme="minorHAnsi" w:hAnsiTheme="minorHAnsi" w:cstheme="minorHAnsi"/>
          <w:sz w:val="20"/>
          <w:szCs w:val="20"/>
        </w:rPr>
        <w:t>g</w:t>
      </w:r>
      <w:r w:rsidR="0078068D">
        <w:rPr>
          <w:rFonts w:asciiTheme="minorHAnsi" w:hAnsiTheme="minorHAnsi" w:cstheme="minorHAnsi"/>
          <w:sz w:val="20"/>
          <w:szCs w:val="20"/>
        </w:rPr>
        <w:t>ing, understanding the purpose and strategy, identifying with its values and having a clear understanding of their individual contribution to its wider purpose</w:t>
      </w:r>
      <w:r w:rsidR="005C410F">
        <w:rPr>
          <w:rFonts w:asciiTheme="minorHAnsi" w:hAnsiTheme="minorHAnsi" w:cstheme="minorHAnsi"/>
          <w:sz w:val="20"/>
          <w:szCs w:val="20"/>
        </w:rPr>
        <w:t xml:space="preserve"> </w:t>
      </w:r>
      <w:r w:rsidR="005C410F" w:rsidRPr="005C410F">
        <w:rPr>
          <w:rFonts w:asciiTheme="minorHAnsi" w:hAnsiTheme="minorHAnsi" w:cstheme="minorHAnsi"/>
          <w:sz w:val="20"/>
          <w:szCs w:val="20"/>
        </w:rPr>
        <w:t>(Employee Communication | Factsheets | CIPD, 2021)</w:t>
      </w:r>
      <w:r w:rsidR="0078068D">
        <w:rPr>
          <w:rFonts w:asciiTheme="minorHAnsi" w:hAnsiTheme="minorHAnsi" w:cstheme="minorHAnsi"/>
          <w:sz w:val="20"/>
          <w:szCs w:val="20"/>
        </w:rPr>
        <w:t xml:space="preserve">. </w:t>
      </w:r>
    </w:p>
    <w:p w14:paraId="72BACB02" w14:textId="77777777" w:rsidR="00FA7A8F" w:rsidRDefault="00FA7A8F" w:rsidP="00180708">
      <w:pPr>
        <w:rPr>
          <w:rFonts w:asciiTheme="minorHAnsi" w:hAnsiTheme="minorHAnsi" w:cstheme="minorHAnsi"/>
          <w:sz w:val="20"/>
          <w:szCs w:val="20"/>
        </w:rPr>
      </w:pPr>
    </w:p>
    <w:p w14:paraId="68D4413B" w14:textId="17149620" w:rsidR="00D87621" w:rsidRDefault="00E203DE" w:rsidP="00180708">
      <w:pPr>
        <w:rPr>
          <w:rFonts w:asciiTheme="minorHAnsi" w:hAnsiTheme="minorHAnsi" w:cstheme="minorHAnsi"/>
          <w:sz w:val="20"/>
          <w:szCs w:val="20"/>
        </w:rPr>
      </w:pPr>
      <w:r>
        <w:rPr>
          <w:rFonts w:asciiTheme="minorHAnsi" w:hAnsiTheme="minorHAnsi" w:cstheme="minorHAnsi"/>
          <w:sz w:val="20"/>
          <w:szCs w:val="20"/>
        </w:rPr>
        <w:t>Learning and development</w:t>
      </w:r>
      <w:r w:rsidR="00D87621">
        <w:rPr>
          <w:rFonts w:asciiTheme="minorHAnsi" w:hAnsiTheme="minorHAnsi" w:cstheme="minorHAnsi"/>
          <w:sz w:val="20"/>
          <w:szCs w:val="20"/>
        </w:rPr>
        <w:t xml:space="preserve"> is another key driver of employee engagement, alongside building a more capable and confident workforce, and demonstrating a willingness to invest in employees personal development. This will contribute to a happy, motivated and engaged workforce. To enable learning and development to have a significant impact on employee engagement, the approach needs to be tailored to fit with the organisations</w:t>
      </w:r>
      <w:r w:rsidR="00B62913">
        <w:rPr>
          <w:rFonts w:asciiTheme="minorHAnsi" w:hAnsiTheme="minorHAnsi" w:cstheme="minorHAnsi"/>
          <w:sz w:val="20"/>
          <w:szCs w:val="20"/>
        </w:rPr>
        <w:t xml:space="preserve"> values, mission and goals</w:t>
      </w:r>
      <w:r w:rsidR="005C410F">
        <w:rPr>
          <w:rFonts w:asciiTheme="minorHAnsi" w:hAnsiTheme="minorHAnsi" w:cstheme="minorHAnsi"/>
          <w:sz w:val="20"/>
          <w:szCs w:val="20"/>
        </w:rPr>
        <w:t xml:space="preserve"> </w:t>
      </w:r>
      <w:r w:rsidR="005C410F" w:rsidRPr="005C410F">
        <w:rPr>
          <w:rFonts w:asciiTheme="minorHAnsi" w:hAnsiTheme="minorHAnsi" w:cstheme="minorHAnsi"/>
          <w:sz w:val="20"/>
          <w:szCs w:val="20"/>
        </w:rPr>
        <w:t>(Why learning and development is a key driver of employee engagement, 2021).</w:t>
      </w:r>
    </w:p>
    <w:p w14:paraId="1D5A09A5" w14:textId="77777777" w:rsidR="00D87621" w:rsidRDefault="00D87621" w:rsidP="00180708">
      <w:pPr>
        <w:rPr>
          <w:rFonts w:asciiTheme="minorHAnsi" w:hAnsiTheme="minorHAnsi" w:cstheme="minorHAnsi"/>
          <w:sz w:val="20"/>
          <w:szCs w:val="20"/>
        </w:rPr>
      </w:pPr>
    </w:p>
    <w:p w14:paraId="4F067889" w14:textId="77777777" w:rsidR="00E203DE" w:rsidRPr="003B25D8" w:rsidRDefault="00E203DE" w:rsidP="00180708">
      <w:pPr>
        <w:rPr>
          <w:rFonts w:asciiTheme="minorHAnsi" w:hAnsiTheme="minorHAnsi" w:cstheme="minorHAnsi"/>
          <w:sz w:val="20"/>
          <w:szCs w:val="20"/>
        </w:rPr>
      </w:pPr>
    </w:p>
    <w:p w14:paraId="4AAE77C2" w14:textId="5A339E0F" w:rsidR="00C2695B" w:rsidRDefault="00C2695B" w:rsidP="008350A2">
      <w:pPr>
        <w:pStyle w:val="ListParagraph"/>
        <w:numPr>
          <w:ilvl w:val="0"/>
          <w:numId w:val="1"/>
        </w:numPr>
        <w:rPr>
          <w:rFonts w:asciiTheme="minorHAnsi" w:hAnsiTheme="minorHAnsi" w:cstheme="minorHAnsi"/>
          <w:b/>
          <w:bCs/>
          <w:sz w:val="20"/>
          <w:szCs w:val="20"/>
        </w:rPr>
      </w:pPr>
      <w:r w:rsidRPr="003B25D8">
        <w:rPr>
          <w:rFonts w:asciiTheme="minorHAnsi" w:hAnsiTheme="minorHAnsi" w:cstheme="minorHAnsi"/>
          <w:b/>
          <w:bCs/>
          <w:sz w:val="20"/>
          <w:szCs w:val="20"/>
        </w:rPr>
        <w:t>Explain why employee engagement is increasingly a vital dimension of HR strategy and practice. The potential benefits for different stakeholders should be evaluated with reference to published sources.</w:t>
      </w:r>
    </w:p>
    <w:p w14:paraId="09437FF7" w14:textId="77777777" w:rsidR="00CF245F" w:rsidRPr="00CF245F" w:rsidRDefault="00CF245F" w:rsidP="00CF245F">
      <w:pPr>
        <w:rPr>
          <w:rFonts w:asciiTheme="minorHAnsi" w:hAnsiTheme="minorHAnsi" w:cstheme="minorHAnsi"/>
          <w:b/>
          <w:bCs/>
          <w:sz w:val="20"/>
          <w:szCs w:val="20"/>
        </w:rPr>
      </w:pPr>
    </w:p>
    <w:p w14:paraId="06B11C18" w14:textId="181F506E" w:rsidR="008350A2" w:rsidRPr="003B25D8" w:rsidRDefault="008350A2" w:rsidP="008350A2">
      <w:pPr>
        <w:rPr>
          <w:rFonts w:asciiTheme="minorHAnsi" w:hAnsiTheme="minorHAnsi" w:cstheme="minorHAnsi"/>
          <w:b/>
          <w:bCs/>
          <w:sz w:val="20"/>
          <w:szCs w:val="20"/>
        </w:rPr>
      </w:pPr>
    </w:p>
    <w:p w14:paraId="54C3DB6A" w14:textId="0B4E5B39" w:rsidR="008350A2" w:rsidRPr="003B25D8" w:rsidRDefault="008350A2" w:rsidP="008350A2">
      <w:pPr>
        <w:pStyle w:val="ListParagraph"/>
        <w:numPr>
          <w:ilvl w:val="1"/>
          <w:numId w:val="1"/>
        </w:numPr>
        <w:rPr>
          <w:rFonts w:asciiTheme="minorHAnsi" w:hAnsiTheme="minorHAnsi" w:cstheme="minorHAnsi"/>
          <w:b/>
          <w:bCs/>
          <w:sz w:val="20"/>
          <w:szCs w:val="20"/>
        </w:rPr>
      </w:pPr>
      <w:r w:rsidRPr="003B25D8">
        <w:rPr>
          <w:rFonts w:asciiTheme="minorHAnsi" w:hAnsiTheme="minorHAnsi" w:cstheme="minorHAnsi"/>
          <w:b/>
          <w:bCs/>
          <w:sz w:val="20"/>
          <w:szCs w:val="20"/>
        </w:rPr>
        <w:t>Explain why employee engagement is an increasingly vital dimension of HR strategy and practice.</w:t>
      </w:r>
    </w:p>
    <w:p w14:paraId="20903786" w14:textId="28C30B88" w:rsidR="00CF245F" w:rsidRDefault="00CF245F" w:rsidP="006E1319">
      <w:pPr>
        <w:rPr>
          <w:rFonts w:asciiTheme="minorHAnsi" w:hAnsiTheme="minorHAnsi" w:cstheme="minorHAnsi"/>
          <w:b/>
          <w:bCs/>
          <w:sz w:val="20"/>
          <w:szCs w:val="20"/>
        </w:rPr>
      </w:pPr>
    </w:p>
    <w:p w14:paraId="0E667330" w14:textId="34EDB176" w:rsidR="00E16C1F" w:rsidRDefault="006E1319" w:rsidP="006E1319">
      <w:pPr>
        <w:rPr>
          <w:rFonts w:asciiTheme="minorHAnsi" w:hAnsiTheme="minorHAnsi" w:cstheme="minorHAnsi"/>
          <w:sz w:val="20"/>
          <w:szCs w:val="20"/>
        </w:rPr>
      </w:pPr>
      <w:r>
        <w:rPr>
          <w:rFonts w:asciiTheme="minorHAnsi" w:hAnsiTheme="minorHAnsi" w:cstheme="minorHAnsi"/>
          <w:sz w:val="20"/>
          <w:szCs w:val="20"/>
        </w:rPr>
        <w:t>Employee engagement has become a vital factor in people strategies and practices in achieving</w:t>
      </w:r>
      <w:r w:rsidR="0038548D">
        <w:rPr>
          <w:rFonts w:asciiTheme="minorHAnsi" w:hAnsiTheme="minorHAnsi" w:cstheme="minorHAnsi"/>
          <w:sz w:val="20"/>
          <w:szCs w:val="20"/>
        </w:rPr>
        <w:t xml:space="preserve"> </w:t>
      </w:r>
      <w:r w:rsidR="0079795D">
        <w:rPr>
          <w:rFonts w:asciiTheme="minorHAnsi" w:hAnsiTheme="minorHAnsi" w:cstheme="minorHAnsi"/>
          <w:sz w:val="20"/>
          <w:szCs w:val="20"/>
        </w:rPr>
        <w:t>high</w:t>
      </w:r>
      <w:r>
        <w:rPr>
          <w:rFonts w:asciiTheme="minorHAnsi" w:hAnsiTheme="minorHAnsi" w:cstheme="minorHAnsi"/>
          <w:sz w:val="20"/>
          <w:szCs w:val="20"/>
        </w:rPr>
        <w:t xml:space="preserve"> performance in the workplace.</w:t>
      </w:r>
      <w:r w:rsidR="007A6EE3">
        <w:rPr>
          <w:rFonts w:asciiTheme="minorHAnsi" w:hAnsiTheme="minorHAnsi" w:cstheme="minorHAnsi"/>
          <w:sz w:val="20"/>
          <w:szCs w:val="20"/>
        </w:rPr>
        <w:t xml:space="preserve"> Within the previous decade, organisational restructures and downsizing has occurred from increased globalisation and difficult economic conditions. Employees have been faced with coping with a decrease in resources and an increase in demands. </w:t>
      </w:r>
      <w:r w:rsidR="00F567FC">
        <w:rPr>
          <w:rFonts w:asciiTheme="minorHAnsi" w:hAnsiTheme="minorHAnsi" w:cstheme="minorHAnsi"/>
          <w:sz w:val="20"/>
          <w:szCs w:val="20"/>
        </w:rPr>
        <w:t>Therefor</w:t>
      </w:r>
      <w:r w:rsidR="00E16C1F">
        <w:rPr>
          <w:rFonts w:asciiTheme="minorHAnsi" w:hAnsiTheme="minorHAnsi" w:cstheme="minorHAnsi"/>
          <w:sz w:val="20"/>
          <w:szCs w:val="20"/>
        </w:rPr>
        <w:t>e</w:t>
      </w:r>
      <w:r w:rsidR="00F567FC">
        <w:rPr>
          <w:rFonts w:asciiTheme="minorHAnsi" w:hAnsiTheme="minorHAnsi" w:cstheme="minorHAnsi"/>
          <w:sz w:val="20"/>
          <w:szCs w:val="20"/>
        </w:rPr>
        <w:t xml:space="preserve"> it has never been more relevant to ensure the engagement of employees is sustained. It is also becoming one of the most important indicators of work satisfaction of employees. Younger generations are no longer looking for a 9-5 job. They want to feel connected and enthused by the organisation they work for and involved in their work and decisions which</w:t>
      </w:r>
      <w:r w:rsidR="00E16C1F">
        <w:rPr>
          <w:rFonts w:asciiTheme="minorHAnsi" w:hAnsiTheme="minorHAnsi" w:cstheme="minorHAnsi"/>
          <w:sz w:val="20"/>
          <w:szCs w:val="20"/>
        </w:rPr>
        <w:t xml:space="preserve"> directly</w:t>
      </w:r>
      <w:r w:rsidR="00F567FC">
        <w:rPr>
          <w:rFonts w:asciiTheme="minorHAnsi" w:hAnsiTheme="minorHAnsi" w:cstheme="minorHAnsi"/>
          <w:sz w:val="20"/>
          <w:szCs w:val="20"/>
        </w:rPr>
        <w:t xml:space="preserve"> impact them. Employee engagement is now being viewed as a strategic business objective with the aim of long-term retention levels, higher levels of productivity and improved quality of work. </w:t>
      </w:r>
    </w:p>
    <w:p w14:paraId="236B03C0" w14:textId="77777777" w:rsidR="00E16C1F" w:rsidRDefault="00E16C1F" w:rsidP="006E1319">
      <w:pPr>
        <w:rPr>
          <w:rFonts w:asciiTheme="minorHAnsi" w:hAnsiTheme="minorHAnsi" w:cstheme="minorHAnsi"/>
          <w:sz w:val="20"/>
          <w:szCs w:val="20"/>
        </w:rPr>
      </w:pPr>
    </w:p>
    <w:p w14:paraId="1C7399E0" w14:textId="6EB1AED4" w:rsidR="00F9656F" w:rsidRDefault="00F567FC" w:rsidP="006E1319">
      <w:pPr>
        <w:rPr>
          <w:rFonts w:asciiTheme="minorHAnsi" w:hAnsiTheme="minorHAnsi" w:cstheme="minorHAnsi"/>
          <w:sz w:val="20"/>
          <w:szCs w:val="20"/>
        </w:rPr>
      </w:pPr>
      <w:r>
        <w:rPr>
          <w:rFonts w:asciiTheme="minorHAnsi" w:hAnsiTheme="minorHAnsi" w:cstheme="minorHAnsi"/>
          <w:sz w:val="20"/>
          <w:szCs w:val="20"/>
        </w:rPr>
        <w:t>An important component of any HR strategy and practice is employee retention. Organisations with high engagement benefit from low employee turnover, which is critical in retaining talent. Engaged employees will be more likely to remain committed to the organisation. Another component of HR strategy is employee productivity</w:t>
      </w:r>
      <w:r w:rsidR="00F9656F">
        <w:rPr>
          <w:rFonts w:asciiTheme="minorHAnsi" w:hAnsiTheme="minorHAnsi" w:cstheme="minorHAnsi"/>
          <w:sz w:val="20"/>
          <w:szCs w:val="20"/>
        </w:rPr>
        <w:t>, employers are generally seeing the trends in productivity and engagement, therefore investing more in engagement. It is evident that engaged employees become committed to their work and dedicated to their employer and position in the company, resulting in them being passionate about the work they do demonstrated within</w:t>
      </w:r>
      <w:r w:rsidR="00E16C1F">
        <w:rPr>
          <w:rFonts w:asciiTheme="minorHAnsi" w:hAnsiTheme="minorHAnsi" w:cstheme="minorHAnsi"/>
          <w:sz w:val="20"/>
          <w:szCs w:val="20"/>
        </w:rPr>
        <w:t xml:space="preserve"> their</w:t>
      </w:r>
      <w:r w:rsidR="00F9656F">
        <w:rPr>
          <w:rFonts w:asciiTheme="minorHAnsi" w:hAnsiTheme="minorHAnsi" w:cstheme="minorHAnsi"/>
          <w:sz w:val="20"/>
          <w:szCs w:val="20"/>
        </w:rPr>
        <w:t xml:space="preserve"> individual outcomes</w:t>
      </w:r>
      <w:r w:rsidR="00E16C1F">
        <w:rPr>
          <w:rFonts w:asciiTheme="minorHAnsi" w:hAnsiTheme="minorHAnsi" w:cstheme="minorHAnsi"/>
          <w:sz w:val="20"/>
          <w:szCs w:val="20"/>
        </w:rPr>
        <w:t xml:space="preserve"> </w:t>
      </w:r>
      <w:r w:rsidR="00E16C1F" w:rsidRPr="00E16C1F">
        <w:rPr>
          <w:rFonts w:asciiTheme="minorHAnsi" w:hAnsiTheme="minorHAnsi" w:cstheme="minorHAnsi"/>
          <w:sz w:val="20"/>
          <w:szCs w:val="20"/>
        </w:rPr>
        <w:t>(Why is Employee Engagement Important to Company Success?, 2021)</w:t>
      </w:r>
      <w:r w:rsidR="00F9656F">
        <w:rPr>
          <w:rFonts w:asciiTheme="minorHAnsi" w:hAnsiTheme="minorHAnsi" w:cstheme="minorHAnsi"/>
          <w:sz w:val="20"/>
          <w:szCs w:val="20"/>
        </w:rPr>
        <w:t xml:space="preserve">. </w:t>
      </w:r>
    </w:p>
    <w:p w14:paraId="28F72929" w14:textId="77777777" w:rsidR="00F9656F" w:rsidRPr="00F9656F" w:rsidRDefault="00F9656F" w:rsidP="006E1319">
      <w:pPr>
        <w:rPr>
          <w:rFonts w:asciiTheme="minorHAnsi" w:hAnsiTheme="minorHAnsi" w:cstheme="minorHAnsi"/>
          <w:sz w:val="20"/>
          <w:szCs w:val="20"/>
        </w:rPr>
      </w:pPr>
    </w:p>
    <w:p w14:paraId="29EA4583" w14:textId="0AD990C7" w:rsidR="008350A2" w:rsidRPr="003B25D8" w:rsidRDefault="008350A2" w:rsidP="008350A2">
      <w:pPr>
        <w:ind w:left="360"/>
        <w:rPr>
          <w:rFonts w:asciiTheme="minorHAnsi" w:hAnsiTheme="minorHAnsi" w:cstheme="minorHAnsi"/>
          <w:b/>
          <w:bCs/>
          <w:sz w:val="20"/>
          <w:szCs w:val="20"/>
        </w:rPr>
      </w:pPr>
      <w:r w:rsidRPr="003B25D8">
        <w:rPr>
          <w:rFonts w:asciiTheme="minorHAnsi" w:hAnsiTheme="minorHAnsi" w:cstheme="minorHAnsi"/>
          <w:b/>
          <w:bCs/>
          <w:sz w:val="20"/>
          <w:szCs w:val="20"/>
        </w:rPr>
        <w:t xml:space="preserve">3.2 Evaluate the potential benefits, for different parties, of high employee </w:t>
      </w:r>
      <w:r w:rsidR="0033301A">
        <w:rPr>
          <w:rFonts w:asciiTheme="minorHAnsi" w:hAnsiTheme="minorHAnsi" w:cstheme="minorHAnsi"/>
          <w:b/>
          <w:bCs/>
          <w:sz w:val="20"/>
          <w:szCs w:val="20"/>
        </w:rPr>
        <w:t>engagement</w:t>
      </w:r>
      <w:r w:rsidR="0033301A">
        <w:rPr>
          <w:rFonts w:asciiTheme="minorHAnsi" w:hAnsiTheme="minorHAnsi" w:cstheme="minorHAnsi"/>
          <w:b/>
          <w:bCs/>
          <w:sz w:val="20"/>
          <w:szCs w:val="20"/>
        </w:rPr>
        <w:tab/>
      </w:r>
    </w:p>
    <w:p w14:paraId="0FB3289F" w14:textId="194EB95F" w:rsidR="00A61990" w:rsidRPr="003B25D8" w:rsidRDefault="00A61990" w:rsidP="00A61990">
      <w:pPr>
        <w:rPr>
          <w:rFonts w:asciiTheme="minorHAnsi" w:hAnsiTheme="minorHAnsi" w:cstheme="minorHAnsi"/>
          <w:sz w:val="20"/>
          <w:szCs w:val="20"/>
        </w:rPr>
      </w:pPr>
    </w:p>
    <w:p w14:paraId="4E0F26F6" w14:textId="60B2281F" w:rsidR="001B46C6" w:rsidRPr="007D25AB" w:rsidRDefault="00A61990" w:rsidP="001B46C6">
      <w:pPr>
        <w:rPr>
          <w:rFonts w:asciiTheme="minorHAnsi" w:hAnsiTheme="minorHAnsi" w:cstheme="minorHAnsi"/>
          <w:sz w:val="20"/>
          <w:szCs w:val="20"/>
        </w:rPr>
      </w:pPr>
      <w:r w:rsidRPr="003B25D8">
        <w:rPr>
          <w:rFonts w:asciiTheme="minorHAnsi" w:hAnsiTheme="minorHAnsi" w:cstheme="minorHAnsi"/>
          <w:sz w:val="20"/>
          <w:szCs w:val="20"/>
        </w:rPr>
        <w:t>The building blocks previously mentioned – highlight implications for HR policy and practice, emphasising their importance.</w:t>
      </w:r>
      <w:r w:rsidR="00E16C1F">
        <w:rPr>
          <w:rFonts w:asciiTheme="minorHAnsi" w:hAnsiTheme="minorHAnsi" w:cstheme="minorHAnsi"/>
          <w:sz w:val="20"/>
          <w:szCs w:val="20"/>
        </w:rPr>
        <w:t xml:space="preserve"> Employee</w:t>
      </w:r>
      <w:r w:rsidR="005B2A5F">
        <w:rPr>
          <w:rFonts w:asciiTheme="minorHAnsi" w:hAnsiTheme="minorHAnsi" w:cstheme="minorHAnsi"/>
          <w:sz w:val="20"/>
          <w:szCs w:val="20"/>
        </w:rPr>
        <w:t xml:space="preserve"> engagement</w:t>
      </w:r>
      <w:r w:rsidR="00E16C1F">
        <w:rPr>
          <w:rFonts w:asciiTheme="minorHAnsi" w:hAnsiTheme="minorHAnsi" w:cstheme="minorHAnsi"/>
          <w:sz w:val="20"/>
          <w:szCs w:val="20"/>
        </w:rPr>
        <w:t xml:space="preserve"> is beneficial to the individual, the organisation and the country</w:t>
      </w:r>
      <w:r w:rsidR="00E3199F">
        <w:rPr>
          <w:rFonts w:asciiTheme="minorHAnsi" w:hAnsiTheme="minorHAnsi" w:cstheme="minorHAnsi"/>
          <w:sz w:val="20"/>
          <w:szCs w:val="20"/>
        </w:rPr>
        <w:t>, suggesting a universal benefit (Taylor and Woodhams, 2016).</w:t>
      </w:r>
    </w:p>
    <w:p w14:paraId="61EFF822" w14:textId="77777777" w:rsidR="001B46C6" w:rsidRDefault="001B46C6" w:rsidP="00A61990">
      <w:pPr>
        <w:rPr>
          <w:rFonts w:asciiTheme="minorHAnsi" w:hAnsiTheme="minorHAnsi" w:cstheme="minorHAnsi"/>
          <w:sz w:val="20"/>
          <w:szCs w:val="20"/>
        </w:rPr>
      </w:pPr>
    </w:p>
    <w:p w14:paraId="25CC4429" w14:textId="17198316" w:rsidR="00D92515" w:rsidRDefault="00B32EC6" w:rsidP="00A61990">
      <w:pPr>
        <w:rPr>
          <w:rFonts w:asciiTheme="minorHAnsi" w:hAnsiTheme="minorHAnsi" w:cstheme="minorHAnsi"/>
          <w:sz w:val="20"/>
          <w:szCs w:val="20"/>
        </w:rPr>
      </w:pPr>
      <w:r>
        <w:rPr>
          <w:rFonts w:asciiTheme="minorHAnsi" w:hAnsiTheme="minorHAnsi" w:cstheme="minorHAnsi"/>
          <w:sz w:val="20"/>
          <w:szCs w:val="20"/>
        </w:rPr>
        <w:t>Taylor and Woodams (2016)</w:t>
      </w:r>
      <w:r w:rsidR="0079795D">
        <w:rPr>
          <w:rFonts w:asciiTheme="minorHAnsi" w:hAnsiTheme="minorHAnsi" w:cstheme="minorHAnsi"/>
          <w:sz w:val="20"/>
          <w:szCs w:val="20"/>
        </w:rPr>
        <w:t xml:space="preserve"> references</w:t>
      </w:r>
      <w:r>
        <w:rPr>
          <w:rFonts w:asciiTheme="minorHAnsi" w:hAnsiTheme="minorHAnsi" w:cstheme="minorHAnsi"/>
          <w:sz w:val="20"/>
          <w:szCs w:val="20"/>
        </w:rPr>
        <w:t xml:space="preserve"> one of the most significant research report on employee engagement. The Towers Perrin 2007/2008 Global Workforce study links high performance with high engagement</w:t>
      </w:r>
      <w:r w:rsidR="006B1A50">
        <w:rPr>
          <w:rFonts w:asciiTheme="minorHAnsi" w:hAnsiTheme="minorHAnsi" w:cstheme="minorHAnsi"/>
          <w:sz w:val="20"/>
          <w:szCs w:val="20"/>
        </w:rPr>
        <w:t xml:space="preserve">, </w:t>
      </w:r>
      <w:r w:rsidR="001B46C6">
        <w:rPr>
          <w:rFonts w:asciiTheme="minorHAnsi" w:hAnsiTheme="minorHAnsi" w:cstheme="minorHAnsi"/>
          <w:sz w:val="20"/>
          <w:szCs w:val="20"/>
        </w:rPr>
        <w:t>showing</w:t>
      </w:r>
      <w:r w:rsidR="006B1A50">
        <w:rPr>
          <w:rFonts w:asciiTheme="minorHAnsi" w:hAnsiTheme="minorHAnsi" w:cstheme="minorHAnsi"/>
          <w:sz w:val="20"/>
          <w:szCs w:val="20"/>
        </w:rPr>
        <w:t xml:space="preserve"> increases in operating income where there is high levels of engagement and a decrease in operating income where engagement is low. </w:t>
      </w:r>
      <w:r w:rsidR="001B46C6">
        <w:rPr>
          <w:rFonts w:asciiTheme="minorHAnsi" w:hAnsiTheme="minorHAnsi" w:cstheme="minorHAnsi"/>
          <w:sz w:val="20"/>
          <w:szCs w:val="20"/>
        </w:rPr>
        <w:t>Research also demonstrates that where high levels of engagement are found, it is positively associated with organisational commitment, customer satisfaction, employee loyalty, profitability, productivity and even safety</w:t>
      </w:r>
      <w:r w:rsidR="00D92515">
        <w:rPr>
          <w:rFonts w:asciiTheme="minorHAnsi" w:hAnsiTheme="minorHAnsi" w:cstheme="minorHAnsi"/>
          <w:sz w:val="20"/>
          <w:szCs w:val="20"/>
        </w:rPr>
        <w:t xml:space="preserve"> (Taylor and Woodams, 2016)</w:t>
      </w:r>
      <w:r w:rsidR="001B46C6">
        <w:rPr>
          <w:rFonts w:asciiTheme="minorHAnsi" w:hAnsiTheme="minorHAnsi" w:cstheme="minorHAnsi"/>
          <w:sz w:val="20"/>
          <w:szCs w:val="20"/>
        </w:rPr>
        <w:t xml:space="preserve">. </w:t>
      </w:r>
      <w:r w:rsidR="00D92515">
        <w:rPr>
          <w:rFonts w:asciiTheme="minorHAnsi" w:hAnsiTheme="minorHAnsi" w:cstheme="minorHAnsi"/>
          <w:sz w:val="20"/>
          <w:szCs w:val="20"/>
        </w:rPr>
        <w:t xml:space="preserve">This is supported by CIPD (DATE), which states a number of studies demonstrate a link between employee engagement and other business metrics including customer satisfaction, productivity, innovation, staff retention, efficiency and health and safety. </w:t>
      </w:r>
    </w:p>
    <w:p w14:paraId="619D20E5" w14:textId="77777777" w:rsidR="001B46C6" w:rsidRDefault="001B46C6" w:rsidP="00A61990">
      <w:pPr>
        <w:rPr>
          <w:rFonts w:asciiTheme="minorHAnsi" w:hAnsiTheme="minorHAnsi" w:cstheme="minorHAnsi"/>
          <w:sz w:val="20"/>
          <w:szCs w:val="20"/>
        </w:rPr>
      </w:pPr>
    </w:p>
    <w:p w14:paraId="012898E2" w14:textId="1D79B839" w:rsidR="001B46C6" w:rsidRDefault="001B46C6" w:rsidP="00A61990">
      <w:pPr>
        <w:rPr>
          <w:rFonts w:asciiTheme="minorHAnsi" w:hAnsiTheme="minorHAnsi" w:cstheme="minorHAnsi"/>
          <w:sz w:val="20"/>
          <w:szCs w:val="20"/>
        </w:rPr>
      </w:pPr>
      <w:r>
        <w:rPr>
          <w:rFonts w:asciiTheme="minorHAnsi" w:hAnsiTheme="minorHAnsi" w:cstheme="minorHAnsi"/>
          <w:sz w:val="20"/>
          <w:szCs w:val="20"/>
        </w:rPr>
        <w:t xml:space="preserve"> </w:t>
      </w:r>
    </w:p>
    <w:p w14:paraId="3927FA60" w14:textId="3F89BED0" w:rsidR="00E3199F" w:rsidRDefault="00273A52" w:rsidP="00A61990">
      <w:pPr>
        <w:rPr>
          <w:rFonts w:asciiTheme="minorHAnsi" w:hAnsiTheme="minorHAnsi" w:cstheme="minorHAnsi"/>
          <w:sz w:val="20"/>
          <w:szCs w:val="20"/>
        </w:rPr>
      </w:pPr>
      <w:r>
        <w:rPr>
          <w:rFonts w:asciiTheme="minorHAnsi" w:hAnsiTheme="minorHAnsi" w:cstheme="minorHAnsi"/>
          <w:sz w:val="20"/>
          <w:szCs w:val="20"/>
        </w:rPr>
        <w:t>Various</w:t>
      </w:r>
      <w:r w:rsidR="00E3199F">
        <w:rPr>
          <w:rFonts w:asciiTheme="minorHAnsi" w:hAnsiTheme="minorHAnsi" w:cstheme="minorHAnsi"/>
          <w:sz w:val="20"/>
          <w:szCs w:val="20"/>
        </w:rPr>
        <w:t xml:space="preserve"> studies by Gallup have concluded a number of benefits can be achieved by </w:t>
      </w:r>
      <w:r w:rsidR="00C27769">
        <w:rPr>
          <w:rFonts w:asciiTheme="minorHAnsi" w:hAnsiTheme="minorHAnsi" w:cstheme="minorHAnsi"/>
          <w:sz w:val="20"/>
          <w:szCs w:val="20"/>
        </w:rPr>
        <w:t>pursuing</w:t>
      </w:r>
      <w:r w:rsidR="00E3199F">
        <w:rPr>
          <w:rFonts w:asciiTheme="minorHAnsi" w:hAnsiTheme="minorHAnsi" w:cstheme="minorHAnsi"/>
          <w:sz w:val="20"/>
          <w:szCs w:val="20"/>
        </w:rPr>
        <w:t xml:space="preserve"> employee engagement and customer engagement in tandem</w:t>
      </w:r>
      <w:r>
        <w:rPr>
          <w:rFonts w:asciiTheme="minorHAnsi" w:hAnsiTheme="minorHAnsi" w:cstheme="minorHAnsi"/>
          <w:sz w:val="20"/>
          <w:szCs w:val="20"/>
        </w:rPr>
        <w:t xml:space="preserve"> (Taylor and Woodhams, 2016)</w:t>
      </w:r>
      <w:r w:rsidR="00E3199F">
        <w:rPr>
          <w:rFonts w:asciiTheme="minorHAnsi" w:hAnsiTheme="minorHAnsi" w:cstheme="minorHAnsi"/>
          <w:sz w:val="20"/>
          <w:szCs w:val="20"/>
        </w:rPr>
        <w:t>.</w:t>
      </w:r>
      <w:r w:rsidR="00164AA9">
        <w:rPr>
          <w:rFonts w:asciiTheme="minorHAnsi" w:hAnsiTheme="minorHAnsi" w:cstheme="minorHAnsi"/>
          <w:sz w:val="20"/>
          <w:szCs w:val="20"/>
        </w:rPr>
        <w:t xml:space="preserve"> </w:t>
      </w:r>
      <w:r>
        <w:rPr>
          <w:rFonts w:asciiTheme="minorHAnsi" w:hAnsiTheme="minorHAnsi" w:cstheme="minorHAnsi"/>
          <w:sz w:val="20"/>
          <w:szCs w:val="20"/>
        </w:rPr>
        <w:t xml:space="preserve">Research also informs us that there is a direct correlation between the satisfaction of customers and employees who are engaged, resulting in positive business outcomes. An emotional </w:t>
      </w:r>
      <w:r>
        <w:rPr>
          <w:rFonts w:asciiTheme="minorHAnsi" w:hAnsiTheme="minorHAnsi" w:cstheme="minorHAnsi"/>
          <w:sz w:val="20"/>
          <w:szCs w:val="20"/>
        </w:rPr>
        <w:lastRenderedPageBreak/>
        <w:t xml:space="preserve">attachment formed with the company, means employees will go above and beyond. In practice, employees will go the extra mile for customers, taking ownership and can therefore result </w:t>
      </w:r>
      <w:r w:rsidR="001D31CF">
        <w:rPr>
          <w:rFonts w:asciiTheme="minorHAnsi" w:hAnsiTheme="minorHAnsi" w:cstheme="minorHAnsi"/>
          <w:sz w:val="20"/>
          <w:szCs w:val="20"/>
        </w:rPr>
        <w:t>in exceeding customer expectation and delivering</w:t>
      </w:r>
      <w:r>
        <w:rPr>
          <w:rFonts w:asciiTheme="minorHAnsi" w:hAnsiTheme="minorHAnsi" w:cstheme="minorHAnsi"/>
          <w:sz w:val="20"/>
          <w:szCs w:val="20"/>
        </w:rPr>
        <w:t xml:space="preserve"> service excellence</w:t>
      </w:r>
      <w:r w:rsidR="00164AA9">
        <w:rPr>
          <w:rFonts w:asciiTheme="minorHAnsi" w:hAnsiTheme="minorHAnsi" w:cstheme="minorHAnsi"/>
          <w:sz w:val="20"/>
          <w:szCs w:val="20"/>
        </w:rPr>
        <w:t xml:space="preserve"> </w:t>
      </w:r>
      <w:r w:rsidR="00164AA9" w:rsidRPr="0033301A">
        <w:rPr>
          <w:rFonts w:asciiTheme="minorHAnsi" w:hAnsiTheme="minorHAnsi" w:cstheme="minorHAnsi"/>
          <w:sz w:val="20"/>
          <w:szCs w:val="20"/>
        </w:rPr>
        <w:t>(How Employee Engagement Drives Customer Satisfaction, 2021)</w:t>
      </w:r>
      <w:r w:rsidR="001D31CF">
        <w:rPr>
          <w:rFonts w:asciiTheme="minorHAnsi" w:hAnsiTheme="minorHAnsi" w:cstheme="minorHAnsi"/>
          <w:sz w:val="20"/>
          <w:szCs w:val="20"/>
        </w:rPr>
        <w:t xml:space="preserve">. </w:t>
      </w:r>
    </w:p>
    <w:p w14:paraId="3357905D" w14:textId="414A046B" w:rsidR="001B46C6" w:rsidRDefault="001B46C6" w:rsidP="00A61990">
      <w:pPr>
        <w:rPr>
          <w:rFonts w:asciiTheme="minorHAnsi" w:hAnsiTheme="minorHAnsi" w:cstheme="minorHAnsi"/>
          <w:sz w:val="20"/>
          <w:szCs w:val="20"/>
        </w:rPr>
      </w:pPr>
    </w:p>
    <w:p w14:paraId="6E33C9B1" w14:textId="5E869291" w:rsidR="00D92515" w:rsidRDefault="001B46C6" w:rsidP="00A61990">
      <w:pPr>
        <w:rPr>
          <w:rFonts w:asciiTheme="minorHAnsi" w:hAnsiTheme="minorHAnsi" w:cstheme="minorHAnsi"/>
          <w:sz w:val="20"/>
          <w:szCs w:val="20"/>
        </w:rPr>
      </w:pPr>
      <w:r>
        <w:rPr>
          <w:rFonts w:asciiTheme="minorHAnsi" w:hAnsiTheme="minorHAnsi" w:cstheme="minorHAnsi"/>
          <w:sz w:val="20"/>
          <w:szCs w:val="20"/>
        </w:rPr>
        <w:t xml:space="preserve">Research also shows that </w:t>
      </w:r>
      <w:r w:rsidR="00CC7CDB">
        <w:rPr>
          <w:rFonts w:asciiTheme="minorHAnsi" w:hAnsiTheme="minorHAnsi" w:cstheme="minorHAnsi"/>
          <w:sz w:val="20"/>
          <w:szCs w:val="20"/>
        </w:rPr>
        <w:t>engaged employees experience greater job satisfaction and greater wellbeing. It also demonstrates that engaged employees are likely to act as advocates for their organisation, and can play an important part in promoting the employer brand</w:t>
      </w:r>
      <w:r w:rsidR="007D25AB">
        <w:rPr>
          <w:rFonts w:asciiTheme="minorHAnsi" w:hAnsiTheme="minorHAnsi" w:cstheme="minorHAnsi"/>
          <w:sz w:val="20"/>
          <w:szCs w:val="20"/>
        </w:rPr>
        <w:t>. B</w:t>
      </w:r>
      <w:r w:rsidR="00D92515">
        <w:rPr>
          <w:rFonts w:asciiTheme="minorHAnsi" w:hAnsiTheme="minorHAnsi" w:cstheme="minorHAnsi"/>
          <w:sz w:val="20"/>
          <w:szCs w:val="20"/>
        </w:rPr>
        <w:t>eing engaged is good for employees, and within the majority of the definitions around employee engagement, employees are described as healthier, happier, more fulfilled or more motivated. The research also states that employee engagement and work performance is a two-way relationship, whereby both influence each other</w:t>
      </w:r>
      <w:r w:rsidR="007D25AB">
        <w:rPr>
          <w:rFonts w:asciiTheme="minorHAnsi" w:hAnsiTheme="minorHAnsi" w:cstheme="minorHAnsi"/>
          <w:sz w:val="20"/>
          <w:szCs w:val="20"/>
        </w:rPr>
        <w:t xml:space="preserve"> </w:t>
      </w:r>
      <w:r w:rsidR="007D25AB">
        <w:rPr>
          <w:rFonts w:asciiTheme="minorHAnsi" w:hAnsiTheme="minorHAnsi" w:cstheme="minorHAnsi"/>
          <w:sz w:val="20"/>
          <w:szCs w:val="20"/>
        </w:rPr>
        <w:t xml:space="preserve">(Taylor and Woodams, 2016).  </w:t>
      </w:r>
      <w:r w:rsidR="00D92515">
        <w:rPr>
          <w:rFonts w:asciiTheme="minorHAnsi" w:hAnsiTheme="minorHAnsi" w:cstheme="minorHAnsi"/>
          <w:sz w:val="20"/>
          <w:szCs w:val="20"/>
        </w:rPr>
        <w:t xml:space="preserve"> </w:t>
      </w:r>
    </w:p>
    <w:p w14:paraId="47FC4176" w14:textId="33683764" w:rsidR="00CF245F" w:rsidRDefault="00CF245F" w:rsidP="00A61990">
      <w:pPr>
        <w:rPr>
          <w:rFonts w:asciiTheme="minorHAnsi" w:hAnsiTheme="minorHAnsi" w:cstheme="minorHAnsi"/>
          <w:sz w:val="20"/>
          <w:szCs w:val="20"/>
        </w:rPr>
      </w:pPr>
    </w:p>
    <w:p w14:paraId="3290DAF8" w14:textId="70FF7127" w:rsidR="00C2695B" w:rsidRPr="003B25D8" w:rsidRDefault="00C2695B" w:rsidP="008350A2">
      <w:pPr>
        <w:pStyle w:val="ListParagraph"/>
        <w:numPr>
          <w:ilvl w:val="0"/>
          <w:numId w:val="1"/>
        </w:numPr>
        <w:rPr>
          <w:rFonts w:asciiTheme="minorHAnsi" w:hAnsiTheme="minorHAnsi" w:cstheme="minorHAnsi"/>
          <w:b/>
          <w:bCs/>
          <w:sz w:val="20"/>
          <w:szCs w:val="20"/>
        </w:rPr>
      </w:pPr>
      <w:r w:rsidRPr="003B25D8">
        <w:rPr>
          <w:rFonts w:asciiTheme="minorHAnsi" w:hAnsiTheme="minorHAnsi" w:cstheme="minorHAnsi"/>
          <w:b/>
          <w:bCs/>
          <w:sz w:val="20"/>
          <w:szCs w:val="20"/>
        </w:rPr>
        <w:t>Summarise key sources of employee engagement related data, citing different examples.</w:t>
      </w:r>
    </w:p>
    <w:p w14:paraId="12A4CFA5" w14:textId="0F07D43C" w:rsidR="008350A2" w:rsidRPr="003B25D8" w:rsidRDefault="008350A2" w:rsidP="008350A2">
      <w:pPr>
        <w:pStyle w:val="ListParagraph"/>
        <w:rPr>
          <w:rFonts w:asciiTheme="minorHAnsi" w:hAnsiTheme="minorHAnsi" w:cstheme="minorHAnsi"/>
          <w:sz w:val="20"/>
          <w:szCs w:val="20"/>
        </w:rPr>
      </w:pPr>
    </w:p>
    <w:p w14:paraId="4FEF14C6" w14:textId="70EADD33" w:rsidR="00C2695B" w:rsidRDefault="008350A2" w:rsidP="00DD31CD">
      <w:pPr>
        <w:pStyle w:val="ListParagraph"/>
        <w:numPr>
          <w:ilvl w:val="1"/>
          <w:numId w:val="1"/>
        </w:numPr>
        <w:rPr>
          <w:rFonts w:asciiTheme="minorHAnsi" w:hAnsiTheme="minorHAnsi" w:cstheme="minorHAnsi"/>
          <w:b/>
          <w:bCs/>
          <w:sz w:val="20"/>
          <w:szCs w:val="20"/>
        </w:rPr>
      </w:pPr>
      <w:r w:rsidRPr="00DD31CD">
        <w:rPr>
          <w:rFonts w:asciiTheme="minorHAnsi" w:hAnsiTheme="minorHAnsi" w:cstheme="minorHAnsi"/>
          <w:b/>
          <w:bCs/>
          <w:sz w:val="20"/>
          <w:szCs w:val="20"/>
        </w:rPr>
        <w:t>Identify key sources of employee engagement related data.</w:t>
      </w:r>
    </w:p>
    <w:p w14:paraId="7D34ECC1" w14:textId="47F91AE2" w:rsidR="005921D7" w:rsidRDefault="005921D7" w:rsidP="005921D7">
      <w:pPr>
        <w:rPr>
          <w:rFonts w:asciiTheme="minorHAnsi" w:hAnsiTheme="minorHAnsi" w:cstheme="minorHAnsi"/>
          <w:b/>
          <w:bCs/>
          <w:sz w:val="20"/>
          <w:szCs w:val="20"/>
        </w:rPr>
      </w:pPr>
    </w:p>
    <w:p w14:paraId="3A893555" w14:textId="1279746D" w:rsidR="005921D7" w:rsidRDefault="005A2136" w:rsidP="005921D7">
      <w:pPr>
        <w:rPr>
          <w:rFonts w:asciiTheme="minorHAnsi" w:hAnsiTheme="minorHAnsi" w:cstheme="minorHAnsi"/>
          <w:sz w:val="20"/>
          <w:szCs w:val="20"/>
        </w:rPr>
      </w:pPr>
      <w:r>
        <w:rPr>
          <w:rFonts w:asciiTheme="minorHAnsi" w:hAnsiTheme="minorHAnsi" w:cstheme="minorHAnsi"/>
          <w:sz w:val="20"/>
          <w:szCs w:val="20"/>
        </w:rPr>
        <w:t xml:space="preserve">People Analytics, sometimes referred to as HR analytics or workforce analytics, is gathering and analysing date about people within the workforce. People data provides opportunities in creating insights to contribute to company strategy. People analytics can be applied to measure the drivers of employee engagement and practices can be adapted to enhance morale. </w:t>
      </w:r>
      <w:r w:rsidR="009C0AEB">
        <w:rPr>
          <w:rFonts w:asciiTheme="minorHAnsi" w:hAnsiTheme="minorHAnsi" w:cstheme="minorHAnsi"/>
          <w:sz w:val="20"/>
          <w:szCs w:val="20"/>
        </w:rPr>
        <w:t xml:space="preserve">People data can be found within HR systems and from external sources such as surveys. People analytics can be used to </w:t>
      </w:r>
      <w:r w:rsidR="00B875DB">
        <w:rPr>
          <w:rFonts w:asciiTheme="minorHAnsi" w:hAnsiTheme="minorHAnsi" w:cstheme="minorHAnsi"/>
          <w:sz w:val="20"/>
          <w:szCs w:val="20"/>
        </w:rPr>
        <w:t>measure</w:t>
      </w:r>
      <w:r w:rsidR="009C0AEB">
        <w:rPr>
          <w:rFonts w:asciiTheme="minorHAnsi" w:hAnsiTheme="minorHAnsi" w:cstheme="minorHAnsi"/>
          <w:sz w:val="20"/>
          <w:szCs w:val="20"/>
        </w:rPr>
        <w:t xml:space="preserve"> the workforce in various areas such as performance and wellbeing. People analytics supports </w:t>
      </w:r>
      <w:r w:rsidR="00B875DB">
        <w:rPr>
          <w:rFonts w:asciiTheme="minorHAnsi" w:hAnsiTheme="minorHAnsi" w:cstheme="minorHAnsi"/>
          <w:sz w:val="20"/>
          <w:szCs w:val="20"/>
        </w:rPr>
        <w:t>evidence-based</w:t>
      </w:r>
      <w:r w:rsidR="009C0AEB">
        <w:rPr>
          <w:rFonts w:asciiTheme="minorHAnsi" w:hAnsiTheme="minorHAnsi" w:cstheme="minorHAnsi"/>
          <w:sz w:val="20"/>
          <w:szCs w:val="20"/>
        </w:rPr>
        <w:t xml:space="preserve"> decisions in making workforce and organisational performance improvements. It can also demonstrate the effectiveness of organisational performance and the impact of any people interventions such as engagement strategies</w:t>
      </w:r>
      <w:r w:rsidR="002E6364">
        <w:rPr>
          <w:rFonts w:asciiTheme="minorHAnsi" w:hAnsiTheme="minorHAnsi" w:cstheme="minorHAnsi"/>
          <w:sz w:val="20"/>
          <w:szCs w:val="20"/>
        </w:rPr>
        <w:t xml:space="preserve"> (CIPD, 2021)</w:t>
      </w:r>
      <w:r w:rsidR="009C0AEB">
        <w:rPr>
          <w:rFonts w:asciiTheme="minorHAnsi" w:hAnsiTheme="minorHAnsi" w:cstheme="minorHAnsi"/>
          <w:sz w:val="20"/>
          <w:szCs w:val="20"/>
        </w:rPr>
        <w:t xml:space="preserve">. </w:t>
      </w:r>
    </w:p>
    <w:p w14:paraId="0EFE837D" w14:textId="55070188" w:rsidR="009C0AEB" w:rsidRDefault="009C0AEB" w:rsidP="005921D7">
      <w:pPr>
        <w:rPr>
          <w:rFonts w:asciiTheme="minorHAnsi" w:hAnsiTheme="minorHAnsi" w:cstheme="minorHAnsi"/>
          <w:sz w:val="20"/>
          <w:szCs w:val="20"/>
        </w:rPr>
      </w:pPr>
    </w:p>
    <w:p w14:paraId="01EAA066" w14:textId="260032EE" w:rsidR="001C00E3" w:rsidRDefault="00D83584" w:rsidP="00450626">
      <w:pPr>
        <w:rPr>
          <w:rFonts w:asciiTheme="minorHAnsi" w:hAnsiTheme="minorHAnsi" w:cstheme="minorHAnsi"/>
          <w:sz w:val="20"/>
          <w:szCs w:val="20"/>
        </w:rPr>
      </w:pPr>
      <w:r>
        <w:rPr>
          <w:rFonts w:asciiTheme="minorHAnsi" w:hAnsiTheme="minorHAnsi" w:cstheme="minorHAnsi"/>
          <w:sz w:val="20"/>
          <w:szCs w:val="20"/>
        </w:rPr>
        <w:t>Measurements in the form of analytics, are useful in informing strategic decisions on developing and allocating resources for HR.</w:t>
      </w:r>
      <w:r w:rsidR="002E6364">
        <w:rPr>
          <w:rFonts w:asciiTheme="minorHAnsi" w:hAnsiTheme="minorHAnsi" w:cstheme="minorHAnsi"/>
          <w:sz w:val="20"/>
          <w:szCs w:val="20"/>
        </w:rPr>
        <w:t xml:space="preserve"> </w:t>
      </w:r>
      <w:r>
        <w:rPr>
          <w:rFonts w:asciiTheme="minorHAnsi" w:hAnsiTheme="minorHAnsi" w:cstheme="minorHAnsi"/>
          <w:sz w:val="20"/>
          <w:szCs w:val="20"/>
        </w:rPr>
        <w:t xml:space="preserve">Qualitative research is descriptive data, helping to explain behaviour and contains people’s thoughts and experiences. It helps to understand why, how or in what way behind actions and/or behaviours. This type of research can add insight – as in-depth discussions cannot be replaced. This type of research allows </w:t>
      </w:r>
      <w:r w:rsidR="007F05E3">
        <w:rPr>
          <w:rFonts w:asciiTheme="minorHAnsi" w:hAnsiTheme="minorHAnsi" w:cstheme="minorHAnsi"/>
          <w:sz w:val="20"/>
          <w:szCs w:val="20"/>
        </w:rPr>
        <w:t xml:space="preserve">HR to fully understand why challenges may continue to present themselves or what solutions may work. </w:t>
      </w:r>
      <w:r w:rsidR="001C00E3">
        <w:rPr>
          <w:rFonts w:asciiTheme="minorHAnsi" w:hAnsiTheme="minorHAnsi" w:cstheme="minorHAnsi"/>
          <w:sz w:val="20"/>
          <w:szCs w:val="20"/>
        </w:rPr>
        <w:t>People analytics are able to inform strategic decision making on how to allocate HR resource. People analytics should not be used in isolation and the bigger picture considered – for example what action can be taken with the ana</w:t>
      </w:r>
      <w:r w:rsidR="00901F4D">
        <w:rPr>
          <w:rFonts w:asciiTheme="minorHAnsi" w:hAnsiTheme="minorHAnsi" w:cstheme="minorHAnsi"/>
          <w:sz w:val="20"/>
          <w:szCs w:val="20"/>
        </w:rPr>
        <w:t xml:space="preserve">lytics. For example, completing an engagement survey and analysing the results is not doing engagement work, the analytics are the indicator and inform the interventions. </w:t>
      </w:r>
    </w:p>
    <w:p w14:paraId="46244870" w14:textId="39E3E814" w:rsidR="001C00E3" w:rsidRDefault="001C00E3" w:rsidP="00450626">
      <w:pPr>
        <w:rPr>
          <w:rFonts w:asciiTheme="minorHAnsi" w:hAnsiTheme="minorHAnsi" w:cstheme="minorHAnsi"/>
          <w:sz w:val="20"/>
          <w:szCs w:val="20"/>
        </w:rPr>
      </w:pPr>
    </w:p>
    <w:p w14:paraId="6EFFC494" w14:textId="1CBC6968" w:rsidR="00DC70C6" w:rsidRDefault="00DC70C6" w:rsidP="002E6364">
      <w:pPr>
        <w:rPr>
          <w:rFonts w:asciiTheme="minorHAnsi" w:hAnsiTheme="minorHAnsi" w:cstheme="minorHAnsi"/>
          <w:sz w:val="20"/>
          <w:szCs w:val="20"/>
        </w:rPr>
      </w:pPr>
      <w:r>
        <w:rPr>
          <w:rFonts w:asciiTheme="minorHAnsi" w:hAnsiTheme="minorHAnsi" w:cstheme="minorHAnsi"/>
          <w:sz w:val="20"/>
          <w:szCs w:val="20"/>
        </w:rPr>
        <w:t>There are a number of metrics that can be used to measure engagement. One example includes the Utrecht Work Engagement Scale (UWES), measuring engagement as a psychological presence – a persistent and pervasive affective cognitive state and is not focussed on a particular event, individual or behaviour. It is scored to give an overall picture of engagement whereby higher scores indicate higher engagement. The scoring is done in three subscales – vigor (energy and resilience), dedication (enthusiasm, being inspired and challenged) and absorption (immersed in work)</w:t>
      </w:r>
      <w:r w:rsidR="002E6364">
        <w:rPr>
          <w:rFonts w:asciiTheme="minorHAnsi" w:hAnsiTheme="minorHAnsi" w:cstheme="minorHAnsi"/>
          <w:sz w:val="20"/>
          <w:szCs w:val="20"/>
        </w:rPr>
        <w:t xml:space="preserve"> (</w:t>
      </w:r>
      <w:r w:rsidR="002E6364" w:rsidRPr="002E6364">
        <w:rPr>
          <w:rFonts w:asciiTheme="minorHAnsi" w:hAnsiTheme="minorHAnsi" w:cstheme="minorHAnsi"/>
          <w:sz w:val="20"/>
          <w:szCs w:val="20"/>
        </w:rPr>
        <w:t>Gifford</w:t>
      </w:r>
      <w:r w:rsidR="002E6364" w:rsidRPr="002E6364">
        <w:rPr>
          <w:rFonts w:asciiTheme="minorHAnsi" w:hAnsiTheme="minorHAnsi" w:cstheme="minorHAnsi"/>
          <w:sz w:val="20"/>
          <w:szCs w:val="20"/>
        </w:rPr>
        <w:t xml:space="preserve"> </w:t>
      </w:r>
      <w:r w:rsidR="002E6364" w:rsidRPr="002E6364">
        <w:rPr>
          <w:rFonts w:asciiTheme="minorHAnsi" w:hAnsiTheme="minorHAnsi" w:cstheme="minorHAnsi"/>
          <w:sz w:val="20"/>
          <w:szCs w:val="20"/>
        </w:rPr>
        <w:t>and Young</w:t>
      </w:r>
      <w:r w:rsidR="002E6364" w:rsidRPr="002E6364">
        <w:rPr>
          <w:rFonts w:asciiTheme="minorHAnsi" w:hAnsiTheme="minorHAnsi" w:cstheme="minorHAnsi"/>
          <w:sz w:val="20"/>
          <w:szCs w:val="20"/>
        </w:rPr>
        <w:t>,</w:t>
      </w:r>
      <w:r w:rsidR="002E6364" w:rsidRPr="002E6364">
        <w:rPr>
          <w:rFonts w:asciiTheme="minorHAnsi" w:hAnsiTheme="minorHAnsi" w:cstheme="minorHAnsi"/>
          <w:sz w:val="20"/>
          <w:szCs w:val="20"/>
        </w:rPr>
        <w:t xml:space="preserve"> 202</w:t>
      </w:r>
      <w:r w:rsidR="002E6364">
        <w:rPr>
          <w:rFonts w:asciiTheme="minorHAnsi" w:hAnsiTheme="minorHAnsi" w:cstheme="minorHAnsi"/>
          <w:sz w:val="20"/>
          <w:szCs w:val="20"/>
        </w:rPr>
        <w:t>1</w:t>
      </w:r>
      <w:r w:rsidR="002E6364" w:rsidRPr="002E6364">
        <w:rPr>
          <w:rFonts w:asciiTheme="minorHAnsi" w:hAnsiTheme="minorHAnsi" w:cstheme="minorHAnsi"/>
          <w:sz w:val="20"/>
          <w:szCs w:val="20"/>
        </w:rPr>
        <w:t>).</w:t>
      </w:r>
    </w:p>
    <w:p w14:paraId="57543D89" w14:textId="1920E7A0" w:rsidR="00DC70C6" w:rsidRDefault="00DC70C6" w:rsidP="00450626">
      <w:pPr>
        <w:rPr>
          <w:rFonts w:asciiTheme="minorHAnsi" w:hAnsiTheme="minorHAnsi" w:cstheme="minorHAnsi"/>
          <w:sz w:val="20"/>
          <w:szCs w:val="20"/>
        </w:rPr>
      </w:pPr>
    </w:p>
    <w:p w14:paraId="154FD0CA" w14:textId="32099E4A" w:rsidR="002E6364" w:rsidRDefault="002E6364" w:rsidP="00450626">
      <w:pPr>
        <w:rPr>
          <w:rFonts w:asciiTheme="minorHAnsi" w:hAnsiTheme="minorHAnsi" w:cstheme="minorHAnsi"/>
          <w:sz w:val="20"/>
          <w:szCs w:val="20"/>
        </w:rPr>
      </w:pPr>
    </w:p>
    <w:p w14:paraId="360A4C9C" w14:textId="4429BA57" w:rsidR="002E6364" w:rsidRDefault="002E6364" w:rsidP="00450626">
      <w:pPr>
        <w:rPr>
          <w:rFonts w:asciiTheme="minorHAnsi" w:hAnsiTheme="minorHAnsi" w:cstheme="minorHAnsi"/>
          <w:sz w:val="20"/>
          <w:szCs w:val="20"/>
        </w:rPr>
      </w:pPr>
    </w:p>
    <w:p w14:paraId="0FDE61E4" w14:textId="615E29D7" w:rsidR="002E6364" w:rsidRDefault="002E6364" w:rsidP="00450626">
      <w:pPr>
        <w:rPr>
          <w:rFonts w:asciiTheme="minorHAnsi" w:hAnsiTheme="minorHAnsi" w:cstheme="minorHAnsi"/>
          <w:sz w:val="20"/>
          <w:szCs w:val="20"/>
        </w:rPr>
      </w:pPr>
    </w:p>
    <w:p w14:paraId="7477F7EA" w14:textId="396ED1E8" w:rsidR="002E6364" w:rsidRDefault="002E6364" w:rsidP="00450626">
      <w:pPr>
        <w:rPr>
          <w:rFonts w:asciiTheme="minorHAnsi" w:hAnsiTheme="minorHAnsi" w:cstheme="minorHAnsi"/>
          <w:sz w:val="20"/>
          <w:szCs w:val="20"/>
        </w:rPr>
      </w:pPr>
    </w:p>
    <w:p w14:paraId="6B777B88" w14:textId="61CB10D5" w:rsidR="002E6364" w:rsidRDefault="002E6364" w:rsidP="00450626">
      <w:pPr>
        <w:rPr>
          <w:rFonts w:asciiTheme="minorHAnsi" w:hAnsiTheme="minorHAnsi" w:cstheme="minorHAnsi"/>
          <w:sz w:val="20"/>
          <w:szCs w:val="20"/>
        </w:rPr>
      </w:pPr>
    </w:p>
    <w:p w14:paraId="4651A21B" w14:textId="44C4C0C6" w:rsidR="002E6364" w:rsidRDefault="002E6364" w:rsidP="00450626">
      <w:pPr>
        <w:rPr>
          <w:rFonts w:asciiTheme="minorHAnsi" w:hAnsiTheme="minorHAnsi" w:cstheme="minorHAnsi"/>
          <w:sz w:val="20"/>
          <w:szCs w:val="20"/>
        </w:rPr>
      </w:pPr>
    </w:p>
    <w:p w14:paraId="4B243309" w14:textId="46C6C892" w:rsidR="002E6364" w:rsidRDefault="002E6364" w:rsidP="00450626">
      <w:pPr>
        <w:rPr>
          <w:rFonts w:asciiTheme="minorHAnsi" w:hAnsiTheme="minorHAnsi" w:cstheme="minorHAnsi"/>
          <w:sz w:val="20"/>
          <w:szCs w:val="20"/>
        </w:rPr>
      </w:pPr>
    </w:p>
    <w:p w14:paraId="53095CE2" w14:textId="293D2DC2" w:rsidR="002E6364" w:rsidRDefault="002E6364" w:rsidP="00450626">
      <w:pPr>
        <w:rPr>
          <w:rFonts w:asciiTheme="minorHAnsi" w:hAnsiTheme="minorHAnsi" w:cstheme="minorHAnsi"/>
          <w:sz w:val="20"/>
          <w:szCs w:val="20"/>
        </w:rPr>
      </w:pPr>
    </w:p>
    <w:p w14:paraId="2B113548" w14:textId="4E35E1C6" w:rsidR="002E6364" w:rsidRDefault="002E6364" w:rsidP="00450626">
      <w:pPr>
        <w:rPr>
          <w:rFonts w:asciiTheme="minorHAnsi" w:hAnsiTheme="minorHAnsi" w:cstheme="minorHAnsi"/>
          <w:sz w:val="20"/>
          <w:szCs w:val="20"/>
        </w:rPr>
      </w:pPr>
    </w:p>
    <w:p w14:paraId="042341E0" w14:textId="57A2D2CA" w:rsidR="002E6364" w:rsidRDefault="002E6364" w:rsidP="00450626">
      <w:pPr>
        <w:rPr>
          <w:rFonts w:asciiTheme="minorHAnsi" w:hAnsiTheme="minorHAnsi" w:cstheme="minorHAnsi"/>
          <w:sz w:val="20"/>
          <w:szCs w:val="20"/>
        </w:rPr>
      </w:pPr>
    </w:p>
    <w:p w14:paraId="1C7D73DD" w14:textId="13D2AF05" w:rsidR="002E6364" w:rsidRDefault="002E6364" w:rsidP="00450626">
      <w:pPr>
        <w:rPr>
          <w:rFonts w:asciiTheme="minorHAnsi" w:hAnsiTheme="minorHAnsi" w:cstheme="minorHAnsi"/>
          <w:sz w:val="20"/>
          <w:szCs w:val="20"/>
        </w:rPr>
      </w:pPr>
    </w:p>
    <w:p w14:paraId="1490FC1B" w14:textId="19244E82" w:rsidR="002E6364" w:rsidRDefault="002E6364" w:rsidP="00450626">
      <w:pPr>
        <w:rPr>
          <w:rFonts w:asciiTheme="minorHAnsi" w:hAnsiTheme="minorHAnsi" w:cstheme="minorHAnsi"/>
          <w:sz w:val="20"/>
          <w:szCs w:val="20"/>
        </w:rPr>
      </w:pPr>
    </w:p>
    <w:p w14:paraId="20E49BA2" w14:textId="7D33577C" w:rsidR="002E6364" w:rsidRDefault="002E6364" w:rsidP="00450626">
      <w:pPr>
        <w:rPr>
          <w:rFonts w:asciiTheme="minorHAnsi" w:hAnsiTheme="minorHAnsi" w:cstheme="minorHAnsi"/>
          <w:sz w:val="20"/>
          <w:szCs w:val="20"/>
        </w:rPr>
      </w:pPr>
    </w:p>
    <w:p w14:paraId="35B034BF" w14:textId="43E4513D" w:rsidR="002E6364" w:rsidRDefault="002E6364" w:rsidP="00450626">
      <w:pPr>
        <w:rPr>
          <w:rFonts w:asciiTheme="minorHAnsi" w:hAnsiTheme="minorHAnsi" w:cstheme="minorHAnsi"/>
          <w:sz w:val="20"/>
          <w:szCs w:val="20"/>
        </w:rPr>
      </w:pPr>
    </w:p>
    <w:p w14:paraId="290D6070" w14:textId="013962E9" w:rsidR="002E6364" w:rsidRDefault="002E6364" w:rsidP="00450626">
      <w:pPr>
        <w:rPr>
          <w:rFonts w:asciiTheme="minorHAnsi" w:hAnsiTheme="minorHAnsi" w:cstheme="minorHAnsi"/>
          <w:sz w:val="20"/>
          <w:szCs w:val="20"/>
        </w:rPr>
      </w:pPr>
    </w:p>
    <w:p w14:paraId="11943D4B" w14:textId="7F002602" w:rsidR="002E6364" w:rsidRDefault="002E6364" w:rsidP="00450626">
      <w:pPr>
        <w:rPr>
          <w:rFonts w:asciiTheme="minorHAnsi" w:hAnsiTheme="minorHAnsi" w:cstheme="minorHAnsi"/>
          <w:sz w:val="20"/>
          <w:szCs w:val="20"/>
        </w:rPr>
      </w:pPr>
    </w:p>
    <w:p w14:paraId="43BF162C" w14:textId="14C26663" w:rsidR="002E6364" w:rsidRDefault="002E6364" w:rsidP="00450626">
      <w:pPr>
        <w:rPr>
          <w:rFonts w:asciiTheme="minorHAnsi" w:hAnsiTheme="minorHAnsi" w:cstheme="minorHAnsi"/>
          <w:sz w:val="20"/>
          <w:szCs w:val="20"/>
        </w:rPr>
      </w:pPr>
    </w:p>
    <w:p w14:paraId="00DE93A0" w14:textId="75D20251" w:rsidR="002E6364" w:rsidRDefault="002E6364" w:rsidP="00450626">
      <w:pPr>
        <w:rPr>
          <w:rFonts w:asciiTheme="minorHAnsi" w:hAnsiTheme="minorHAnsi" w:cstheme="minorHAnsi"/>
          <w:sz w:val="20"/>
          <w:szCs w:val="20"/>
        </w:rPr>
      </w:pPr>
    </w:p>
    <w:p w14:paraId="14AFC92D" w14:textId="36C58A02" w:rsidR="002E6364" w:rsidRDefault="002E6364" w:rsidP="00450626">
      <w:pPr>
        <w:rPr>
          <w:rFonts w:asciiTheme="minorHAnsi" w:hAnsiTheme="minorHAnsi" w:cstheme="minorHAnsi"/>
          <w:sz w:val="20"/>
          <w:szCs w:val="20"/>
        </w:rPr>
      </w:pPr>
    </w:p>
    <w:p w14:paraId="534C2D37" w14:textId="2C6F838E" w:rsidR="002E6364" w:rsidRDefault="002E6364" w:rsidP="00450626">
      <w:pPr>
        <w:rPr>
          <w:rFonts w:asciiTheme="minorHAnsi" w:hAnsiTheme="minorHAnsi" w:cstheme="minorHAnsi"/>
          <w:sz w:val="20"/>
          <w:szCs w:val="20"/>
        </w:rPr>
      </w:pPr>
    </w:p>
    <w:p w14:paraId="4D1699A1" w14:textId="7710946B" w:rsidR="002E6364" w:rsidRDefault="002E6364" w:rsidP="00450626">
      <w:pPr>
        <w:rPr>
          <w:rFonts w:asciiTheme="minorHAnsi" w:hAnsiTheme="minorHAnsi" w:cstheme="minorHAnsi"/>
          <w:sz w:val="20"/>
          <w:szCs w:val="20"/>
        </w:rPr>
      </w:pPr>
    </w:p>
    <w:p w14:paraId="521AD264" w14:textId="6A063A8A" w:rsidR="002E6364" w:rsidRDefault="002E6364" w:rsidP="00450626">
      <w:pPr>
        <w:rPr>
          <w:rFonts w:asciiTheme="minorHAnsi" w:hAnsiTheme="minorHAnsi" w:cstheme="minorHAnsi"/>
          <w:sz w:val="20"/>
          <w:szCs w:val="20"/>
        </w:rPr>
      </w:pPr>
    </w:p>
    <w:p w14:paraId="0C00B5C6" w14:textId="124A2727" w:rsidR="002E6364" w:rsidRDefault="002E6364" w:rsidP="00450626">
      <w:pPr>
        <w:rPr>
          <w:rFonts w:asciiTheme="minorHAnsi" w:hAnsiTheme="minorHAnsi" w:cstheme="minorHAnsi"/>
          <w:sz w:val="20"/>
          <w:szCs w:val="20"/>
        </w:rPr>
      </w:pPr>
    </w:p>
    <w:p w14:paraId="41CCBBD0" w14:textId="664E00B0" w:rsidR="002E6364" w:rsidRDefault="002E6364" w:rsidP="00450626">
      <w:pPr>
        <w:rPr>
          <w:rFonts w:asciiTheme="minorHAnsi" w:hAnsiTheme="minorHAnsi" w:cstheme="minorHAnsi"/>
          <w:sz w:val="20"/>
          <w:szCs w:val="20"/>
        </w:rPr>
      </w:pPr>
    </w:p>
    <w:p w14:paraId="354A2508" w14:textId="77777777" w:rsidR="002E6364" w:rsidRDefault="002E6364" w:rsidP="00450626">
      <w:pPr>
        <w:rPr>
          <w:rFonts w:asciiTheme="minorHAnsi" w:hAnsiTheme="minorHAnsi" w:cstheme="minorHAnsi"/>
          <w:sz w:val="20"/>
          <w:szCs w:val="20"/>
        </w:rPr>
      </w:pPr>
    </w:p>
    <w:p w14:paraId="13EB4E8A" w14:textId="2D5CF07E" w:rsidR="00C2695B" w:rsidRDefault="00C2695B" w:rsidP="008350A2">
      <w:pPr>
        <w:pStyle w:val="ListParagraph"/>
        <w:numPr>
          <w:ilvl w:val="0"/>
          <w:numId w:val="1"/>
        </w:numPr>
        <w:rPr>
          <w:rFonts w:asciiTheme="minorHAnsi" w:hAnsiTheme="minorHAnsi" w:cstheme="minorHAnsi"/>
          <w:b/>
          <w:bCs/>
          <w:sz w:val="20"/>
          <w:szCs w:val="20"/>
        </w:rPr>
      </w:pPr>
      <w:r w:rsidRPr="003B25D8">
        <w:rPr>
          <w:rFonts w:asciiTheme="minorHAnsi" w:hAnsiTheme="minorHAnsi" w:cstheme="minorHAnsi"/>
          <w:b/>
          <w:bCs/>
          <w:sz w:val="20"/>
          <w:szCs w:val="20"/>
        </w:rPr>
        <w:lastRenderedPageBreak/>
        <w:t>Outline the findings of recent studies on employee engagement, including the extend to which gender, demographic and other factors influence levels of engagement.</w:t>
      </w:r>
    </w:p>
    <w:p w14:paraId="5588657E" w14:textId="6CAA67BD" w:rsidR="00111C0C" w:rsidRDefault="00111C0C" w:rsidP="00111C0C">
      <w:pPr>
        <w:rPr>
          <w:rFonts w:asciiTheme="minorHAnsi" w:hAnsiTheme="minorHAnsi" w:cstheme="minorHAnsi"/>
          <w:b/>
          <w:bCs/>
          <w:sz w:val="20"/>
          <w:szCs w:val="20"/>
        </w:rPr>
      </w:pPr>
    </w:p>
    <w:p w14:paraId="39B87D8B" w14:textId="0749F070" w:rsidR="008350A2" w:rsidRDefault="008350A2" w:rsidP="008350A2">
      <w:pPr>
        <w:rPr>
          <w:rFonts w:asciiTheme="minorHAnsi" w:hAnsiTheme="minorHAnsi" w:cstheme="minorHAnsi"/>
          <w:b/>
          <w:bCs/>
          <w:sz w:val="20"/>
          <w:szCs w:val="20"/>
        </w:rPr>
      </w:pPr>
      <w:r w:rsidRPr="003B25D8">
        <w:rPr>
          <w:rFonts w:asciiTheme="minorHAnsi" w:hAnsiTheme="minorHAnsi" w:cstheme="minorHAnsi"/>
          <w:b/>
          <w:bCs/>
          <w:sz w:val="20"/>
          <w:szCs w:val="20"/>
        </w:rPr>
        <w:t>4.2 Describe key trends in employee engagement and differences linked to gender, demographic and other factors.</w:t>
      </w:r>
      <w:r w:rsidR="002E6364">
        <w:rPr>
          <w:rFonts w:asciiTheme="minorHAnsi" w:hAnsiTheme="minorHAnsi" w:cstheme="minorHAnsi"/>
          <w:b/>
          <w:bCs/>
          <w:sz w:val="20"/>
          <w:szCs w:val="20"/>
        </w:rPr>
        <w:t xml:space="preserve"> (500 words).</w:t>
      </w:r>
    </w:p>
    <w:p w14:paraId="3A99BA07" w14:textId="36826101" w:rsidR="009F2D6E" w:rsidRDefault="009F2D6E" w:rsidP="008350A2">
      <w:pPr>
        <w:rPr>
          <w:rFonts w:asciiTheme="minorHAnsi" w:hAnsiTheme="minorHAnsi" w:cstheme="minorHAnsi"/>
          <w:b/>
          <w:bCs/>
          <w:sz w:val="20"/>
          <w:szCs w:val="20"/>
        </w:rPr>
      </w:pPr>
    </w:p>
    <w:p w14:paraId="4402299A" w14:textId="0803C90D" w:rsidR="003F64E7" w:rsidRDefault="009F2D6E" w:rsidP="008350A2">
      <w:pPr>
        <w:rPr>
          <w:rFonts w:asciiTheme="minorHAnsi" w:hAnsiTheme="minorHAnsi" w:cstheme="minorHAnsi"/>
          <w:sz w:val="20"/>
          <w:szCs w:val="20"/>
        </w:rPr>
      </w:pPr>
      <w:r w:rsidRPr="009F2D6E">
        <w:rPr>
          <w:rFonts w:asciiTheme="minorHAnsi" w:hAnsiTheme="minorHAnsi" w:cstheme="minorHAnsi"/>
          <w:sz w:val="20"/>
          <w:szCs w:val="20"/>
        </w:rPr>
        <w:t xml:space="preserve">According </w:t>
      </w:r>
      <w:r>
        <w:rPr>
          <w:rFonts w:asciiTheme="minorHAnsi" w:hAnsiTheme="minorHAnsi" w:cstheme="minorHAnsi"/>
          <w:sz w:val="20"/>
          <w:szCs w:val="20"/>
        </w:rPr>
        <w:t>to Taylor and Woodams (2016), recent trends from the CIPD Employee Outlook Survey suggest that levels of engagement of employees within the UK are stable. It indicates that 35-</w:t>
      </w:r>
      <w:r w:rsidR="00B875DB">
        <w:rPr>
          <w:rFonts w:asciiTheme="minorHAnsi" w:hAnsiTheme="minorHAnsi" w:cstheme="minorHAnsi"/>
          <w:sz w:val="20"/>
          <w:szCs w:val="20"/>
        </w:rPr>
        <w:t>3</w:t>
      </w:r>
      <w:r>
        <w:rPr>
          <w:rFonts w:asciiTheme="minorHAnsi" w:hAnsiTheme="minorHAnsi" w:cstheme="minorHAnsi"/>
          <w:sz w:val="20"/>
          <w:szCs w:val="20"/>
        </w:rPr>
        <w:t xml:space="preserve">9% of employees are engaged. In 2009, a national survey was carried out commission by CIPD, </w:t>
      </w:r>
      <w:r w:rsidR="00B875DB">
        <w:rPr>
          <w:rFonts w:asciiTheme="minorHAnsi" w:hAnsiTheme="minorHAnsi" w:cstheme="minorHAnsi"/>
          <w:sz w:val="20"/>
          <w:szCs w:val="20"/>
        </w:rPr>
        <w:t xml:space="preserve">attempting </w:t>
      </w:r>
      <w:r>
        <w:rPr>
          <w:rFonts w:asciiTheme="minorHAnsi" w:hAnsiTheme="minorHAnsi" w:cstheme="minorHAnsi"/>
          <w:sz w:val="20"/>
          <w:szCs w:val="20"/>
        </w:rPr>
        <w:t>to understand the extent of actual engagement levels of UK workers</w:t>
      </w:r>
      <w:r w:rsidR="009215C5">
        <w:rPr>
          <w:rFonts w:asciiTheme="minorHAnsi" w:hAnsiTheme="minorHAnsi" w:cstheme="minorHAnsi"/>
          <w:sz w:val="20"/>
          <w:szCs w:val="20"/>
        </w:rPr>
        <w:t xml:space="preserve">, which resulted in providing a national benchmark for measuring levels of engagement. </w:t>
      </w:r>
      <w:r w:rsidR="003F64E7">
        <w:rPr>
          <w:rFonts w:asciiTheme="minorHAnsi" w:hAnsiTheme="minorHAnsi" w:cstheme="minorHAnsi"/>
          <w:sz w:val="20"/>
          <w:szCs w:val="20"/>
        </w:rPr>
        <w:t xml:space="preserve">The study demonstrated that over a third of employees were actively engaged in work. </w:t>
      </w:r>
    </w:p>
    <w:p w14:paraId="63CC39D6" w14:textId="2CD3C200" w:rsidR="003F64E7" w:rsidRDefault="003F64E7" w:rsidP="008350A2">
      <w:pPr>
        <w:rPr>
          <w:rFonts w:asciiTheme="minorHAnsi" w:hAnsiTheme="minorHAnsi" w:cstheme="minorHAnsi"/>
          <w:sz w:val="20"/>
          <w:szCs w:val="20"/>
        </w:rPr>
      </w:pPr>
    </w:p>
    <w:p w14:paraId="7336F7D8" w14:textId="6F23B9BA" w:rsidR="00513533" w:rsidRDefault="003F64E7" w:rsidP="008350A2">
      <w:pPr>
        <w:rPr>
          <w:rFonts w:asciiTheme="minorHAnsi" w:hAnsiTheme="minorHAnsi" w:cstheme="minorHAnsi"/>
          <w:sz w:val="20"/>
          <w:szCs w:val="20"/>
        </w:rPr>
      </w:pPr>
      <w:r>
        <w:rPr>
          <w:rFonts w:asciiTheme="minorHAnsi" w:hAnsiTheme="minorHAnsi" w:cstheme="minorHAnsi"/>
          <w:sz w:val="20"/>
          <w:szCs w:val="20"/>
        </w:rPr>
        <w:t xml:space="preserve">There </w:t>
      </w:r>
      <w:r w:rsidR="00B875DB">
        <w:rPr>
          <w:rFonts w:asciiTheme="minorHAnsi" w:hAnsiTheme="minorHAnsi" w:cstheme="minorHAnsi"/>
          <w:sz w:val="20"/>
          <w:szCs w:val="20"/>
        </w:rPr>
        <w:t>were</w:t>
      </w:r>
      <w:r>
        <w:rPr>
          <w:rFonts w:asciiTheme="minorHAnsi" w:hAnsiTheme="minorHAnsi" w:cstheme="minorHAnsi"/>
          <w:sz w:val="20"/>
          <w:szCs w:val="20"/>
        </w:rPr>
        <w:t xml:space="preserve"> some other key findings from the research including</w:t>
      </w:r>
      <w:r w:rsidR="00B875DB">
        <w:rPr>
          <w:rFonts w:asciiTheme="minorHAnsi" w:hAnsiTheme="minorHAnsi" w:cstheme="minorHAnsi"/>
          <w:sz w:val="20"/>
          <w:szCs w:val="20"/>
        </w:rPr>
        <w:t xml:space="preserve"> m</w:t>
      </w:r>
      <w:r w:rsidRPr="00B875DB">
        <w:rPr>
          <w:rFonts w:asciiTheme="minorHAnsi" w:hAnsiTheme="minorHAnsi" w:cstheme="minorHAnsi"/>
          <w:sz w:val="20"/>
          <w:szCs w:val="20"/>
        </w:rPr>
        <w:t xml:space="preserve">ore women being </w:t>
      </w:r>
      <w:r w:rsidR="00B875DB">
        <w:rPr>
          <w:rFonts w:asciiTheme="minorHAnsi" w:hAnsiTheme="minorHAnsi" w:cstheme="minorHAnsi"/>
          <w:sz w:val="20"/>
          <w:szCs w:val="20"/>
        </w:rPr>
        <w:t>more</w:t>
      </w:r>
      <w:r w:rsidRPr="00B875DB">
        <w:rPr>
          <w:rFonts w:asciiTheme="minorHAnsi" w:hAnsiTheme="minorHAnsi" w:cstheme="minorHAnsi"/>
          <w:sz w:val="20"/>
          <w:szCs w:val="20"/>
        </w:rPr>
        <w:t xml:space="preserve"> engaged </w:t>
      </w:r>
      <w:r w:rsidR="00513533" w:rsidRPr="00B875DB">
        <w:rPr>
          <w:rFonts w:asciiTheme="minorHAnsi" w:hAnsiTheme="minorHAnsi" w:cstheme="minorHAnsi"/>
          <w:sz w:val="20"/>
          <w:szCs w:val="20"/>
        </w:rPr>
        <w:t>tha</w:t>
      </w:r>
      <w:r w:rsidRPr="00B875DB">
        <w:rPr>
          <w:rFonts w:asciiTheme="minorHAnsi" w:hAnsiTheme="minorHAnsi" w:cstheme="minorHAnsi"/>
          <w:sz w:val="20"/>
          <w:szCs w:val="20"/>
        </w:rPr>
        <w:t>n men</w:t>
      </w:r>
      <w:r w:rsidR="00B875DB">
        <w:rPr>
          <w:rFonts w:asciiTheme="minorHAnsi" w:hAnsiTheme="minorHAnsi" w:cstheme="minorHAnsi"/>
          <w:sz w:val="20"/>
          <w:szCs w:val="20"/>
        </w:rPr>
        <w:t xml:space="preserve">, </w:t>
      </w:r>
      <w:r>
        <w:rPr>
          <w:rFonts w:asciiTheme="minorHAnsi" w:hAnsiTheme="minorHAnsi" w:cstheme="minorHAnsi"/>
          <w:sz w:val="20"/>
          <w:szCs w:val="20"/>
        </w:rPr>
        <w:t>around 40% of the over 35’s who were questioned felt engaged, in comparison to around a quarter of under 35’s</w:t>
      </w:r>
      <w:r w:rsidR="00B875DB">
        <w:rPr>
          <w:rFonts w:asciiTheme="minorHAnsi" w:hAnsiTheme="minorHAnsi" w:cstheme="minorHAnsi"/>
          <w:sz w:val="20"/>
          <w:szCs w:val="20"/>
        </w:rPr>
        <w:t xml:space="preserve"> and a</w:t>
      </w:r>
      <w:r w:rsidR="00B875DB">
        <w:rPr>
          <w:rFonts w:asciiTheme="minorHAnsi" w:hAnsiTheme="minorHAnsi" w:cstheme="minorHAnsi"/>
          <w:sz w:val="20"/>
          <w:szCs w:val="20"/>
        </w:rPr>
        <w:t>round 30% of non-managers were engaged in comparison to around half of managers.</w:t>
      </w:r>
      <w:r w:rsidR="00B875DB">
        <w:rPr>
          <w:rFonts w:asciiTheme="minorHAnsi" w:hAnsiTheme="minorHAnsi" w:cstheme="minorHAnsi"/>
          <w:sz w:val="20"/>
          <w:szCs w:val="20"/>
        </w:rPr>
        <w:t xml:space="preserve"> The r</w:t>
      </w:r>
      <w:r w:rsidR="00582E01">
        <w:rPr>
          <w:rFonts w:asciiTheme="minorHAnsi" w:hAnsiTheme="minorHAnsi" w:cstheme="minorHAnsi"/>
          <w:sz w:val="20"/>
          <w:szCs w:val="20"/>
        </w:rPr>
        <w:t>esearch also co</w:t>
      </w:r>
      <w:r w:rsidR="00513533">
        <w:rPr>
          <w:rFonts w:asciiTheme="minorHAnsi" w:hAnsiTheme="minorHAnsi" w:cstheme="minorHAnsi"/>
          <w:sz w:val="20"/>
          <w:szCs w:val="20"/>
        </w:rPr>
        <w:t>n</w:t>
      </w:r>
      <w:r w:rsidR="00582E01">
        <w:rPr>
          <w:rFonts w:asciiTheme="minorHAnsi" w:hAnsiTheme="minorHAnsi" w:cstheme="minorHAnsi"/>
          <w:sz w:val="20"/>
          <w:szCs w:val="20"/>
        </w:rPr>
        <w:t xml:space="preserve">firms that for UK employees there is a significant gap between engagement levels and employees who produce high levels of performance. </w:t>
      </w:r>
      <w:r w:rsidR="00B875DB">
        <w:rPr>
          <w:rFonts w:asciiTheme="minorHAnsi" w:hAnsiTheme="minorHAnsi" w:cstheme="minorHAnsi"/>
          <w:sz w:val="20"/>
          <w:szCs w:val="20"/>
        </w:rPr>
        <w:t>It also found that e</w:t>
      </w:r>
      <w:r w:rsidR="00513533">
        <w:rPr>
          <w:rFonts w:asciiTheme="minorHAnsi" w:hAnsiTheme="minorHAnsi" w:cstheme="minorHAnsi"/>
          <w:sz w:val="20"/>
          <w:szCs w:val="20"/>
        </w:rPr>
        <w:t>mployees working on flexible contracts were more emotionally engaged, satisfied, more likely to remain committed and speak positively about their employer compared with those not on flexible contracts.</w:t>
      </w:r>
      <w:r w:rsidR="00B875DB">
        <w:rPr>
          <w:rFonts w:asciiTheme="minorHAnsi" w:hAnsiTheme="minorHAnsi" w:cstheme="minorHAnsi"/>
          <w:sz w:val="20"/>
          <w:szCs w:val="20"/>
        </w:rPr>
        <w:t xml:space="preserve"> </w:t>
      </w:r>
      <w:r w:rsidR="00513533">
        <w:rPr>
          <w:rFonts w:asciiTheme="minorHAnsi" w:hAnsiTheme="minorHAnsi" w:cstheme="minorHAnsi"/>
          <w:sz w:val="20"/>
          <w:szCs w:val="20"/>
        </w:rPr>
        <w:t xml:space="preserve">The research also demonstrated that employees working in the public sector did not receive clear direction resulting in a lack of trust on confidence in senior leadership within the business and communications. </w:t>
      </w:r>
    </w:p>
    <w:p w14:paraId="56C2A3A9" w14:textId="7767A28D" w:rsidR="00513533" w:rsidRDefault="00513533" w:rsidP="008350A2">
      <w:pPr>
        <w:rPr>
          <w:rFonts w:asciiTheme="minorHAnsi" w:hAnsiTheme="minorHAnsi" w:cstheme="minorHAnsi"/>
          <w:sz w:val="20"/>
          <w:szCs w:val="20"/>
        </w:rPr>
      </w:pPr>
    </w:p>
    <w:p w14:paraId="5DD3E3BF" w14:textId="3467E8DD" w:rsidR="00912F3A" w:rsidRDefault="00A33E0F" w:rsidP="008350A2">
      <w:pPr>
        <w:rPr>
          <w:rFonts w:asciiTheme="minorHAnsi" w:hAnsiTheme="minorHAnsi" w:cstheme="minorHAnsi"/>
          <w:sz w:val="20"/>
          <w:szCs w:val="20"/>
        </w:rPr>
      </w:pPr>
      <w:r>
        <w:rPr>
          <w:rFonts w:asciiTheme="minorHAnsi" w:hAnsiTheme="minorHAnsi" w:cstheme="minorHAnsi"/>
          <w:sz w:val="20"/>
          <w:szCs w:val="20"/>
        </w:rPr>
        <w:t xml:space="preserve">A second report conducted by Marcus Buckingham </w:t>
      </w:r>
      <w:r w:rsidR="00F55B0E">
        <w:rPr>
          <w:rFonts w:asciiTheme="minorHAnsi" w:hAnsiTheme="minorHAnsi" w:cstheme="minorHAnsi"/>
          <w:sz w:val="20"/>
          <w:szCs w:val="20"/>
        </w:rPr>
        <w:t xml:space="preserve">in 2001 </w:t>
      </w:r>
      <w:r>
        <w:rPr>
          <w:rFonts w:asciiTheme="minorHAnsi" w:hAnsiTheme="minorHAnsi" w:cstheme="minorHAnsi"/>
          <w:sz w:val="20"/>
          <w:szCs w:val="20"/>
        </w:rPr>
        <w:t xml:space="preserve">involved a national sample of the UK working population utilising the Gallup Q12 index. The findings were that over 80% of UK employees were not engaged in work and identified </w:t>
      </w:r>
      <w:r w:rsidR="00F55B0E">
        <w:rPr>
          <w:rFonts w:asciiTheme="minorHAnsi" w:hAnsiTheme="minorHAnsi" w:cstheme="minorHAnsi"/>
          <w:sz w:val="20"/>
          <w:szCs w:val="20"/>
        </w:rPr>
        <w:t>employees into three categories:</w:t>
      </w:r>
    </w:p>
    <w:p w14:paraId="37FC5C48" w14:textId="676D0235" w:rsidR="00F55B0E" w:rsidRDefault="00F55B0E" w:rsidP="008350A2">
      <w:pPr>
        <w:rPr>
          <w:rFonts w:asciiTheme="minorHAnsi" w:hAnsiTheme="minorHAnsi" w:cstheme="minorHAnsi"/>
          <w:sz w:val="20"/>
          <w:szCs w:val="20"/>
        </w:rPr>
      </w:pPr>
    </w:p>
    <w:p w14:paraId="5BFA931A" w14:textId="118EA3EC" w:rsidR="00F55B0E" w:rsidRDefault="00F55B0E" w:rsidP="00F55B0E">
      <w:pPr>
        <w:pStyle w:val="ListParagraph"/>
        <w:numPr>
          <w:ilvl w:val="0"/>
          <w:numId w:val="7"/>
        </w:numPr>
        <w:rPr>
          <w:rFonts w:asciiTheme="minorHAnsi" w:hAnsiTheme="minorHAnsi" w:cstheme="minorHAnsi"/>
          <w:sz w:val="20"/>
          <w:szCs w:val="20"/>
        </w:rPr>
      </w:pPr>
      <w:r>
        <w:rPr>
          <w:rFonts w:asciiTheme="minorHAnsi" w:hAnsiTheme="minorHAnsi" w:cstheme="minorHAnsi"/>
          <w:sz w:val="20"/>
          <w:szCs w:val="20"/>
        </w:rPr>
        <w:t>Engaged employees – Loyal and productive</w:t>
      </w:r>
    </w:p>
    <w:p w14:paraId="722A42D9" w14:textId="52FC2CCA" w:rsidR="00F55B0E" w:rsidRDefault="00F55B0E" w:rsidP="00F55B0E">
      <w:pPr>
        <w:pStyle w:val="ListParagraph"/>
        <w:numPr>
          <w:ilvl w:val="0"/>
          <w:numId w:val="7"/>
        </w:numPr>
        <w:rPr>
          <w:rFonts w:asciiTheme="minorHAnsi" w:hAnsiTheme="minorHAnsi" w:cstheme="minorHAnsi"/>
          <w:sz w:val="20"/>
          <w:szCs w:val="20"/>
        </w:rPr>
      </w:pPr>
      <w:r>
        <w:rPr>
          <w:rFonts w:asciiTheme="minorHAnsi" w:hAnsiTheme="minorHAnsi" w:cstheme="minorHAnsi"/>
          <w:sz w:val="20"/>
          <w:szCs w:val="20"/>
        </w:rPr>
        <w:t>Non-engaged employees – May be productive but do not feel a personal attachment to the organisation</w:t>
      </w:r>
    </w:p>
    <w:p w14:paraId="2F4F18D3" w14:textId="48A472AF" w:rsidR="00F55B0E" w:rsidRDefault="00F55B0E" w:rsidP="00F55B0E">
      <w:pPr>
        <w:pStyle w:val="ListParagraph"/>
        <w:numPr>
          <w:ilvl w:val="0"/>
          <w:numId w:val="7"/>
        </w:numPr>
        <w:rPr>
          <w:rFonts w:asciiTheme="minorHAnsi" w:hAnsiTheme="minorHAnsi" w:cstheme="minorHAnsi"/>
          <w:sz w:val="20"/>
          <w:szCs w:val="20"/>
        </w:rPr>
      </w:pPr>
      <w:r>
        <w:rPr>
          <w:rFonts w:asciiTheme="minorHAnsi" w:hAnsiTheme="minorHAnsi" w:cstheme="minorHAnsi"/>
          <w:sz w:val="20"/>
          <w:szCs w:val="20"/>
        </w:rPr>
        <w:t>Disengaged employees – Physically present but absent psychologically</w:t>
      </w:r>
    </w:p>
    <w:p w14:paraId="67D06F66" w14:textId="115D2767" w:rsidR="00F55B0E" w:rsidRDefault="00F55B0E" w:rsidP="00F55B0E">
      <w:pPr>
        <w:rPr>
          <w:rFonts w:asciiTheme="minorHAnsi" w:hAnsiTheme="minorHAnsi" w:cstheme="minorHAnsi"/>
          <w:sz w:val="20"/>
          <w:szCs w:val="20"/>
        </w:rPr>
      </w:pPr>
    </w:p>
    <w:p w14:paraId="17D0B01C" w14:textId="3CBD9E36" w:rsidR="00562296" w:rsidRDefault="00F55B0E" w:rsidP="008350A2">
      <w:pPr>
        <w:rPr>
          <w:rFonts w:asciiTheme="minorHAnsi" w:hAnsiTheme="minorHAnsi" w:cstheme="minorHAnsi"/>
          <w:sz w:val="20"/>
          <w:szCs w:val="20"/>
        </w:rPr>
      </w:pPr>
      <w:r>
        <w:rPr>
          <w:rFonts w:asciiTheme="minorHAnsi" w:hAnsiTheme="minorHAnsi" w:cstheme="minorHAnsi"/>
          <w:sz w:val="20"/>
          <w:szCs w:val="20"/>
        </w:rPr>
        <w:t>Based on the above definitions, the research found that 17% of workers being engaged, 63% were non-engaged and 20% were actively disengaged.</w:t>
      </w:r>
      <w:r w:rsidR="00B875DB">
        <w:rPr>
          <w:rFonts w:asciiTheme="minorHAnsi" w:hAnsiTheme="minorHAnsi" w:cstheme="minorHAnsi"/>
          <w:sz w:val="20"/>
          <w:szCs w:val="20"/>
        </w:rPr>
        <w:t xml:space="preserve"> </w:t>
      </w:r>
      <w:r>
        <w:rPr>
          <w:rFonts w:asciiTheme="minorHAnsi" w:hAnsiTheme="minorHAnsi" w:cstheme="minorHAnsi"/>
          <w:sz w:val="20"/>
          <w:szCs w:val="20"/>
        </w:rPr>
        <w:t>The research also reviewed correlations between attendance and absence figures. The findings</w:t>
      </w:r>
      <w:r w:rsidR="00EC770B">
        <w:rPr>
          <w:rFonts w:asciiTheme="minorHAnsi" w:hAnsiTheme="minorHAnsi" w:cstheme="minorHAnsi"/>
          <w:sz w:val="20"/>
          <w:szCs w:val="20"/>
        </w:rPr>
        <w:t xml:space="preserve"> of the sample taken at the time were that on average engaged employees missed 4.67 days of work in comparison to disengaged employees who on average missed 10.6 days of work. The study also found that turnover levels were much higher in actively disengaged employees in comparison to engaged colleagues. </w:t>
      </w:r>
      <w:r w:rsidR="00562296">
        <w:rPr>
          <w:rFonts w:asciiTheme="minorHAnsi" w:hAnsiTheme="minorHAnsi" w:cstheme="minorHAnsi"/>
          <w:sz w:val="20"/>
          <w:szCs w:val="20"/>
        </w:rPr>
        <w:t xml:space="preserve">Another key finding from this study was that the longer length of service an employee has the more disengaged they become, despite people become more valuable to an organisation over time based on skill, implicit </w:t>
      </w:r>
      <w:r w:rsidR="00B875DB">
        <w:rPr>
          <w:rFonts w:asciiTheme="minorHAnsi" w:hAnsiTheme="minorHAnsi" w:cstheme="minorHAnsi"/>
          <w:sz w:val="20"/>
          <w:szCs w:val="20"/>
        </w:rPr>
        <w:t>knowledge,</w:t>
      </w:r>
      <w:r w:rsidR="00562296">
        <w:rPr>
          <w:rFonts w:asciiTheme="minorHAnsi" w:hAnsiTheme="minorHAnsi" w:cstheme="minorHAnsi"/>
          <w:sz w:val="20"/>
          <w:szCs w:val="20"/>
        </w:rPr>
        <w:t xml:space="preserve"> and experience. This finding does not have a full </w:t>
      </w:r>
      <w:r w:rsidR="00FD0D31">
        <w:rPr>
          <w:rFonts w:asciiTheme="minorHAnsi" w:hAnsiTheme="minorHAnsi" w:cstheme="minorHAnsi"/>
          <w:sz w:val="20"/>
          <w:szCs w:val="20"/>
        </w:rPr>
        <w:t>explanation,</w:t>
      </w:r>
      <w:r w:rsidR="00562296">
        <w:rPr>
          <w:rFonts w:asciiTheme="minorHAnsi" w:hAnsiTheme="minorHAnsi" w:cstheme="minorHAnsi"/>
          <w:sz w:val="20"/>
          <w:szCs w:val="20"/>
        </w:rPr>
        <w:t xml:space="preserve"> but it is speculated that this may be due to fewer opportunities for learning and less challenge within their role</w:t>
      </w:r>
      <w:r w:rsidR="00B875DB">
        <w:rPr>
          <w:rFonts w:asciiTheme="minorHAnsi" w:hAnsiTheme="minorHAnsi" w:cstheme="minorHAnsi"/>
          <w:sz w:val="20"/>
          <w:szCs w:val="20"/>
        </w:rPr>
        <w:t xml:space="preserve"> </w:t>
      </w:r>
      <w:r w:rsidR="00B875DB">
        <w:rPr>
          <w:rFonts w:asciiTheme="minorHAnsi" w:hAnsiTheme="minorHAnsi" w:cstheme="minorHAnsi"/>
          <w:sz w:val="20"/>
          <w:szCs w:val="20"/>
        </w:rPr>
        <w:t>(Taylor and Woodams, 2016).</w:t>
      </w:r>
    </w:p>
    <w:p w14:paraId="29F04276" w14:textId="013261BE" w:rsidR="00562296" w:rsidRDefault="00562296" w:rsidP="008350A2">
      <w:pPr>
        <w:rPr>
          <w:rFonts w:asciiTheme="minorHAnsi" w:hAnsiTheme="minorHAnsi" w:cstheme="minorHAnsi"/>
          <w:sz w:val="20"/>
          <w:szCs w:val="20"/>
        </w:rPr>
      </w:pPr>
    </w:p>
    <w:p w14:paraId="04DC6455" w14:textId="50BEC8E6" w:rsidR="00562296" w:rsidRDefault="00562296" w:rsidP="008350A2">
      <w:pPr>
        <w:rPr>
          <w:rFonts w:asciiTheme="minorHAnsi" w:hAnsiTheme="minorHAnsi" w:cstheme="minorHAnsi"/>
          <w:sz w:val="20"/>
          <w:szCs w:val="20"/>
        </w:rPr>
      </w:pPr>
      <w:r>
        <w:rPr>
          <w:rFonts w:asciiTheme="minorHAnsi" w:hAnsiTheme="minorHAnsi" w:cstheme="minorHAnsi"/>
          <w:sz w:val="20"/>
          <w:szCs w:val="20"/>
        </w:rPr>
        <w:t xml:space="preserve">Despite the suggested benefits of employee engagement, much of the available research around levels of engagement within the UK suggest it is low. According to Taylor and Woodams (2016), research suggest areas which can have a detrimental impact on engagement including burnout, work intensification and lack of work-life balance.  </w:t>
      </w:r>
    </w:p>
    <w:p w14:paraId="18EC2CFC" w14:textId="37868EF9" w:rsidR="00562296" w:rsidRDefault="00562296" w:rsidP="008350A2">
      <w:pPr>
        <w:rPr>
          <w:rFonts w:asciiTheme="minorHAnsi" w:hAnsiTheme="minorHAnsi" w:cstheme="minorHAnsi"/>
          <w:sz w:val="20"/>
          <w:szCs w:val="20"/>
        </w:rPr>
      </w:pPr>
    </w:p>
    <w:p w14:paraId="0232A35B" w14:textId="48924BA3" w:rsidR="00C2695B" w:rsidRPr="003B25D8" w:rsidRDefault="00C2695B" w:rsidP="008350A2">
      <w:pPr>
        <w:pStyle w:val="ListParagraph"/>
        <w:numPr>
          <w:ilvl w:val="0"/>
          <w:numId w:val="1"/>
        </w:numPr>
        <w:rPr>
          <w:rFonts w:asciiTheme="minorHAnsi" w:hAnsiTheme="minorHAnsi" w:cstheme="minorHAnsi"/>
          <w:b/>
          <w:bCs/>
          <w:sz w:val="20"/>
          <w:szCs w:val="20"/>
        </w:rPr>
      </w:pPr>
      <w:r w:rsidRPr="003B25D8">
        <w:rPr>
          <w:rFonts w:asciiTheme="minorHAnsi" w:hAnsiTheme="minorHAnsi" w:cstheme="minorHAnsi"/>
          <w:b/>
          <w:bCs/>
          <w:sz w:val="20"/>
          <w:szCs w:val="20"/>
        </w:rPr>
        <w:t xml:space="preserve">Conclude with a balanced evaluative summary of the future of employee engagement. </w:t>
      </w:r>
      <w:r w:rsidR="002E6364">
        <w:rPr>
          <w:rFonts w:asciiTheme="minorHAnsi" w:hAnsiTheme="minorHAnsi" w:cstheme="minorHAnsi"/>
          <w:b/>
          <w:bCs/>
          <w:sz w:val="20"/>
          <w:szCs w:val="20"/>
        </w:rPr>
        <w:t xml:space="preserve">(500 words). </w:t>
      </w:r>
    </w:p>
    <w:p w14:paraId="7CACED97" w14:textId="1F783842" w:rsidR="00C2695B" w:rsidRPr="003B25D8" w:rsidRDefault="00C2695B" w:rsidP="00C2695B">
      <w:pPr>
        <w:rPr>
          <w:rFonts w:asciiTheme="minorHAnsi" w:hAnsiTheme="minorHAnsi" w:cstheme="minorHAnsi"/>
          <w:b/>
          <w:bCs/>
          <w:sz w:val="20"/>
          <w:szCs w:val="20"/>
        </w:rPr>
      </w:pPr>
    </w:p>
    <w:p w14:paraId="62130302" w14:textId="36D35032" w:rsidR="001C4D73" w:rsidRPr="003B25D8" w:rsidRDefault="008350A2" w:rsidP="00C2695B">
      <w:pPr>
        <w:rPr>
          <w:rFonts w:asciiTheme="minorHAnsi" w:hAnsiTheme="minorHAnsi" w:cstheme="minorHAnsi"/>
          <w:b/>
          <w:bCs/>
          <w:sz w:val="20"/>
          <w:szCs w:val="20"/>
        </w:rPr>
      </w:pPr>
      <w:r w:rsidRPr="003B25D8">
        <w:rPr>
          <w:rFonts w:asciiTheme="minorHAnsi" w:hAnsiTheme="minorHAnsi" w:cstheme="minorHAnsi"/>
          <w:b/>
          <w:bCs/>
          <w:sz w:val="20"/>
          <w:szCs w:val="20"/>
        </w:rPr>
        <w:t>4.3 Evaluate the future for employee engagement, based on current trends.</w:t>
      </w:r>
    </w:p>
    <w:p w14:paraId="2AD1286B" w14:textId="35084DCA" w:rsidR="001C4D73" w:rsidRPr="003B25D8" w:rsidRDefault="001C4D73" w:rsidP="00C2695B">
      <w:pPr>
        <w:rPr>
          <w:rFonts w:asciiTheme="minorHAnsi" w:hAnsiTheme="minorHAnsi" w:cstheme="minorHAnsi"/>
          <w:sz w:val="20"/>
          <w:szCs w:val="20"/>
        </w:rPr>
      </w:pPr>
    </w:p>
    <w:p w14:paraId="7368C809" w14:textId="3AD380DE" w:rsidR="005F55BF" w:rsidRDefault="005F55BF" w:rsidP="005F55BF">
      <w:pPr>
        <w:rPr>
          <w:rFonts w:asciiTheme="minorHAnsi" w:hAnsiTheme="minorHAnsi" w:cstheme="minorHAnsi"/>
          <w:sz w:val="20"/>
          <w:szCs w:val="20"/>
        </w:rPr>
      </w:pPr>
      <w:r>
        <w:rPr>
          <w:rFonts w:asciiTheme="minorHAnsi" w:hAnsiTheme="minorHAnsi" w:cstheme="minorHAnsi"/>
          <w:sz w:val="20"/>
          <w:szCs w:val="20"/>
        </w:rPr>
        <w:t>What engagement is specifically, continues to be a subject of debate, as does distinguishing it from other concepts for example commitment</w:t>
      </w:r>
      <w:r>
        <w:rPr>
          <w:rFonts w:asciiTheme="minorHAnsi" w:hAnsiTheme="minorHAnsi" w:cstheme="minorHAnsi"/>
          <w:sz w:val="20"/>
          <w:szCs w:val="20"/>
        </w:rPr>
        <w:t xml:space="preserve"> and motivation, </w:t>
      </w:r>
      <w:r w:rsidR="00B875DB">
        <w:rPr>
          <w:rFonts w:asciiTheme="minorHAnsi" w:hAnsiTheme="minorHAnsi" w:cstheme="minorHAnsi"/>
          <w:sz w:val="20"/>
          <w:szCs w:val="20"/>
        </w:rPr>
        <w:t>alongside</w:t>
      </w:r>
      <w:r>
        <w:rPr>
          <w:rFonts w:asciiTheme="minorHAnsi" w:hAnsiTheme="minorHAnsi" w:cstheme="minorHAnsi"/>
          <w:sz w:val="20"/>
          <w:szCs w:val="20"/>
        </w:rPr>
        <w:t xml:space="preserve"> the causes, barriers and consequences. </w:t>
      </w:r>
      <w:r>
        <w:rPr>
          <w:rFonts w:asciiTheme="minorHAnsi" w:hAnsiTheme="minorHAnsi" w:cstheme="minorHAnsi"/>
          <w:sz w:val="20"/>
          <w:szCs w:val="20"/>
        </w:rPr>
        <w:t xml:space="preserve"> It is evident that employees are not automatically engaged based on being an employee. They may still be employed with an organisation and be non-engaged or even disengaged, demonstrating that employment status does not correlate with levels of engagement</w:t>
      </w:r>
      <w:r w:rsidR="00B875DB">
        <w:rPr>
          <w:rFonts w:asciiTheme="minorHAnsi" w:hAnsiTheme="minorHAnsi" w:cstheme="minorHAnsi"/>
          <w:sz w:val="20"/>
          <w:szCs w:val="20"/>
        </w:rPr>
        <w:t>.</w:t>
      </w:r>
      <w:r>
        <w:rPr>
          <w:rFonts w:asciiTheme="minorHAnsi" w:hAnsiTheme="minorHAnsi" w:cstheme="minorHAnsi"/>
          <w:sz w:val="20"/>
          <w:szCs w:val="20"/>
        </w:rPr>
        <w:t xml:space="preserve"> It is also evident based on research, that engagement is a concept in which the goal posts continue to move. </w:t>
      </w:r>
      <w:r w:rsidR="00265398">
        <w:rPr>
          <w:rFonts w:asciiTheme="minorHAnsi" w:hAnsiTheme="minorHAnsi" w:cstheme="minorHAnsi"/>
          <w:sz w:val="20"/>
          <w:szCs w:val="20"/>
        </w:rPr>
        <w:t>Similarly,</w:t>
      </w:r>
      <w:r>
        <w:rPr>
          <w:rFonts w:asciiTheme="minorHAnsi" w:hAnsiTheme="minorHAnsi" w:cstheme="minorHAnsi"/>
          <w:sz w:val="20"/>
          <w:szCs w:val="20"/>
        </w:rPr>
        <w:t xml:space="preserve"> to customer expectations which continue to rise, the component parts of engagement also continue to evolve</w:t>
      </w:r>
      <w:r w:rsidR="00BF29F0">
        <w:rPr>
          <w:rFonts w:asciiTheme="minorHAnsi" w:hAnsiTheme="minorHAnsi" w:cstheme="minorHAnsi"/>
          <w:sz w:val="20"/>
          <w:szCs w:val="20"/>
        </w:rPr>
        <w:t xml:space="preserve"> (Taylor and Woodams, 2016)</w:t>
      </w:r>
      <w:r>
        <w:rPr>
          <w:rFonts w:asciiTheme="minorHAnsi" w:hAnsiTheme="minorHAnsi" w:cstheme="minorHAnsi"/>
          <w:sz w:val="20"/>
          <w:szCs w:val="20"/>
        </w:rPr>
        <w:t xml:space="preserve">. </w:t>
      </w:r>
    </w:p>
    <w:p w14:paraId="15CEF3D6" w14:textId="77777777" w:rsidR="005F55BF" w:rsidRDefault="005F55BF" w:rsidP="005F55BF">
      <w:pPr>
        <w:rPr>
          <w:rFonts w:asciiTheme="minorHAnsi" w:hAnsiTheme="minorHAnsi" w:cstheme="minorHAnsi"/>
          <w:sz w:val="20"/>
          <w:szCs w:val="20"/>
        </w:rPr>
      </w:pPr>
    </w:p>
    <w:p w14:paraId="59ADA1A5" w14:textId="20FBA46A" w:rsidR="005F55BF" w:rsidRDefault="00265398" w:rsidP="005F55BF">
      <w:pPr>
        <w:rPr>
          <w:rFonts w:asciiTheme="minorHAnsi" w:hAnsiTheme="minorHAnsi" w:cstheme="minorHAnsi"/>
          <w:sz w:val="20"/>
          <w:szCs w:val="20"/>
        </w:rPr>
      </w:pPr>
      <w:r>
        <w:rPr>
          <w:rFonts w:asciiTheme="minorHAnsi" w:hAnsiTheme="minorHAnsi" w:cstheme="minorHAnsi"/>
          <w:sz w:val="20"/>
          <w:szCs w:val="20"/>
        </w:rPr>
        <w:t>According to Taylor and Woodams (2016), within all the research, in order to benefit from employee engagement, particular elements will continue to be key in its development, embedment and to benefit from it.</w:t>
      </w:r>
      <w:r w:rsidR="00BA07D8">
        <w:rPr>
          <w:rFonts w:asciiTheme="minorHAnsi" w:hAnsiTheme="minorHAnsi" w:cstheme="minorHAnsi"/>
          <w:sz w:val="20"/>
          <w:szCs w:val="20"/>
        </w:rPr>
        <w:t xml:space="preserve"> These include:</w:t>
      </w:r>
    </w:p>
    <w:p w14:paraId="70DF38AB" w14:textId="3E8DE0DF" w:rsidR="00BA07D8" w:rsidRDefault="00BA07D8" w:rsidP="005F55BF">
      <w:pPr>
        <w:rPr>
          <w:rFonts w:asciiTheme="minorHAnsi" w:hAnsiTheme="minorHAnsi" w:cstheme="minorHAnsi"/>
          <w:sz w:val="20"/>
          <w:szCs w:val="20"/>
        </w:rPr>
      </w:pPr>
    </w:p>
    <w:p w14:paraId="63F8A273" w14:textId="68A63F5A" w:rsidR="00BA07D8" w:rsidRDefault="00BA07D8" w:rsidP="00BA07D8">
      <w:pPr>
        <w:pStyle w:val="ListParagraph"/>
        <w:numPr>
          <w:ilvl w:val="0"/>
          <w:numId w:val="9"/>
        </w:numPr>
        <w:rPr>
          <w:rFonts w:asciiTheme="minorHAnsi" w:hAnsiTheme="minorHAnsi" w:cstheme="minorHAnsi"/>
          <w:sz w:val="20"/>
          <w:szCs w:val="20"/>
        </w:rPr>
      </w:pPr>
      <w:r>
        <w:rPr>
          <w:rFonts w:asciiTheme="minorHAnsi" w:hAnsiTheme="minorHAnsi" w:cstheme="minorHAnsi"/>
          <w:sz w:val="20"/>
          <w:szCs w:val="20"/>
        </w:rPr>
        <w:t xml:space="preserve">Vision </w:t>
      </w:r>
    </w:p>
    <w:p w14:paraId="4CD95808" w14:textId="0610E7E5" w:rsidR="00BA07D8" w:rsidRDefault="00BA07D8" w:rsidP="00BA07D8">
      <w:pPr>
        <w:pStyle w:val="ListParagraph"/>
        <w:numPr>
          <w:ilvl w:val="0"/>
          <w:numId w:val="9"/>
        </w:numPr>
        <w:rPr>
          <w:rFonts w:asciiTheme="minorHAnsi" w:hAnsiTheme="minorHAnsi" w:cstheme="minorHAnsi"/>
          <w:sz w:val="20"/>
          <w:szCs w:val="20"/>
        </w:rPr>
      </w:pPr>
      <w:r>
        <w:rPr>
          <w:rFonts w:asciiTheme="minorHAnsi" w:hAnsiTheme="minorHAnsi" w:cstheme="minorHAnsi"/>
          <w:sz w:val="20"/>
          <w:szCs w:val="20"/>
        </w:rPr>
        <w:t>Role modelling from the top</w:t>
      </w:r>
    </w:p>
    <w:p w14:paraId="519CF656" w14:textId="1206E28C" w:rsidR="00BA07D8" w:rsidRDefault="00BA07D8" w:rsidP="00BA07D8">
      <w:pPr>
        <w:pStyle w:val="ListParagraph"/>
        <w:numPr>
          <w:ilvl w:val="0"/>
          <w:numId w:val="9"/>
        </w:numPr>
        <w:rPr>
          <w:rFonts w:asciiTheme="minorHAnsi" w:hAnsiTheme="minorHAnsi" w:cstheme="minorHAnsi"/>
          <w:sz w:val="20"/>
          <w:szCs w:val="20"/>
        </w:rPr>
      </w:pPr>
      <w:r>
        <w:rPr>
          <w:rFonts w:asciiTheme="minorHAnsi" w:hAnsiTheme="minorHAnsi" w:cstheme="minorHAnsi"/>
          <w:sz w:val="20"/>
          <w:szCs w:val="20"/>
        </w:rPr>
        <w:t>Quality management at all levels</w:t>
      </w:r>
    </w:p>
    <w:p w14:paraId="2D2DD5C0" w14:textId="75255223" w:rsidR="00BA07D8" w:rsidRDefault="00BA07D8" w:rsidP="00BA07D8">
      <w:pPr>
        <w:pStyle w:val="ListParagraph"/>
        <w:numPr>
          <w:ilvl w:val="0"/>
          <w:numId w:val="9"/>
        </w:numPr>
        <w:rPr>
          <w:rFonts w:asciiTheme="minorHAnsi" w:hAnsiTheme="minorHAnsi" w:cstheme="minorHAnsi"/>
          <w:sz w:val="20"/>
          <w:szCs w:val="20"/>
        </w:rPr>
      </w:pPr>
      <w:r>
        <w:rPr>
          <w:rFonts w:asciiTheme="minorHAnsi" w:hAnsiTheme="minorHAnsi" w:cstheme="minorHAnsi"/>
          <w:sz w:val="20"/>
          <w:szCs w:val="20"/>
        </w:rPr>
        <w:t>Two way and open communication</w:t>
      </w:r>
    </w:p>
    <w:p w14:paraId="03CDDE43" w14:textId="552BC8AB" w:rsidR="00BA07D8" w:rsidRDefault="00BA07D8" w:rsidP="00BA07D8">
      <w:pPr>
        <w:pStyle w:val="ListParagraph"/>
        <w:numPr>
          <w:ilvl w:val="0"/>
          <w:numId w:val="9"/>
        </w:numPr>
        <w:rPr>
          <w:rFonts w:asciiTheme="minorHAnsi" w:hAnsiTheme="minorHAnsi" w:cstheme="minorHAnsi"/>
          <w:sz w:val="20"/>
          <w:szCs w:val="20"/>
        </w:rPr>
      </w:pPr>
      <w:r>
        <w:rPr>
          <w:rFonts w:asciiTheme="minorHAnsi" w:hAnsiTheme="minorHAnsi" w:cstheme="minorHAnsi"/>
          <w:sz w:val="20"/>
          <w:szCs w:val="20"/>
        </w:rPr>
        <w:t>Collaboration</w:t>
      </w:r>
    </w:p>
    <w:p w14:paraId="2C459BD7" w14:textId="2B68C7CA" w:rsidR="00265398" w:rsidRDefault="00BA07D8" w:rsidP="005F55BF">
      <w:pPr>
        <w:pStyle w:val="ListParagraph"/>
        <w:numPr>
          <w:ilvl w:val="0"/>
          <w:numId w:val="9"/>
        </w:numPr>
        <w:rPr>
          <w:rFonts w:asciiTheme="minorHAnsi" w:hAnsiTheme="minorHAnsi" w:cstheme="minorHAnsi"/>
          <w:sz w:val="20"/>
          <w:szCs w:val="20"/>
        </w:rPr>
      </w:pPr>
      <w:r>
        <w:rPr>
          <w:rFonts w:asciiTheme="minorHAnsi" w:hAnsiTheme="minorHAnsi" w:cstheme="minorHAnsi"/>
          <w:sz w:val="20"/>
          <w:szCs w:val="20"/>
        </w:rPr>
        <w:t>A customer-centric focus</w:t>
      </w:r>
    </w:p>
    <w:p w14:paraId="6DC55F6E" w14:textId="3E8AE1E4" w:rsidR="00BA07D8" w:rsidRDefault="00BA07D8" w:rsidP="005F55BF">
      <w:pPr>
        <w:pStyle w:val="ListParagraph"/>
        <w:numPr>
          <w:ilvl w:val="0"/>
          <w:numId w:val="9"/>
        </w:numPr>
        <w:rPr>
          <w:rFonts w:asciiTheme="minorHAnsi" w:hAnsiTheme="minorHAnsi" w:cstheme="minorHAnsi"/>
          <w:sz w:val="20"/>
          <w:szCs w:val="20"/>
        </w:rPr>
      </w:pPr>
      <w:r>
        <w:rPr>
          <w:rFonts w:asciiTheme="minorHAnsi" w:hAnsiTheme="minorHAnsi" w:cstheme="minorHAnsi"/>
          <w:sz w:val="20"/>
          <w:szCs w:val="20"/>
        </w:rPr>
        <w:lastRenderedPageBreak/>
        <w:t>Commitment to wellbeing</w:t>
      </w:r>
    </w:p>
    <w:p w14:paraId="7108C543" w14:textId="188CB7EE" w:rsidR="00BA07D8" w:rsidRDefault="00BA07D8" w:rsidP="005F55BF">
      <w:pPr>
        <w:pStyle w:val="ListParagraph"/>
        <w:numPr>
          <w:ilvl w:val="0"/>
          <w:numId w:val="9"/>
        </w:numPr>
        <w:rPr>
          <w:rFonts w:asciiTheme="minorHAnsi" w:hAnsiTheme="minorHAnsi" w:cstheme="minorHAnsi"/>
          <w:sz w:val="20"/>
          <w:szCs w:val="20"/>
        </w:rPr>
      </w:pPr>
      <w:r>
        <w:rPr>
          <w:rFonts w:asciiTheme="minorHAnsi" w:hAnsiTheme="minorHAnsi" w:cstheme="minorHAnsi"/>
          <w:sz w:val="20"/>
          <w:szCs w:val="20"/>
        </w:rPr>
        <w:t>Emphasis on performance and results</w:t>
      </w:r>
    </w:p>
    <w:p w14:paraId="6978F2A3" w14:textId="4A6D6CA9" w:rsidR="00BA07D8" w:rsidRDefault="00BA07D8" w:rsidP="005F55BF">
      <w:pPr>
        <w:pStyle w:val="ListParagraph"/>
        <w:numPr>
          <w:ilvl w:val="0"/>
          <w:numId w:val="9"/>
        </w:numPr>
        <w:rPr>
          <w:rFonts w:asciiTheme="minorHAnsi" w:hAnsiTheme="minorHAnsi" w:cstheme="minorHAnsi"/>
          <w:sz w:val="20"/>
          <w:szCs w:val="20"/>
        </w:rPr>
      </w:pPr>
      <w:r>
        <w:rPr>
          <w:rFonts w:asciiTheme="minorHAnsi" w:hAnsiTheme="minorHAnsi" w:cstheme="minorHAnsi"/>
          <w:sz w:val="20"/>
          <w:szCs w:val="20"/>
        </w:rPr>
        <w:t>Learning within and outside of the organisation</w:t>
      </w:r>
    </w:p>
    <w:p w14:paraId="62EE6FAD" w14:textId="26CE1413" w:rsidR="00BA07D8" w:rsidRPr="00BA07D8" w:rsidRDefault="00BA07D8" w:rsidP="005F55BF">
      <w:pPr>
        <w:pStyle w:val="ListParagraph"/>
        <w:numPr>
          <w:ilvl w:val="0"/>
          <w:numId w:val="9"/>
        </w:numPr>
        <w:rPr>
          <w:rFonts w:asciiTheme="minorHAnsi" w:hAnsiTheme="minorHAnsi" w:cstheme="minorHAnsi"/>
          <w:sz w:val="20"/>
          <w:szCs w:val="20"/>
        </w:rPr>
      </w:pPr>
      <w:r>
        <w:rPr>
          <w:rFonts w:asciiTheme="minorHAnsi" w:hAnsiTheme="minorHAnsi" w:cstheme="minorHAnsi"/>
          <w:sz w:val="20"/>
          <w:szCs w:val="20"/>
        </w:rPr>
        <w:t>Clear and accessible HR policies and practices</w:t>
      </w:r>
    </w:p>
    <w:p w14:paraId="74EA0411" w14:textId="77777777" w:rsidR="00265398" w:rsidRDefault="00265398" w:rsidP="005F55BF">
      <w:pPr>
        <w:rPr>
          <w:rFonts w:asciiTheme="minorHAnsi" w:hAnsiTheme="minorHAnsi" w:cstheme="minorHAnsi"/>
          <w:sz w:val="20"/>
          <w:szCs w:val="20"/>
        </w:rPr>
      </w:pPr>
    </w:p>
    <w:p w14:paraId="4EC9A254" w14:textId="449D55BA" w:rsidR="00E83713" w:rsidRDefault="00E83713" w:rsidP="005F55BF">
      <w:pPr>
        <w:rPr>
          <w:rFonts w:asciiTheme="minorHAnsi" w:hAnsiTheme="minorHAnsi" w:cstheme="minorHAnsi"/>
          <w:sz w:val="20"/>
          <w:szCs w:val="20"/>
        </w:rPr>
      </w:pPr>
      <w:r>
        <w:rPr>
          <w:rFonts w:asciiTheme="minorHAnsi" w:hAnsiTheme="minorHAnsi" w:cstheme="minorHAnsi"/>
          <w:sz w:val="20"/>
          <w:szCs w:val="20"/>
        </w:rPr>
        <w:t xml:space="preserve">It is evident, to support the future of engagement, we need a renewed determination in developing </w:t>
      </w:r>
      <w:r w:rsidR="00B875DB">
        <w:rPr>
          <w:rFonts w:asciiTheme="minorHAnsi" w:hAnsiTheme="minorHAnsi" w:cstheme="minorHAnsi"/>
          <w:sz w:val="20"/>
          <w:szCs w:val="20"/>
        </w:rPr>
        <w:t>engaging</w:t>
      </w:r>
      <w:r>
        <w:rPr>
          <w:rFonts w:asciiTheme="minorHAnsi" w:hAnsiTheme="minorHAnsi" w:cstheme="minorHAnsi"/>
          <w:sz w:val="20"/>
          <w:szCs w:val="20"/>
        </w:rPr>
        <w:t xml:space="preserve"> leaders who </w:t>
      </w:r>
      <w:r w:rsidR="00312E66">
        <w:rPr>
          <w:rFonts w:asciiTheme="minorHAnsi" w:hAnsiTheme="minorHAnsi" w:cstheme="minorHAnsi"/>
          <w:sz w:val="20"/>
          <w:szCs w:val="20"/>
        </w:rPr>
        <w:t>ensure employees feel respected, supported, empowered, inspired and valued</w:t>
      </w:r>
      <w:r w:rsidR="00B875DB">
        <w:rPr>
          <w:rFonts w:asciiTheme="minorHAnsi" w:hAnsiTheme="minorHAnsi" w:cstheme="minorHAnsi"/>
          <w:sz w:val="20"/>
          <w:szCs w:val="20"/>
        </w:rPr>
        <w:t>, and who will bring the above component parts to life.</w:t>
      </w:r>
      <w:r w:rsidR="00312E66">
        <w:rPr>
          <w:rFonts w:asciiTheme="minorHAnsi" w:hAnsiTheme="minorHAnsi" w:cstheme="minorHAnsi"/>
          <w:sz w:val="20"/>
          <w:szCs w:val="20"/>
        </w:rPr>
        <w:t xml:space="preserve"> This also requires that the leaders are treated in the same way. Given the increased complexity of our work</w:t>
      </w:r>
      <w:r w:rsidR="00B875DB">
        <w:rPr>
          <w:rFonts w:asciiTheme="minorHAnsi" w:hAnsiTheme="minorHAnsi" w:cstheme="minorHAnsi"/>
          <w:sz w:val="20"/>
          <w:szCs w:val="20"/>
        </w:rPr>
        <w:t xml:space="preserve"> itself</w:t>
      </w:r>
      <w:r w:rsidR="00312E66">
        <w:rPr>
          <w:rFonts w:asciiTheme="minorHAnsi" w:hAnsiTheme="minorHAnsi" w:cstheme="minorHAnsi"/>
          <w:sz w:val="20"/>
          <w:szCs w:val="20"/>
        </w:rPr>
        <w:t xml:space="preserve"> and how we work</w:t>
      </w:r>
      <w:r w:rsidR="00B875DB">
        <w:rPr>
          <w:rFonts w:asciiTheme="minorHAnsi" w:hAnsiTheme="minorHAnsi" w:cstheme="minorHAnsi"/>
          <w:sz w:val="20"/>
          <w:szCs w:val="20"/>
        </w:rPr>
        <w:t>,</w:t>
      </w:r>
      <w:r w:rsidR="00312E66">
        <w:rPr>
          <w:rFonts w:asciiTheme="minorHAnsi" w:hAnsiTheme="minorHAnsi" w:cstheme="minorHAnsi"/>
          <w:sz w:val="20"/>
          <w:szCs w:val="20"/>
        </w:rPr>
        <w:t xml:space="preserve"> alongside diversity, this can not be left to chance. </w:t>
      </w:r>
      <w:r w:rsidR="00D0585A">
        <w:rPr>
          <w:rFonts w:asciiTheme="minorHAnsi" w:hAnsiTheme="minorHAnsi" w:cstheme="minorHAnsi"/>
          <w:sz w:val="20"/>
          <w:szCs w:val="20"/>
        </w:rPr>
        <w:t xml:space="preserve">Much focus is placed on technical skills, in place of the behavioural skills which are harder to develop – however </w:t>
      </w:r>
      <w:r w:rsidR="00B875DB">
        <w:rPr>
          <w:rFonts w:asciiTheme="minorHAnsi" w:hAnsiTheme="minorHAnsi" w:cstheme="minorHAnsi"/>
          <w:sz w:val="20"/>
          <w:szCs w:val="20"/>
        </w:rPr>
        <w:t xml:space="preserve">these ‘soft’ skills </w:t>
      </w:r>
      <w:r w:rsidR="00D0585A">
        <w:rPr>
          <w:rFonts w:asciiTheme="minorHAnsi" w:hAnsiTheme="minorHAnsi" w:cstheme="minorHAnsi"/>
          <w:sz w:val="20"/>
          <w:szCs w:val="20"/>
        </w:rPr>
        <w:t xml:space="preserve">are the most important </w:t>
      </w:r>
      <w:r w:rsidR="00B875DB">
        <w:rPr>
          <w:rFonts w:asciiTheme="minorHAnsi" w:hAnsiTheme="minorHAnsi" w:cstheme="minorHAnsi"/>
          <w:sz w:val="20"/>
          <w:szCs w:val="20"/>
        </w:rPr>
        <w:t>when considering</w:t>
      </w:r>
      <w:r w:rsidR="00D0585A">
        <w:rPr>
          <w:rFonts w:asciiTheme="minorHAnsi" w:hAnsiTheme="minorHAnsi" w:cstheme="minorHAnsi"/>
          <w:sz w:val="20"/>
          <w:szCs w:val="20"/>
        </w:rPr>
        <w:t xml:space="preserve"> long term engagement</w:t>
      </w:r>
      <w:r w:rsidR="00B875DB">
        <w:rPr>
          <w:rFonts w:asciiTheme="minorHAnsi" w:hAnsiTheme="minorHAnsi" w:cstheme="minorHAnsi"/>
          <w:sz w:val="20"/>
          <w:szCs w:val="20"/>
        </w:rPr>
        <w:t xml:space="preserve"> of employees</w:t>
      </w:r>
      <w:r w:rsidR="00D0585A">
        <w:rPr>
          <w:rFonts w:asciiTheme="minorHAnsi" w:hAnsiTheme="minorHAnsi" w:cstheme="minorHAnsi"/>
          <w:sz w:val="20"/>
          <w:szCs w:val="20"/>
        </w:rPr>
        <w:t xml:space="preserve">. </w:t>
      </w:r>
      <w:r w:rsidR="00600509">
        <w:rPr>
          <w:rFonts w:asciiTheme="minorHAnsi" w:hAnsiTheme="minorHAnsi" w:cstheme="minorHAnsi"/>
          <w:sz w:val="20"/>
          <w:szCs w:val="20"/>
        </w:rPr>
        <w:t>For many people in present times, employment is no longer solely about money, but more about being motivated by the working environment, the people, and the product/service or brand</w:t>
      </w:r>
      <w:r w:rsidR="00961EA3">
        <w:rPr>
          <w:rFonts w:asciiTheme="minorHAnsi" w:hAnsiTheme="minorHAnsi" w:cstheme="minorHAnsi"/>
          <w:sz w:val="20"/>
          <w:szCs w:val="20"/>
        </w:rPr>
        <w:t xml:space="preserve"> </w:t>
      </w:r>
      <w:r w:rsidR="00961EA3" w:rsidRPr="00B875DB">
        <w:rPr>
          <w:rFonts w:asciiTheme="minorHAnsi" w:hAnsiTheme="minorHAnsi" w:cstheme="minorHAnsi"/>
          <w:sz w:val="20"/>
          <w:szCs w:val="20"/>
        </w:rPr>
        <w:t>(Robinson and Gifford, 2021)</w:t>
      </w:r>
      <w:r w:rsidR="00600509">
        <w:rPr>
          <w:rFonts w:asciiTheme="minorHAnsi" w:hAnsiTheme="minorHAnsi" w:cstheme="minorHAnsi"/>
          <w:sz w:val="20"/>
          <w:szCs w:val="20"/>
        </w:rPr>
        <w:t>.</w:t>
      </w:r>
    </w:p>
    <w:p w14:paraId="6C27D3EE" w14:textId="4EFA4B4B" w:rsidR="00600509" w:rsidRDefault="00600509" w:rsidP="005F55BF">
      <w:pPr>
        <w:rPr>
          <w:rFonts w:asciiTheme="minorHAnsi" w:hAnsiTheme="minorHAnsi" w:cstheme="minorHAnsi"/>
          <w:sz w:val="20"/>
          <w:szCs w:val="20"/>
        </w:rPr>
      </w:pPr>
    </w:p>
    <w:p w14:paraId="4B3C0DD5" w14:textId="62EE9A2F" w:rsidR="00AC6C49" w:rsidRPr="00AC6C49" w:rsidRDefault="00AC6C49" w:rsidP="005F55BF">
      <w:pPr>
        <w:rPr>
          <w:rFonts w:asciiTheme="minorHAnsi" w:hAnsiTheme="minorHAnsi" w:cstheme="minorHAnsi"/>
          <w:sz w:val="20"/>
          <w:szCs w:val="20"/>
        </w:rPr>
      </w:pPr>
      <w:r w:rsidRPr="00AC6C49">
        <w:rPr>
          <w:rFonts w:asciiTheme="minorHAnsi" w:hAnsiTheme="minorHAnsi" w:cstheme="minorHAnsi"/>
          <w:sz w:val="20"/>
          <w:szCs w:val="20"/>
        </w:rPr>
        <w:t>T</w:t>
      </w:r>
      <w:r>
        <w:rPr>
          <w:rFonts w:asciiTheme="minorHAnsi" w:hAnsiTheme="minorHAnsi" w:cstheme="minorHAnsi"/>
          <w:sz w:val="20"/>
          <w:szCs w:val="20"/>
        </w:rPr>
        <w:t>his is supported by a study conducted with over 500 employees, which found that 71% of managers felt that one of the most important factors in company success was employee engagement. Despite the opinion that engagement was largely positive, only 33% of employees within the study were engaged. This also highlights the importance of ensuring engagement is a strategic business objective in which leaders strive towards</w:t>
      </w:r>
      <w:r w:rsidR="00961EA3">
        <w:rPr>
          <w:rFonts w:asciiTheme="minorHAnsi" w:hAnsiTheme="minorHAnsi" w:cstheme="minorHAnsi"/>
          <w:sz w:val="20"/>
          <w:szCs w:val="20"/>
        </w:rPr>
        <w:t xml:space="preserve"> </w:t>
      </w:r>
      <w:r w:rsidR="00961EA3" w:rsidRPr="00B875DB">
        <w:rPr>
          <w:rFonts w:asciiTheme="minorHAnsi" w:hAnsiTheme="minorHAnsi" w:cstheme="minorHAnsi"/>
          <w:sz w:val="20"/>
          <w:szCs w:val="20"/>
        </w:rPr>
        <w:t>(Why is Employee Engagement Important to Company Success?, 2021)</w:t>
      </w:r>
      <w:r>
        <w:rPr>
          <w:rFonts w:asciiTheme="minorHAnsi" w:hAnsiTheme="minorHAnsi" w:cstheme="minorHAnsi"/>
          <w:sz w:val="20"/>
          <w:szCs w:val="20"/>
        </w:rPr>
        <w:t xml:space="preserve">. </w:t>
      </w:r>
    </w:p>
    <w:p w14:paraId="6AB04E9D" w14:textId="77777777" w:rsidR="005F55BF" w:rsidRPr="00B875DB" w:rsidRDefault="005F55BF" w:rsidP="005F55BF">
      <w:pPr>
        <w:rPr>
          <w:rFonts w:asciiTheme="minorHAnsi" w:hAnsiTheme="minorHAnsi" w:cstheme="minorHAnsi"/>
          <w:sz w:val="20"/>
          <w:szCs w:val="20"/>
        </w:rPr>
      </w:pPr>
    </w:p>
    <w:p w14:paraId="0A7FF492" w14:textId="4ABBE6FD" w:rsidR="005F55BF" w:rsidRDefault="00BF29F0" w:rsidP="00C2695B">
      <w:pPr>
        <w:rPr>
          <w:rFonts w:asciiTheme="minorHAnsi" w:hAnsiTheme="minorHAnsi" w:cstheme="minorHAnsi"/>
          <w:sz w:val="20"/>
          <w:szCs w:val="20"/>
        </w:rPr>
      </w:pPr>
      <w:r>
        <w:rPr>
          <w:rFonts w:asciiTheme="minorHAnsi" w:hAnsiTheme="minorHAnsi" w:cstheme="minorHAnsi"/>
          <w:sz w:val="20"/>
          <w:szCs w:val="20"/>
        </w:rPr>
        <w:t>The pandemic has also increased the focus for employee engagement</w:t>
      </w:r>
      <w:r w:rsidR="00B875DB">
        <w:rPr>
          <w:rFonts w:asciiTheme="minorHAnsi" w:hAnsiTheme="minorHAnsi" w:cstheme="minorHAnsi"/>
          <w:sz w:val="20"/>
          <w:szCs w:val="20"/>
        </w:rPr>
        <w:t>. T</w:t>
      </w:r>
      <w:r>
        <w:rPr>
          <w:rFonts w:asciiTheme="minorHAnsi" w:hAnsiTheme="minorHAnsi" w:cstheme="minorHAnsi"/>
          <w:sz w:val="20"/>
          <w:szCs w:val="20"/>
        </w:rPr>
        <w:t xml:space="preserve">he transformations which occurred during the pandemic are not just based on how and where we work, but organisations realising the increasingly vital role people play in the overall success. </w:t>
      </w:r>
      <w:r w:rsidR="00B875DB">
        <w:rPr>
          <w:rFonts w:asciiTheme="minorHAnsi" w:hAnsiTheme="minorHAnsi" w:cstheme="minorHAnsi"/>
          <w:sz w:val="20"/>
          <w:szCs w:val="20"/>
        </w:rPr>
        <w:t>Leadership</w:t>
      </w:r>
      <w:r>
        <w:rPr>
          <w:rFonts w:asciiTheme="minorHAnsi" w:hAnsiTheme="minorHAnsi" w:cstheme="minorHAnsi"/>
          <w:sz w:val="20"/>
          <w:szCs w:val="20"/>
        </w:rPr>
        <w:t xml:space="preserve"> should be focussed on what they can do to maintain levels of engagement of employees</w:t>
      </w:r>
      <w:r w:rsidR="00961EA3">
        <w:rPr>
          <w:rFonts w:asciiTheme="minorHAnsi" w:hAnsiTheme="minorHAnsi" w:cstheme="minorHAnsi"/>
          <w:sz w:val="20"/>
          <w:szCs w:val="20"/>
        </w:rPr>
        <w:t xml:space="preserve"> </w:t>
      </w:r>
      <w:r w:rsidR="00961EA3" w:rsidRPr="00B875DB">
        <w:rPr>
          <w:rFonts w:asciiTheme="minorHAnsi" w:hAnsiTheme="minorHAnsi" w:cstheme="minorHAnsi"/>
          <w:sz w:val="20"/>
          <w:szCs w:val="20"/>
        </w:rPr>
        <w:t>(Newman, 2021)</w:t>
      </w:r>
      <w:r>
        <w:rPr>
          <w:rFonts w:asciiTheme="minorHAnsi" w:hAnsiTheme="minorHAnsi" w:cstheme="minorHAnsi"/>
          <w:sz w:val="20"/>
          <w:szCs w:val="20"/>
        </w:rPr>
        <w:t xml:space="preserve">. </w:t>
      </w:r>
    </w:p>
    <w:p w14:paraId="37B8D0DF" w14:textId="555B1BE5" w:rsidR="00AD7E80" w:rsidRDefault="00AD7E80" w:rsidP="00C2695B">
      <w:pPr>
        <w:rPr>
          <w:rFonts w:asciiTheme="minorHAnsi" w:hAnsiTheme="minorHAnsi" w:cstheme="minorHAnsi"/>
          <w:sz w:val="20"/>
          <w:szCs w:val="20"/>
        </w:rPr>
      </w:pPr>
      <w:r>
        <w:rPr>
          <w:rFonts w:asciiTheme="minorHAnsi" w:hAnsiTheme="minorHAnsi" w:cstheme="minorHAnsi"/>
          <w:sz w:val="20"/>
          <w:szCs w:val="20"/>
        </w:rPr>
        <w:t xml:space="preserve">According to Guest (2015), a coherent strategy is vital for </w:t>
      </w:r>
      <w:r w:rsidR="00B875DB">
        <w:rPr>
          <w:rFonts w:asciiTheme="minorHAnsi" w:hAnsiTheme="minorHAnsi" w:cstheme="minorHAnsi"/>
          <w:sz w:val="20"/>
          <w:szCs w:val="20"/>
        </w:rPr>
        <w:t>engaging</w:t>
      </w:r>
      <w:r>
        <w:rPr>
          <w:rFonts w:asciiTheme="minorHAnsi" w:hAnsiTheme="minorHAnsi" w:cstheme="minorHAnsi"/>
          <w:sz w:val="20"/>
          <w:szCs w:val="20"/>
        </w:rPr>
        <w:t xml:space="preserve"> people or increasing engagement levels, and proposes the following elements should be detailed within </w:t>
      </w:r>
      <w:r w:rsidR="00B875DB">
        <w:rPr>
          <w:rFonts w:asciiTheme="minorHAnsi" w:hAnsiTheme="minorHAnsi" w:cstheme="minorHAnsi"/>
          <w:sz w:val="20"/>
          <w:szCs w:val="20"/>
        </w:rPr>
        <w:t>any engagement</w:t>
      </w:r>
      <w:r>
        <w:rPr>
          <w:rFonts w:asciiTheme="minorHAnsi" w:hAnsiTheme="minorHAnsi" w:cstheme="minorHAnsi"/>
          <w:sz w:val="20"/>
          <w:szCs w:val="20"/>
        </w:rPr>
        <w:t xml:space="preserve"> strategy</w:t>
      </w:r>
      <w:r w:rsidR="005F55BF">
        <w:rPr>
          <w:rFonts w:asciiTheme="minorHAnsi" w:hAnsiTheme="minorHAnsi" w:cstheme="minorHAnsi"/>
          <w:sz w:val="20"/>
          <w:szCs w:val="20"/>
        </w:rPr>
        <w:t>, all of which requires the vision, policies and practices to be integrated with engagement</w:t>
      </w:r>
      <w:r>
        <w:rPr>
          <w:rFonts w:asciiTheme="minorHAnsi" w:hAnsiTheme="minorHAnsi" w:cstheme="minorHAnsi"/>
          <w:sz w:val="20"/>
          <w:szCs w:val="20"/>
        </w:rPr>
        <w:t>:</w:t>
      </w:r>
    </w:p>
    <w:p w14:paraId="07024C49" w14:textId="7E3535CD" w:rsidR="00AD7E80" w:rsidRDefault="00AD7E80" w:rsidP="00C2695B">
      <w:pPr>
        <w:rPr>
          <w:rFonts w:asciiTheme="minorHAnsi" w:hAnsiTheme="minorHAnsi" w:cstheme="minorHAnsi"/>
          <w:sz w:val="20"/>
          <w:szCs w:val="20"/>
        </w:rPr>
      </w:pPr>
    </w:p>
    <w:p w14:paraId="5A5DFCE5" w14:textId="465AB52F" w:rsidR="00AD7E80" w:rsidRDefault="005F55BF" w:rsidP="007D2B8D">
      <w:pPr>
        <w:pStyle w:val="ListParagraph"/>
        <w:numPr>
          <w:ilvl w:val="0"/>
          <w:numId w:val="8"/>
        </w:numPr>
        <w:rPr>
          <w:rFonts w:asciiTheme="minorHAnsi" w:hAnsiTheme="minorHAnsi" w:cstheme="minorHAnsi"/>
          <w:sz w:val="20"/>
          <w:szCs w:val="20"/>
        </w:rPr>
      </w:pPr>
      <w:r>
        <w:rPr>
          <w:rFonts w:asciiTheme="minorHAnsi" w:hAnsiTheme="minorHAnsi" w:cstheme="minorHAnsi"/>
          <w:sz w:val="20"/>
          <w:szCs w:val="20"/>
        </w:rPr>
        <w:t>Leadership implementing engagement and promoting values</w:t>
      </w:r>
    </w:p>
    <w:p w14:paraId="20E5B6ED" w14:textId="3DD2AAF1" w:rsidR="005F55BF" w:rsidRDefault="005F55BF" w:rsidP="007D2B8D">
      <w:pPr>
        <w:pStyle w:val="ListParagraph"/>
        <w:numPr>
          <w:ilvl w:val="0"/>
          <w:numId w:val="8"/>
        </w:numPr>
        <w:rPr>
          <w:rFonts w:asciiTheme="minorHAnsi" w:hAnsiTheme="minorHAnsi" w:cstheme="minorHAnsi"/>
          <w:sz w:val="20"/>
          <w:szCs w:val="20"/>
        </w:rPr>
      </w:pPr>
      <w:r>
        <w:rPr>
          <w:rFonts w:asciiTheme="minorHAnsi" w:hAnsiTheme="minorHAnsi" w:cstheme="minorHAnsi"/>
          <w:sz w:val="20"/>
          <w:szCs w:val="20"/>
        </w:rPr>
        <w:t>Treating employees fairly and with trust to create and reinforce a culture of engagement</w:t>
      </w:r>
    </w:p>
    <w:p w14:paraId="55F4BD49" w14:textId="20B96ED5" w:rsidR="005F55BF" w:rsidRDefault="005F55BF" w:rsidP="007D2B8D">
      <w:pPr>
        <w:pStyle w:val="ListParagraph"/>
        <w:numPr>
          <w:ilvl w:val="0"/>
          <w:numId w:val="8"/>
        </w:numPr>
        <w:rPr>
          <w:rFonts w:asciiTheme="minorHAnsi" w:hAnsiTheme="minorHAnsi" w:cstheme="minorHAnsi"/>
          <w:sz w:val="20"/>
          <w:szCs w:val="20"/>
        </w:rPr>
      </w:pPr>
      <w:r>
        <w:rPr>
          <w:rFonts w:asciiTheme="minorHAnsi" w:hAnsiTheme="minorHAnsi" w:cstheme="minorHAnsi"/>
          <w:sz w:val="20"/>
          <w:szCs w:val="20"/>
        </w:rPr>
        <w:t>The promotion of engagement through recruitment, learning and development and job design</w:t>
      </w:r>
    </w:p>
    <w:p w14:paraId="04DDA26C" w14:textId="1687A001" w:rsidR="005F55BF" w:rsidRPr="007D2B8D" w:rsidRDefault="005F55BF" w:rsidP="007D2B8D">
      <w:pPr>
        <w:pStyle w:val="ListParagraph"/>
        <w:numPr>
          <w:ilvl w:val="0"/>
          <w:numId w:val="8"/>
        </w:numPr>
        <w:rPr>
          <w:rFonts w:asciiTheme="minorHAnsi" w:hAnsiTheme="minorHAnsi" w:cstheme="minorHAnsi"/>
          <w:sz w:val="20"/>
          <w:szCs w:val="20"/>
        </w:rPr>
      </w:pPr>
      <w:r>
        <w:rPr>
          <w:rFonts w:asciiTheme="minorHAnsi" w:hAnsiTheme="minorHAnsi" w:cstheme="minorHAnsi"/>
          <w:sz w:val="20"/>
          <w:szCs w:val="20"/>
        </w:rPr>
        <w:t xml:space="preserve">Monitoring progress through surveys, feedback and action planning. </w:t>
      </w:r>
    </w:p>
    <w:p w14:paraId="55FA17E5" w14:textId="323EC856" w:rsidR="00AD7E80" w:rsidRDefault="00AD7E80" w:rsidP="00C2695B">
      <w:pPr>
        <w:rPr>
          <w:rFonts w:asciiTheme="minorHAnsi" w:hAnsiTheme="minorHAnsi" w:cstheme="minorHAnsi"/>
          <w:sz w:val="20"/>
          <w:szCs w:val="20"/>
        </w:rPr>
      </w:pPr>
    </w:p>
    <w:p w14:paraId="45D8BCF0" w14:textId="5EFA08EA" w:rsidR="00B875DB" w:rsidRPr="00B875DB" w:rsidRDefault="00B875DB" w:rsidP="00B875DB">
      <w:pPr>
        <w:rPr>
          <w:rFonts w:asciiTheme="minorHAnsi" w:hAnsiTheme="minorHAnsi" w:cstheme="minorHAnsi"/>
          <w:sz w:val="20"/>
          <w:szCs w:val="20"/>
        </w:rPr>
      </w:pPr>
      <w:r w:rsidRPr="00B875DB">
        <w:rPr>
          <w:rFonts w:asciiTheme="minorHAnsi" w:hAnsiTheme="minorHAnsi" w:cstheme="minorHAnsi"/>
          <w:sz w:val="20"/>
          <w:szCs w:val="20"/>
        </w:rPr>
        <w:t xml:space="preserve">Changes in what we do and how we work is going to accelerate </w:t>
      </w:r>
      <w:r>
        <w:rPr>
          <w:rFonts w:asciiTheme="minorHAnsi" w:hAnsiTheme="minorHAnsi" w:cstheme="minorHAnsi"/>
          <w:sz w:val="20"/>
          <w:szCs w:val="20"/>
        </w:rPr>
        <w:t xml:space="preserve">even more so </w:t>
      </w:r>
      <w:r w:rsidRPr="00B875DB">
        <w:rPr>
          <w:rFonts w:asciiTheme="minorHAnsi" w:hAnsiTheme="minorHAnsi" w:cstheme="minorHAnsi"/>
          <w:sz w:val="20"/>
          <w:szCs w:val="20"/>
        </w:rPr>
        <w:t>over the</w:t>
      </w:r>
      <w:r>
        <w:rPr>
          <w:rFonts w:asciiTheme="minorHAnsi" w:hAnsiTheme="minorHAnsi" w:cstheme="minorHAnsi"/>
          <w:sz w:val="20"/>
          <w:szCs w:val="20"/>
        </w:rPr>
        <w:t xml:space="preserve"> next</w:t>
      </w:r>
      <w:r w:rsidRPr="00B875DB">
        <w:rPr>
          <w:rFonts w:asciiTheme="minorHAnsi" w:hAnsiTheme="minorHAnsi" w:cstheme="minorHAnsi"/>
          <w:sz w:val="20"/>
          <w:szCs w:val="20"/>
        </w:rPr>
        <w:t xml:space="preserve"> decade, </w:t>
      </w:r>
      <w:r>
        <w:rPr>
          <w:rFonts w:asciiTheme="minorHAnsi" w:hAnsiTheme="minorHAnsi" w:cstheme="minorHAnsi"/>
          <w:sz w:val="20"/>
          <w:szCs w:val="20"/>
        </w:rPr>
        <w:t>which</w:t>
      </w:r>
      <w:r w:rsidRPr="00B875DB">
        <w:rPr>
          <w:rFonts w:asciiTheme="minorHAnsi" w:hAnsiTheme="minorHAnsi" w:cstheme="minorHAnsi"/>
          <w:sz w:val="20"/>
          <w:szCs w:val="20"/>
        </w:rPr>
        <w:t xml:space="preserve"> is </w:t>
      </w:r>
      <w:r>
        <w:rPr>
          <w:rFonts w:asciiTheme="minorHAnsi" w:hAnsiTheme="minorHAnsi" w:cstheme="minorHAnsi"/>
          <w:sz w:val="20"/>
          <w:szCs w:val="20"/>
        </w:rPr>
        <w:t>evident</w:t>
      </w:r>
      <w:r w:rsidRPr="00B875DB">
        <w:rPr>
          <w:rFonts w:asciiTheme="minorHAnsi" w:hAnsiTheme="minorHAnsi" w:cstheme="minorHAnsi"/>
          <w:sz w:val="20"/>
          <w:szCs w:val="20"/>
        </w:rPr>
        <w:t xml:space="preserve"> when we look back over the past 10 years. To deal with the </w:t>
      </w:r>
      <w:r w:rsidRPr="00B875DB">
        <w:rPr>
          <w:rFonts w:asciiTheme="minorHAnsi" w:hAnsiTheme="minorHAnsi" w:cstheme="minorHAnsi"/>
          <w:sz w:val="20"/>
          <w:szCs w:val="20"/>
        </w:rPr>
        <w:t>ever-changing</w:t>
      </w:r>
      <w:r w:rsidRPr="00B875DB">
        <w:rPr>
          <w:rFonts w:asciiTheme="minorHAnsi" w:hAnsiTheme="minorHAnsi" w:cstheme="minorHAnsi"/>
          <w:sz w:val="20"/>
          <w:szCs w:val="20"/>
        </w:rPr>
        <w:t xml:space="preserve"> work environment, it is certain organisations will require workers who are more engaged </w:t>
      </w:r>
      <w:r w:rsidRPr="00B875DB">
        <w:rPr>
          <w:rFonts w:asciiTheme="minorHAnsi" w:hAnsiTheme="minorHAnsi" w:cstheme="minorHAnsi"/>
          <w:sz w:val="20"/>
          <w:szCs w:val="20"/>
        </w:rPr>
        <w:t>than</w:t>
      </w:r>
      <w:r w:rsidRPr="00B875DB">
        <w:rPr>
          <w:rFonts w:asciiTheme="minorHAnsi" w:hAnsiTheme="minorHAnsi" w:cstheme="minorHAnsi"/>
          <w:sz w:val="20"/>
          <w:szCs w:val="20"/>
        </w:rPr>
        <w:t xml:space="preserve"> ever, and engagement will become a stand out necessity for organisations (The Future of Employee Engagement - Engage for Success, 2021). </w:t>
      </w:r>
    </w:p>
    <w:p w14:paraId="2D984696" w14:textId="77777777" w:rsidR="00B875DB" w:rsidRDefault="00B875DB" w:rsidP="00C2695B">
      <w:pPr>
        <w:rPr>
          <w:rFonts w:asciiTheme="minorHAnsi" w:hAnsiTheme="minorHAnsi" w:cstheme="minorHAnsi"/>
          <w:sz w:val="20"/>
          <w:szCs w:val="20"/>
        </w:rPr>
      </w:pPr>
    </w:p>
    <w:p w14:paraId="4A3163D6" w14:textId="77777777" w:rsidR="00AD7E80" w:rsidRDefault="00AD7E80" w:rsidP="00C2695B">
      <w:pPr>
        <w:rPr>
          <w:rFonts w:asciiTheme="minorHAnsi" w:hAnsiTheme="minorHAnsi" w:cstheme="minorHAnsi"/>
          <w:sz w:val="20"/>
          <w:szCs w:val="20"/>
        </w:rPr>
      </w:pPr>
    </w:p>
    <w:p w14:paraId="60E4843C" w14:textId="39B1EBEE" w:rsidR="001427E0" w:rsidRDefault="001427E0" w:rsidP="00C2695B">
      <w:pPr>
        <w:rPr>
          <w:rFonts w:asciiTheme="minorHAnsi" w:hAnsiTheme="minorHAnsi" w:cstheme="minorHAnsi"/>
          <w:sz w:val="20"/>
          <w:szCs w:val="20"/>
        </w:rPr>
      </w:pPr>
    </w:p>
    <w:p w14:paraId="620C6BD5" w14:textId="1191C69D" w:rsidR="00111C0C" w:rsidRDefault="00111C0C" w:rsidP="00C2695B">
      <w:pPr>
        <w:rPr>
          <w:rFonts w:asciiTheme="minorHAnsi" w:hAnsiTheme="minorHAnsi" w:cstheme="minorHAnsi"/>
          <w:sz w:val="22"/>
          <w:szCs w:val="22"/>
        </w:rPr>
      </w:pPr>
    </w:p>
    <w:p w14:paraId="207D2EA8" w14:textId="7D73B0A7" w:rsidR="00111C0C" w:rsidRDefault="00111C0C" w:rsidP="00C2695B">
      <w:pPr>
        <w:rPr>
          <w:rFonts w:asciiTheme="minorHAnsi" w:hAnsiTheme="minorHAnsi" w:cstheme="minorHAnsi"/>
          <w:sz w:val="22"/>
          <w:szCs w:val="22"/>
        </w:rPr>
      </w:pPr>
    </w:p>
    <w:p w14:paraId="5A4CFDC3" w14:textId="56B00EDC" w:rsidR="00111C0C" w:rsidRDefault="00111C0C" w:rsidP="00C2695B">
      <w:pPr>
        <w:rPr>
          <w:rFonts w:asciiTheme="minorHAnsi" w:hAnsiTheme="minorHAnsi" w:cstheme="minorHAnsi"/>
          <w:sz w:val="22"/>
          <w:szCs w:val="22"/>
        </w:rPr>
      </w:pPr>
    </w:p>
    <w:p w14:paraId="3B36F2C7" w14:textId="460C8280" w:rsidR="00111C0C" w:rsidRDefault="00111C0C" w:rsidP="00C2695B">
      <w:pPr>
        <w:rPr>
          <w:rFonts w:asciiTheme="minorHAnsi" w:hAnsiTheme="minorHAnsi" w:cstheme="minorHAnsi"/>
          <w:sz w:val="22"/>
          <w:szCs w:val="22"/>
        </w:rPr>
      </w:pPr>
    </w:p>
    <w:p w14:paraId="68F749E8" w14:textId="71DB2836" w:rsidR="00111C0C" w:rsidRDefault="00111C0C" w:rsidP="00C2695B">
      <w:pPr>
        <w:rPr>
          <w:rFonts w:asciiTheme="minorHAnsi" w:hAnsiTheme="minorHAnsi" w:cstheme="minorHAnsi"/>
          <w:sz w:val="22"/>
          <w:szCs w:val="22"/>
        </w:rPr>
      </w:pPr>
    </w:p>
    <w:p w14:paraId="7FA2A523" w14:textId="1DA623EE" w:rsidR="00111C0C" w:rsidRDefault="00111C0C" w:rsidP="00C2695B">
      <w:pPr>
        <w:rPr>
          <w:rFonts w:asciiTheme="minorHAnsi" w:hAnsiTheme="minorHAnsi" w:cstheme="minorHAnsi"/>
          <w:sz w:val="22"/>
          <w:szCs w:val="22"/>
        </w:rPr>
      </w:pPr>
    </w:p>
    <w:p w14:paraId="09BD30D0" w14:textId="3A065CC0" w:rsidR="00111C0C" w:rsidRDefault="00111C0C" w:rsidP="00C2695B">
      <w:pPr>
        <w:rPr>
          <w:rFonts w:asciiTheme="minorHAnsi" w:hAnsiTheme="minorHAnsi" w:cstheme="minorHAnsi"/>
          <w:sz w:val="22"/>
          <w:szCs w:val="22"/>
        </w:rPr>
      </w:pPr>
    </w:p>
    <w:p w14:paraId="21210CA4" w14:textId="0BEEAFB8" w:rsidR="00111C0C" w:rsidRDefault="00111C0C" w:rsidP="00C2695B">
      <w:pPr>
        <w:rPr>
          <w:rFonts w:asciiTheme="minorHAnsi" w:hAnsiTheme="minorHAnsi" w:cstheme="minorHAnsi"/>
          <w:sz w:val="22"/>
          <w:szCs w:val="22"/>
        </w:rPr>
      </w:pPr>
    </w:p>
    <w:p w14:paraId="5ED7EBE6" w14:textId="1C81D064" w:rsidR="00111C0C" w:rsidRDefault="00111C0C" w:rsidP="00C2695B">
      <w:pPr>
        <w:rPr>
          <w:rFonts w:asciiTheme="minorHAnsi" w:hAnsiTheme="minorHAnsi" w:cstheme="minorHAnsi"/>
          <w:sz w:val="22"/>
          <w:szCs w:val="22"/>
        </w:rPr>
      </w:pPr>
    </w:p>
    <w:p w14:paraId="3B244D24" w14:textId="7AB03C7C" w:rsidR="00111C0C" w:rsidRDefault="00111C0C" w:rsidP="00C2695B">
      <w:pPr>
        <w:rPr>
          <w:rFonts w:asciiTheme="minorHAnsi" w:hAnsiTheme="minorHAnsi" w:cstheme="minorHAnsi"/>
          <w:sz w:val="22"/>
          <w:szCs w:val="22"/>
        </w:rPr>
      </w:pPr>
    </w:p>
    <w:p w14:paraId="560D5C27" w14:textId="59952ECA" w:rsidR="00111C0C" w:rsidRDefault="00111C0C" w:rsidP="00C2695B">
      <w:pPr>
        <w:rPr>
          <w:rFonts w:asciiTheme="minorHAnsi" w:hAnsiTheme="minorHAnsi" w:cstheme="minorHAnsi"/>
          <w:sz w:val="22"/>
          <w:szCs w:val="22"/>
        </w:rPr>
      </w:pPr>
    </w:p>
    <w:p w14:paraId="4B30E76E" w14:textId="2E2B3DF4" w:rsidR="00111C0C" w:rsidRDefault="00111C0C" w:rsidP="00C2695B">
      <w:pPr>
        <w:rPr>
          <w:rFonts w:asciiTheme="minorHAnsi" w:hAnsiTheme="minorHAnsi" w:cstheme="minorHAnsi"/>
          <w:sz w:val="22"/>
          <w:szCs w:val="22"/>
        </w:rPr>
      </w:pPr>
    </w:p>
    <w:p w14:paraId="4BF48F0F" w14:textId="00210EFD" w:rsidR="00111C0C" w:rsidRDefault="00111C0C" w:rsidP="00C2695B">
      <w:pPr>
        <w:rPr>
          <w:rFonts w:asciiTheme="minorHAnsi" w:hAnsiTheme="minorHAnsi" w:cstheme="minorHAnsi"/>
          <w:sz w:val="22"/>
          <w:szCs w:val="22"/>
        </w:rPr>
      </w:pPr>
    </w:p>
    <w:p w14:paraId="0F48BFE7" w14:textId="74F6B90A" w:rsidR="00111C0C" w:rsidRDefault="00111C0C" w:rsidP="00C2695B">
      <w:pPr>
        <w:rPr>
          <w:rFonts w:asciiTheme="minorHAnsi" w:hAnsiTheme="minorHAnsi" w:cstheme="minorHAnsi"/>
          <w:sz w:val="22"/>
          <w:szCs w:val="22"/>
        </w:rPr>
      </w:pPr>
    </w:p>
    <w:p w14:paraId="38259EB7" w14:textId="164695B2" w:rsidR="00111C0C" w:rsidRDefault="00111C0C" w:rsidP="00C2695B">
      <w:pPr>
        <w:rPr>
          <w:rFonts w:asciiTheme="minorHAnsi" w:hAnsiTheme="minorHAnsi" w:cstheme="minorHAnsi"/>
          <w:sz w:val="22"/>
          <w:szCs w:val="22"/>
        </w:rPr>
      </w:pPr>
    </w:p>
    <w:p w14:paraId="2CE97E85" w14:textId="14A77848" w:rsidR="00111C0C" w:rsidRDefault="00111C0C" w:rsidP="00C2695B">
      <w:pPr>
        <w:rPr>
          <w:rFonts w:asciiTheme="minorHAnsi" w:hAnsiTheme="minorHAnsi" w:cstheme="minorHAnsi"/>
          <w:sz w:val="22"/>
          <w:szCs w:val="22"/>
        </w:rPr>
      </w:pPr>
    </w:p>
    <w:p w14:paraId="77BE0BF7" w14:textId="50DDEA35" w:rsidR="00111C0C" w:rsidRDefault="00111C0C" w:rsidP="00C2695B">
      <w:pPr>
        <w:rPr>
          <w:rFonts w:asciiTheme="minorHAnsi" w:hAnsiTheme="minorHAnsi" w:cstheme="minorHAnsi"/>
          <w:sz w:val="22"/>
          <w:szCs w:val="22"/>
        </w:rPr>
      </w:pPr>
    </w:p>
    <w:p w14:paraId="6C6EC73F" w14:textId="70DEAD7A" w:rsidR="00111C0C" w:rsidRDefault="00111C0C" w:rsidP="00C2695B">
      <w:pPr>
        <w:rPr>
          <w:rFonts w:asciiTheme="minorHAnsi" w:hAnsiTheme="minorHAnsi" w:cstheme="minorHAnsi"/>
          <w:sz w:val="22"/>
          <w:szCs w:val="22"/>
        </w:rPr>
      </w:pPr>
    </w:p>
    <w:p w14:paraId="29B2093F" w14:textId="2E198D54" w:rsidR="00111C0C" w:rsidRDefault="00111C0C" w:rsidP="00C2695B">
      <w:pPr>
        <w:rPr>
          <w:rFonts w:asciiTheme="minorHAnsi" w:hAnsiTheme="minorHAnsi" w:cstheme="minorHAnsi"/>
          <w:sz w:val="22"/>
          <w:szCs w:val="22"/>
        </w:rPr>
      </w:pPr>
    </w:p>
    <w:p w14:paraId="254FA862" w14:textId="7BFB7B69" w:rsidR="00111C0C" w:rsidRDefault="00111C0C" w:rsidP="00C2695B">
      <w:pPr>
        <w:rPr>
          <w:rFonts w:asciiTheme="minorHAnsi" w:hAnsiTheme="minorHAnsi" w:cstheme="minorHAnsi"/>
          <w:sz w:val="22"/>
          <w:szCs w:val="22"/>
        </w:rPr>
      </w:pPr>
    </w:p>
    <w:p w14:paraId="79BA53BE" w14:textId="7C2B8FBD" w:rsidR="00111C0C" w:rsidRDefault="00111C0C" w:rsidP="00C2695B">
      <w:pPr>
        <w:rPr>
          <w:rFonts w:asciiTheme="minorHAnsi" w:hAnsiTheme="minorHAnsi" w:cstheme="minorHAnsi"/>
          <w:sz w:val="22"/>
          <w:szCs w:val="22"/>
        </w:rPr>
      </w:pPr>
    </w:p>
    <w:p w14:paraId="2E363F45" w14:textId="72260C69" w:rsidR="00111C0C" w:rsidRDefault="00111C0C" w:rsidP="00C2695B">
      <w:pPr>
        <w:rPr>
          <w:rFonts w:asciiTheme="minorHAnsi" w:hAnsiTheme="minorHAnsi" w:cstheme="minorHAnsi"/>
          <w:sz w:val="22"/>
          <w:szCs w:val="22"/>
        </w:rPr>
      </w:pPr>
    </w:p>
    <w:p w14:paraId="38B709E3" w14:textId="6103191D" w:rsidR="00111C0C" w:rsidRDefault="00111C0C" w:rsidP="00C2695B">
      <w:pPr>
        <w:rPr>
          <w:rFonts w:asciiTheme="minorHAnsi" w:hAnsiTheme="minorHAnsi" w:cstheme="minorHAnsi"/>
          <w:sz w:val="22"/>
          <w:szCs w:val="22"/>
        </w:rPr>
      </w:pPr>
    </w:p>
    <w:p w14:paraId="6DC5ABF4" w14:textId="277005A3" w:rsidR="001C4D73" w:rsidRPr="001C4D73" w:rsidRDefault="001C4D73" w:rsidP="00C2695B">
      <w:pPr>
        <w:rPr>
          <w:rFonts w:asciiTheme="minorHAnsi" w:hAnsiTheme="minorHAnsi" w:cstheme="minorHAnsi"/>
          <w:b/>
          <w:bCs/>
          <w:sz w:val="22"/>
          <w:szCs w:val="22"/>
          <w:u w:val="single"/>
        </w:rPr>
      </w:pPr>
      <w:r w:rsidRPr="001C4D73">
        <w:rPr>
          <w:rFonts w:asciiTheme="minorHAnsi" w:hAnsiTheme="minorHAnsi" w:cstheme="minorHAnsi"/>
          <w:b/>
          <w:bCs/>
          <w:sz w:val="22"/>
          <w:szCs w:val="22"/>
          <w:u w:val="single"/>
        </w:rPr>
        <w:lastRenderedPageBreak/>
        <w:t>References</w:t>
      </w:r>
    </w:p>
    <w:p w14:paraId="219D2F19" w14:textId="26248795" w:rsidR="00C2695B" w:rsidRPr="00853C01" w:rsidRDefault="00C2695B" w:rsidP="00C2695B">
      <w:pPr>
        <w:rPr>
          <w:sz w:val="22"/>
          <w:szCs w:val="22"/>
        </w:rPr>
      </w:pPr>
    </w:p>
    <w:p w14:paraId="62722D21" w14:textId="24E4D140" w:rsidR="00C2695B" w:rsidRDefault="00980B32" w:rsidP="00C2695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2012. </w:t>
      </w:r>
      <w:r>
        <w:rPr>
          <w:rFonts w:ascii="Open Sans" w:hAnsi="Open Sans" w:cs="Open Sans"/>
          <w:i/>
          <w:iCs/>
          <w:color w:val="000000"/>
          <w:sz w:val="20"/>
          <w:szCs w:val="20"/>
          <w:shd w:val="clear" w:color="auto" w:fill="FFFFFF"/>
        </w:rPr>
        <w:t>Managing for sustainable employee engagement</w:t>
      </w:r>
      <w:r>
        <w:rPr>
          <w:rFonts w:ascii="Open Sans" w:hAnsi="Open Sans" w:cs="Open Sans"/>
          <w:color w:val="000000"/>
          <w:sz w:val="20"/>
          <w:szCs w:val="20"/>
          <w:shd w:val="clear" w:color="auto" w:fill="FFFFFF"/>
        </w:rPr>
        <w:t>. 1st ed. [ebook] London: Chartered Institute of Personnel and Development. Available at: &lt;https://www.cipd.co.uk/Images/managing-for-sustainable-employee-engagement-guidance-for-employers-and-managers_2012_tcm18-10753.pdf&gt; [Accessed 3 September 2021].</w:t>
      </w:r>
    </w:p>
    <w:p w14:paraId="793C51B9" w14:textId="77777777" w:rsidR="00980B32" w:rsidRPr="00853C01" w:rsidRDefault="00980B32" w:rsidP="00C2695B">
      <w:pPr>
        <w:rPr>
          <w:sz w:val="22"/>
          <w:szCs w:val="22"/>
        </w:rPr>
      </w:pPr>
    </w:p>
    <w:p w14:paraId="210CF68F" w14:textId="0AA22FD1" w:rsidR="00DD1D29" w:rsidRDefault="00DD1D29" w:rsidP="00C2695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Cioca, I., Wietrak, E., Barends, E. and Rousseau, D., 2021. </w:t>
      </w:r>
      <w:r>
        <w:rPr>
          <w:rFonts w:ascii="Open Sans" w:hAnsi="Open Sans" w:cs="Open Sans"/>
          <w:i/>
          <w:iCs/>
          <w:color w:val="000000"/>
          <w:sz w:val="20"/>
          <w:szCs w:val="20"/>
          <w:shd w:val="clear" w:color="auto" w:fill="FFFFFF"/>
        </w:rPr>
        <w:t>Organisational commitment: an evidence review. Scientific summary.</w:t>
      </w:r>
      <w:r>
        <w:rPr>
          <w:rFonts w:ascii="Open Sans" w:hAnsi="Open Sans" w:cs="Open Sans"/>
          <w:color w:val="000000"/>
          <w:sz w:val="20"/>
          <w:szCs w:val="20"/>
          <w:shd w:val="clear" w:color="auto" w:fill="FFFFFF"/>
        </w:rPr>
        <w:t>. 1st ed. [ebook] London: Chartered Institute of Personnel and Development. Available at: &lt;https://www.cipd.co.uk/Images/organisational-commitment-scientific-summary_tcm18-89566.pdf&gt; [Accessed 27 August 2021].</w:t>
      </w:r>
    </w:p>
    <w:p w14:paraId="16372A25" w14:textId="65157841" w:rsidR="00DD1D29" w:rsidRDefault="00DD1D29" w:rsidP="00C2695B">
      <w:pPr>
        <w:rPr>
          <w:rFonts w:ascii="Open Sans" w:hAnsi="Open Sans" w:cs="Open Sans"/>
          <w:color w:val="000000"/>
          <w:sz w:val="20"/>
          <w:szCs w:val="20"/>
          <w:shd w:val="clear" w:color="auto" w:fill="FFFFFF"/>
        </w:rPr>
      </w:pPr>
    </w:p>
    <w:p w14:paraId="03B33C92" w14:textId="40896481" w:rsidR="00451E06" w:rsidRDefault="00451E06" w:rsidP="00C2695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 2019. </w:t>
      </w:r>
      <w:r>
        <w:rPr>
          <w:rFonts w:ascii="Open Sans" w:hAnsi="Open Sans" w:cs="Open Sans"/>
          <w:i/>
          <w:iCs/>
          <w:color w:val="000000"/>
          <w:sz w:val="20"/>
          <w:szCs w:val="20"/>
          <w:shd w:val="clear" w:color="auto" w:fill="FFFFFF"/>
        </w:rPr>
        <w:t>Who's responsible for employee engagement?| CIPD</w:t>
      </w:r>
      <w:r>
        <w:rPr>
          <w:rFonts w:ascii="Open Sans" w:hAnsi="Open Sans" w:cs="Open Sans"/>
          <w:color w:val="000000"/>
          <w:sz w:val="20"/>
          <w:szCs w:val="20"/>
          <w:shd w:val="clear" w:color="auto" w:fill="FFFFFF"/>
        </w:rPr>
        <w:t>. [online] Available at: &lt;https://www.cipd.co.uk/news-views/nutshell/issue-88/employee-engagement&gt; [Accessed 27 August 2021].</w:t>
      </w:r>
    </w:p>
    <w:p w14:paraId="1EC0241F" w14:textId="173C70E1" w:rsidR="001C4D73" w:rsidRDefault="003F5EC5" w:rsidP="00C2695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Engage for Success. 2021. </w:t>
      </w:r>
      <w:r>
        <w:rPr>
          <w:rFonts w:ascii="Open Sans" w:hAnsi="Open Sans" w:cs="Open Sans"/>
          <w:i/>
          <w:iCs/>
          <w:color w:val="000000"/>
          <w:sz w:val="20"/>
          <w:szCs w:val="20"/>
          <w:shd w:val="clear" w:color="auto" w:fill="FFFFFF"/>
        </w:rPr>
        <w:t>What is Employee Engagement - Engage for Success</w:t>
      </w:r>
      <w:r>
        <w:rPr>
          <w:rFonts w:ascii="Open Sans" w:hAnsi="Open Sans" w:cs="Open Sans"/>
          <w:color w:val="000000"/>
          <w:sz w:val="20"/>
          <w:szCs w:val="20"/>
          <w:shd w:val="clear" w:color="auto" w:fill="FFFFFF"/>
        </w:rPr>
        <w:t>. [online] Available at: &lt;https://engageforsuccess.org/what-is-employee-engagement&gt; [Accessed 27 August 2021].</w:t>
      </w:r>
    </w:p>
    <w:p w14:paraId="04C31C31" w14:textId="4C1D3CF8" w:rsidR="005C410F" w:rsidRDefault="005C410F" w:rsidP="00C2695B">
      <w:pPr>
        <w:rPr>
          <w:rFonts w:ascii="Open Sans" w:hAnsi="Open Sans" w:cs="Open Sans"/>
          <w:color w:val="000000"/>
          <w:sz w:val="20"/>
          <w:szCs w:val="20"/>
          <w:shd w:val="clear" w:color="auto" w:fill="FFFFFF"/>
        </w:rPr>
      </w:pPr>
    </w:p>
    <w:p w14:paraId="18B8E6A4" w14:textId="460F3982" w:rsidR="005C410F" w:rsidRDefault="005C410F" w:rsidP="00C2695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 2020. </w:t>
      </w:r>
      <w:r>
        <w:rPr>
          <w:rFonts w:ascii="Open Sans" w:hAnsi="Open Sans" w:cs="Open Sans"/>
          <w:i/>
          <w:iCs/>
          <w:color w:val="000000"/>
          <w:sz w:val="20"/>
          <w:szCs w:val="20"/>
          <w:shd w:val="clear" w:color="auto" w:fill="FFFFFF"/>
        </w:rPr>
        <w:t>Employee Communication | Factsheets | CIPD</w:t>
      </w:r>
      <w:r>
        <w:rPr>
          <w:rFonts w:ascii="Open Sans" w:hAnsi="Open Sans" w:cs="Open Sans"/>
          <w:color w:val="000000"/>
          <w:sz w:val="20"/>
          <w:szCs w:val="20"/>
          <w:shd w:val="clear" w:color="auto" w:fill="FFFFFF"/>
        </w:rPr>
        <w:t>. [online] Available at: &lt;https://www.cipd.co.uk/knowledge/fundamentals/relations/communication/factsheet#6142&gt; [Accessed 10 September 2021].</w:t>
      </w:r>
    </w:p>
    <w:p w14:paraId="511DF8FB" w14:textId="05E59D56" w:rsidR="002E6364" w:rsidRDefault="002E6364" w:rsidP="00C2695B">
      <w:pPr>
        <w:rPr>
          <w:rFonts w:ascii="Open Sans" w:hAnsi="Open Sans" w:cs="Open Sans"/>
          <w:color w:val="000000"/>
          <w:sz w:val="20"/>
          <w:szCs w:val="20"/>
          <w:shd w:val="clear" w:color="auto" w:fill="FFFFFF"/>
        </w:rPr>
      </w:pPr>
    </w:p>
    <w:p w14:paraId="54D1B226" w14:textId="721894AF" w:rsidR="002E6364" w:rsidRDefault="002E6364" w:rsidP="00C2695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 2021. </w:t>
      </w:r>
      <w:r>
        <w:rPr>
          <w:rFonts w:ascii="Open Sans" w:hAnsi="Open Sans" w:cs="Open Sans"/>
          <w:i/>
          <w:iCs/>
          <w:color w:val="000000"/>
          <w:sz w:val="20"/>
          <w:szCs w:val="20"/>
          <w:shd w:val="clear" w:color="auto" w:fill="FFFFFF"/>
        </w:rPr>
        <w:t>People Analytics | Factsheets | CIPD</w:t>
      </w:r>
      <w:r>
        <w:rPr>
          <w:rFonts w:ascii="Open Sans" w:hAnsi="Open Sans" w:cs="Open Sans"/>
          <w:color w:val="000000"/>
          <w:sz w:val="20"/>
          <w:szCs w:val="20"/>
          <w:shd w:val="clear" w:color="auto" w:fill="FFFFFF"/>
        </w:rPr>
        <w:t>. [online] Available at: &lt;https://www.cipd.co.uk/knowledge/strategy/analytics/factsheet#gref&gt; [Accessed 22 October 2021].</w:t>
      </w:r>
    </w:p>
    <w:p w14:paraId="683D2AE8" w14:textId="77777777" w:rsidR="00961EA3" w:rsidRDefault="00961EA3" w:rsidP="00C2695B">
      <w:pPr>
        <w:rPr>
          <w:rFonts w:ascii="Open Sans" w:hAnsi="Open Sans" w:cs="Open Sans"/>
          <w:color w:val="000000"/>
          <w:sz w:val="20"/>
          <w:szCs w:val="20"/>
          <w:shd w:val="clear" w:color="auto" w:fill="FFFFFF"/>
        </w:rPr>
      </w:pPr>
    </w:p>
    <w:p w14:paraId="340CFCE1" w14:textId="5D9640B4" w:rsidR="00961EA3" w:rsidRDefault="00961EA3" w:rsidP="00C2695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Engage for Success. 2021. </w:t>
      </w:r>
      <w:r>
        <w:rPr>
          <w:rFonts w:ascii="Open Sans" w:hAnsi="Open Sans" w:cs="Open Sans"/>
          <w:i/>
          <w:iCs/>
          <w:color w:val="000000"/>
          <w:sz w:val="20"/>
          <w:szCs w:val="20"/>
          <w:shd w:val="clear" w:color="auto" w:fill="FFFFFF"/>
        </w:rPr>
        <w:t>The Future of Employee Engagement - Engage for Success</w:t>
      </w:r>
      <w:r>
        <w:rPr>
          <w:rFonts w:ascii="Open Sans" w:hAnsi="Open Sans" w:cs="Open Sans"/>
          <w:color w:val="000000"/>
          <w:sz w:val="20"/>
          <w:szCs w:val="20"/>
          <w:shd w:val="clear" w:color="auto" w:fill="FFFFFF"/>
        </w:rPr>
        <w:t>. [online] Available at: &lt;https://engageforsuccess.org/engage-for-success-blog/the-future-of-employee-engagement-2020/&gt; [Accessed 1 November 2021].</w:t>
      </w:r>
    </w:p>
    <w:p w14:paraId="2A78280D" w14:textId="5EA53876" w:rsidR="00980B32" w:rsidRDefault="00980B32" w:rsidP="00C2695B">
      <w:pPr>
        <w:rPr>
          <w:rFonts w:ascii="Open Sans" w:hAnsi="Open Sans" w:cs="Open Sans"/>
          <w:color w:val="000000"/>
          <w:sz w:val="20"/>
          <w:szCs w:val="20"/>
          <w:shd w:val="clear" w:color="auto" w:fill="FFFFFF"/>
        </w:rPr>
      </w:pPr>
    </w:p>
    <w:p w14:paraId="0373FA7C" w14:textId="1959D4CE" w:rsidR="00980B32" w:rsidRDefault="00980B32" w:rsidP="00C2695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Gallup, I., 2021. </w:t>
      </w:r>
      <w:r>
        <w:rPr>
          <w:rFonts w:ascii="Open Sans" w:hAnsi="Open Sans" w:cs="Open Sans"/>
          <w:i/>
          <w:iCs/>
          <w:color w:val="000000"/>
          <w:sz w:val="20"/>
          <w:szCs w:val="20"/>
          <w:shd w:val="clear" w:color="auto" w:fill="FFFFFF"/>
        </w:rPr>
        <w:t>The Wellbeing-Engagement Paradox of 2020</w:t>
      </w:r>
      <w:r>
        <w:rPr>
          <w:rFonts w:ascii="Open Sans" w:hAnsi="Open Sans" w:cs="Open Sans"/>
          <w:color w:val="000000"/>
          <w:sz w:val="20"/>
          <w:szCs w:val="20"/>
          <w:shd w:val="clear" w:color="auto" w:fill="FFFFFF"/>
        </w:rPr>
        <w:t>. [online] Gallup.com. Available at: &lt;https://www.gallup.com/workplace/336941/wellbeing-engagement-paradox-2020.aspx&gt; [Accessed 10 September 2021].</w:t>
      </w:r>
    </w:p>
    <w:p w14:paraId="465699FF" w14:textId="77777777" w:rsidR="0022003C" w:rsidRDefault="0022003C" w:rsidP="00C2695B">
      <w:pPr>
        <w:rPr>
          <w:rFonts w:ascii="Open Sans" w:hAnsi="Open Sans" w:cs="Open Sans"/>
          <w:color w:val="000000"/>
          <w:sz w:val="20"/>
          <w:szCs w:val="20"/>
          <w:shd w:val="clear" w:color="auto" w:fill="FFFFFF"/>
        </w:rPr>
      </w:pPr>
    </w:p>
    <w:p w14:paraId="5E603C17" w14:textId="142F12E4" w:rsidR="0022003C" w:rsidRDefault="0022003C" w:rsidP="0022003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Gifford, J. and Young, J., 2021. </w:t>
      </w:r>
      <w:r>
        <w:rPr>
          <w:rFonts w:ascii="Open Sans" w:hAnsi="Open Sans" w:cs="Open Sans"/>
          <w:i/>
          <w:iCs/>
          <w:color w:val="000000"/>
          <w:sz w:val="20"/>
          <w:szCs w:val="20"/>
          <w:shd w:val="clear" w:color="auto" w:fill="FFFFFF"/>
        </w:rPr>
        <w:t>Employee Engagement: Definitions, Measures and Outcomes</w:t>
      </w:r>
      <w:r>
        <w:rPr>
          <w:rFonts w:ascii="Open Sans" w:hAnsi="Open Sans" w:cs="Open Sans"/>
          <w:color w:val="000000"/>
          <w:sz w:val="20"/>
          <w:szCs w:val="20"/>
          <w:shd w:val="clear" w:color="auto" w:fill="FFFFFF"/>
        </w:rPr>
        <w:t>. 1st ed. [ebook] London: Chartered Institute of Personnel and Development. Available at: &lt;https://www.cipd.co.uk/Images/employee-engagement-discussion-report_tcm18-89598.pdf&gt; [Accessed 27 August 2021].</w:t>
      </w:r>
    </w:p>
    <w:p w14:paraId="6CF472CB" w14:textId="78E4B7E6" w:rsidR="00371058" w:rsidRDefault="00371058" w:rsidP="0022003C">
      <w:pPr>
        <w:rPr>
          <w:rFonts w:ascii="Open Sans" w:hAnsi="Open Sans" w:cs="Open Sans"/>
          <w:color w:val="000000"/>
          <w:sz w:val="20"/>
          <w:szCs w:val="20"/>
          <w:shd w:val="clear" w:color="auto" w:fill="FFFFFF"/>
        </w:rPr>
      </w:pPr>
    </w:p>
    <w:p w14:paraId="796FF0F5" w14:textId="0B8D2F17" w:rsidR="00371058" w:rsidRPr="00371058" w:rsidRDefault="00371058" w:rsidP="0022003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Guest, D. 2015. </w:t>
      </w:r>
      <w:r>
        <w:rPr>
          <w:rFonts w:ascii="Open Sans" w:hAnsi="Open Sans" w:cs="Open Sans"/>
          <w:i/>
          <w:iCs/>
          <w:color w:val="000000"/>
          <w:sz w:val="20"/>
          <w:szCs w:val="20"/>
          <w:shd w:val="clear" w:color="auto" w:fill="FFFFFF"/>
        </w:rPr>
        <w:t xml:space="preserve">Presentation on “Employee Engagement: A Path to Organisational Success?” ,ade at the Lead, Engage, Perform expert meeting on public sector leadership. </w:t>
      </w:r>
      <w:r>
        <w:rPr>
          <w:rFonts w:ascii="Open Sans" w:hAnsi="Open Sans" w:cs="Open Sans"/>
          <w:color w:val="000000"/>
          <w:sz w:val="20"/>
          <w:szCs w:val="20"/>
          <w:shd w:val="clear" w:color="auto" w:fill="FFFFFF"/>
        </w:rPr>
        <w:t>OECD.</w:t>
      </w:r>
    </w:p>
    <w:p w14:paraId="34C20104" w14:textId="11ADB6F8" w:rsidR="00980B32" w:rsidRDefault="00980B32" w:rsidP="0022003C">
      <w:pPr>
        <w:rPr>
          <w:rFonts w:ascii="Open Sans" w:hAnsi="Open Sans" w:cs="Open Sans"/>
          <w:color w:val="000000"/>
          <w:sz w:val="20"/>
          <w:szCs w:val="20"/>
          <w:shd w:val="clear" w:color="auto" w:fill="FFFFFF"/>
        </w:rPr>
      </w:pPr>
    </w:p>
    <w:p w14:paraId="6E78AEF1" w14:textId="6BFC16A6" w:rsidR="005C410F" w:rsidRDefault="00980B32" w:rsidP="0022003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HR Magazine. </w:t>
      </w:r>
      <w:r w:rsidR="005C410F">
        <w:rPr>
          <w:rFonts w:ascii="Open Sans" w:hAnsi="Open Sans" w:cs="Open Sans"/>
          <w:color w:val="000000"/>
          <w:sz w:val="20"/>
          <w:szCs w:val="20"/>
          <w:shd w:val="clear" w:color="auto" w:fill="FFFFFF"/>
        </w:rPr>
        <w:t>2014</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HR Magazine - Employee engagement closely tied to health and wellbeing</w:t>
      </w:r>
      <w:r>
        <w:rPr>
          <w:rFonts w:ascii="Open Sans" w:hAnsi="Open Sans" w:cs="Open Sans"/>
          <w:color w:val="000000"/>
          <w:sz w:val="20"/>
          <w:szCs w:val="20"/>
          <w:shd w:val="clear" w:color="auto" w:fill="FFFFFF"/>
        </w:rPr>
        <w:t>. [online] Available at: &lt;https://www.hrmagazine.co.uk/content/features/employee-engagement-closely-tied-to-health-and-wellbeing&gt; [Accessed 10 September 2021].</w:t>
      </w:r>
    </w:p>
    <w:p w14:paraId="40FDE121" w14:textId="66B28E85" w:rsidR="005C410F" w:rsidRDefault="005C410F" w:rsidP="0022003C">
      <w:pPr>
        <w:rPr>
          <w:rFonts w:ascii="Open Sans" w:hAnsi="Open Sans" w:cs="Open Sans"/>
          <w:color w:val="000000"/>
          <w:sz w:val="20"/>
          <w:szCs w:val="20"/>
          <w:shd w:val="clear" w:color="auto" w:fill="FFFFFF"/>
        </w:rPr>
      </w:pPr>
    </w:p>
    <w:p w14:paraId="6B1274DB" w14:textId="0BCFFEC1" w:rsidR="005C410F" w:rsidRDefault="005C410F" w:rsidP="0022003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HRZone. 2019. </w:t>
      </w:r>
      <w:r>
        <w:rPr>
          <w:rFonts w:ascii="Open Sans" w:hAnsi="Open Sans" w:cs="Open Sans"/>
          <w:i/>
          <w:iCs/>
          <w:color w:val="000000"/>
          <w:sz w:val="20"/>
          <w:szCs w:val="20"/>
          <w:shd w:val="clear" w:color="auto" w:fill="FFFFFF"/>
        </w:rPr>
        <w:t>Why building trust can improve employee engagement</w:t>
      </w:r>
      <w:r>
        <w:rPr>
          <w:rFonts w:ascii="Open Sans" w:hAnsi="Open Sans" w:cs="Open Sans"/>
          <w:color w:val="000000"/>
          <w:sz w:val="20"/>
          <w:szCs w:val="20"/>
          <w:shd w:val="clear" w:color="auto" w:fill="FFFFFF"/>
        </w:rPr>
        <w:t>. [online] Available at: &lt;https://www.hrzone.com/engage/employees/why-building-trust-can-improve-employee-engagement&gt; [Accessed 10 September 2021].</w:t>
      </w:r>
    </w:p>
    <w:p w14:paraId="456CDD46" w14:textId="7C7191E1" w:rsidR="005C410F" w:rsidRDefault="005C410F" w:rsidP="0022003C">
      <w:pPr>
        <w:rPr>
          <w:rFonts w:ascii="Open Sans" w:hAnsi="Open Sans" w:cs="Open Sans"/>
          <w:color w:val="000000"/>
          <w:sz w:val="20"/>
          <w:szCs w:val="20"/>
          <w:shd w:val="clear" w:color="auto" w:fill="FFFFFF"/>
        </w:rPr>
      </w:pPr>
    </w:p>
    <w:p w14:paraId="2BF66192" w14:textId="5434EEF2" w:rsidR="005C410F" w:rsidRDefault="005C410F" w:rsidP="0022003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peoplevalue. 2021. </w:t>
      </w:r>
      <w:r>
        <w:rPr>
          <w:rFonts w:ascii="Open Sans" w:hAnsi="Open Sans" w:cs="Open Sans"/>
          <w:i/>
          <w:iCs/>
          <w:color w:val="000000"/>
          <w:sz w:val="20"/>
          <w:szCs w:val="20"/>
          <w:shd w:val="clear" w:color="auto" w:fill="FFFFFF"/>
        </w:rPr>
        <w:t>Why learning and development is a key driver of employee engagement</w:t>
      </w:r>
      <w:r>
        <w:rPr>
          <w:rFonts w:ascii="Open Sans" w:hAnsi="Open Sans" w:cs="Open Sans"/>
          <w:color w:val="000000"/>
          <w:sz w:val="20"/>
          <w:szCs w:val="20"/>
          <w:shd w:val="clear" w:color="auto" w:fill="FFFFFF"/>
        </w:rPr>
        <w:t>. [online] Available at: &lt;https://peoplevalue.net/why-learning-and-development-is-a-key-driver-of-employee-engagement/&gt; [Accessed 10 September 2021].</w:t>
      </w:r>
    </w:p>
    <w:p w14:paraId="304190E4" w14:textId="77777777" w:rsidR="0022003C" w:rsidRDefault="0022003C" w:rsidP="00C2695B">
      <w:pPr>
        <w:rPr>
          <w:rFonts w:ascii="Open Sans" w:hAnsi="Open Sans" w:cs="Open Sans"/>
          <w:color w:val="000000"/>
          <w:sz w:val="20"/>
          <w:szCs w:val="20"/>
          <w:shd w:val="clear" w:color="auto" w:fill="FFFFFF"/>
        </w:rPr>
      </w:pPr>
    </w:p>
    <w:p w14:paraId="36BE7E8F" w14:textId="32CD008A" w:rsidR="00B41009" w:rsidRDefault="0022003C" w:rsidP="00C2695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Purcell, J. 2010. ‘Building Employee engagement’, ACAS Policy Discussion Paper [Online] </w:t>
      </w:r>
      <w:hyperlink r:id="rId8" w:history="1">
        <w:r w:rsidRPr="008236CE">
          <w:rPr>
            <w:rStyle w:val="Hyperlink"/>
            <w:rFonts w:ascii="Open Sans" w:hAnsi="Open Sans" w:cs="Open Sans"/>
            <w:sz w:val="20"/>
            <w:szCs w:val="20"/>
            <w:shd w:val="clear" w:color="auto" w:fill="FFFFFF"/>
          </w:rPr>
          <w:t>www.acas.org.uk/media/pdf/s/1/Building)employee_engagement-accessiblw-version-Jun-2021.pdf</w:t>
        </w:r>
      </w:hyperlink>
      <w:r>
        <w:rPr>
          <w:rFonts w:ascii="Open Sans" w:hAnsi="Open Sans" w:cs="Open Sans"/>
          <w:color w:val="000000"/>
          <w:sz w:val="20"/>
          <w:szCs w:val="20"/>
          <w:shd w:val="clear" w:color="auto" w:fill="FFFFFF"/>
        </w:rPr>
        <w:t xml:space="preserve"> [Accessed 27 August 2021].</w:t>
      </w:r>
    </w:p>
    <w:p w14:paraId="63D64A45" w14:textId="77777777" w:rsidR="0022003C" w:rsidRDefault="0022003C" w:rsidP="00C2695B">
      <w:pPr>
        <w:rPr>
          <w:rFonts w:ascii="Open Sans" w:hAnsi="Open Sans" w:cs="Open Sans"/>
          <w:color w:val="000000"/>
          <w:sz w:val="20"/>
          <w:szCs w:val="20"/>
          <w:shd w:val="clear" w:color="auto" w:fill="FFFFFF"/>
        </w:rPr>
      </w:pPr>
    </w:p>
    <w:p w14:paraId="2C446121" w14:textId="653CFA43" w:rsidR="00B41009" w:rsidRDefault="00B41009" w:rsidP="00C2695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Macleod, D. and Clarke, N. 2009</w:t>
      </w:r>
      <w:r w:rsidR="0022003C">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Pr>
          <w:rFonts w:ascii="Open Sans" w:hAnsi="Open Sans" w:cs="Open Sans"/>
          <w:i/>
          <w:iCs/>
          <w:color w:val="000000"/>
          <w:sz w:val="20"/>
          <w:szCs w:val="20"/>
          <w:shd w:val="clear" w:color="auto" w:fill="FFFFFF"/>
        </w:rPr>
        <w:t xml:space="preserve">Engaging for success: enhancing performance through employee engagement. A report to government. </w:t>
      </w:r>
      <w:r>
        <w:rPr>
          <w:rFonts w:ascii="Open Sans" w:hAnsi="Open Sans" w:cs="Open Sans"/>
          <w:color w:val="000000"/>
          <w:sz w:val="20"/>
          <w:szCs w:val="20"/>
          <w:shd w:val="clear" w:color="auto" w:fill="FFFFFF"/>
        </w:rPr>
        <w:t xml:space="preserve">London: Department for Business, Innovation and Skills. </w:t>
      </w:r>
    </w:p>
    <w:p w14:paraId="6F59D1E6" w14:textId="63D66488" w:rsidR="00164AA9" w:rsidRDefault="00164AA9" w:rsidP="00C2695B">
      <w:pPr>
        <w:rPr>
          <w:rFonts w:ascii="Open Sans" w:hAnsi="Open Sans" w:cs="Open Sans"/>
          <w:color w:val="000000"/>
          <w:sz w:val="20"/>
          <w:szCs w:val="20"/>
          <w:shd w:val="clear" w:color="auto" w:fill="FFFFFF"/>
        </w:rPr>
      </w:pPr>
    </w:p>
    <w:p w14:paraId="32DB988A" w14:textId="26678ECB" w:rsidR="00164AA9" w:rsidRDefault="00164AA9" w:rsidP="00C2695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N2Growth. 2021. </w:t>
      </w:r>
      <w:r>
        <w:rPr>
          <w:rFonts w:ascii="Open Sans" w:hAnsi="Open Sans" w:cs="Open Sans"/>
          <w:i/>
          <w:iCs/>
          <w:color w:val="000000"/>
          <w:sz w:val="20"/>
          <w:szCs w:val="20"/>
          <w:shd w:val="clear" w:color="auto" w:fill="FFFFFF"/>
        </w:rPr>
        <w:t>How Employee Engagement Drives Customer Satisfaction</w:t>
      </w:r>
      <w:r>
        <w:rPr>
          <w:rFonts w:ascii="Open Sans" w:hAnsi="Open Sans" w:cs="Open Sans"/>
          <w:color w:val="000000"/>
          <w:sz w:val="20"/>
          <w:szCs w:val="20"/>
          <w:shd w:val="clear" w:color="auto" w:fill="FFFFFF"/>
        </w:rPr>
        <w:t>. [online] Available at: &lt;https://www.n2growth.com/en_gb/how-employee-engagement-drives-customer-satisfaction/&gt; [Accessed 21 October 2021].</w:t>
      </w:r>
    </w:p>
    <w:p w14:paraId="6DDDDC08" w14:textId="734F1A63" w:rsidR="00961EA3" w:rsidRDefault="00961EA3" w:rsidP="00C2695B">
      <w:pPr>
        <w:rPr>
          <w:rFonts w:ascii="Open Sans" w:hAnsi="Open Sans" w:cs="Open Sans"/>
          <w:color w:val="000000"/>
          <w:sz w:val="20"/>
          <w:szCs w:val="20"/>
          <w:shd w:val="clear" w:color="auto" w:fill="FFFFFF"/>
        </w:rPr>
      </w:pPr>
    </w:p>
    <w:p w14:paraId="3CB42EFE" w14:textId="66012813" w:rsidR="00961EA3" w:rsidRDefault="00961EA3" w:rsidP="00C2695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Newman, D., 2021. </w:t>
      </w:r>
      <w:r>
        <w:rPr>
          <w:rFonts w:ascii="Open Sans" w:hAnsi="Open Sans" w:cs="Open Sans"/>
          <w:i/>
          <w:iCs/>
          <w:color w:val="000000"/>
          <w:sz w:val="20"/>
          <w:szCs w:val="20"/>
          <w:shd w:val="clear" w:color="auto" w:fill="FFFFFF"/>
        </w:rPr>
        <w:t>The New Future Of Work Requires Greater Focus On Employee Engagement</w:t>
      </w:r>
      <w:r>
        <w:rPr>
          <w:rFonts w:ascii="Open Sans" w:hAnsi="Open Sans" w:cs="Open Sans"/>
          <w:color w:val="000000"/>
          <w:sz w:val="20"/>
          <w:szCs w:val="20"/>
          <w:shd w:val="clear" w:color="auto" w:fill="FFFFFF"/>
        </w:rPr>
        <w:t>. [online] Forbes. Available at: &lt;https://www.forbes.com/sites/danielnewman/2021/06/21/the-new-future-of-work-requires-greater-focus-on-employee-engagement/?sh=31263eab4e65&gt; [Accessed 1 November 2021].</w:t>
      </w:r>
    </w:p>
    <w:p w14:paraId="28D9C520" w14:textId="456C2B00" w:rsidR="00961EA3" w:rsidRDefault="00961EA3" w:rsidP="00C2695B">
      <w:pPr>
        <w:rPr>
          <w:rFonts w:ascii="Open Sans" w:hAnsi="Open Sans" w:cs="Open Sans"/>
          <w:color w:val="000000"/>
          <w:sz w:val="20"/>
          <w:szCs w:val="20"/>
          <w:shd w:val="clear" w:color="auto" w:fill="FFFFFF"/>
        </w:rPr>
      </w:pPr>
    </w:p>
    <w:p w14:paraId="61BA78B0" w14:textId="2DE71646" w:rsidR="00961EA3" w:rsidRDefault="00961EA3" w:rsidP="00C2695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Robinson, D. and Gifford, J., 2021. </w:t>
      </w:r>
      <w:r>
        <w:rPr>
          <w:rFonts w:ascii="Open Sans" w:hAnsi="Open Sans" w:cs="Open Sans"/>
          <w:i/>
          <w:iCs/>
          <w:color w:val="000000"/>
          <w:sz w:val="20"/>
          <w:szCs w:val="20"/>
          <w:shd w:val="clear" w:color="auto" w:fill="FFFFFF"/>
        </w:rPr>
        <w:t>The Future of Engagement Thought Piece Collection</w:t>
      </w:r>
      <w:r>
        <w:rPr>
          <w:rFonts w:ascii="Open Sans" w:hAnsi="Open Sans" w:cs="Open Sans"/>
          <w:color w:val="000000"/>
          <w:sz w:val="20"/>
          <w:szCs w:val="20"/>
          <w:shd w:val="clear" w:color="auto" w:fill="FFFFFF"/>
        </w:rPr>
        <w:t>. 1st ed. [ebook] Brighton: Institute for Employment Studies. Available at: &lt;https://www.cipd.co.uk/Images/the-future-of-engagement_2014-thought-piece-collection_tcm18-10758.pdf&gt; [Accessed 1 November 2021].</w:t>
      </w:r>
    </w:p>
    <w:p w14:paraId="4544AD25" w14:textId="62CEA207" w:rsidR="00E16C1F" w:rsidRDefault="00E16C1F" w:rsidP="00C2695B">
      <w:pPr>
        <w:rPr>
          <w:rFonts w:ascii="Open Sans" w:hAnsi="Open Sans" w:cs="Open Sans"/>
          <w:color w:val="000000"/>
          <w:sz w:val="20"/>
          <w:szCs w:val="20"/>
          <w:shd w:val="clear" w:color="auto" w:fill="FFFFFF"/>
        </w:rPr>
      </w:pPr>
    </w:p>
    <w:p w14:paraId="2C2AD237" w14:textId="61AC0107" w:rsidR="005C410F" w:rsidRDefault="005C410F" w:rsidP="00C2695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Sanders, D., 2012. </w:t>
      </w:r>
      <w:r>
        <w:rPr>
          <w:rFonts w:ascii="Open Sans" w:hAnsi="Open Sans" w:cs="Open Sans"/>
          <w:i/>
          <w:iCs/>
          <w:color w:val="000000"/>
          <w:sz w:val="20"/>
          <w:szCs w:val="20"/>
          <w:shd w:val="clear" w:color="auto" w:fill="FFFFFF"/>
        </w:rPr>
        <w:t>Placing Trust in Employee Engagement</w:t>
      </w:r>
      <w:r>
        <w:rPr>
          <w:rFonts w:ascii="Open Sans" w:hAnsi="Open Sans" w:cs="Open Sans"/>
          <w:color w:val="000000"/>
          <w:sz w:val="20"/>
          <w:szCs w:val="20"/>
          <w:shd w:val="clear" w:color="auto" w:fill="FFFFFF"/>
        </w:rPr>
        <w:t>. 1st ed. [ebook] ACAS. Available at: &lt;https://moodle.uwtsd.ac.uk/pluginfile.php/255716/mod_resource/content/1/Placing-Trust-in-Employee-Engagement.pdf&gt; [Accessed 10 September 2021].</w:t>
      </w:r>
    </w:p>
    <w:p w14:paraId="1EB04E2D" w14:textId="77777777" w:rsidR="005C410F" w:rsidRDefault="005C410F" w:rsidP="00C2695B">
      <w:pPr>
        <w:rPr>
          <w:rFonts w:ascii="Open Sans" w:hAnsi="Open Sans" w:cs="Open Sans"/>
          <w:color w:val="000000"/>
          <w:sz w:val="20"/>
          <w:szCs w:val="20"/>
          <w:shd w:val="clear" w:color="auto" w:fill="FFFFFF"/>
        </w:rPr>
      </w:pPr>
    </w:p>
    <w:p w14:paraId="560A1A96" w14:textId="7AD574B1" w:rsidR="00E16C1F" w:rsidRPr="00B41009" w:rsidRDefault="00E16C1F" w:rsidP="00C2695B">
      <w:pPr>
        <w:rPr>
          <w:sz w:val="22"/>
          <w:szCs w:val="22"/>
        </w:rPr>
      </w:pPr>
      <w:r>
        <w:rPr>
          <w:rFonts w:ascii="Open Sans" w:hAnsi="Open Sans" w:cs="Open Sans"/>
          <w:color w:val="000000"/>
          <w:sz w:val="20"/>
          <w:szCs w:val="20"/>
          <w:shd w:val="clear" w:color="auto" w:fill="FFFFFF"/>
        </w:rPr>
        <w:t>SocialChorus. 2021. </w:t>
      </w:r>
      <w:r>
        <w:rPr>
          <w:rFonts w:ascii="Open Sans" w:hAnsi="Open Sans" w:cs="Open Sans"/>
          <w:i/>
          <w:iCs/>
          <w:color w:val="000000"/>
          <w:sz w:val="20"/>
          <w:szCs w:val="20"/>
          <w:shd w:val="clear" w:color="auto" w:fill="FFFFFF"/>
        </w:rPr>
        <w:t>Why is Employee Engagement Important to Company Success?</w:t>
      </w:r>
      <w:r>
        <w:rPr>
          <w:rFonts w:ascii="Open Sans" w:hAnsi="Open Sans" w:cs="Open Sans"/>
          <w:color w:val="000000"/>
          <w:sz w:val="20"/>
          <w:szCs w:val="20"/>
          <w:shd w:val="clear" w:color="auto" w:fill="FFFFFF"/>
        </w:rPr>
        <w:t>. [online] Available at: &lt;https://socialchorus.com/blog/employee-engagement-key-to-company-success/&gt; [Accessed 27 August 2021].</w:t>
      </w:r>
    </w:p>
    <w:p w14:paraId="383BACDE" w14:textId="64638761" w:rsidR="00C2695B" w:rsidRPr="00853C01" w:rsidRDefault="00C2695B" w:rsidP="00C2695B">
      <w:pPr>
        <w:rPr>
          <w:sz w:val="22"/>
          <w:szCs w:val="22"/>
        </w:rPr>
      </w:pPr>
    </w:p>
    <w:p w14:paraId="04D40457" w14:textId="429B279D" w:rsidR="00C2695B" w:rsidRPr="00853C01" w:rsidRDefault="00B41009" w:rsidP="00C2695B">
      <w:pPr>
        <w:rPr>
          <w:sz w:val="22"/>
          <w:szCs w:val="22"/>
        </w:rPr>
      </w:pPr>
      <w:r>
        <w:rPr>
          <w:rFonts w:ascii="Open Sans" w:hAnsi="Open Sans" w:cs="Open Sans"/>
          <w:color w:val="000000"/>
          <w:sz w:val="20"/>
          <w:szCs w:val="20"/>
          <w:shd w:val="clear" w:color="auto" w:fill="FFFFFF"/>
        </w:rPr>
        <w:t>Wietrak, E., Rousseau, D. and Barends, E., 2021. </w:t>
      </w:r>
      <w:r>
        <w:rPr>
          <w:rFonts w:ascii="Open Sans" w:hAnsi="Open Sans" w:cs="Open Sans"/>
          <w:i/>
          <w:iCs/>
          <w:color w:val="000000"/>
          <w:sz w:val="20"/>
          <w:szCs w:val="20"/>
          <w:shd w:val="clear" w:color="auto" w:fill="FFFFFF"/>
        </w:rPr>
        <w:t>Work motivation: an evidence review</w:t>
      </w:r>
      <w:r>
        <w:rPr>
          <w:rFonts w:ascii="Open Sans" w:hAnsi="Open Sans" w:cs="Open Sans"/>
          <w:color w:val="000000"/>
          <w:sz w:val="20"/>
          <w:szCs w:val="20"/>
          <w:shd w:val="clear" w:color="auto" w:fill="FFFFFF"/>
        </w:rPr>
        <w:t>. 1st ed. [ebook] London: Chartered Institute of Personnel and Development. Available at: &lt;https://www.cipd.co.uk/Images/work-motivation-scientific-summary_tcm18-89562.pdf&gt; [Accessed 27 August 2021].</w:t>
      </w:r>
    </w:p>
    <w:p w14:paraId="131F2197" w14:textId="2C584711" w:rsidR="00C2695B" w:rsidRPr="00853C01" w:rsidRDefault="00C2695B" w:rsidP="00C2695B">
      <w:pPr>
        <w:rPr>
          <w:sz w:val="22"/>
          <w:szCs w:val="22"/>
        </w:rPr>
      </w:pPr>
    </w:p>
    <w:p w14:paraId="51AB2D45" w14:textId="2EF47E98" w:rsidR="00C2695B" w:rsidRDefault="00C2695B" w:rsidP="00C2695B"/>
    <w:p w14:paraId="74A94E7A" w14:textId="1E34A68B" w:rsidR="00C2695B" w:rsidRDefault="00C2695B" w:rsidP="00C2695B"/>
    <w:p w14:paraId="64E5DEA9" w14:textId="619BF420" w:rsidR="00C2695B" w:rsidRDefault="00C2695B" w:rsidP="00C2695B"/>
    <w:p w14:paraId="0D90C4CA" w14:textId="77777777" w:rsidR="00C2695B" w:rsidRPr="00C2695B" w:rsidRDefault="00C2695B" w:rsidP="00C2695B"/>
    <w:sectPr w:rsidR="00C2695B" w:rsidRPr="00C2695B" w:rsidSect="008350A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A78D7" w14:textId="77777777" w:rsidR="003231C9" w:rsidRDefault="003231C9" w:rsidP="002C449B">
      <w:r>
        <w:separator/>
      </w:r>
    </w:p>
  </w:endnote>
  <w:endnote w:type="continuationSeparator" w:id="0">
    <w:p w14:paraId="78E810D4" w14:textId="77777777" w:rsidR="003231C9" w:rsidRDefault="003231C9" w:rsidP="002C44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60A74" w14:textId="77777777" w:rsidR="003231C9" w:rsidRDefault="003231C9" w:rsidP="002C449B">
      <w:r>
        <w:separator/>
      </w:r>
    </w:p>
  </w:footnote>
  <w:footnote w:type="continuationSeparator" w:id="0">
    <w:p w14:paraId="646DD6E4" w14:textId="77777777" w:rsidR="003231C9" w:rsidRDefault="003231C9" w:rsidP="002C44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9561B"/>
    <w:multiLevelType w:val="hybridMultilevel"/>
    <w:tmpl w:val="30B62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DE3AE1"/>
    <w:multiLevelType w:val="hybridMultilevel"/>
    <w:tmpl w:val="335C9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5C69B0"/>
    <w:multiLevelType w:val="hybridMultilevel"/>
    <w:tmpl w:val="AB383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E95420"/>
    <w:multiLevelType w:val="hybridMultilevel"/>
    <w:tmpl w:val="2B249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526C91"/>
    <w:multiLevelType w:val="multilevel"/>
    <w:tmpl w:val="15E8C18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39343D5A"/>
    <w:multiLevelType w:val="hybridMultilevel"/>
    <w:tmpl w:val="D7D0D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13128E"/>
    <w:multiLevelType w:val="hybridMultilevel"/>
    <w:tmpl w:val="1AEC1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7C5D9A"/>
    <w:multiLevelType w:val="hybridMultilevel"/>
    <w:tmpl w:val="71ECD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924E71"/>
    <w:multiLevelType w:val="hybridMultilevel"/>
    <w:tmpl w:val="28767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E7174D"/>
    <w:multiLevelType w:val="multilevel"/>
    <w:tmpl w:val="15E8C18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9"/>
  </w:num>
  <w:num w:numId="2">
    <w:abstractNumId w:val="6"/>
  </w:num>
  <w:num w:numId="3">
    <w:abstractNumId w:val="1"/>
  </w:num>
  <w:num w:numId="4">
    <w:abstractNumId w:val="0"/>
  </w:num>
  <w:num w:numId="5">
    <w:abstractNumId w:val="2"/>
  </w:num>
  <w:num w:numId="6">
    <w:abstractNumId w:val="4"/>
  </w:num>
  <w:num w:numId="7">
    <w:abstractNumId w:val="3"/>
  </w:num>
  <w:num w:numId="8">
    <w:abstractNumId w:val="8"/>
  </w:num>
  <w:num w:numId="9">
    <w:abstractNumId w:val="7"/>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95B"/>
    <w:rsid w:val="00032295"/>
    <w:rsid w:val="00065E98"/>
    <w:rsid w:val="00074CD4"/>
    <w:rsid w:val="000B0AD1"/>
    <w:rsid w:val="000D4745"/>
    <w:rsid w:val="00111C0C"/>
    <w:rsid w:val="00131D34"/>
    <w:rsid w:val="001427E0"/>
    <w:rsid w:val="00147594"/>
    <w:rsid w:val="0015732A"/>
    <w:rsid w:val="00164AA9"/>
    <w:rsid w:val="00180708"/>
    <w:rsid w:val="001B46C6"/>
    <w:rsid w:val="001C00E3"/>
    <w:rsid w:val="001C4D73"/>
    <w:rsid w:val="001C4DE4"/>
    <w:rsid w:val="001D31CF"/>
    <w:rsid w:val="001E50F2"/>
    <w:rsid w:val="00204A27"/>
    <w:rsid w:val="0022003C"/>
    <w:rsid w:val="00234314"/>
    <w:rsid w:val="0023483F"/>
    <w:rsid w:val="00265398"/>
    <w:rsid w:val="00273A52"/>
    <w:rsid w:val="002B7FB6"/>
    <w:rsid w:val="002C449B"/>
    <w:rsid w:val="002E6364"/>
    <w:rsid w:val="002F59DE"/>
    <w:rsid w:val="00312E66"/>
    <w:rsid w:val="00315645"/>
    <w:rsid w:val="003231C9"/>
    <w:rsid w:val="0033301A"/>
    <w:rsid w:val="00371058"/>
    <w:rsid w:val="00375667"/>
    <w:rsid w:val="0038548D"/>
    <w:rsid w:val="003B25D8"/>
    <w:rsid w:val="003D6285"/>
    <w:rsid w:val="003D6AD6"/>
    <w:rsid w:val="003F5EC5"/>
    <w:rsid w:val="003F64E7"/>
    <w:rsid w:val="00410E65"/>
    <w:rsid w:val="00417148"/>
    <w:rsid w:val="004246B7"/>
    <w:rsid w:val="00436BD3"/>
    <w:rsid w:val="00450626"/>
    <w:rsid w:val="00451E06"/>
    <w:rsid w:val="00473AD3"/>
    <w:rsid w:val="004870A9"/>
    <w:rsid w:val="004D38AE"/>
    <w:rsid w:val="004E2C0A"/>
    <w:rsid w:val="005102F1"/>
    <w:rsid w:val="005123E8"/>
    <w:rsid w:val="00513533"/>
    <w:rsid w:val="00561923"/>
    <w:rsid w:val="00562296"/>
    <w:rsid w:val="00565471"/>
    <w:rsid w:val="005703F4"/>
    <w:rsid w:val="00582E01"/>
    <w:rsid w:val="005921D7"/>
    <w:rsid w:val="005A2136"/>
    <w:rsid w:val="005B2A5F"/>
    <w:rsid w:val="005C410F"/>
    <w:rsid w:val="005F55BF"/>
    <w:rsid w:val="00600509"/>
    <w:rsid w:val="00604699"/>
    <w:rsid w:val="00620746"/>
    <w:rsid w:val="00674CEE"/>
    <w:rsid w:val="006B1A50"/>
    <w:rsid w:val="006B2FDD"/>
    <w:rsid w:val="006E1319"/>
    <w:rsid w:val="007035AF"/>
    <w:rsid w:val="007201BC"/>
    <w:rsid w:val="00745770"/>
    <w:rsid w:val="00756CDF"/>
    <w:rsid w:val="00761CC8"/>
    <w:rsid w:val="0078068D"/>
    <w:rsid w:val="0079795D"/>
    <w:rsid w:val="007A6EE3"/>
    <w:rsid w:val="007C3290"/>
    <w:rsid w:val="007D25AB"/>
    <w:rsid w:val="007D2B8D"/>
    <w:rsid w:val="007F05E3"/>
    <w:rsid w:val="00817C56"/>
    <w:rsid w:val="008350A2"/>
    <w:rsid w:val="008519AC"/>
    <w:rsid w:val="00853C01"/>
    <w:rsid w:val="00901F4D"/>
    <w:rsid w:val="0091084C"/>
    <w:rsid w:val="00912F3A"/>
    <w:rsid w:val="009215C5"/>
    <w:rsid w:val="00951D35"/>
    <w:rsid w:val="0095278E"/>
    <w:rsid w:val="00961EA3"/>
    <w:rsid w:val="00980B32"/>
    <w:rsid w:val="00985DA8"/>
    <w:rsid w:val="009C0AEB"/>
    <w:rsid w:val="009D7834"/>
    <w:rsid w:val="009F2D6E"/>
    <w:rsid w:val="00A10BA0"/>
    <w:rsid w:val="00A33E0F"/>
    <w:rsid w:val="00A557D4"/>
    <w:rsid w:val="00A60364"/>
    <w:rsid w:val="00A61990"/>
    <w:rsid w:val="00A73FC0"/>
    <w:rsid w:val="00AC6C49"/>
    <w:rsid w:val="00AD7E80"/>
    <w:rsid w:val="00B043D4"/>
    <w:rsid w:val="00B122BC"/>
    <w:rsid w:val="00B24755"/>
    <w:rsid w:val="00B32EC6"/>
    <w:rsid w:val="00B41009"/>
    <w:rsid w:val="00B5015D"/>
    <w:rsid w:val="00B62913"/>
    <w:rsid w:val="00B875DB"/>
    <w:rsid w:val="00BA07D8"/>
    <w:rsid w:val="00BB3B34"/>
    <w:rsid w:val="00BF29F0"/>
    <w:rsid w:val="00C25229"/>
    <w:rsid w:val="00C2695B"/>
    <w:rsid w:val="00C27769"/>
    <w:rsid w:val="00C71C58"/>
    <w:rsid w:val="00C82414"/>
    <w:rsid w:val="00CA0669"/>
    <w:rsid w:val="00CC7CDB"/>
    <w:rsid w:val="00CF245F"/>
    <w:rsid w:val="00CF6B06"/>
    <w:rsid w:val="00D0585A"/>
    <w:rsid w:val="00D32BCF"/>
    <w:rsid w:val="00D83584"/>
    <w:rsid w:val="00D87621"/>
    <w:rsid w:val="00D92515"/>
    <w:rsid w:val="00D9466F"/>
    <w:rsid w:val="00D9601E"/>
    <w:rsid w:val="00DC70C6"/>
    <w:rsid w:val="00DD1D29"/>
    <w:rsid w:val="00DD31CD"/>
    <w:rsid w:val="00DF4C9B"/>
    <w:rsid w:val="00E16C1F"/>
    <w:rsid w:val="00E203DE"/>
    <w:rsid w:val="00E3199F"/>
    <w:rsid w:val="00E83713"/>
    <w:rsid w:val="00EA1E8B"/>
    <w:rsid w:val="00EB04AB"/>
    <w:rsid w:val="00EB0B0D"/>
    <w:rsid w:val="00EC770B"/>
    <w:rsid w:val="00F55B0E"/>
    <w:rsid w:val="00F567FC"/>
    <w:rsid w:val="00F92ADB"/>
    <w:rsid w:val="00F9656F"/>
    <w:rsid w:val="00FA7A8F"/>
    <w:rsid w:val="00FB0A0D"/>
    <w:rsid w:val="00FD0D31"/>
    <w:rsid w:val="00FE0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05325"/>
  <w15:chartTrackingRefBased/>
  <w15:docId w15:val="{334F25B1-CB95-4803-9449-8FA85680C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95B"/>
    <w:pPr>
      <w:suppressAutoHyphens/>
      <w:autoSpaceDN w:val="0"/>
      <w:spacing w:after="0" w:line="240" w:lineRule="auto"/>
      <w:textAlignment w:val="baseline"/>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695B"/>
    <w:pPr>
      <w:ind w:left="720"/>
      <w:contextualSpacing/>
    </w:pPr>
  </w:style>
  <w:style w:type="paragraph" w:styleId="Header">
    <w:name w:val="header"/>
    <w:basedOn w:val="Normal"/>
    <w:link w:val="HeaderChar"/>
    <w:uiPriority w:val="99"/>
    <w:unhideWhenUsed/>
    <w:rsid w:val="002C449B"/>
    <w:pPr>
      <w:tabs>
        <w:tab w:val="center" w:pos="4513"/>
        <w:tab w:val="right" w:pos="9026"/>
      </w:tabs>
    </w:pPr>
  </w:style>
  <w:style w:type="character" w:customStyle="1" w:styleId="HeaderChar">
    <w:name w:val="Header Char"/>
    <w:basedOn w:val="DefaultParagraphFont"/>
    <w:link w:val="Header"/>
    <w:uiPriority w:val="99"/>
    <w:rsid w:val="002C449B"/>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2C449B"/>
    <w:pPr>
      <w:tabs>
        <w:tab w:val="center" w:pos="4513"/>
        <w:tab w:val="right" w:pos="9026"/>
      </w:tabs>
    </w:pPr>
  </w:style>
  <w:style w:type="character" w:customStyle="1" w:styleId="FooterChar">
    <w:name w:val="Footer Char"/>
    <w:basedOn w:val="DefaultParagraphFont"/>
    <w:link w:val="Footer"/>
    <w:uiPriority w:val="99"/>
    <w:rsid w:val="002C449B"/>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C4D73"/>
    <w:rPr>
      <w:color w:val="0563C1" w:themeColor="hyperlink"/>
      <w:u w:val="single"/>
    </w:rPr>
  </w:style>
  <w:style w:type="character" w:styleId="UnresolvedMention">
    <w:name w:val="Unresolved Mention"/>
    <w:basedOn w:val="DefaultParagraphFont"/>
    <w:uiPriority w:val="99"/>
    <w:semiHidden/>
    <w:unhideWhenUsed/>
    <w:rsid w:val="001C4D73"/>
    <w:rPr>
      <w:color w:val="605E5C"/>
      <w:shd w:val="clear" w:color="auto" w:fill="E1DFDD"/>
    </w:rPr>
  </w:style>
  <w:style w:type="character" w:styleId="FollowedHyperlink">
    <w:name w:val="FollowedHyperlink"/>
    <w:basedOn w:val="DefaultParagraphFont"/>
    <w:uiPriority w:val="99"/>
    <w:semiHidden/>
    <w:unhideWhenUsed/>
    <w:rsid w:val="007201BC"/>
    <w:rPr>
      <w:color w:val="954F72" w:themeColor="followedHyperlink"/>
      <w:u w:val="single"/>
    </w:rPr>
  </w:style>
  <w:style w:type="table" w:styleId="TableGrid">
    <w:name w:val="Table Grid"/>
    <w:basedOn w:val="TableNormal"/>
    <w:uiPriority w:val="39"/>
    <w:rsid w:val="00131D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media/pdf/s/1/Building)employee_engagement-accessiblw-version-Jun-2021.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705CC1-C68E-48A1-B78C-F79009072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15834</TotalTime>
  <Pages>9</Pages>
  <Words>4639</Words>
  <Characters>26446</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Rainbow</dc:creator>
  <cp:keywords/>
  <dc:description/>
  <cp:lastModifiedBy>Jessica Rainbow</cp:lastModifiedBy>
  <cp:revision>19</cp:revision>
  <dcterms:created xsi:type="dcterms:W3CDTF">2021-10-19T08:10:00Z</dcterms:created>
  <dcterms:modified xsi:type="dcterms:W3CDTF">2021-11-01T16:17:00Z</dcterms:modified>
</cp:coreProperties>
</file>