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ae"/>
        <w:tblW w:w="0" w:type="auto"/>
        <w:tblInd w:w="137" w:type="dxa"/>
        <w:tblLook w:val="04A0" w:firstRow="1" w:lastRow="0" w:firstColumn="1" w:lastColumn="0" w:noHBand="0" w:noVBand="1"/>
      </w:tblPr>
      <w:tblGrid>
        <w:gridCol w:w="8159"/>
      </w:tblGrid>
      <w:tr w:rsidR="00CA1A5F" w14:paraId="73B51AAF" w14:textId="77777777" w:rsidTr="001F3D4A">
        <w:tc>
          <w:tcPr>
            <w:tcW w:w="8159" w:type="dxa"/>
            <w:shd w:val="clear" w:color="auto" w:fill="D1D1D1" w:themeFill="background2" w:themeFillShade="E6"/>
          </w:tcPr>
          <w:p w14:paraId="4CC31979" w14:textId="77777777" w:rsidR="00CA1A5F" w:rsidRPr="00F21622" w:rsidRDefault="00CA1A5F" w:rsidP="001F3D4A">
            <w:pPr>
              <w:widowControl/>
              <w:spacing w:before="100" w:beforeAutospacing="1" w:after="100" w:afterAutospacing="1"/>
              <w:ind w:firstLineChars="300" w:firstLine="964"/>
              <w:rPr>
                <w:rFonts w:ascii="Arial" w:eastAsia="宋体" w:hAnsi="Arial" w:cs="Arial"/>
                <w:b/>
                <w:bCs/>
                <w:kern w:val="0"/>
                <w:sz w:val="32"/>
                <w:szCs w:val="32"/>
              </w:rPr>
            </w:pPr>
            <w:r w:rsidRPr="00F21622">
              <w:rPr>
                <w:rFonts w:ascii="Arial" w:eastAsia="宋体" w:hAnsi="Arial" w:cs="Arial"/>
                <w:b/>
                <w:bCs/>
                <w:kern w:val="0"/>
                <w:sz w:val="32"/>
                <w:szCs w:val="32"/>
              </w:rPr>
              <w:t>LEVEL 6 ASSESSMENT SPECIFICATION</w:t>
            </w:r>
          </w:p>
        </w:tc>
      </w:tr>
    </w:tbl>
    <w:p w14:paraId="05CDA2B7" w14:textId="77777777" w:rsidR="00CA1A5F" w:rsidRDefault="00CA1A5F" w:rsidP="00CA1A5F">
      <w:pPr>
        <w:widowControl/>
        <w:spacing w:before="100" w:beforeAutospacing="1" w:after="100" w:afterAutospacing="1"/>
        <w:rPr>
          <w:rFonts w:ascii="Times New Roman" w:eastAsia="宋体" w:hAnsi="Times New Roman" w:cs="Times New Roman"/>
          <w:b/>
          <w:bCs/>
          <w:kern w:val="0"/>
          <w:sz w:val="28"/>
          <w:szCs w:val="28"/>
        </w:rPr>
      </w:pPr>
    </w:p>
    <w:tbl>
      <w:tblPr>
        <w:tblW w:w="850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39"/>
        <w:gridCol w:w="2426"/>
        <w:gridCol w:w="2193"/>
        <w:gridCol w:w="205"/>
        <w:gridCol w:w="1844"/>
      </w:tblGrid>
      <w:tr w:rsidR="00CA1A5F" w:rsidRPr="00F21622" w14:paraId="64182F4B" w14:textId="77777777" w:rsidTr="001F3D4A">
        <w:trPr>
          <w:trHeight w:val="426"/>
        </w:trPr>
        <w:tc>
          <w:tcPr>
            <w:tcW w:w="1839" w:type="dxa"/>
            <w:shd w:val="clear" w:color="auto" w:fill="D1D1D1" w:themeFill="background2" w:themeFillShade="E6"/>
          </w:tcPr>
          <w:p w14:paraId="3CE7F2C3" w14:textId="77777777" w:rsidR="00CA1A5F" w:rsidRPr="00F21622" w:rsidRDefault="00CA1A5F" w:rsidP="001F3D4A">
            <w:pPr>
              <w:widowControl/>
              <w:spacing w:before="100" w:beforeAutospacing="1" w:after="100" w:afterAutospacing="1"/>
              <w:rPr>
                <w:rFonts w:ascii="Arial" w:eastAsia="宋体" w:hAnsi="Arial" w:cs="Arial"/>
                <w:b/>
                <w:bCs/>
                <w:kern w:val="0"/>
                <w:sz w:val="22"/>
              </w:rPr>
            </w:pPr>
            <w:r w:rsidRPr="00F21622">
              <w:rPr>
                <w:rFonts w:ascii="Arial" w:eastAsia="宋体" w:hAnsi="Arial" w:cs="Arial"/>
                <w:b/>
                <w:bCs/>
                <w:kern w:val="0"/>
                <w:sz w:val="22"/>
              </w:rPr>
              <w:t>Student name:</w:t>
            </w:r>
          </w:p>
        </w:tc>
        <w:tc>
          <w:tcPr>
            <w:tcW w:w="2426" w:type="dxa"/>
          </w:tcPr>
          <w:p w14:paraId="29590A18" w14:textId="77777777" w:rsidR="00CA1A5F" w:rsidRPr="00F21622" w:rsidRDefault="00CA1A5F" w:rsidP="001F3D4A">
            <w:pPr>
              <w:widowControl/>
              <w:jc w:val="left"/>
              <w:rPr>
                <w:rFonts w:ascii="Arial" w:eastAsia="宋体" w:hAnsi="Arial" w:cs="Arial"/>
                <w:b/>
                <w:bCs/>
                <w:kern w:val="0"/>
                <w:sz w:val="22"/>
              </w:rPr>
            </w:pPr>
            <w:r w:rsidRPr="00F21622">
              <w:rPr>
                <w:rFonts w:ascii="Arial" w:eastAsia="宋体" w:hAnsi="Arial" w:cs="Arial"/>
                <w:b/>
                <w:bCs/>
                <w:kern w:val="0"/>
                <w:sz w:val="22"/>
              </w:rPr>
              <w:t>Yuze Tang</w:t>
            </w:r>
          </w:p>
        </w:tc>
        <w:tc>
          <w:tcPr>
            <w:tcW w:w="2398" w:type="dxa"/>
            <w:gridSpan w:val="2"/>
            <w:shd w:val="clear" w:color="auto" w:fill="D1D1D1" w:themeFill="background2" w:themeFillShade="E6"/>
          </w:tcPr>
          <w:p w14:paraId="57E4F9BB" w14:textId="77777777" w:rsidR="00CA1A5F" w:rsidRPr="00F21622" w:rsidRDefault="00CA1A5F" w:rsidP="001F3D4A">
            <w:pPr>
              <w:widowControl/>
              <w:jc w:val="left"/>
              <w:rPr>
                <w:rFonts w:ascii="Arial" w:eastAsia="宋体" w:hAnsi="Arial" w:cs="Arial"/>
                <w:b/>
                <w:bCs/>
                <w:kern w:val="0"/>
                <w:sz w:val="22"/>
              </w:rPr>
            </w:pPr>
            <w:r w:rsidRPr="00F21622">
              <w:rPr>
                <w:rFonts w:ascii="Arial" w:eastAsia="宋体" w:hAnsi="Arial" w:cs="Arial"/>
                <w:b/>
                <w:bCs/>
                <w:kern w:val="0"/>
                <w:sz w:val="22"/>
              </w:rPr>
              <w:t>Student ID number:</w:t>
            </w:r>
          </w:p>
        </w:tc>
        <w:tc>
          <w:tcPr>
            <w:tcW w:w="1844" w:type="dxa"/>
          </w:tcPr>
          <w:p w14:paraId="064D71EC" w14:textId="77777777" w:rsidR="00CA1A5F" w:rsidRPr="00F21622" w:rsidRDefault="00CA1A5F" w:rsidP="001F3D4A">
            <w:pPr>
              <w:widowControl/>
              <w:jc w:val="left"/>
              <w:rPr>
                <w:rFonts w:ascii="Arial" w:eastAsia="宋体" w:hAnsi="Arial" w:cs="Arial"/>
                <w:b/>
                <w:bCs/>
                <w:kern w:val="0"/>
                <w:sz w:val="22"/>
              </w:rPr>
            </w:pPr>
            <w:r w:rsidRPr="00F21622">
              <w:rPr>
                <w:rFonts w:ascii="Arial" w:eastAsia="宋体" w:hAnsi="Arial" w:cs="Arial"/>
                <w:b/>
                <w:bCs/>
                <w:kern w:val="0"/>
                <w:sz w:val="22"/>
              </w:rPr>
              <w:t>2500218</w:t>
            </w:r>
          </w:p>
        </w:tc>
      </w:tr>
      <w:tr w:rsidR="00CA1A5F" w14:paraId="00B970E4" w14:textId="77777777" w:rsidTr="001F3D4A">
        <w:tblPrEx>
          <w:tblBorders>
            <w:left w:val="none" w:sz="0" w:space="0" w:color="auto"/>
            <w:bottom w:val="none" w:sz="0" w:space="0" w:color="auto"/>
            <w:right w:val="none" w:sz="0" w:space="0" w:color="auto"/>
            <w:insideH w:val="none" w:sz="0" w:space="0" w:color="auto"/>
            <w:insideV w:val="none" w:sz="0" w:space="0" w:color="auto"/>
          </w:tblBorders>
        </w:tblPrEx>
        <w:trPr>
          <w:trHeight w:val="419"/>
        </w:trPr>
        <w:tc>
          <w:tcPr>
            <w:tcW w:w="1839" w:type="dxa"/>
            <w:tcBorders>
              <w:left w:val="single" w:sz="4" w:space="0" w:color="auto"/>
              <w:right w:val="single" w:sz="4" w:space="0" w:color="auto"/>
            </w:tcBorders>
            <w:shd w:val="clear" w:color="auto" w:fill="D1D1D1" w:themeFill="background2" w:themeFillShade="E6"/>
          </w:tcPr>
          <w:p w14:paraId="0EDB31CE" w14:textId="77777777" w:rsidR="00CA1A5F" w:rsidRPr="00401E33" w:rsidRDefault="00CA1A5F" w:rsidP="001F3D4A">
            <w:pPr>
              <w:widowControl/>
              <w:spacing w:before="100" w:beforeAutospacing="1" w:after="100" w:afterAutospacing="1"/>
              <w:rPr>
                <w:rFonts w:ascii="Arial" w:eastAsia="宋体" w:hAnsi="Arial" w:cs="Arial"/>
                <w:b/>
                <w:bCs/>
                <w:kern w:val="0"/>
                <w:sz w:val="28"/>
                <w:szCs w:val="28"/>
              </w:rPr>
            </w:pPr>
            <w:proofErr w:type="spellStart"/>
            <w:r w:rsidRPr="00401E33">
              <w:rPr>
                <w:rFonts w:ascii="Arial" w:hAnsi="Arial" w:cs="Arial"/>
                <w:b/>
                <w:bCs/>
              </w:rPr>
              <w:t>Programme</w:t>
            </w:r>
            <w:proofErr w:type="spellEnd"/>
            <w:r w:rsidRPr="00401E33">
              <w:rPr>
                <w:rFonts w:ascii="Arial" w:hAnsi="Arial" w:cs="Arial"/>
                <w:b/>
                <w:bCs/>
              </w:rPr>
              <w:t>:</w:t>
            </w:r>
          </w:p>
        </w:tc>
        <w:tc>
          <w:tcPr>
            <w:tcW w:w="6668" w:type="dxa"/>
            <w:gridSpan w:val="4"/>
            <w:tcBorders>
              <w:top w:val="single" w:sz="4" w:space="0" w:color="auto"/>
              <w:left w:val="single" w:sz="4" w:space="0" w:color="auto"/>
              <w:bottom w:val="single" w:sz="4" w:space="0" w:color="auto"/>
              <w:right w:val="single" w:sz="4" w:space="0" w:color="auto"/>
            </w:tcBorders>
          </w:tcPr>
          <w:p w14:paraId="0A127259" w14:textId="77777777" w:rsidR="00CA1A5F" w:rsidRPr="00401E33" w:rsidRDefault="00CA1A5F" w:rsidP="001F3D4A">
            <w:pPr>
              <w:widowControl/>
              <w:jc w:val="left"/>
              <w:rPr>
                <w:rFonts w:ascii="Arial" w:hAnsi="Arial" w:cs="Arial"/>
              </w:rPr>
            </w:pPr>
            <w:r w:rsidRPr="00401E33">
              <w:rPr>
                <w:rFonts w:ascii="Arial" w:hAnsi="Arial" w:cs="Arial"/>
              </w:rPr>
              <w:t>Undergraduate Business Management</w:t>
            </w:r>
          </w:p>
        </w:tc>
      </w:tr>
      <w:tr w:rsidR="00CA1A5F" w14:paraId="63430A33" w14:textId="77777777" w:rsidTr="001F3D4A">
        <w:trPr>
          <w:trHeight w:val="454"/>
        </w:trPr>
        <w:tc>
          <w:tcPr>
            <w:tcW w:w="1839" w:type="dxa"/>
            <w:shd w:val="clear" w:color="auto" w:fill="D1D1D1" w:themeFill="background2" w:themeFillShade="E6"/>
          </w:tcPr>
          <w:p w14:paraId="652C82EA" w14:textId="77777777" w:rsidR="00CA1A5F" w:rsidRPr="00401E33" w:rsidRDefault="00CA1A5F" w:rsidP="001F3D4A">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Module:</w:t>
            </w:r>
          </w:p>
        </w:tc>
        <w:tc>
          <w:tcPr>
            <w:tcW w:w="6668" w:type="dxa"/>
            <w:gridSpan w:val="4"/>
          </w:tcPr>
          <w:p w14:paraId="77A72BAA" w14:textId="77777777" w:rsidR="00CA1A5F" w:rsidRPr="00401E33" w:rsidRDefault="00CA1A5F" w:rsidP="001F3D4A">
            <w:pPr>
              <w:widowControl/>
              <w:jc w:val="left"/>
              <w:rPr>
                <w:rFonts w:ascii="Arial" w:eastAsia="宋体" w:hAnsi="Arial" w:cs="Arial"/>
                <w:b/>
                <w:bCs/>
                <w:kern w:val="0"/>
                <w:sz w:val="28"/>
                <w:szCs w:val="28"/>
              </w:rPr>
            </w:pPr>
            <w:r w:rsidRPr="00401E33">
              <w:rPr>
                <w:rFonts w:ascii="Arial" w:hAnsi="Arial" w:cs="Arial"/>
              </w:rPr>
              <w:t>Strategic Management and Sustainability</w:t>
            </w:r>
          </w:p>
        </w:tc>
      </w:tr>
      <w:tr w:rsidR="00CA1A5F" w14:paraId="4C92EAEA" w14:textId="77777777" w:rsidTr="001F3D4A">
        <w:tblPrEx>
          <w:tblBorders>
            <w:left w:val="none" w:sz="0" w:space="0" w:color="auto"/>
            <w:bottom w:val="none" w:sz="0" w:space="0" w:color="auto"/>
            <w:right w:val="none" w:sz="0" w:space="0" w:color="auto"/>
            <w:insideH w:val="none" w:sz="0" w:space="0" w:color="auto"/>
            <w:insideV w:val="none" w:sz="0" w:space="0" w:color="auto"/>
          </w:tblBorders>
        </w:tblPrEx>
        <w:trPr>
          <w:trHeight w:val="517"/>
        </w:trPr>
        <w:tc>
          <w:tcPr>
            <w:tcW w:w="1839" w:type="dxa"/>
            <w:tcBorders>
              <w:left w:val="single" w:sz="4" w:space="0" w:color="auto"/>
              <w:bottom w:val="single" w:sz="4" w:space="0" w:color="auto"/>
              <w:right w:val="single" w:sz="4" w:space="0" w:color="auto"/>
            </w:tcBorders>
            <w:shd w:val="clear" w:color="auto" w:fill="D1D1D1" w:themeFill="background2" w:themeFillShade="E6"/>
          </w:tcPr>
          <w:p w14:paraId="1DEB20AB" w14:textId="77777777" w:rsidR="00CA1A5F" w:rsidRPr="00401E33" w:rsidRDefault="00CA1A5F" w:rsidP="001F3D4A">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Module code:</w:t>
            </w:r>
          </w:p>
        </w:tc>
        <w:tc>
          <w:tcPr>
            <w:tcW w:w="2426" w:type="dxa"/>
            <w:tcBorders>
              <w:top w:val="single" w:sz="4" w:space="0" w:color="auto"/>
              <w:left w:val="single" w:sz="4" w:space="0" w:color="auto"/>
              <w:bottom w:val="single" w:sz="4" w:space="0" w:color="auto"/>
              <w:right w:val="single" w:sz="4" w:space="0" w:color="auto"/>
            </w:tcBorders>
          </w:tcPr>
          <w:p w14:paraId="6051074D" w14:textId="77777777" w:rsidR="00CA1A5F" w:rsidRPr="00401E33" w:rsidRDefault="00CA1A5F" w:rsidP="001F3D4A">
            <w:pPr>
              <w:widowControl/>
              <w:jc w:val="left"/>
              <w:rPr>
                <w:rFonts w:ascii="Arial" w:eastAsia="宋体" w:hAnsi="Arial" w:cs="Arial"/>
                <w:b/>
                <w:bCs/>
                <w:kern w:val="0"/>
                <w:sz w:val="28"/>
                <w:szCs w:val="28"/>
              </w:rPr>
            </w:pPr>
            <w:r w:rsidRPr="00401E33">
              <w:rPr>
                <w:rFonts w:ascii="Arial" w:hAnsi="Arial" w:cs="Arial"/>
              </w:rPr>
              <w:t>BMBM6024</w:t>
            </w:r>
          </w:p>
        </w:tc>
        <w:tc>
          <w:tcPr>
            <w:tcW w:w="2193" w:type="dxa"/>
            <w:tcBorders>
              <w:top w:val="single" w:sz="4" w:space="0" w:color="auto"/>
              <w:bottom w:val="single" w:sz="4" w:space="0" w:color="auto"/>
              <w:right w:val="single" w:sz="4" w:space="0" w:color="auto"/>
            </w:tcBorders>
            <w:shd w:val="clear" w:color="auto" w:fill="D1D1D1" w:themeFill="background2" w:themeFillShade="E6"/>
          </w:tcPr>
          <w:p w14:paraId="1F92043E" w14:textId="77777777" w:rsidR="00CA1A5F" w:rsidRPr="00401E33" w:rsidRDefault="00CA1A5F" w:rsidP="001F3D4A">
            <w:pPr>
              <w:widowControl/>
              <w:jc w:val="left"/>
              <w:rPr>
                <w:rFonts w:ascii="Arial" w:eastAsia="宋体" w:hAnsi="Arial" w:cs="Arial"/>
                <w:b/>
                <w:bCs/>
                <w:kern w:val="0"/>
                <w:sz w:val="28"/>
                <w:szCs w:val="28"/>
              </w:rPr>
            </w:pPr>
            <w:r w:rsidRPr="00401E33">
              <w:rPr>
                <w:rFonts w:ascii="Arial" w:hAnsi="Arial" w:cs="Arial"/>
                <w:b/>
                <w:bCs/>
              </w:rPr>
              <w:t>Contribution to Overall Module Assessment (%):</w:t>
            </w:r>
          </w:p>
        </w:tc>
        <w:tc>
          <w:tcPr>
            <w:tcW w:w="2049" w:type="dxa"/>
            <w:gridSpan w:val="2"/>
            <w:tcBorders>
              <w:top w:val="single" w:sz="4" w:space="0" w:color="auto"/>
              <w:bottom w:val="single" w:sz="4" w:space="0" w:color="auto"/>
              <w:right w:val="single" w:sz="4" w:space="0" w:color="auto"/>
            </w:tcBorders>
          </w:tcPr>
          <w:p w14:paraId="3FB98E3F" w14:textId="77777777" w:rsidR="00CA1A5F" w:rsidRPr="00401E33" w:rsidRDefault="00CA1A5F" w:rsidP="001F3D4A">
            <w:pPr>
              <w:widowControl/>
              <w:jc w:val="left"/>
              <w:rPr>
                <w:rFonts w:ascii="Arial" w:eastAsia="宋体" w:hAnsi="Arial" w:cs="Arial"/>
                <w:b/>
                <w:bCs/>
                <w:kern w:val="0"/>
                <w:sz w:val="28"/>
                <w:szCs w:val="28"/>
              </w:rPr>
            </w:pPr>
            <w:r w:rsidRPr="00401E33">
              <w:rPr>
                <w:rFonts w:ascii="Arial" w:hAnsi="Arial" w:cs="Arial"/>
              </w:rPr>
              <w:t>50%</w:t>
            </w:r>
          </w:p>
        </w:tc>
      </w:tr>
      <w:tr w:rsidR="00CA1A5F" w14:paraId="0D1E247B" w14:textId="77777777" w:rsidTr="00CA1A5F">
        <w:tblPrEx>
          <w:tblBorders>
            <w:left w:val="none" w:sz="0" w:space="0" w:color="auto"/>
            <w:bottom w:val="none" w:sz="0" w:space="0" w:color="auto"/>
            <w:right w:val="none" w:sz="0" w:space="0" w:color="auto"/>
            <w:insideH w:val="none" w:sz="0" w:space="0" w:color="auto"/>
            <w:insideV w:val="none" w:sz="0" w:space="0" w:color="auto"/>
          </w:tblBorders>
        </w:tblPrEx>
        <w:trPr>
          <w:trHeight w:val="133"/>
        </w:trPr>
        <w:tc>
          <w:tcPr>
            <w:tcW w:w="1839" w:type="dxa"/>
            <w:tcBorders>
              <w:top w:val="single" w:sz="4" w:space="0" w:color="auto"/>
              <w:left w:val="single" w:sz="4" w:space="0" w:color="auto"/>
              <w:bottom w:val="single" w:sz="4" w:space="0" w:color="auto"/>
              <w:right w:val="single" w:sz="4" w:space="0" w:color="auto"/>
            </w:tcBorders>
            <w:shd w:val="clear" w:color="auto" w:fill="D1D1D1" w:themeFill="background2" w:themeFillShade="E6"/>
          </w:tcPr>
          <w:p w14:paraId="3B4AFFA8" w14:textId="77777777" w:rsidR="00CA1A5F" w:rsidRPr="00401E33" w:rsidRDefault="00CA1A5F" w:rsidP="001F3D4A">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Lecturer:</w:t>
            </w:r>
          </w:p>
        </w:tc>
        <w:tc>
          <w:tcPr>
            <w:tcW w:w="2426" w:type="dxa"/>
            <w:tcBorders>
              <w:top w:val="single" w:sz="4" w:space="0" w:color="auto"/>
              <w:left w:val="single" w:sz="4" w:space="0" w:color="auto"/>
              <w:bottom w:val="single" w:sz="4" w:space="0" w:color="auto"/>
              <w:right w:val="single" w:sz="4" w:space="0" w:color="auto"/>
            </w:tcBorders>
          </w:tcPr>
          <w:p w14:paraId="473E920B" w14:textId="77777777" w:rsidR="00CA1A5F" w:rsidRPr="00401E33" w:rsidRDefault="00CA1A5F" w:rsidP="001F3D4A">
            <w:pPr>
              <w:widowControl/>
              <w:jc w:val="left"/>
              <w:rPr>
                <w:rFonts w:ascii="Arial" w:eastAsia="宋体" w:hAnsi="Arial" w:cs="Arial"/>
                <w:b/>
                <w:bCs/>
                <w:kern w:val="0"/>
                <w:sz w:val="28"/>
                <w:szCs w:val="28"/>
              </w:rPr>
            </w:pPr>
            <w:r w:rsidRPr="00401E33">
              <w:rPr>
                <w:rFonts w:ascii="Arial" w:hAnsi="Arial" w:cs="Arial"/>
              </w:rPr>
              <w:t>Robyn Griffiths</w:t>
            </w:r>
          </w:p>
        </w:tc>
        <w:tc>
          <w:tcPr>
            <w:tcW w:w="2193" w:type="dxa"/>
            <w:tcBorders>
              <w:top w:val="single" w:sz="4" w:space="0" w:color="auto"/>
              <w:bottom w:val="single" w:sz="4" w:space="0" w:color="auto"/>
              <w:right w:val="single" w:sz="4" w:space="0" w:color="auto"/>
            </w:tcBorders>
            <w:shd w:val="clear" w:color="auto" w:fill="D1D1D1" w:themeFill="background2" w:themeFillShade="E6"/>
          </w:tcPr>
          <w:p w14:paraId="46758ACF" w14:textId="77777777" w:rsidR="00CA1A5F" w:rsidRPr="00401E33" w:rsidRDefault="00CA1A5F" w:rsidP="001F3D4A">
            <w:pPr>
              <w:widowControl/>
              <w:jc w:val="left"/>
              <w:rPr>
                <w:rFonts w:ascii="Arial" w:eastAsia="宋体" w:hAnsi="Arial" w:cs="Arial"/>
                <w:b/>
                <w:bCs/>
                <w:kern w:val="0"/>
                <w:sz w:val="28"/>
                <w:szCs w:val="28"/>
              </w:rPr>
            </w:pPr>
            <w:r w:rsidRPr="00401E33">
              <w:rPr>
                <w:rFonts w:ascii="Arial" w:hAnsi="Arial" w:cs="Arial"/>
                <w:b/>
                <w:bCs/>
              </w:rPr>
              <w:t>Internal Verifier:</w:t>
            </w:r>
          </w:p>
        </w:tc>
        <w:tc>
          <w:tcPr>
            <w:tcW w:w="2049" w:type="dxa"/>
            <w:gridSpan w:val="2"/>
            <w:tcBorders>
              <w:top w:val="single" w:sz="4" w:space="0" w:color="auto"/>
              <w:bottom w:val="single" w:sz="4" w:space="0" w:color="auto"/>
              <w:right w:val="single" w:sz="4" w:space="0" w:color="auto"/>
            </w:tcBorders>
          </w:tcPr>
          <w:p w14:paraId="265B06BC" w14:textId="77777777" w:rsidR="00CA1A5F" w:rsidRPr="00401E33" w:rsidRDefault="00CA1A5F" w:rsidP="001F3D4A">
            <w:pPr>
              <w:widowControl/>
              <w:jc w:val="left"/>
              <w:rPr>
                <w:rFonts w:ascii="Arial" w:eastAsia="宋体" w:hAnsi="Arial" w:cs="Arial"/>
                <w:b/>
                <w:bCs/>
                <w:kern w:val="0"/>
                <w:sz w:val="28"/>
                <w:szCs w:val="28"/>
              </w:rPr>
            </w:pPr>
            <w:r w:rsidRPr="00401E33">
              <w:rPr>
                <w:rFonts w:ascii="Arial" w:hAnsi="Arial" w:cs="Arial"/>
              </w:rPr>
              <w:t>Gareth Hughes</w:t>
            </w:r>
          </w:p>
        </w:tc>
      </w:tr>
      <w:tr w:rsidR="00CA1A5F" w14:paraId="67EC2DD4" w14:textId="77777777" w:rsidTr="001F3D4A">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1839" w:type="dxa"/>
            <w:tcBorders>
              <w:top w:val="single" w:sz="4" w:space="0" w:color="auto"/>
              <w:left w:val="single" w:sz="4" w:space="0" w:color="auto"/>
              <w:bottom w:val="single" w:sz="4" w:space="0" w:color="auto"/>
              <w:right w:val="single" w:sz="4" w:space="0" w:color="auto"/>
            </w:tcBorders>
            <w:shd w:val="clear" w:color="auto" w:fill="D1D1D1" w:themeFill="background2" w:themeFillShade="E6"/>
          </w:tcPr>
          <w:p w14:paraId="586A2F6A" w14:textId="77777777" w:rsidR="00CA1A5F" w:rsidRPr="00401E33" w:rsidRDefault="00CA1A5F" w:rsidP="001F3D4A">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Assignment Title:</w:t>
            </w:r>
          </w:p>
        </w:tc>
        <w:tc>
          <w:tcPr>
            <w:tcW w:w="2426" w:type="dxa"/>
            <w:tcBorders>
              <w:top w:val="single" w:sz="4" w:space="0" w:color="auto"/>
              <w:left w:val="single" w:sz="4" w:space="0" w:color="auto"/>
              <w:bottom w:val="single" w:sz="4" w:space="0" w:color="auto"/>
              <w:right w:val="single" w:sz="4" w:space="0" w:color="auto"/>
            </w:tcBorders>
          </w:tcPr>
          <w:p w14:paraId="7CA9E034" w14:textId="142E57D6" w:rsidR="00CA1A5F" w:rsidRPr="00CA1A5F" w:rsidRDefault="00CA1A5F" w:rsidP="001F3D4A">
            <w:pPr>
              <w:widowControl/>
              <w:jc w:val="left"/>
              <w:rPr>
                <w:rFonts w:ascii="Arial" w:eastAsia="宋体" w:hAnsi="Arial" w:cs="Arial"/>
                <w:kern w:val="0"/>
                <w:szCs w:val="21"/>
              </w:rPr>
            </w:pPr>
            <w:r w:rsidRPr="00CA1A5F">
              <w:rPr>
                <w:rFonts w:ascii="Arial" w:eastAsia="宋体" w:hAnsi="Arial" w:cs="Arial" w:hint="eastAsia"/>
                <w:kern w:val="0"/>
                <w:szCs w:val="21"/>
              </w:rPr>
              <w:t>2 HOUR EXAM</w:t>
            </w:r>
          </w:p>
        </w:tc>
        <w:tc>
          <w:tcPr>
            <w:tcW w:w="2193" w:type="dxa"/>
            <w:tcBorders>
              <w:top w:val="single" w:sz="4" w:space="0" w:color="auto"/>
              <w:bottom w:val="single" w:sz="4" w:space="0" w:color="auto"/>
              <w:right w:val="single" w:sz="4" w:space="0" w:color="auto"/>
            </w:tcBorders>
            <w:shd w:val="clear" w:color="auto" w:fill="D1D1D1" w:themeFill="background2" w:themeFillShade="E6"/>
          </w:tcPr>
          <w:p w14:paraId="1C0B1DE8" w14:textId="77777777" w:rsidR="00CA1A5F" w:rsidRPr="00401E33" w:rsidRDefault="00CA1A5F" w:rsidP="001F3D4A">
            <w:pPr>
              <w:widowControl/>
              <w:rPr>
                <w:rFonts w:ascii="Arial" w:eastAsia="宋体" w:hAnsi="Arial" w:cs="Arial"/>
                <w:b/>
                <w:bCs/>
                <w:kern w:val="0"/>
                <w:sz w:val="28"/>
                <w:szCs w:val="28"/>
              </w:rPr>
            </w:pPr>
            <w:r w:rsidRPr="00401E33">
              <w:rPr>
                <w:rFonts w:ascii="Arial" w:hAnsi="Arial" w:cs="Arial"/>
                <w:b/>
                <w:bCs/>
              </w:rPr>
              <w:t>Word count (or equivalent):</w:t>
            </w:r>
          </w:p>
        </w:tc>
        <w:tc>
          <w:tcPr>
            <w:tcW w:w="2049" w:type="dxa"/>
            <w:gridSpan w:val="2"/>
            <w:tcBorders>
              <w:top w:val="single" w:sz="4" w:space="0" w:color="auto"/>
              <w:bottom w:val="single" w:sz="4" w:space="0" w:color="auto"/>
              <w:right w:val="single" w:sz="4" w:space="0" w:color="auto"/>
            </w:tcBorders>
          </w:tcPr>
          <w:p w14:paraId="71872039" w14:textId="77777777" w:rsidR="00CA1A5F" w:rsidRPr="00401E33" w:rsidRDefault="00CA1A5F" w:rsidP="001F3D4A">
            <w:pPr>
              <w:widowControl/>
              <w:jc w:val="left"/>
              <w:rPr>
                <w:rFonts w:ascii="Arial" w:eastAsia="宋体" w:hAnsi="Arial" w:cs="Arial"/>
                <w:b/>
                <w:bCs/>
                <w:kern w:val="0"/>
                <w:sz w:val="28"/>
                <w:szCs w:val="28"/>
              </w:rPr>
            </w:pPr>
            <w:r w:rsidRPr="00401E33">
              <w:rPr>
                <w:rFonts w:ascii="Arial" w:hAnsi="Arial" w:cs="Arial"/>
              </w:rPr>
              <w:t>2,000</w:t>
            </w:r>
          </w:p>
        </w:tc>
      </w:tr>
      <w:tr w:rsidR="00CA1A5F" w14:paraId="6AB6AACC" w14:textId="77777777" w:rsidTr="001F3D4A">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1839" w:type="dxa"/>
            <w:tcBorders>
              <w:top w:val="single" w:sz="4" w:space="0" w:color="auto"/>
              <w:left w:val="single" w:sz="4" w:space="0" w:color="auto"/>
              <w:bottom w:val="single" w:sz="4" w:space="0" w:color="auto"/>
              <w:right w:val="single" w:sz="4" w:space="0" w:color="auto"/>
            </w:tcBorders>
            <w:shd w:val="clear" w:color="auto" w:fill="D1D1D1" w:themeFill="background2" w:themeFillShade="E6"/>
          </w:tcPr>
          <w:p w14:paraId="6AA7196C" w14:textId="77777777" w:rsidR="00CA1A5F" w:rsidRPr="00401E33" w:rsidRDefault="00CA1A5F" w:rsidP="001F3D4A">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Submission deadline:</w:t>
            </w:r>
          </w:p>
        </w:tc>
        <w:tc>
          <w:tcPr>
            <w:tcW w:w="2426" w:type="dxa"/>
            <w:tcBorders>
              <w:top w:val="single" w:sz="4" w:space="0" w:color="auto"/>
              <w:left w:val="single" w:sz="4" w:space="0" w:color="auto"/>
              <w:bottom w:val="single" w:sz="4" w:space="0" w:color="auto"/>
              <w:right w:val="single" w:sz="4" w:space="0" w:color="auto"/>
            </w:tcBorders>
          </w:tcPr>
          <w:p w14:paraId="2787244B" w14:textId="605D79BE" w:rsidR="00CA1A5F" w:rsidRPr="00CA1A5F" w:rsidRDefault="00CA1A5F" w:rsidP="001F3D4A">
            <w:pPr>
              <w:widowControl/>
              <w:jc w:val="left"/>
              <w:rPr>
                <w:rFonts w:ascii="Arial" w:eastAsia="宋体" w:hAnsi="Arial" w:cs="Arial" w:hint="eastAsia"/>
                <w:kern w:val="0"/>
                <w:szCs w:val="21"/>
              </w:rPr>
            </w:pPr>
            <w:r w:rsidRPr="00CA1A5F">
              <w:rPr>
                <w:rFonts w:ascii="Arial" w:eastAsia="宋体" w:hAnsi="Arial" w:cs="Arial" w:hint="eastAsia"/>
                <w:kern w:val="0"/>
                <w:szCs w:val="21"/>
              </w:rPr>
              <w:t>In class- 14</w:t>
            </w:r>
            <w:r w:rsidRPr="00CA1A5F">
              <w:rPr>
                <w:rFonts w:ascii="Arial" w:eastAsia="宋体" w:hAnsi="Arial" w:cs="Arial" w:hint="eastAsia"/>
                <w:kern w:val="0"/>
                <w:szCs w:val="21"/>
                <w:vertAlign w:val="superscript"/>
              </w:rPr>
              <w:t>th</w:t>
            </w:r>
            <w:r w:rsidRPr="00CA1A5F">
              <w:rPr>
                <w:rFonts w:ascii="Arial" w:eastAsia="宋体" w:hAnsi="Arial" w:cs="Arial" w:hint="eastAsia"/>
                <w:kern w:val="0"/>
                <w:szCs w:val="21"/>
              </w:rPr>
              <w:t xml:space="preserve"> May 2026</w:t>
            </w:r>
          </w:p>
        </w:tc>
        <w:tc>
          <w:tcPr>
            <w:tcW w:w="2193" w:type="dxa"/>
            <w:tcBorders>
              <w:top w:val="single" w:sz="4" w:space="0" w:color="auto"/>
              <w:bottom w:val="single" w:sz="4" w:space="0" w:color="auto"/>
              <w:right w:val="single" w:sz="4" w:space="0" w:color="auto"/>
            </w:tcBorders>
            <w:shd w:val="clear" w:color="auto" w:fill="D1D1D1" w:themeFill="background2" w:themeFillShade="E6"/>
          </w:tcPr>
          <w:p w14:paraId="068825D8" w14:textId="77777777" w:rsidR="00CA1A5F" w:rsidRPr="00401E33" w:rsidRDefault="00CA1A5F" w:rsidP="001F3D4A">
            <w:pPr>
              <w:widowControl/>
              <w:jc w:val="left"/>
              <w:rPr>
                <w:rFonts w:ascii="Arial" w:eastAsia="宋体" w:hAnsi="Arial" w:cs="Arial"/>
                <w:b/>
                <w:bCs/>
                <w:kern w:val="0"/>
                <w:sz w:val="28"/>
                <w:szCs w:val="28"/>
              </w:rPr>
            </w:pPr>
            <w:r w:rsidRPr="00401E33">
              <w:rPr>
                <w:rFonts w:ascii="Arial" w:hAnsi="Arial" w:cs="Arial"/>
                <w:b/>
                <w:bCs/>
              </w:rPr>
              <w:t>Return date of provisional marks &amp; written feedback:</w:t>
            </w:r>
          </w:p>
        </w:tc>
        <w:tc>
          <w:tcPr>
            <w:tcW w:w="2049" w:type="dxa"/>
            <w:gridSpan w:val="2"/>
            <w:tcBorders>
              <w:top w:val="single" w:sz="4" w:space="0" w:color="auto"/>
              <w:bottom w:val="single" w:sz="4" w:space="0" w:color="auto"/>
              <w:right w:val="single" w:sz="4" w:space="0" w:color="auto"/>
            </w:tcBorders>
          </w:tcPr>
          <w:p w14:paraId="302085B8" w14:textId="5E535478" w:rsidR="00CA1A5F" w:rsidRPr="00401E33" w:rsidRDefault="00CA1A5F" w:rsidP="001F3D4A">
            <w:pPr>
              <w:widowControl/>
              <w:jc w:val="left"/>
              <w:rPr>
                <w:rFonts w:ascii="Arial" w:eastAsia="宋体" w:hAnsi="Arial" w:cs="Arial"/>
                <w:b/>
                <w:bCs/>
                <w:kern w:val="0"/>
                <w:sz w:val="28"/>
                <w:szCs w:val="28"/>
              </w:rPr>
            </w:pPr>
            <w:r>
              <w:rPr>
                <w:rFonts w:ascii="Arial" w:hAnsi="Arial" w:cs="Arial" w:hint="eastAsia"/>
              </w:rPr>
              <w:t>26</w:t>
            </w:r>
            <w:r w:rsidRPr="00CA1A5F">
              <w:rPr>
                <w:rFonts w:ascii="Arial" w:hAnsi="Arial" w:cs="Arial" w:hint="eastAsia"/>
                <w:vertAlign w:val="superscript"/>
              </w:rPr>
              <w:t>th</w:t>
            </w:r>
            <w:r>
              <w:rPr>
                <w:rFonts w:ascii="Arial" w:hAnsi="Arial" w:cs="Arial" w:hint="eastAsia"/>
              </w:rPr>
              <w:t xml:space="preserve"> June</w:t>
            </w:r>
            <w:r w:rsidRPr="00401E33">
              <w:rPr>
                <w:rFonts w:ascii="Arial" w:hAnsi="Arial" w:cs="Arial"/>
              </w:rPr>
              <w:t xml:space="preserve"> 2026 at 11.59pm</w:t>
            </w:r>
          </w:p>
        </w:tc>
      </w:tr>
      <w:tr w:rsidR="00CA1A5F" w14:paraId="34E57287" w14:textId="77777777" w:rsidTr="001F3D4A">
        <w:tblPrEx>
          <w:tblBorders>
            <w:left w:val="none" w:sz="0" w:space="0" w:color="auto"/>
            <w:bottom w:val="none" w:sz="0" w:space="0" w:color="auto"/>
            <w:right w:val="none" w:sz="0" w:space="0" w:color="auto"/>
            <w:insideH w:val="none" w:sz="0" w:space="0" w:color="auto"/>
            <w:insideV w:val="none" w:sz="0" w:space="0" w:color="auto"/>
          </w:tblBorders>
        </w:tblPrEx>
        <w:trPr>
          <w:trHeight w:val="100"/>
        </w:trPr>
        <w:tc>
          <w:tcPr>
            <w:tcW w:w="1839" w:type="dxa"/>
            <w:tcBorders>
              <w:top w:val="single" w:sz="4" w:space="0" w:color="auto"/>
              <w:left w:val="single" w:sz="4" w:space="0" w:color="auto"/>
              <w:bottom w:val="single" w:sz="4" w:space="0" w:color="auto"/>
              <w:right w:val="single" w:sz="4" w:space="0" w:color="auto"/>
            </w:tcBorders>
            <w:shd w:val="clear" w:color="auto" w:fill="D1D1D1" w:themeFill="background2" w:themeFillShade="E6"/>
          </w:tcPr>
          <w:p w14:paraId="7CC354D5" w14:textId="77777777" w:rsidR="00CA1A5F" w:rsidRPr="00401E33" w:rsidRDefault="00CA1A5F" w:rsidP="001F3D4A">
            <w:pPr>
              <w:widowControl/>
              <w:spacing w:before="100" w:beforeAutospacing="1" w:after="100" w:afterAutospacing="1"/>
              <w:rPr>
                <w:rFonts w:ascii="Arial" w:eastAsia="宋体" w:hAnsi="Arial" w:cs="Arial"/>
                <w:b/>
                <w:bCs/>
                <w:kern w:val="0"/>
                <w:sz w:val="28"/>
                <w:szCs w:val="28"/>
              </w:rPr>
            </w:pPr>
            <w:r w:rsidRPr="00401E33">
              <w:rPr>
                <w:rFonts w:ascii="Arial" w:hAnsi="Arial" w:cs="Arial"/>
                <w:b/>
                <w:bCs/>
              </w:rPr>
              <w:t>Submission method:</w:t>
            </w:r>
          </w:p>
        </w:tc>
        <w:tc>
          <w:tcPr>
            <w:tcW w:w="6668" w:type="dxa"/>
            <w:gridSpan w:val="4"/>
            <w:tcBorders>
              <w:top w:val="single" w:sz="4" w:space="0" w:color="auto"/>
              <w:left w:val="single" w:sz="4" w:space="0" w:color="auto"/>
              <w:bottom w:val="single" w:sz="4" w:space="0" w:color="auto"/>
              <w:right w:val="single" w:sz="4" w:space="0" w:color="auto"/>
            </w:tcBorders>
          </w:tcPr>
          <w:p w14:paraId="6C9A71D4" w14:textId="77777777" w:rsidR="00CA1A5F" w:rsidRDefault="00CA1A5F" w:rsidP="001F3D4A">
            <w:pPr>
              <w:widowControl/>
              <w:jc w:val="left"/>
              <w:rPr>
                <w:rFonts w:ascii="Arial" w:hAnsi="Arial" w:cs="Arial"/>
                <w:b/>
                <w:bCs/>
              </w:rPr>
            </w:pPr>
            <w:r w:rsidRPr="00401E33">
              <w:rPr>
                <w:rFonts w:ascii="Arial" w:hAnsi="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r w:rsidRPr="00401E33">
              <w:rPr>
                <w:rFonts w:ascii="Arial" w:hAnsi="Arial" w:cs="Arial"/>
                <w:b/>
                <w:bCs/>
              </w:rPr>
              <w:t xml:space="preserve">Alternative submission method (if applicable): </w:t>
            </w:r>
          </w:p>
          <w:p w14:paraId="7C0DB4FE" w14:textId="77777777" w:rsidR="00CA1A5F" w:rsidRPr="00401E33" w:rsidRDefault="00CA1A5F" w:rsidP="001F3D4A">
            <w:pPr>
              <w:widowControl/>
              <w:jc w:val="left"/>
              <w:rPr>
                <w:rFonts w:ascii="Arial" w:eastAsia="宋体" w:hAnsi="Arial" w:cs="Arial"/>
                <w:b/>
                <w:bCs/>
                <w:kern w:val="0"/>
                <w:sz w:val="28"/>
                <w:szCs w:val="28"/>
              </w:rPr>
            </w:pPr>
            <w:r w:rsidRPr="00401E33">
              <w:rPr>
                <w:rFonts w:ascii="Arial" w:hAnsi="Arial" w:cs="Arial"/>
                <w:b/>
                <w:bCs/>
              </w:rPr>
              <w:t xml:space="preserve">Late submission of the assessment will result in a late penalty mark. </w:t>
            </w:r>
            <w:r w:rsidRPr="00401E33">
              <w:rPr>
                <w:rFonts w:ascii="Arial" w:hAnsi="Arial" w:cs="Arial"/>
              </w:rPr>
              <w:t>Penalties for late submission: Up to one week late, maximum mark of 40%. Over one week late, 0%. Only the Extenuating Circumstances Panel may approve a change to submission dates.</w:t>
            </w:r>
          </w:p>
        </w:tc>
      </w:tr>
    </w:tbl>
    <w:p w14:paraId="6167816E" w14:textId="77777777" w:rsidR="00CA1A5F" w:rsidRDefault="00CA1A5F" w:rsidP="00CA1A5F">
      <w:pPr>
        <w:widowControl/>
        <w:spacing w:before="100" w:beforeAutospacing="1" w:after="100" w:afterAutospacing="1"/>
        <w:rPr>
          <w:rFonts w:ascii="Times New Roman" w:eastAsia="宋体" w:hAnsi="Times New Roman" w:cs="Times New Roman"/>
          <w:b/>
          <w:bCs/>
          <w:kern w:val="0"/>
          <w:sz w:val="28"/>
          <w:szCs w:val="28"/>
        </w:rPr>
      </w:pPr>
    </w:p>
    <w:tbl>
      <w:tblPr>
        <w:tblW w:w="8241" w:type="dxa"/>
        <w:tblInd w:w="227" w:type="dxa"/>
        <w:tblBorders>
          <w:top w:val="single" w:sz="4" w:space="0" w:color="auto"/>
        </w:tblBorders>
        <w:tblLook w:val="0000" w:firstRow="0" w:lastRow="0" w:firstColumn="0" w:lastColumn="0" w:noHBand="0" w:noVBand="0"/>
      </w:tblPr>
      <w:tblGrid>
        <w:gridCol w:w="8241"/>
      </w:tblGrid>
      <w:tr w:rsidR="00CA1A5F" w14:paraId="72BC1699" w14:textId="77777777" w:rsidTr="001F3D4A">
        <w:trPr>
          <w:trHeight w:val="100"/>
        </w:trPr>
        <w:tc>
          <w:tcPr>
            <w:tcW w:w="8241" w:type="dxa"/>
            <w:tcBorders>
              <w:left w:val="single" w:sz="4" w:space="0" w:color="auto"/>
            </w:tcBorders>
            <w:shd w:val="clear" w:color="auto" w:fill="D1D1D1" w:themeFill="background2" w:themeFillShade="E6"/>
          </w:tcPr>
          <w:p w14:paraId="5ADD3160" w14:textId="77777777" w:rsidR="00CA1A5F" w:rsidRPr="00733FC6" w:rsidRDefault="00CA1A5F" w:rsidP="001F3D4A">
            <w:pPr>
              <w:widowControl/>
              <w:spacing w:before="100" w:beforeAutospacing="1" w:after="100" w:afterAutospacing="1"/>
              <w:rPr>
                <w:rFonts w:ascii="Arial" w:eastAsia="宋体" w:hAnsi="Arial" w:cs="Arial"/>
                <w:b/>
                <w:bCs/>
                <w:kern w:val="0"/>
                <w:sz w:val="28"/>
                <w:szCs w:val="28"/>
              </w:rPr>
            </w:pPr>
            <w:r w:rsidRPr="00733FC6">
              <w:rPr>
                <w:rFonts w:ascii="Arial" w:hAnsi="Arial" w:cs="Arial"/>
                <w:b/>
                <w:bCs/>
              </w:rPr>
              <w:t>Module Learning Outcomes (from module syllabus)</w:t>
            </w:r>
          </w:p>
        </w:tc>
      </w:tr>
      <w:tr w:rsidR="00CA1A5F" w14:paraId="6942EBBC" w14:textId="77777777" w:rsidTr="001F3D4A">
        <w:tblPrEx>
          <w:tblBorders>
            <w:left w:val="single" w:sz="4" w:space="0" w:color="auto"/>
            <w:bottom w:val="single" w:sz="4" w:space="0" w:color="auto"/>
            <w:right w:val="single" w:sz="4" w:space="0" w:color="auto"/>
            <w:insideH w:val="single" w:sz="4" w:space="0" w:color="auto"/>
            <w:insideV w:val="single" w:sz="4" w:space="0" w:color="auto"/>
          </w:tblBorders>
        </w:tblPrEx>
        <w:trPr>
          <w:trHeight w:val="2171"/>
        </w:trPr>
        <w:tc>
          <w:tcPr>
            <w:tcW w:w="8241" w:type="dxa"/>
          </w:tcPr>
          <w:p w14:paraId="34BBECE9" w14:textId="77777777" w:rsidR="00CA1A5F" w:rsidRPr="00733FC6" w:rsidRDefault="00CA1A5F" w:rsidP="001F3D4A">
            <w:pPr>
              <w:widowControl/>
              <w:spacing w:before="100" w:beforeAutospacing="1" w:after="100" w:afterAutospacing="1"/>
              <w:rPr>
                <w:rFonts w:ascii="Arial" w:hAnsi="Arial" w:cs="Arial"/>
              </w:rPr>
            </w:pPr>
            <w:r w:rsidRPr="00733FC6">
              <w:rPr>
                <w:rFonts w:ascii="Arial" w:hAnsi="Arial" w:cs="Arial"/>
              </w:rPr>
              <w:t xml:space="preserve">Upon successful completion of this module the student should be able to: </w:t>
            </w:r>
          </w:p>
          <w:p w14:paraId="287C6DE7" w14:textId="77777777" w:rsidR="00CA1A5F" w:rsidRPr="00733FC6" w:rsidRDefault="00CA1A5F" w:rsidP="001F3D4A">
            <w:pPr>
              <w:widowControl/>
              <w:spacing w:before="100" w:beforeAutospacing="1" w:after="100" w:afterAutospacing="1"/>
              <w:rPr>
                <w:rFonts w:ascii="Arial" w:hAnsi="Arial" w:cs="Arial"/>
              </w:rPr>
            </w:pPr>
            <w:r w:rsidRPr="00733FC6">
              <w:rPr>
                <w:rFonts w:ascii="Arial" w:hAnsi="Arial" w:cs="Arial"/>
              </w:rPr>
              <w:t xml:space="preserve">• Apply relevant strategic and economic models in order to assess the impact of current economic conditions and </w:t>
            </w:r>
            <w:proofErr w:type="spellStart"/>
            <w:r w:rsidRPr="00733FC6">
              <w:rPr>
                <w:rFonts w:ascii="Arial" w:hAnsi="Arial" w:cs="Arial"/>
              </w:rPr>
              <w:t>organisations</w:t>
            </w:r>
            <w:proofErr w:type="spellEnd"/>
            <w:r w:rsidRPr="00733FC6">
              <w:rPr>
                <w:rFonts w:ascii="Arial" w:hAnsi="Arial" w:cs="Arial"/>
              </w:rPr>
              <w:t xml:space="preserve"> strategic approach. </w:t>
            </w:r>
          </w:p>
          <w:p w14:paraId="489106CB" w14:textId="77777777" w:rsidR="00CA1A5F" w:rsidRPr="00733FC6" w:rsidRDefault="00CA1A5F" w:rsidP="001F3D4A">
            <w:pPr>
              <w:widowControl/>
              <w:spacing w:before="100" w:beforeAutospacing="1" w:after="100" w:afterAutospacing="1"/>
              <w:rPr>
                <w:rFonts w:ascii="Arial" w:hAnsi="Arial" w:cs="Arial"/>
              </w:rPr>
            </w:pPr>
            <w:r w:rsidRPr="00733FC6">
              <w:rPr>
                <w:rFonts w:ascii="Arial" w:hAnsi="Arial" w:cs="Arial"/>
              </w:rPr>
              <w:t xml:space="preserve">• </w:t>
            </w:r>
            <w:proofErr w:type="spellStart"/>
            <w:r w:rsidRPr="00733FC6">
              <w:rPr>
                <w:rFonts w:ascii="Arial" w:hAnsi="Arial" w:cs="Arial"/>
              </w:rPr>
              <w:t>Analyse</w:t>
            </w:r>
            <w:proofErr w:type="spellEnd"/>
            <w:r w:rsidRPr="00733FC6">
              <w:rPr>
                <w:rFonts w:ascii="Arial" w:hAnsi="Arial" w:cs="Arial"/>
              </w:rPr>
              <w:t xml:space="preserve"> the major forces shaping the current business environment and critically assess their impacts on the development of corporate and business level strategy. </w:t>
            </w:r>
          </w:p>
          <w:p w14:paraId="7EBE6558" w14:textId="77777777" w:rsidR="00CA1A5F" w:rsidRPr="00733FC6" w:rsidRDefault="00CA1A5F" w:rsidP="001F3D4A">
            <w:pPr>
              <w:widowControl/>
              <w:spacing w:before="100" w:beforeAutospacing="1" w:after="100" w:afterAutospacing="1"/>
              <w:rPr>
                <w:rFonts w:ascii="Arial" w:eastAsia="宋体" w:hAnsi="Arial" w:cs="Arial"/>
                <w:b/>
                <w:bCs/>
                <w:kern w:val="0"/>
                <w:sz w:val="28"/>
                <w:szCs w:val="28"/>
              </w:rPr>
            </w:pPr>
            <w:r w:rsidRPr="00733FC6">
              <w:rPr>
                <w:rFonts w:ascii="Arial" w:hAnsi="Arial" w:cs="Arial"/>
              </w:rPr>
              <w:t>• Assess markets in action based on micro-economic and macro-economic foundations, including different market structures and their influence on strategy.</w:t>
            </w:r>
          </w:p>
        </w:tc>
      </w:tr>
    </w:tbl>
    <w:p w14:paraId="77476C61" w14:textId="77777777" w:rsidR="00A96D84" w:rsidRDefault="00A96D84" w:rsidP="00CA1A5F">
      <w:pPr>
        <w:rPr>
          <w:rFonts w:hint="eastAsia"/>
        </w:rPr>
      </w:pPr>
    </w:p>
    <w:p w14:paraId="1A559BC4" w14:textId="1B0B834A" w:rsidR="00CA1A5F" w:rsidRDefault="00CA1A5F" w:rsidP="00CA1A5F">
      <w:pPr>
        <w:rPr>
          <w:rFonts w:ascii="Times New Roman" w:hAnsi="Times New Roman" w:cs="Times New Roman"/>
          <w:sz w:val="20"/>
          <w:szCs w:val="20"/>
        </w:rPr>
      </w:pPr>
      <w:r w:rsidRPr="00A96D84">
        <w:rPr>
          <w:rFonts w:ascii="Times New Roman" w:hAnsi="Times New Roman" w:cs="Times New Roman"/>
          <w:sz w:val="20"/>
          <w:szCs w:val="20"/>
        </w:rPr>
        <w:lastRenderedPageBreak/>
        <w:t>BMBM6024 Strategic Management and Sustainability</w:t>
      </w:r>
    </w:p>
    <w:p w14:paraId="542CB5CA" w14:textId="77777777" w:rsidR="00A96D84" w:rsidRPr="00A96D84" w:rsidRDefault="00A96D84" w:rsidP="00CA1A5F">
      <w:pPr>
        <w:rPr>
          <w:rFonts w:ascii="Times New Roman" w:hAnsi="Times New Roman" w:cs="Times New Roman"/>
          <w:sz w:val="20"/>
          <w:szCs w:val="20"/>
        </w:rPr>
      </w:pPr>
    </w:p>
    <w:p w14:paraId="614578FB"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Question 1 (40%)</w:t>
      </w:r>
    </w:p>
    <w:p w14:paraId="413F19AA" w14:textId="77777777" w:rsidR="00CA1A5F" w:rsidRPr="00A96D84" w:rsidRDefault="00CA1A5F" w:rsidP="00CA1A5F">
      <w:pPr>
        <w:rPr>
          <w:rFonts w:ascii="Times New Roman" w:hAnsi="Times New Roman" w:cs="Times New Roman"/>
          <w:sz w:val="20"/>
          <w:szCs w:val="20"/>
        </w:rPr>
      </w:pPr>
    </w:p>
    <w:p w14:paraId="2CC8587D"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Chosen model: PESTEL Macro-Environmental Analysis Framework</w:t>
      </w:r>
    </w:p>
    <w:p w14:paraId="1CF78310" w14:textId="77777777" w:rsidR="00CA1A5F" w:rsidRPr="00A96D84" w:rsidRDefault="00CA1A5F" w:rsidP="00CA1A5F">
      <w:pPr>
        <w:rPr>
          <w:rFonts w:ascii="Times New Roman" w:hAnsi="Times New Roman" w:cs="Times New Roman"/>
          <w:sz w:val="20"/>
          <w:szCs w:val="20"/>
        </w:rPr>
      </w:pPr>
    </w:p>
    <w:p w14:paraId="5E6BB382"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Explanation of the model</w:t>
      </w:r>
    </w:p>
    <w:p w14:paraId="64D272FE"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The PESTEL framework helps </w:t>
      </w:r>
      <w:proofErr w:type="spellStart"/>
      <w:r w:rsidRPr="00A96D84">
        <w:rPr>
          <w:rFonts w:ascii="Times New Roman" w:hAnsi="Times New Roman" w:cs="Times New Roman"/>
          <w:sz w:val="20"/>
          <w:szCs w:val="20"/>
        </w:rPr>
        <w:t>organisations</w:t>
      </w:r>
      <w:proofErr w:type="spellEnd"/>
      <w:r w:rsidRPr="00A96D84">
        <w:rPr>
          <w:rFonts w:ascii="Times New Roman" w:hAnsi="Times New Roman" w:cs="Times New Roman"/>
          <w:sz w:val="20"/>
          <w:szCs w:val="20"/>
        </w:rPr>
        <w:t xml:space="preserve"> </w:t>
      </w:r>
      <w:proofErr w:type="spellStart"/>
      <w:r w:rsidRPr="00A96D84">
        <w:rPr>
          <w:rFonts w:ascii="Times New Roman" w:hAnsi="Times New Roman" w:cs="Times New Roman"/>
          <w:sz w:val="20"/>
          <w:szCs w:val="20"/>
        </w:rPr>
        <w:t>analyse</w:t>
      </w:r>
      <w:proofErr w:type="spellEnd"/>
      <w:r w:rsidRPr="00A96D84">
        <w:rPr>
          <w:rFonts w:ascii="Times New Roman" w:hAnsi="Times New Roman" w:cs="Times New Roman"/>
          <w:sz w:val="20"/>
          <w:szCs w:val="20"/>
        </w:rPr>
        <w:t xml:space="preserve"> the external macro-environment across six dimensions: Political, Economic, Social, Technological, Environmental, and Legal. It enables managers to identify opportunities and threats, and to make strategic decisions under uncertainty.</w:t>
      </w:r>
    </w:p>
    <w:p w14:paraId="78926245" w14:textId="77777777" w:rsidR="00CA1A5F" w:rsidRPr="00A96D84" w:rsidRDefault="00CA1A5F" w:rsidP="00CA1A5F">
      <w:pPr>
        <w:rPr>
          <w:rFonts w:ascii="Times New Roman" w:hAnsi="Times New Roman" w:cs="Times New Roman"/>
          <w:sz w:val="20"/>
          <w:szCs w:val="20"/>
        </w:rPr>
      </w:pPr>
    </w:p>
    <w:p w14:paraId="22D0F5C4"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Application: Tesla and the global electric vehicle industry</w:t>
      </w:r>
    </w:p>
    <w:p w14:paraId="45712E0E"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The EV industry faces a challenging external environment: geopolitical tensions (Political), inflation and rising interest rates (Economic), shifting consumer attitudes toward sustainability (Social), battery technology innovation (Technological), carbon emission regulations (Environmental), and subsidies or tariffs (Legal).</w:t>
      </w:r>
    </w:p>
    <w:p w14:paraId="22009E5D"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When Tesla decides whether to build a new Gigafactory in Europe or Asia, it can systematically apply PESTEL:</w:t>
      </w:r>
    </w:p>
    <w:p w14:paraId="0CC81002" w14:textId="77777777" w:rsidR="00CA1A5F" w:rsidRPr="00A96D84" w:rsidRDefault="00CA1A5F" w:rsidP="00CA1A5F">
      <w:pPr>
        <w:rPr>
          <w:rFonts w:ascii="Times New Roman" w:hAnsi="Times New Roman" w:cs="Times New Roman"/>
          <w:sz w:val="20"/>
          <w:szCs w:val="20"/>
        </w:rPr>
      </w:pPr>
    </w:p>
    <w:p w14:paraId="721AD55F"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Political: US-China trade frictions may affect component imports to its Shanghai plant; diversifying risk is advisable.</w:t>
      </w:r>
    </w:p>
    <w:p w14:paraId="0A7883A5"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Economic: High inflation in Europe raises construction costs, but local government subsidies for green investment offset this.</w:t>
      </w:r>
    </w:p>
    <w:p w14:paraId="4C5EF43B"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Social: Consumers increasingly care about the full lifecycle carbon footprint of EVs, requiring supply chain transparency.</w:t>
      </w:r>
    </w:p>
    <w:p w14:paraId="71CC6A79"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Technological: 4680 batteries and giga-casting reduce production costs – the new factory must be able to adopt these technologies.</w:t>
      </w:r>
    </w:p>
    <w:p w14:paraId="4A1DAB81"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Environmental: The new factory must comply with strict EU battery recycling directives.</w:t>
      </w:r>
    </w:p>
    <w:p w14:paraId="6F493DF7"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Legal: The EU’s new Battery Law demands carbon footprint disclosure, affecting process design.</w:t>
      </w:r>
    </w:p>
    <w:p w14:paraId="67DB1F38" w14:textId="77777777" w:rsidR="00CA1A5F" w:rsidRPr="00A96D84" w:rsidRDefault="00CA1A5F" w:rsidP="00CA1A5F">
      <w:pPr>
        <w:rPr>
          <w:rFonts w:ascii="Times New Roman" w:hAnsi="Times New Roman" w:cs="Times New Roman"/>
          <w:sz w:val="20"/>
          <w:szCs w:val="20"/>
        </w:rPr>
      </w:pPr>
    </w:p>
    <w:p w14:paraId="5C499629"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Insight for decision-makers</w:t>
      </w:r>
    </w:p>
    <w:p w14:paraId="0E12958A"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PESTEL reveals that despite short-term economic pressures, Europe’s legal mandates and social acceptance provide long-term certainty. </w:t>
      </w:r>
      <w:proofErr w:type="gramStart"/>
      <w:r w:rsidRPr="00A96D84">
        <w:rPr>
          <w:rFonts w:ascii="Times New Roman" w:hAnsi="Times New Roman" w:cs="Times New Roman"/>
          <w:sz w:val="20"/>
          <w:szCs w:val="20"/>
        </w:rPr>
        <w:t>Therefore</w:t>
      </w:r>
      <w:proofErr w:type="gramEnd"/>
      <w:r w:rsidRPr="00A96D84">
        <w:rPr>
          <w:rFonts w:ascii="Times New Roman" w:hAnsi="Times New Roman" w:cs="Times New Roman"/>
          <w:sz w:val="20"/>
          <w:szCs w:val="20"/>
        </w:rPr>
        <w:t xml:space="preserve"> Tesla should </w:t>
      </w:r>
      <w:proofErr w:type="spellStart"/>
      <w:r w:rsidRPr="00A96D84">
        <w:rPr>
          <w:rFonts w:ascii="Times New Roman" w:hAnsi="Times New Roman" w:cs="Times New Roman"/>
          <w:sz w:val="20"/>
          <w:szCs w:val="20"/>
        </w:rPr>
        <w:t>prioritise</w:t>
      </w:r>
      <w:proofErr w:type="spellEnd"/>
      <w:r w:rsidRPr="00A96D84">
        <w:rPr>
          <w:rFonts w:ascii="Times New Roman" w:hAnsi="Times New Roman" w:cs="Times New Roman"/>
          <w:sz w:val="20"/>
          <w:szCs w:val="20"/>
        </w:rPr>
        <w:t xml:space="preserve"> expanding its German plant rather than entering more politically risky markets, while accelerating the development of rare-earth-free motors to manage geopolitical risks.</w:t>
      </w:r>
    </w:p>
    <w:p w14:paraId="79FF7F29" w14:textId="77777777" w:rsidR="00CA1A5F" w:rsidRPr="00A96D84" w:rsidRDefault="00CA1A5F" w:rsidP="00CA1A5F">
      <w:pPr>
        <w:rPr>
          <w:rFonts w:ascii="Times New Roman" w:hAnsi="Times New Roman" w:cs="Times New Roman"/>
          <w:sz w:val="20"/>
          <w:szCs w:val="20"/>
        </w:rPr>
      </w:pPr>
    </w:p>
    <w:p w14:paraId="59BE324B"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Strengths and limitations</w:t>
      </w:r>
    </w:p>
    <w:p w14:paraId="709C3E63" w14:textId="77777777" w:rsidR="00CA1A5F" w:rsidRPr="00A96D84" w:rsidRDefault="00CA1A5F" w:rsidP="00CA1A5F">
      <w:pPr>
        <w:rPr>
          <w:rFonts w:ascii="Times New Roman" w:hAnsi="Times New Roman" w:cs="Times New Roman"/>
          <w:sz w:val="20"/>
          <w:szCs w:val="20"/>
        </w:rPr>
      </w:pPr>
    </w:p>
    <w:p w14:paraId="35123F52"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Strengths: Comprehensive external scan, avoids blind spots; structured for team discussion.</w:t>
      </w:r>
    </w:p>
    <w:p w14:paraId="1814013C"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 Limitations: Cannot predict dynamic interactions between factors; can lead to information overload – needs complementing (e.g., scenario planning) to </w:t>
      </w:r>
      <w:proofErr w:type="spellStart"/>
      <w:r w:rsidRPr="00A96D84">
        <w:rPr>
          <w:rFonts w:ascii="Times New Roman" w:hAnsi="Times New Roman" w:cs="Times New Roman"/>
          <w:sz w:val="20"/>
          <w:szCs w:val="20"/>
        </w:rPr>
        <w:t>prioritise</w:t>
      </w:r>
      <w:proofErr w:type="spellEnd"/>
      <w:r w:rsidRPr="00A96D84">
        <w:rPr>
          <w:rFonts w:ascii="Times New Roman" w:hAnsi="Times New Roman" w:cs="Times New Roman"/>
          <w:sz w:val="20"/>
          <w:szCs w:val="20"/>
        </w:rPr>
        <w:t>.</w:t>
      </w:r>
    </w:p>
    <w:p w14:paraId="52802979" w14:textId="77777777" w:rsidR="00CA1A5F" w:rsidRPr="00A96D84" w:rsidRDefault="00CA1A5F" w:rsidP="00CA1A5F">
      <w:pPr>
        <w:rPr>
          <w:rFonts w:ascii="Times New Roman" w:hAnsi="Times New Roman" w:cs="Times New Roman"/>
          <w:sz w:val="20"/>
          <w:szCs w:val="20"/>
        </w:rPr>
      </w:pPr>
    </w:p>
    <w:p w14:paraId="36BBEC93"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Question 2 (20%)</w:t>
      </w:r>
    </w:p>
    <w:p w14:paraId="626F82CA" w14:textId="77777777" w:rsidR="00CA1A5F" w:rsidRPr="00A96D84" w:rsidRDefault="00CA1A5F" w:rsidP="00CA1A5F">
      <w:pPr>
        <w:rPr>
          <w:rFonts w:ascii="Times New Roman" w:hAnsi="Times New Roman" w:cs="Times New Roman"/>
          <w:sz w:val="20"/>
          <w:szCs w:val="20"/>
        </w:rPr>
      </w:pPr>
    </w:p>
    <w:p w14:paraId="6AF972D8"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lastRenderedPageBreak/>
        <w:t>Two internal frameworks: VRIO Framework + Value Chain Analysis</w:t>
      </w:r>
    </w:p>
    <w:p w14:paraId="7EB7C525" w14:textId="77777777" w:rsidR="00CA1A5F" w:rsidRPr="00A96D84" w:rsidRDefault="00CA1A5F" w:rsidP="00CA1A5F">
      <w:pPr>
        <w:rPr>
          <w:rFonts w:ascii="Times New Roman" w:hAnsi="Times New Roman" w:cs="Times New Roman"/>
          <w:sz w:val="20"/>
          <w:szCs w:val="20"/>
        </w:rPr>
      </w:pPr>
    </w:p>
    <w:p w14:paraId="6B13263B"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1. VRIO Framework</w:t>
      </w:r>
    </w:p>
    <w:p w14:paraId="58AEA722"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VRIO assesses resources and capabilities across four dimensions: Value, Rarity, Imitability (difficulty to imitate), and </w:t>
      </w:r>
      <w:proofErr w:type="spellStart"/>
      <w:r w:rsidRPr="00A96D84">
        <w:rPr>
          <w:rFonts w:ascii="Times New Roman" w:hAnsi="Times New Roman" w:cs="Times New Roman"/>
          <w:sz w:val="20"/>
          <w:szCs w:val="20"/>
        </w:rPr>
        <w:t>Organisation</w:t>
      </w:r>
      <w:proofErr w:type="spellEnd"/>
      <w:r w:rsidRPr="00A96D84">
        <w:rPr>
          <w:rFonts w:ascii="Times New Roman" w:hAnsi="Times New Roman" w:cs="Times New Roman"/>
          <w:sz w:val="20"/>
          <w:szCs w:val="20"/>
        </w:rPr>
        <w:t xml:space="preserve"> (ability to exploit). It identifies sources of sustainable competitive advantage.</w:t>
      </w:r>
    </w:p>
    <w:p w14:paraId="3F4EAD60" w14:textId="77777777" w:rsidR="00CA1A5F" w:rsidRPr="00A96D84" w:rsidRDefault="00CA1A5F" w:rsidP="00CA1A5F">
      <w:pPr>
        <w:rPr>
          <w:rFonts w:ascii="Times New Roman" w:hAnsi="Times New Roman" w:cs="Times New Roman"/>
          <w:sz w:val="20"/>
          <w:szCs w:val="20"/>
        </w:rPr>
      </w:pPr>
    </w:p>
    <w:p w14:paraId="485E168A"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2. Value Chain Analysis</w:t>
      </w:r>
    </w:p>
    <w:p w14:paraId="5C937DBA"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The value chain divides activities into primary (logistics, operations, marketing, service) and support activities (procurement, technology, HR, infrastructure). </w:t>
      </w:r>
      <w:proofErr w:type="spellStart"/>
      <w:r w:rsidRPr="00A96D84">
        <w:rPr>
          <w:rFonts w:ascii="Times New Roman" w:hAnsi="Times New Roman" w:cs="Times New Roman"/>
          <w:sz w:val="20"/>
          <w:szCs w:val="20"/>
        </w:rPr>
        <w:t>Analysing</w:t>
      </w:r>
      <w:proofErr w:type="spellEnd"/>
      <w:r w:rsidRPr="00A96D84">
        <w:rPr>
          <w:rFonts w:ascii="Times New Roman" w:hAnsi="Times New Roman" w:cs="Times New Roman"/>
          <w:sz w:val="20"/>
          <w:szCs w:val="20"/>
        </w:rPr>
        <w:t xml:space="preserve"> each activity’s cost and value helps </w:t>
      </w:r>
      <w:proofErr w:type="spellStart"/>
      <w:r w:rsidRPr="00A96D84">
        <w:rPr>
          <w:rFonts w:ascii="Times New Roman" w:hAnsi="Times New Roman" w:cs="Times New Roman"/>
          <w:sz w:val="20"/>
          <w:szCs w:val="20"/>
        </w:rPr>
        <w:t>optimise</w:t>
      </w:r>
      <w:proofErr w:type="spellEnd"/>
      <w:r w:rsidRPr="00A96D84">
        <w:rPr>
          <w:rFonts w:ascii="Times New Roman" w:hAnsi="Times New Roman" w:cs="Times New Roman"/>
          <w:sz w:val="20"/>
          <w:szCs w:val="20"/>
        </w:rPr>
        <w:t xml:space="preserve"> processes and build differentiation.</w:t>
      </w:r>
    </w:p>
    <w:p w14:paraId="214B415B" w14:textId="77777777" w:rsidR="00CA1A5F" w:rsidRPr="00A96D84" w:rsidRDefault="00CA1A5F" w:rsidP="00CA1A5F">
      <w:pPr>
        <w:rPr>
          <w:rFonts w:ascii="Times New Roman" w:hAnsi="Times New Roman" w:cs="Times New Roman"/>
          <w:sz w:val="20"/>
          <w:szCs w:val="20"/>
        </w:rPr>
      </w:pPr>
    </w:p>
    <w:p w14:paraId="5F171267"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Application: Starbucks</w:t>
      </w:r>
    </w:p>
    <w:p w14:paraId="1329EB2A" w14:textId="77777777" w:rsidR="00CA1A5F" w:rsidRPr="00A96D84" w:rsidRDefault="00CA1A5F" w:rsidP="00CA1A5F">
      <w:pPr>
        <w:rPr>
          <w:rFonts w:ascii="Times New Roman" w:hAnsi="Times New Roman" w:cs="Times New Roman"/>
          <w:sz w:val="20"/>
          <w:szCs w:val="20"/>
        </w:rPr>
      </w:pPr>
    </w:p>
    <w:p w14:paraId="4A2F5365"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VRIO analysis:</w:t>
      </w:r>
    </w:p>
    <w:p w14:paraId="149F18D2"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  · Value: Store experience, supply chain management, and coffee culture training create unique customer value.</w:t>
      </w:r>
    </w:p>
    <w:p w14:paraId="3687DC93"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  · Rarity: Globally consistent “third place” experience and coffee master certification are rare in the industry.</w:t>
      </w:r>
    </w:p>
    <w:p w14:paraId="1525B44B"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  · Imitability: Long‑established supplier partnerships (e.g., C.A.F.E. Practices) and grower support networks take over a decade to build </w:t>
      </w:r>
      <w:r w:rsidRPr="00A96D84">
        <w:rPr>
          <w:rFonts w:ascii="Times New Roman" w:eastAsia="等线" w:hAnsi="Times New Roman" w:cs="Times New Roman"/>
          <w:sz w:val="20"/>
          <w:szCs w:val="20"/>
        </w:rPr>
        <w:t>–</w:t>
      </w:r>
      <w:r w:rsidRPr="00A96D84">
        <w:rPr>
          <w:rFonts w:ascii="Times New Roman" w:hAnsi="Times New Roman" w:cs="Times New Roman"/>
          <w:sz w:val="20"/>
          <w:szCs w:val="20"/>
        </w:rPr>
        <w:t xml:space="preserve"> high imitation barriers.</w:t>
      </w:r>
    </w:p>
    <w:p w14:paraId="62826042"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  · </w:t>
      </w:r>
      <w:proofErr w:type="spellStart"/>
      <w:r w:rsidRPr="00A96D84">
        <w:rPr>
          <w:rFonts w:ascii="Times New Roman" w:hAnsi="Times New Roman" w:cs="Times New Roman"/>
          <w:sz w:val="20"/>
          <w:szCs w:val="20"/>
        </w:rPr>
        <w:t>Organisation</w:t>
      </w:r>
      <w:proofErr w:type="spellEnd"/>
      <w:r w:rsidRPr="00A96D84">
        <w:rPr>
          <w:rFonts w:ascii="Times New Roman" w:hAnsi="Times New Roman" w:cs="Times New Roman"/>
          <w:sz w:val="20"/>
          <w:szCs w:val="20"/>
        </w:rPr>
        <w:t>: Flat regional management structure allows quick local responsiveness.</w:t>
      </w:r>
    </w:p>
    <w:p w14:paraId="3EB3BAF7"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    → Conclusion: Brand culture and supply chain capabilities are sustainable competitive advantages.</w:t>
      </w:r>
    </w:p>
    <w:p w14:paraId="10185A4B"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Value chain analysis:</w:t>
      </w:r>
    </w:p>
    <w:p w14:paraId="114CAA71"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  · Primary activities: In operations, automated espresso machines ensure consistency; in marketing, the loyalty app enables </w:t>
      </w:r>
      <w:proofErr w:type="spellStart"/>
      <w:r w:rsidRPr="00A96D84">
        <w:rPr>
          <w:rFonts w:ascii="Times New Roman" w:hAnsi="Times New Roman" w:cs="Times New Roman"/>
          <w:sz w:val="20"/>
          <w:szCs w:val="20"/>
        </w:rPr>
        <w:t>personalised</w:t>
      </w:r>
      <w:proofErr w:type="spellEnd"/>
      <w:r w:rsidRPr="00A96D84">
        <w:rPr>
          <w:rFonts w:ascii="Times New Roman" w:hAnsi="Times New Roman" w:cs="Times New Roman"/>
          <w:sz w:val="20"/>
          <w:szCs w:val="20"/>
        </w:rPr>
        <w:t xml:space="preserve"> offers.</w:t>
      </w:r>
    </w:p>
    <w:p w14:paraId="4533778F"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  · Support activities: Technology development invests in digital payments and IoT coffee machines; HR’s “Coffee Academy” fosters employee engagement.</w:t>
      </w:r>
    </w:p>
    <w:p w14:paraId="627E7FDD"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    Through value chain analysis, Starbucks found that store cleanliness and friendly staff (operations) are key drivers of repeat visits, so it reallocated back‑office savings to frontline training, further strengthening service differentiation.</w:t>
      </w:r>
    </w:p>
    <w:p w14:paraId="29FC361A" w14:textId="77777777" w:rsidR="00CA1A5F" w:rsidRPr="00A96D84" w:rsidRDefault="00CA1A5F" w:rsidP="00CA1A5F">
      <w:pPr>
        <w:rPr>
          <w:rFonts w:ascii="Times New Roman" w:hAnsi="Times New Roman" w:cs="Times New Roman"/>
          <w:sz w:val="20"/>
          <w:szCs w:val="20"/>
        </w:rPr>
      </w:pPr>
    </w:p>
    <w:p w14:paraId="4BB43DBD"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Building competitive advantage</w:t>
      </w:r>
    </w:p>
    <w:p w14:paraId="5CB161A3"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VRIO suggests protecting rare and hard‑to‑imitate resources (e.g., coffee farmer partnerships), while value chain analysis pinpoints high‑impact activities (e.g., store ambience). Together, they allow Starbucks to concentrate capital on upstream farm support and digital operations while streamlining non‑core activities (e.g., </w:t>
      </w:r>
      <w:proofErr w:type="spellStart"/>
      <w:r w:rsidRPr="00A96D84">
        <w:rPr>
          <w:rFonts w:ascii="Times New Roman" w:hAnsi="Times New Roman" w:cs="Times New Roman"/>
          <w:sz w:val="20"/>
          <w:szCs w:val="20"/>
        </w:rPr>
        <w:t>standardised</w:t>
      </w:r>
      <w:proofErr w:type="spellEnd"/>
      <w:r w:rsidRPr="00A96D84">
        <w:rPr>
          <w:rFonts w:ascii="Times New Roman" w:hAnsi="Times New Roman" w:cs="Times New Roman"/>
          <w:sz w:val="20"/>
          <w:szCs w:val="20"/>
        </w:rPr>
        <w:t xml:space="preserve"> packaging), achieving both cost efficiency and differentiation.</w:t>
      </w:r>
    </w:p>
    <w:p w14:paraId="1BFB8C39" w14:textId="77777777" w:rsidR="00CA1A5F" w:rsidRPr="00A96D84" w:rsidRDefault="00CA1A5F" w:rsidP="00CA1A5F">
      <w:pPr>
        <w:rPr>
          <w:rFonts w:ascii="Times New Roman" w:hAnsi="Times New Roman" w:cs="Times New Roman"/>
          <w:sz w:val="20"/>
          <w:szCs w:val="20"/>
        </w:rPr>
      </w:pPr>
    </w:p>
    <w:p w14:paraId="1C3F30AA"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w:t>
      </w:r>
    </w:p>
    <w:p w14:paraId="3F3AA7F3" w14:textId="77777777" w:rsidR="00CA1A5F" w:rsidRPr="00A96D84" w:rsidRDefault="00CA1A5F" w:rsidP="00CA1A5F">
      <w:pPr>
        <w:rPr>
          <w:rFonts w:ascii="Times New Roman" w:hAnsi="Times New Roman" w:cs="Times New Roman"/>
          <w:sz w:val="20"/>
          <w:szCs w:val="20"/>
        </w:rPr>
      </w:pPr>
    </w:p>
    <w:p w14:paraId="4849E5FA"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Question 3 (20%)</w:t>
      </w:r>
    </w:p>
    <w:p w14:paraId="56087359" w14:textId="77777777" w:rsidR="00CA1A5F" w:rsidRPr="00A96D84" w:rsidRDefault="00CA1A5F" w:rsidP="00CA1A5F">
      <w:pPr>
        <w:rPr>
          <w:rFonts w:ascii="Times New Roman" w:hAnsi="Times New Roman" w:cs="Times New Roman"/>
          <w:sz w:val="20"/>
          <w:szCs w:val="20"/>
        </w:rPr>
      </w:pPr>
    </w:p>
    <w:p w14:paraId="1D3DFAC5"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Core discussion dimensions: customer understanding, pricing, innovation, communication strategy</w:t>
      </w:r>
    </w:p>
    <w:p w14:paraId="6DCA1E72"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Selected concepts: Customer Value Proposition (CVP) + Value innovation logic, combined with dynamic pricing and integrated marketing communication.</w:t>
      </w:r>
    </w:p>
    <w:p w14:paraId="7DFEF52B" w14:textId="77777777" w:rsidR="00CA1A5F" w:rsidRPr="00A96D84" w:rsidRDefault="00CA1A5F" w:rsidP="00CA1A5F">
      <w:pPr>
        <w:rPr>
          <w:rFonts w:ascii="Times New Roman" w:hAnsi="Times New Roman" w:cs="Times New Roman"/>
          <w:sz w:val="20"/>
          <w:szCs w:val="20"/>
        </w:rPr>
      </w:pPr>
    </w:p>
    <w:p w14:paraId="39107945"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Integrated theory</w:t>
      </w:r>
    </w:p>
    <w:p w14:paraId="48090F47" w14:textId="77777777" w:rsidR="00CA1A5F" w:rsidRPr="00A96D84" w:rsidRDefault="00CA1A5F" w:rsidP="00CA1A5F">
      <w:pPr>
        <w:rPr>
          <w:rFonts w:ascii="Times New Roman" w:hAnsi="Times New Roman" w:cs="Times New Roman"/>
          <w:sz w:val="20"/>
          <w:szCs w:val="20"/>
        </w:rPr>
      </w:pPr>
    </w:p>
    <w:p w14:paraId="1E9BEE03"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 Customer understanding: Use empathy maps, segmentation, and </w:t>
      </w:r>
      <w:proofErr w:type="spellStart"/>
      <w:r w:rsidRPr="00A96D84">
        <w:rPr>
          <w:rFonts w:ascii="Times New Roman" w:hAnsi="Times New Roman" w:cs="Times New Roman"/>
          <w:sz w:val="20"/>
          <w:szCs w:val="20"/>
        </w:rPr>
        <w:t>behavioural</w:t>
      </w:r>
      <w:proofErr w:type="spellEnd"/>
      <w:r w:rsidRPr="00A96D84">
        <w:rPr>
          <w:rFonts w:ascii="Times New Roman" w:hAnsi="Times New Roman" w:cs="Times New Roman"/>
          <w:sz w:val="20"/>
          <w:szCs w:val="20"/>
        </w:rPr>
        <w:t xml:space="preserve"> data to identify unmet needs.</w:t>
      </w:r>
    </w:p>
    <w:p w14:paraId="5F06AD0C"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Pricing: Adopt value‑based pricing rather than cost‑plus.</w:t>
      </w:r>
    </w:p>
    <w:p w14:paraId="1E299BE6"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Innovation: Not only products but also processes, services, and business models (e.g., subscription).</w:t>
      </w:r>
    </w:p>
    <w:p w14:paraId="3D4E87AB"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Communication: Use digital channels for dialogue, building brand meaning.</w:t>
      </w:r>
    </w:p>
    <w:p w14:paraId="08B77F0B" w14:textId="77777777" w:rsidR="00CA1A5F" w:rsidRPr="00A96D84" w:rsidRDefault="00CA1A5F" w:rsidP="00CA1A5F">
      <w:pPr>
        <w:rPr>
          <w:rFonts w:ascii="Times New Roman" w:hAnsi="Times New Roman" w:cs="Times New Roman"/>
          <w:sz w:val="20"/>
          <w:szCs w:val="20"/>
        </w:rPr>
      </w:pPr>
    </w:p>
    <w:p w14:paraId="02918D43"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Example: Netflix</w:t>
      </w:r>
    </w:p>
    <w:p w14:paraId="24E4E2A9" w14:textId="77777777" w:rsidR="00CA1A5F" w:rsidRPr="00A96D84" w:rsidRDefault="00CA1A5F" w:rsidP="00CA1A5F">
      <w:pPr>
        <w:rPr>
          <w:rFonts w:ascii="Times New Roman" w:hAnsi="Times New Roman" w:cs="Times New Roman"/>
          <w:sz w:val="20"/>
          <w:szCs w:val="20"/>
        </w:rPr>
      </w:pPr>
    </w:p>
    <w:p w14:paraId="7BD84463"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 Customer understanding: Netflix analyses viewing </w:t>
      </w:r>
      <w:proofErr w:type="spellStart"/>
      <w:r w:rsidRPr="00A96D84">
        <w:rPr>
          <w:rFonts w:ascii="Times New Roman" w:hAnsi="Times New Roman" w:cs="Times New Roman"/>
          <w:sz w:val="20"/>
          <w:szCs w:val="20"/>
        </w:rPr>
        <w:t>behaviour</w:t>
      </w:r>
      <w:proofErr w:type="spellEnd"/>
      <w:r w:rsidRPr="00A96D84">
        <w:rPr>
          <w:rFonts w:ascii="Times New Roman" w:hAnsi="Times New Roman" w:cs="Times New Roman"/>
          <w:sz w:val="20"/>
          <w:szCs w:val="20"/>
        </w:rPr>
        <w:t xml:space="preserve"> (pauses, searches, replays) to build micro‑user profiles, even guiding original content decisions (e.g., House of Cards).</w:t>
      </w:r>
    </w:p>
    <w:p w14:paraId="32C47663"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Innovation: Shift from DVD mail to streaming, then mobile downloads and interactive films (Black Mirror: Bandersnatch), continuously redefining consumption scenarios.</w:t>
      </w:r>
    </w:p>
    <w:p w14:paraId="35FE8783"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Pricing: Tiered subscriptions (Basic, Standard, Premium) with dynamic price testing across countries. In 2023, an ad‑supported low‑price tier attracted price‑sensitive users while adding ad revenue.</w:t>
      </w:r>
    </w:p>
    <w:p w14:paraId="00A17460"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 Communication strategy: Co‑creates memes with fans on social media; sends </w:t>
      </w:r>
      <w:proofErr w:type="spellStart"/>
      <w:r w:rsidRPr="00A96D84">
        <w:rPr>
          <w:rFonts w:ascii="Times New Roman" w:hAnsi="Times New Roman" w:cs="Times New Roman"/>
          <w:sz w:val="20"/>
          <w:szCs w:val="20"/>
        </w:rPr>
        <w:t>personalised</w:t>
      </w:r>
      <w:proofErr w:type="spellEnd"/>
      <w:r w:rsidRPr="00A96D84">
        <w:rPr>
          <w:rFonts w:ascii="Times New Roman" w:hAnsi="Times New Roman" w:cs="Times New Roman"/>
          <w:sz w:val="20"/>
          <w:szCs w:val="20"/>
        </w:rPr>
        <w:t xml:space="preserve"> recommendations via email instead of hard selling, reinforcing the </w:t>
      </w:r>
      <w:r w:rsidRPr="00A96D84">
        <w:rPr>
          <w:rFonts w:ascii="Times New Roman" w:eastAsia="等线" w:hAnsi="Times New Roman" w:cs="Times New Roman"/>
          <w:sz w:val="20"/>
          <w:szCs w:val="20"/>
        </w:rPr>
        <w:t>“</w:t>
      </w:r>
      <w:r w:rsidRPr="00A96D84">
        <w:rPr>
          <w:rFonts w:ascii="Times New Roman" w:hAnsi="Times New Roman" w:cs="Times New Roman"/>
          <w:sz w:val="20"/>
          <w:szCs w:val="20"/>
        </w:rPr>
        <w:t>we know you</w:t>
      </w:r>
      <w:r w:rsidRPr="00A96D84">
        <w:rPr>
          <w:rFonts w:ascii="Times New Roman" w:eastAsia="等线" w:hAnsi="Times New Roman" w:cs="Times New Roman"/>
          <w:sz w:val="20"/>
          <w:szCs w:val="20"/>
        </w:rPr>
        <w:t>”</w:t>
      </w:r>
      <w:r w:rsidRPr="00A96D84">
        <w:rPr>
          <w:rFonts w:ascii="Times New Roman" w:hAnsi="Times New Roman" w:cs="Times New Roman"/>
          <w:sz w:val="20"/>
          <w:szCs w:val="20"/>
        </w:rPr>
        <w:t xml:space="preserve"> relationship.</w:t>
      </w:r>
    </w:p>
    <w:p w14:paraId="4CFA3ACD" w14:textId="77777777" w:rsidR="00CA1A5F" w:rsidRPr="00A96D84" w:rsidRDefault="00CA1A5F" w:rsidP="00CA1A5F">
      <w:pPr>
        <w:rPr>
          <w:rFonts w:ascii="Times New Roman" w:hAnsi="Times New Roman" w:cs="Times New Roman"/>
          <w:sz w:val="20"/>
          <w:szCs w:val="20"/>
        </w:rPr>
      </w:pPr>
    </w:p>
    <w:p w14:paraId="36AE9F98"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Outcome: Netflix maintains a leading market position in global streaming. Even against competitors like Disney+, its pricing and communication innovation, grounded in deep customer insight, deliver high retention and brand loyalty.</w:t>
      </w:r>
    </w:p>
    <w:p w14:paraId="642D5658" w14:textId="77777777" w:rsidR="00CA1A5F" w:rsidRPr="00A96D84" w:rsidRDefault="00CA1A5F" w:rsidP="00CA1A5F">
      <w:pPr>
        <w:rPr>
          <w:rFonts w:ascii="Times New Roman" w:hAnsi="Times New Roman" w:cs="Times New Roman"/>
          <w:sz w:val="20"/>
          <w:szCs w:val="20"/>
        </w:rPr>
      </w:pPr>
    </w:p>
    <w:p w14:paraId="3A565CCA"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Key takeaway: Strategy must translate customer insights into iterative action. Pricing, innovation, and communication should work together around customer value – no single element stands alone.</w:t>
      </w:r>
    </w:p>
    <w:p w14:paraId="1E327DAA" w14:textId="77777777" w:rsidR="00CA1A5F" w:rsidRPr="00A96D84" w:rsidRDefault="00CA1A5F" w:rsidP="00CA1A5F">
      <w:pPr>
        <w:rPr>
          <w:rFonts w:ascii="Times New Roman" w:hAnsi="Times New Roman" w:cs="Times New Roman"/>
          <w:sz w:val="20"/>
          <w:szCs w:val="20"/>
        </w:rPr>
      </w:pPr>
    </w:p>
    <w:p w14:paraId="120B92CA"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w:t>
      </w:r>
    </w:p>
    <w:p w14:paraId="610B136A" w14:textId="77777777" w:rsidR="00CA1A5F" w:rsidRPr="00A96D84" w:rsidRDefault="00CA1A5F" w:rsidP="00CA1A5F">
      <w:pPr>
        <w:rPr>
          <w:rFonts w:ascii="Times New Roman" w:hAnsi="Times New Roman" w:cs="Times New Roman"/>
          <w:sz w:val="20"/>
          <w:szCs w:val="20"/>
        </w:rPr>
      </w:pPr>
    </w:p>
    <w:p w14:paraId="00F4C704"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Question 4 (20%)</w:t>
      </w:r>
    </w:p>
    <w:p w14:paraId="4983A172" w14:textId="77777777" w:rsidR="00CA1A5F" w:rsidRPr="00A96D84" w:rsidRDefault="00CA1A5F" w:rsidP="00CA1A5F">
      <w:pPr>
        <w:rPr>
          <w:rFonts w:ascii="Times New Roman" w:hAnsi="Times New Roman" w:cs="Times New Roman"/>
          <w:sz w:val="20"/>
          <w:szCs w:val="20"/>
        </w:rPr>
      </w:pPr>
    </w:p>
    <w:p w14:paraId="59D566B5"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Core discussion: To what extent should businesses focus on social, sustainability and stakeholder value?</w:t>
      </w:r>
    </w:p>
    <w:p w14:paraId="6AD22051"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Selected concepts: Stakeholder theory (Freeman, 1984), Triple Bottom Line (Elkington, 1997), and </w:t>
      </w:r>
      <w:proofErr w:type="spellStart"/>
      <w:r w:rsidRPr="00A96D84">
        <w:rPr>
          <w:rFonts w:ascii="Times New Roman" w:hAnsi="Times New Roman" w:cs="Times New Roman"/>
          <w:sz w:val="20"/>
          <w:szCs w:val="20"/>
        </w:rPr>
        <w:t>organisational</w:t>
      </w:r>
      <w:proofErr w:type="spellEnd"/>
      <w:r w:rsidRPr="00A96D84">
        <w:rPr>
          <w:rFonts w:ascii="Times New Roman" w:hAnsi="Times New Roman" w:cs="Times New Roman"/>
          <w:sz w:val="20"/>
          <w:szCs w:val="20"/>
        </w:rPr>
        <w:t xml:space="preserve"> culture perspective.</w:t>
      </w:r>
    </w:p>
    <w:p w14:paraId="1A2EB937" w14:textId="77777777" w:rsidR="00CA1A5F" w:rsidRPr="00A96D84" w:rsidRDefault="00CA1A5F" w:rsidP="00CA1A5F">
      <w:pPr>
        <w:rPr>
          <w:rFonts w:ascii="Times New Roman" w:hAnsi="Times New Roman" w:cs="Times New Roman"/>
          <w:sz w:val="20"/>
          <w:szCs w:val="20"/>
        </w:rPr>
      </w:pPr>
    </w:p>
    <w:p w14:paraId="0D843B24"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Analysis</w:t>
      </w:r>
    </w:p>
    <w:p w14:paraId="24DD847C"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Traditional shareholder primacy (Friedman) argues that a firm’s only responsibility is to </w:t>
      </w:r>
      <w:proofErr w:type="spellStart"/>
      <w:r w:rsidRPr="00A96D84">
        <w:rPr>
          <w:rFonts w:ascii="Times New Roman" w:hAnsi="Times New Roman" w:cs="Times New Roman"/>
          <w:sz w:val="20"/>
          <w:szCs w:val="20"/>
        </w:rPr>
        <w:t>maximise</w:t>
      </w:r>
      <w:proofErr w:type="spellEnd"/>
      <w:r w:rsidRPr="00A96D84">
        <w:rPr>
          <w:rFonts w:ascii="Times New Roman" w:hAnsi="Times New Roman" w:cs="Times New Roman"/>
          <w:sz w:val="20"/>
          <w:szCs w:val="20"/>
        </w:rPr>
        <w:t xml:space="preserve"> profit. However, modern strategic management widely </w:t>
      </w:r>
      <w:proofErr w:type="spellStart"/>
      <w:r w:rsidRPr="00A96D84">
        <w:rPr>
          <w:rFonts w:ascii="Times New Roman" w:hAnsi="Times New Roman" w:cs="Times New Roman"/>
          <w:sz w:val="20"/>
          <w:szCs w:val="20"/>
        </w:rPr>
        <w:t>recognises</w:t>
      </w:r>
      <w:proofErr w:type="spellEnd"/>
      <w:r w:rsidRPr="00A96D84">
        <w:rPr>
          <w:rFonts w:ascii="Times New Roman" w:hAnsi="Times New Roman" w:cs="Times New Roman"/>
          <w:sz w:val="20"/>
          <w:szCs w:val="20"/>
        </w:rPr>
        <w:t xml:space="preserve"> that ignoring the environment, employees, and communities ultimately harms shareholder interests.</w:t>
      </w:r>
    </w:p>
    <w:p w14:paraId="6130498F" w14:textId="77777777" w:rsidR="00CA1A5F" w:rsidRPr="00A96D84" w:rsidRDefault="00CA1A5F" w:rsidP="00CA1A5F">
      <w:pPr>
        <w:rPr>
          <w:rFonts w:ascii="Times New Roman" w:hAnsi="Times New Roman" w:cs="Times New Roman"/>
          <w:sz w:val="20"/>
          <w:szCs w:val="20"/>
        </w:rPr>
      </w:pPr>
    </w:p>
    <w:p w14:paraId="1482DBDA"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Stakeholder theory: Firms should balance legitimate claims of customers, employees, suppliers, communities, and the environment. For example, Unilever’s “Sustainable Living Plan” reduced plastic packaging and improved smallholder farmer incomes, which lowered raw material volatility, built consumer trust, and delivered long‑term growth.</w:t>
      </w:r>
    </w:p>
    <w:p w14:paraId="7B38F90F"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lastRenderedPageBreak/>
        <w:t>· Triple Bottom Line (People, Planet, Profit): Mandates measuring social impact and ecological footprint alongside financial results. Patagonia donates 1% of sales to earth conservation and even ran a “Don’t Buy This Jacket” campaign – this enhanced brand premium and employee</w:t>
      </w:r>
      <w:r w:rsidRPr="00A96D84">
        <w:rPr>
          <w:rFonts w:ascii="Times New Roman" w:hAnsi="Times New Roman" w:cs="Times New Roman"/>
          <w:sz w:val="20"/>
          <w:szCs w:val="20"/>
        </w:rPr>
        <w:t>使命感</w:t>
      </w:r>
      <w:r w:rsidRPr="00A96D84">
        <w:rPr>
          <w:rFonts w:ascii="Times New Roman" w:hAnsi="Times New Roman" w:cs="Times New Roman"/>
          <w:sz w:val="20"/>
          <w:szCs w:val="20"/>
        </w:rPr>
        <w:t xml:space="preserve"> (sense of purpose).</w:t>
      </w:r>
    </w:p>
    <w:p w14:paraId="53B79D7F"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 xml:space="preserve">· </w:t>
      </w:r>
      <w:proofErr w:type="spellStart"/>
      <w:r w:rsidRPr="00A96D84">
        <w:rPr>
          <w:rFonts w:ascii="Times New Roman" w:hAnsi="Times New Roman" w:cs="Times New Roman"/>
          <w:sz w:val="20"/>
          <w:szCs w:val="20"/>
        </w:rPr>
        <w:t>Organisational</w:t>
      </w:r>
      <w:proofErr w:type="spellEnd"/>
      <w:r w:rsidRPr="00A96D84">
        <w:rPr>
          <w:rFonts w:ascii="Times New Roman" w:hAnsi="Times New Roman" w:cs="Times New Roman"/>
          <w:sz w:val="20"/>
          <w:szCs w:val="20"/>
        </w:rPr>
        <w:t xml:space="preserve"> culture: When social responsibility is </w:t>
      </w:r>
      <w:proofErr w:type="spellStart"/>
      <w:r w:rsidRPr="00A96D84">
        <w:rPr>
          <w:rFonts w:ascii="Times New Roman" w:hAnsi="Times New Roman" w:cs="Times New Roman"/>
          <w:sz w:val="20"/>
          <w:szCs w:val="20"/>
        </w:rPr>
        <w:t>internalised</w:t>
      </w:r>
      <w:proofErr w:type="spellEnd"/>
      <w:r w:rsidRPr="00A96D84">
        <w:rPr>
          <w:rFonts w:ascii="Times New Roman" w:hAnsi="Times New Roman" w:cs="Times New Roman"/>
          <w:sz w:val="20"/>
          <w:szCs w:val="20"/>
        </w:rPr>
        <w:t xml:space="preserve"> as daily practice (e.g., each department operates with a carbon budget), sustainability becomes a source of innovation rather than compliance cost.</w:t>
      </w:r>
    </w:p>
    <w:p w14:paraId="46220474" w14:textId="77777777" w:rsidR="00CA1A5F" w:rsidRPr="00A96D84" w:rsidRDefault="00CA1A5F" w:rsidP="00CA1A5F">
      <w:pPr>
        <w:rPr>
          <w:rFonts w:ascii="Times New Roman" w:hAnsi="Times New Roman" w:cs="Times New Roman"/>
          <w:sz w:val="20"/>
          <w:szCs w:val="20"/>
        </w:rPr>
      </w:pPr>
    </w:p>
    <w:p w14:paraId="22119E86"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Balanced answer: Businesses should not treat social responsibility as a subtraction from profit, but as a driver of long‑term value creation. In the short term, survival crises (e.g., airlines during early COVID‑19) may justify a temporary financial focus. But in the long run, ignoring climate risks or employee welfare leads to regulatory penalties, talent loss, and brand collapse. Optimal strategy: Identify business opportunities that align with social interests (e.g., renewable energy, circular packaging) – what Porter &amp; Kramer call “Creating Shared Value” (CSV).</w:t>
      </w:r>
    </w:p>
    <w:p w14:paraId="18FB3FFE" w14:textId="77777777" w:rsidR="00CA1A5F" w:rsidRPr="00A96D84" w:rsidRDefault="00CA1A5F" w:rsidP="00CA1A5F">
      <w:pPr>
        <w:rPr>
          <w:rFonts w:ascii="Times New Roman" w:hAnsi="Times New Roman" w:cs="Times New Roman"/>
          <w:sz w:val="20"/>
          <w:szCs w:val="20"/>
        </w:rPr>
      </w:pPr>
    </w:p>
    <w:p w14:paraId="79D2A76C"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Conclusion: Firms should proactively take on social and environmental responsibilities as long as survival is not threatened. For most modern businesses, this is already a strategic necessity, not mere moral decoration.</w:t>
      </w:r>
    </w:p>
    <w:p w14:paraId="216DC443" w14:textId="77777777" w:rsidR="00CA1A5F" w:rsidRPr="00A96D84" w:rsidRDefault="00CA1A5F" w:rsidP="00CA1A5F">
      <w:pPr>
        <w:rPr>
          <w:rFonts w:ascii="Times New Roman" w:hAnsi="Times New Roman" w:cs="Times New Roman"/>
          <w:sz w:val="20"/>
          <w:szCs w:val="20"/>
        </w:rPr>
      </w:pPr>
    </w:p>
    <w:p w14:paraId="0B0EF2B8"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w:t>
      </w:r>
    </w:p>
    <w:p w14:paraId="57822F0B" w14:textId="77777777" w:rsidR="00CA1A5F" w:rsidRPr="00A96D84" w:rsidRDefault="00CA1A5F" w:rsidP="00CA1A5F">
      <w:pPr>
        <w:rPr>
          <w:rFonts w:ascii="Times New Roman" w:hAnsi="Times New Roman" w:cs="Times New Roman"/>
          <w:sz w:val="20"/>
          <w:szCs w:val="20"/>
        </w:rPr>
      </w:pPr>
    </w:p>
    <w:p w14:paraId="3853ADA9" w14:textId="77777777" w:rsidR="00CA1A5F" w:rsidRPr="00A96D84" w:rsidRDefault="00CA1A5F" w:rsidP="00CA1A5F">
      <w:pPr>
        <w:rPr>
          <w:rFonts w:ascii="Times New Roman" w:hAnsi="Times New Roman" w:cs="Times New Roman"/>
          <w:sz w:val="20"/>
          <w:szCs w:val="20"/>
        </w:rPr>
      </w:pPr>
      <w:r w:rsidRPr="00A96D84">
        <w:rPr>
          <w:rFonts w:ascii="Times New Roman" w:hAnsi="Times New Roman" w:cs="Times New Roman"/>
          <w:sz w:val="20"/>
          <w:szCs w:val="20"/>
        </w:rPr>
        <w:t>References</w:t>
      </w:r>
    </w:p>
    <w:p w14:paraId="7D39FF1D" w14:textId="77777777" w:rsidR="00CA1A5F" w:rsidRPr="00A96D84" w:rsidRDefault="00CA1A5F" w:rsidP="00CA1A5F">
      <w:pPr>
        <w:rPr>
          <w:rFonts w:ascii="Times New Roman" w:hAnsi="Times New Roman" w:cs="Times New Roman"/>
          <w:sz w:val="20"/>
          <w:szCs w:val="20"/>
        </w:rPr>
      </w:pPr>
    </w:p>
    <w:p w14:paraId="34FCE9C1" w14:textId="388C9460" w:rsidR="00CA1A5F" w:rsidRPr="00A96D84" w:rsidRDefault="00CA1A5F" w:rsidP="00A96D84">
      <w:pPr>
        <w:pStyle w:val="a9"/>
        <w:numPr>
          <w:ilvl w:val="0"/>
          <w:numId w:val="1"/>
        </w:numPr>
        <w:rPr>
          <w:rFonts w:ascii="Times New Roman" w:hAnsi="Times New Roman" w:cs="Times New Roman"/>
          <w:sz w:val="20"/>
          <w:szCs w:val="20"/>
        </w:rPr>
      </w:pPr>
      <w:r w:rsidRPr="00A96D84">
        <w:rPr>
          <w:rFonts w:ascii="Times New Roman" w:hAnsi="Times New Roman" w:cs="Times New Roman"/>
          <w:sz w:val="20"/>
          <w:szCs w:val="20"/>
        </w:rPr>
        <w:t>Barney, J. (1991) ‘</w:t>
      </w:r>
      <w:r w:rsidRPr="00A96D84">
        <w:rPr>
          <w:rFonts w:ascii="Times New Roman" w:hAnsi="Times New Roman" w:cs="Times New Roman"/>
          <w:i/>
          <w:iCs/>
          <w:sz w:val="20"/>
          <w:szCs w:val="20"/>
        </w:rPr>
        <w:t>Firm resources and sustained competitive advantage</w:t>
      </w:r>
      <w:r w:rsidRPr="00A96D84">
        <w:rPr>
          <w:rFonts w:ascii="Times New Roman" w:hAnsi="Times New Roman" w:cs="Times New Roman"/>
          <w:sz w:val="20"/>
          <w:szCs w:val="20"/>
        </w:rPr>
        <w:t>’, Journal of Management, 17(1), pp. 99-120.</w:t>
      </w:r>
    </w:p>
    <w:p w14:paraId="65A07271" w14:textId="77777777" w:rsidR="00CA1A5F" w:rsidRPr="00A96D84" w:rsidRDefault="00CA1A5F" w:rsidP="00CA1A5F">
      <w:pPr>
        <w:rPr>
          <w:rFonts w:ascii="Times New Roman" w:hAnsi="Times New Roman" w:cs="Times New Roman"/>
          <w:sz w:val="20"/>
          <w:szCs w:val="20"/>
        </w:rPr>
      </w:pPr>
    </w:p>
    <w:p w14:paraId="57535761" w14:textId="55F208C9" w:rsidR="00CA1A5F" w:rsidRPr="00A96D84" w:rsidRDefault="00CA1A5F" w:rsidP="00A96D84">
      <w:pPr>
        <w:pStyle w:val="a9"/>
        <w:numPr>
          <w:ilvl w:val="0"/>
          <w:numId w:val="1"/>
        </w:numPr>
        <w:rPr>
          <w:rFonts w:ascii="Times New Roman" w:hAnsi="Times New Roman" w:cs="Times New Roman"/>
          <w:sz w:val="20"/>
          <w:szCs w:val="20"/>
        </w:rPr>
      </w:pPr>
      <w:r w:rsidRPr="00A96D84">
        <w:rPr>
          <w:rFonts w:ascii="Times New Roman" w:hAnsi="Times New Roman" w:cs="Times New Roman"/>
          <w:sz w:val="20"/>
          <w:szCs w:val="20"/>
        </w:rPr>
        <w:t>Carroll, A.B. (1991) ‘</w:t>
      </w:r>
      <w:r w:rsidRPr="00A96D84">
        <w:rPr>
          <w:rFonts w:ascii="Times New Roman" w:hAnsi="Times New Roman" w:cs="Times New Roman"/>
          <w:i/>
          <w:iCs/>
          <w:sz w:val="20"/>
          <w:szCs w:val="20"/>
        </w:rPr>
        <w:t>The pyramid of corporate social responsibility: Toward the moral management of organizational stakeholders</w:t>
      </w:r>
      <w:r w:rsidRPr="00A96D84">
        <w:rPr>
          <w:rFonts w:ascii="Times New Roman" w:hAnsi="Times New Roman" w:cs="Times New Roman"/>
          <w:sz w:val="20"/>
          <w:szCs w:val="20"/>
        </w:rPr>
        <w:t>’, Business Horizons, 34(4), pp. 39-48.</w:t>
      </w:r>
    </w:p>
    <w:p w14:paraId="334C0785" w14:textId="77777777" w:rsidR="00CA1A5F" w:rsidRPr="00A96D84" w:rsidRDefault="00CA1A5F" w:rsidP="00CA1A5F">
      <w:pPr>
        <w:rPr>
          <w:rFonts w:ascii="Times New Roman" w:hAnsi="Times New Roman" w:cs="Times New Roman"/>
          <w:sz w:val="20"/>
          <w:szCs w:val="20"/>
        </w:rPr>
      </w:pPr>
    </w:p>
    <w:p w14:paraId="06C946A5" w14:textId="0F839570" w:rsidR="00CA1A5F" w:rsidRPr="00A96D84" w:rsidRDefault="00CA1A5F" w:rsidP="00A96D84">
      <w:pPr>
        <w:pStyle w:val="a9"/>
        <w:numPr>
          <w:ilvl w:val="0"/>
          <w:numId w:val="1"/>
        </w:numPr>
        <w:rPr>
          <w:rFonts w:ascii="Times New Roman" w:hAnsi="Times New Roman" w:cs="Times New Roman"/>
          <w:sz w:val="20"/>
          <w:szCs w:val="20"/>
        </w:rPr>
      </w:pPr>
      <w:r w:rsidRPr="00A96D84">
        <w:rPr>
          <w:rFonts w:ascii="Times New Roman" w:hAnsi="Times New Roman" w:cs="Times New Roman"/>
          <w:sz w:val="20"/>
          <w:szCs w:val="20"/>
        </w:rPr>
        <w:t xml:space="preserve">Elkington, J. (1997) </w:t>
      </w:r>
      <w:r w:rsidRPr="00A96D84">
        <w:rPr>
          <w:rFonts w:ascii="Times New Roman" w:hAnsi="Times New Roman" w:cs="Times New Roman"/>
          <w:i/>
          <w:iCs/>
          <w:sz w:val="20"/>
          <w:szCs w:val="20"/>
        </w:rPr>
        <w:t>Cannibals with Forks:</w:t>
      </w:r>
      <w:r w:rsidRPr="00A96D84">
        <w:rPr>
          <w:rFonts w:ascii="Times New Roman" w:hAnsi="Times New Roman" w:cs="Times New Roman"/>
          <w:sz w:val="20"/>
          <w:szCs w:val="20"/>
        </w:rPr>
        <w:t xml:space="preserve"> </w:t>
      </w:r>
      <w:r w:rsidRPr="00A96D84">
        <w:rPr>
          <w:rFonts w:ascii="Times New Roman" w:hAnsi="Times New Roman" w:cs="Times New Roman"/>
          <w:i/>
          <w:iCs/>
          <w:sz w:val="20"/>
          <w:szCs w:val="20"/>
        </w:rPr>
        <w:t>The Triple Bottom Line of 21st Century Business</w:t>
      </w:r>
      <w:r w:rsidRPr="00A96D84">
        <w:rPr>
          <w:rFonts w:ascii="Times New Roman" w:hAnsi="Times New Roman" w:cs="Times New Roman"/>
          <w:sz w:val="20"/>
          <w:szCs w:val="20"/>
        </w:rPr>
        <w:t>. Oxford: Capstone.</w:t>
      </w:r>
    </w:p>
    <w:p w14:paraId="72A7ECCC" w14:textId="77777777" w:rsidR="00CA1A5F" w:rsidRPr="00A96D84" w:rsidRDefault="00CA1A5F" w:rsidP="00CA1A5F">
      <w:pPr>
        <w:rPr>
          <w:rFonts w:ascii="Times New Roman" w:hAnsi="Times New Roman" w:cs="Times New Roman"/>
          <w:sz w:val="20"/>
          <w:szCs w:val="20"/>
        </w:rPr>
      </w:pPr>
    </w:p>
    <w:p w14:paraId="2F344B8A" w14:textId="74E27271" w:rsidR="00CA1A5F" w:rsidRPr="00A96D84" w:rsidRDefault="00CA1A5F" w:rsidP="00A96D84">
      <w:pPr>
        <w:pStyle w:val="a9"/>
        <w:numPr>
          <w:ilvl w:val="0"/>
          <w:numId w:val="1"/>
        </w:numPr>
        <w:rPr>
          <w:rFonts w:ascii="Times New Roman" w:hAnsi="Times New Roman" w:cs="Times New Roman"/>
          <w:sz w:val="20"/>
          <w:szCs w:val="20"/>
        </w:rPr>
      </w:pPr>
      <w:r w:rsidRPr="00A96D84">
        <w:rPr>
          <w:rFonts w:ascii="Times New Roman" w:hAnsi="Times New Roman" w:cs="Times New Roman"/>
          <w:sz w:val="20"/>
          <w:szCs w:val="20"/>
        </w:rPr>
        <w:t xml:space="preserve">Freeman, R.E. (1984) Strategic Management: </w:t>
      </w:r>
      <w:r w:rsidRPr="00A96D84">
        <w:rPr>
          <w:rFonts w:ascii="Times New Roman" w:hAnsi="Times New Roman" w:cs="Times New Roman"/>
          <w:i/>
          <w:iCs/>
          <w:sz w:val="20"/>
          <w:szCs w:val="20"/>
        </w:rPr>
        <w:t>A Stakeholder Approach</w:t>
      </w:r>
      <w:r w:rsidRPr="00A96D84">
        <w:rPr>
          <w:rFonts w:ascii="Times New Roman" w:hAnsi="Times New Roman" w:cs="Times New Roman"/>
          <w:sz w:val="20"/>
          <w:szCs w:val="20"/>
        </w:rPr>
        <w:t>. Boston: Pitman.</w:t>
      </w:r>
    </w:p>
    <w:p w14:paraId="0442C9AC" w14:textId="77777777" w:rsidR="00CA1A5F" w:rsidRPr="00A96D84" w:rsidRDefault="00CA1A5F" w:rsidP="00CA1A5F">
      <w:pPr>
        <w:rPr>
          <w:rFonts w:ascii="Times New Roman" w:hAnsi="Times New Roman" w:cs="Times New Roman"/>
          <w:sz w:val="20"/>
          <w:szCs w:val="20"/>
        </w:rPr>
      </w:pPr>
    </w:p>
    <w:p w14:paraId="113F8B7A" w14:textId="7AAE0795" w:rsidR="00CA1A5F" w:rsidRPr="00A96D84" w:rsidRDefault="00CA1A5F" w:rsidP="00A96D84">
      <w:pPr>
        <w:pStyle w:val="a9"/>
        <w:numPr>
          <w:ilvl w:val="0"/>
          <w:numId w:val="1"/>
        </w:numPr>
        <w:rPr>
          <w:rFonts w:ascii="Times New Roman" w:hAnsi="Times New Roman" w:cs="Times New Roman"/>
          <w:sz w:val="20"/>
          <w:szCs w:val="20"/>
        </w:rPr>
      </w:pPr>
      <w:r w:rsidRPr="00A96D84">
        <w:rPr>
          <w:rFonts w:ascii="Times New Roman" w:hAnsi="Times New Roman" w:cs="Times New Roman"/>
          <w:sz w:val="20"/>
          <w:szCs w:val="20"/>
        </w:rPr>
        <w:t xml:space="preserve">Johnson, G., Whittington, R., Scholes, K., Angwin, D. and Regnér, P. (2020) </w:t>
      </w:r>
      <w:r w:rsidRPr="00A96D84">
        <w:rPr>
          <w:rFonts w:ascii="Times New Roman" w:hAnsi="Times New Roman" w:cs="Times New Roman"/>
          <w:i/>
          <w:iCs/>
          <w:sz w:val="20"/>
          <w:szCs w:val="20"/>
        </w:rPr>
        <w:t>Exploring Strategy</w:t>
      </w:r>
      <w:r w:rsidRPr="00A96D84">
        <w:rPr>
          <w:rFonts w:ascii="Times New Roman" w:hAnsi="Times New Roman" w:cs="Times New Roman"/>
          <w:sz w:val="20"/>
          <w:szCs w:val="20"/>
        </w:rPr>
        <w:t xml:space="preserve">. 12th </w:t>
      </w:r>
      <w:proofErr w:type="spellStart"/>
      <w:r w:rsidRPr="00A96D84">
        <w:rPr>
          <w:rFonts w:ascii="Times New Roman" w:hAnsi="Times New Roman" w:cs="Times New Roman"/>
          <w:sz w:val="20"/>
          <w:szCs w:val="20"/>
        </w:rPr>
        <w:t>edn</w:t>
      </w:r>
      <w:proofErr w:type="spellEnd"/>
      <w:r w:rsidRPr="00A96D84">
        <w:rPr>
          <w:rFonts w:ascii="Times New Roman" w:hAnsi="Times New Roman" w:cs="Times New Roman"/>
          <w:sz w:val="20"/>
          <w:szCs w:val="20"/>
        </w:rPr>
        <w:t>. Harlow: Pearson.</w:t>
      </w:r>
    </w:p>
    <w:p w14:paraId="4DD67F71" w14:textId="77777777" w:rsidR="00CA1A5F" w:rsidRPr="00A96D84" w:rsidRDefault="00CA1A5F" w:rsidP="00CA1A5F">
      <w:pPr>
        <w:rPr>
          <w:rFonts w:ascii="Times New Roman" w:hAnsi="Times New Roman" w:cs="Times New Roman"/>
          <w:sz w:val="20"/>
          <w:szCs w:val="20"/>
        </w:rPr>
      </w:pPr>
    </w:p>
    <w:p w14:paraId="38E3EDC4" w14:textId="357919F5" w:rsidR="00CA1A5F" w:rsidRPr="00A96D84" w:rsidRDefault="00CA1A5F" w:rsidP="00A96D84">
      <w:pPr>
        <w:pStyle w:val="a9"/>
        <w:numPr>
          <w:ilvl w:val="0"/>
          <w:numId w:val="1"/>
        </w:numPr>
        <w:rPr>
          <w:rFonts w:ascii="Times New Roman" w:hAnsi="Times New Roman" w:cs="Times New Roman"/>
          <w:sz w:val="20"/>
          <w:szCs w:val="20"/>
        </w:rPr>
      </w:pPr>
      <w:r w:rsidRPr="00A96D84">
        <w:rPr>
          <w:rFonts w:ascii="Times New Roman" w:hAnsi="Times New Roman" w:cs="Times New Roman"/>
          <w:sz w:val="20"/>
          <w:szCs w:val="20"/>
        </w:rPr>
        <w:t xml:space="preserve">Kim, W.C. and Mauborgne, R. (2005) </w:t>
      </w:r>
      <w:r w:rsidRPr="00A96D84">
        <w:rPr>
          <w:rFonts w:ascii="Times New Roman" w:hAnsi="Times New Roman" w:cs="Times New Roman"/>
          <w:i/>
          <w:iCs/>
          <w:sz w:val="20"/>
          <w:szCs w:val="20"/>
        </w:rPr>
        <w:t>Blue Ocean Strategy</w:t>
      </w:r>
      <w:r w:rsidRPr="00A96D84">
        <w:rPr>
          <w:rFonts w:ascii="Times New Roman" w:hAnsi="Times New Roman" w:cs="Times New Roman"/>
          <w:sz w:val="20"/>
          <w:szCs w:val="20"/>
        </w:rPr>
        <w:t>. Boston: Harvard Business School Press.</w:t>
      </w:r>
    </w:p>
    <w:p w14:paraId="1B253845" w14:textId="77777777" w:rsidR="00CA1A5F" w:rsidRPr="00A96D84" w:rsidRDefault="00CA1A5F" w:rsidP="00CA1A5F">
      <w:pPr>
        <w:rPr>
          <w:rFonts w:ascii="Times New Roman" w:hAnsi="Times New Roman" w:cs="Times New Roman"/>
          <w:sz w:val="20"/>
          <w:szCs w:val="20"/>
        </w:rPr>
      </w:pPr>
    </w:p>
    <w:p w14:paraId="7DEC6E27" w14:textId="556FE5D7" w:rsidR="00CA1A5F" w:rsidRPr="00A96D84" w:rsidRDefault="00CA1A5F" w:rsidP="00A96D84">
      <w:pPr>
        <w:pStyle w:val="a9"/>
        <w:numPr>
          <w:ilvl w:val="0"/>
          <w:numId w:val="1"/>
        </w:numPr>
        <w:rPr>
          <w:rFonts w:ascii="Times New Roman" w:hAnsi="Times New Roman" w:cs="Times New Roman"/>
          <w:sz w:val="20"/>
          <w:szCs w:val="20"/>
        </w:rPr>
      </w:pPr>
      <w:r w:rsidRPr="00A96D84">
        <w:rPr>
          <w:rFonts w:ascii="Times New Roman" w:hAnsi="Times New Roman" w:cs="Times New Roman"/>
          <w:sz w:val="20"/>
          <w:szCs w:val="20"/>
        </w:rPr>
        <w:t>Porter, M.E. (1985)</w:t>
      </w:r>
      <w:r w:rsidRPr="00A96D84">
        <w:rPr>
          <w:rFonts w:ascii="Times New Roman" w:hAnsi="Times New Roman" w:cs="Times New Roman"/>
          <w:i/>
          <w:iCs/>
          <w:sz w:val="20"/>
          <w:szCs w:val="20"/>
        </w:rPr>
        <w:t xml:space="preserve"> Competitive Advantage: Creating and Sustaining Superior Performance</w:t>
      </w:r>
      <w:r w:rsidRPr="00A96D84">
        <w:rPr>
          <w:rFonts w:ascii="Times New Roman" w:hAnsi="Times New Roman" w:cs="Times New Roman"/>
          <w:sz w:val="20"/>
          <w:szCs w:val="20"/>
        </w:rPr>
        <w:t>. New York: Free Press.</w:t>
      </w:r>
    </w:p>
    <w:p w14:paraId="724ACC1F" w14:textId="77777777" w:rsidR="00CA1A5F" w:rsidRPr="00A96D84" w:rsidRDefault="00CA1A5F" w:rsidP="00CA1A5F">
      <w:pPr>
        <w:rPr>
          <w:rFonts w:ascii="Times New Roman" w:hAnsi="Times New Roman" w:cs="Times New Roman"/>
          <w:sz w:val="20"/>
          <w:szCs w:val="20"/>
        </w:rPr>
      </w:pPr>
    </w:p>
    <w:p w14:paraId="6A71A988" w14:textId="33A7A1C9" w:rsidR="00484654" w:rsidRPr="00A96D84" w:rsidRDefault="00CA1A5F" w:rsidP="00A96D84">
      <w:pPr>
        <w:pStyle w:val="a9"/>
        <w:numPr>
          <w:ilvl w:val="0"/>
          <w:numId w:val="1"/>
        </w:numPr>
        <w:rPr>
          <w:rFonts w:ascii="Times New Roman" w:hAnsi="Times New Roman" w:cs="Times New Roman"/>
          <w:sz w:val="20"/>
          <w:szCs w:val="20"/>
        </w:rPr>
      </w:pPr>
      <w:r w:rsidRPr="00A96D84">
        <w:rPr>
          <w:rFonts w:ascii="Times New Roman" w:hAnsi="Times New Roman" w:cs="Times New Roman"/>
          <w:sz w:val="20"/>
          <w:szCs w:val="20"/>
        </w:rPr>
        <w:t xml:space="preserve">Rogers, E.M. (2003) </w:t>
      </w:r>
      <w:r w:rsidRPr="00A96D84">
        <w:rPr>
          <w:rFonts w:ascii="Times New Roman" w:hAnsi="Times New Roman" w:cs="Times New Roman"/>
          <w:i/>
          <w:iCs/>
          <w:sz w:val="20"/>
          <w:szCs w:val="20"/>
        </w:rPr>
        <w:t>Diffusion of Innovations.</w:t>
      </w:r>
      <w:r w:rsidRPr="00A96D84">
        <w:rPr>
          <w:rFonts w:ascii="Times New Roman" w:hAnsi="Times New Roman" w:cs="Times New Roman"/>
          <w:sz w:val="20"/>
          <w:szCs w:val="20"/>
        </w:rPr>
        <w:t xml:space="preserve"> 5th </w:t>
      </w:r>
      <w:proofErr w:type="spellStart"/>
      <w:r w:rsidRPr="00A96D84">
        <w:rPr>
          <w:rFonts w:ascii="Times New Roman" w:hAnsi="Times New Roman" w:cs="Times New Roman"/>
          <w:sz w:val="20"/>
          <w:szCs w:val="20"/>
        </w:rPr>
        <w:t>edn</w:t>
      </w:r>
      <w:proofErr w:type="spellEnd"/>
      <w:r w:rsidRPr="00A96D84">
        <w:rPr>
          <w:rFonts w:ascii="Times New Roman" w:hAnsi="Times New Roman" w:cs="Times New Roman"/>
          <w:sz w:val="20"/>
          <w:szCs w:val="20"/>
        </w:rPr>
        <w:t>. New York: Free Press.</w:t>
      </w:r>
    </w:p>
    <w:sectPr w:rsidR="00484654" w:rsidRPr="00A96D8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41868"/>
    <w:multiLevelType w:val="hybridMultilevel"/>
    <w:tmpl w:val="14185F30"/>
    <w:lvl w:ilvl="0" w:tplc="2C92338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940794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A5F"/>
    <w:rsid w:val="00484654"/>
    <w:rsid w:val="00957949"/>
    <w:rsid w:val="00A96D84"/>
    <w:rsid w:val="00CA1A5F"/>
    <w:rsid w:val="00E256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52043"/>
  <w15:chartTrackingRefBased/>
  <w15:docId w15:val="{A386D696-B191-4265-8846-F3956BB3F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A1A5F"/>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CA1A5F"/>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CA1A5F"/>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CA1A5F"/>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CA1A5F"/>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CA1A5F"/>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CA1A5F"/>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CA1A5F"/>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CA1A5F"/>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A1A5F"/>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CA1A5F"/>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CA1A5F"/>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CA1A5F"/>
    <w:rPr>
      <w:rFonts w:cstheme="majorBidi"/>
      <w:color w:val="0F4761" w:themeColor="accent1" w:themeShade="BF"/>
      <w:sz w:val="28"/>
      <w:szCs w:val="28"/>
    </w:rPr>
  </w:style>
  <w:style w:type="character" w:customStyle="1" w:styleId="50">
    <w:name w:val="标题 5 字符"/>
    <w:basedOn w:val="a0"/>
    <w:link w:val="5"/>
    <w:uiPriority w:val="9"/>
    <w:semiHidden/>
    <w:rsid w:val="00CA1A5F"/>
    <w:rPr>
      <w:rFonts w:cstheme="majorBidi"/>
      <w:color w:val="0F4761" w:themeColor="accent1" w:themeShade="BF"/>
      <w:sz w:val="24"/>
      <w:szCs w:val="24"/>
    </w:rPr>
  </w:style>
  <w:style w:type="character" w:customStyle="1" w:styleId="60">
    <w:name w:val="标题 6 字符"/>
    <w:basedOn w:val="a0"/>
    <w:link w:val="6"/>
    <w:uiPriority w:val="9"/>
    <w:semiHidden/>
    <w:rsid w:val="00CA1A5F"/>
    <w:rPr>
      <w:rFonts w:cstheme="majorBidi"/>
      <w:b/>
      <w:bCs/>
      <w:color w:val="0F4761" w:themeColor="accent1" w:themeShade="BF"/>
    </w:rPr>
  </w:style>
  <w:style w:type="character" w:customStyle="1" w:styleId="70">
    <w:name w:val="标题 7 字符"/>
    <w:basedOn w:val="a0"/>
    <w:link w:val="7"/>
    <w:uiPriority w:val="9"/>
    <w:semiHidden/>
    <w:rsid w:val="00CA1A5F"/>
    <w:rPr>
      <w:rFonts w:cstheme="majorBidi"/>
      <w:b/>
      <w:bCs/>
      <w:color w:val="595959" w:themeColor="text1" w:themeTint="A6"/>
    </w:rPr>
  </w:style>
  <w:style w:type="character" w:customStyle="1" w:styleId="80">
    <w:name w:val="标题 8 字符"/>
    <w:basedOn w:val="a0"/>
    <w:link w:val="8"/>
    <w:uiPriority w:val="9"/>
    <w:semiHidden/>
    <w:rsid w:val="00CA1A5F"/>
    <w:rPr>
      <w:rFonts w:cstheme="majorBidi"/>
      <w:color w:val="595959" w:themeColor="text1" w:themeTint="A6"/>
    </w:rPr>
  </w:style>
  <w:style w:type="character" w:customStyle="1" w:styleId="90">
    <w:name w:val="标题 9 字符"/>
    <w:basedOn w:val="a0"/>
    <w:link w:val="9"/>
    <w:uiPriority w:val="9"/>
    <w:semiHidden/>
    <w:rsid w:val="00CA1A5F"/>
    <w:rPr>
      <w:rFonts w:eastAsiaTheme="majorEastAsia" w:cstheme="majorBidi"/>
      <w:color w:val="595959" w:themeColor="text1" w:themeTint="A6"/>
    </w:rPr>
  </w:style>
  <w:style w:type="paragraph" w:styleId="a3">
    <w:name w:val="Title"/>
    <w:basedOn w:val="a"/>
    <w:next w:val="a"/>
    <w:link w:val="a4"/>
    <w:uiPriority w:val="10"/>
    <w:qFormat/>
    <w:rsid w:val="00CA1A5F"/>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A1A5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A1A5F"/>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A1A5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A1A5F"/>
    <w:pPr>
      <w:spacing w:before="160" w:after="160"/>
      <w:jc w:val="center"/>
    </w:pPr>
    <w:rPr>
      <w:i/>
      <w:iCs/>
      <w:color w:val="404040" w:themeColor="text1" w:themeTint="BF"/>
    </w:rPr>
  </w:style>
  <w:style w:type="character" w:customStyle="1" w:styleId="a8">
    <w:name w:val="引用 字符"/>
    <w:basedOn w:val="a0"/>
    <w:link w:val="a7"/>
    <w:uiPriority w:val="29"/>
    <w:rsid w:val="00CA1A5F"/>
    <w:rPr>
      <w:i/>
      <w:iCs/>
      <w:color w:val="404040" w:themeColor="text1" w:themeTint="BF"/>
    </w:rPr>
  </w:style>
  <w:style w:type="paragraph" w:styleId="a9">
    <w:name w:val="List Paragraph"/>
    <w:basedOn w:val="a"/>
    <w:uiPriority w:val="34"/>
    <w:qFormat/>
    <w:rsid w:val="00CA1A5F"/>
    <w:pPr>
      <w:ind w:left="720"/>
      <w:contextualSpacing/>
    </w:pPr>
  </w:style>
  <w:style w:type="character" w:styleId="aa">
    <w:name w:val="Intense Emphasis"/>
    <w:basedOn w:val="a0"/>
    <w:uiPriority w:val="21"/>
    <w:qFormat/>
    <w:rsid w:val="00CA1A5F"/>
    <w:rPr>
      <w:i/>
      <w:iCs/>
      <w:color w:val="0F4761" w:themeColor="accent1" w:themeShade="BF"/>
    </w:rPr>
  </w:style>
  <w:style w:type="paragraph" w:styleId="ab">
    <w:name w:val="Intense Quote"/>
    <w:basedOn w:val="a"/>
    <w:next w:val="a"/>
    <w:link w:val="ac"/>
    <w:uiPriority w:val="30"/>
    <w:qFormat/>
    <w:rsid w:val="00CA1A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CA1A5F"/>
    <w:rPr>
      <w:i/>
      <w:iCs/>
      <w:color w:val="0F4761" w:themeColor="accent1" w:themeShade="BF"/>
    </w:rPr>
  </w:style>
  <w:style w:type="character" w:styleId="ad">
    <w:name w:val="Intense Reference"/>
    <w:basedOn w:val="a0"/>
    <w:uiPriority w:val="32"/>
    <w:qFormat/>
    <w:rsid w:val="00CA1A5F"/>
    <w:rPr>
      <w:b/>
      <w:bCs/>
      <w:smallCaps/>
      <w:color w:val="0F4761" w:themeColor="accent1" w:themeShade="BF"/>
      <w:spacing w:val="5"/>
    </w:rPr>
  </w:style>
  <w:style w:type="table" w:styleId="ae">
    <w:name w:val="Table Grid"/>
    <w:basedOn w:val="a1"/>
    <w:uiPriority w:val="39"/>
    <w:rsid w:val="00CA1A5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5</Pages>
  <Words>1518</Words>
  <Characters>9583</Characters>
  <Application>Microsoft Office Word</Application>
  <DocSecurity>0</DocSecurity>
  <Lines>233</Lines>
  <Paragraphs>51</Paragraphs>
  <ScaleCrop>false</ScaleCrop>
  <Company/>
  <LinksUpToDate>false</LinksUpToDate>
  <CharactersWithSpaces>11050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yuze Tang</dc:creator>
  <cp:keywords/>
  <dc:description/>
  <cp:lastModifiedBy>yuze Tang</cp:lastModifiedBy>
  <cp:revision>1</cp:revision>
  <dcterms:created xsi:type="dcterms:W3CDTF">2026-05-07T17:46:00Z</dcterms:created>
  <dcterms:modified xsi:type="dcterms:W3CDTF">2026-05-07T18:12:00Z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e09c09c8-7854-44f9-aa68-986891d4ff0a</vt:lpwstr>
  </property>
</Properties>
</file>