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1036B7" w14:textId="77777777" w:rsidR="00F033DE" w:rsidRPr="00907D74" w:rsidRDefault="00F033DE" w:rsidP="00F033DE">
      <w:pPr>
        <w:spacing w:before="67" w:after="0" w:line="240" w:lineRule="auto"/>
        <w:rPr>
          <w:rFonts w:ascii="Times New Roman" w:hAnsi="Times New Roman" w:cs="Times New Roman"/>
          <w:kern w:val="0"/>
          <w:sz w:val="26"/>
          <w:szCs w:val="26"/>
          <w:u w:val="single"/>
          <w14:ligatures w14:val="none"/>
        </w:rPr>
      </w:pPr>
      <w:r w:rsidRPr="00907D74">
        <w:rPr>
          <w:rFonts w:asciiTheme="majorHAnsi" w:eastAsia="Times New Roman" w:hAnsi="Calibri" w:cs="Times New Roman"/>
          <w:b/>
          <w:bCs/>
          <w:color w:val="000000" w:themeColor="text1"/>
          <w:sz w:val="26"/>
          <w:szCs w:val="26"/>
          <w:u w:val="single"/>
          <w14:ligatures w14:val="none"/>
        </w:rPr>
        <w:t>Amna Hussain - ID number (2319523)</w:t>
      </w:r>
    </w:p>
    <w:p w14:paraId="7D0FC00D" w14:textId="77777777" w:rsidR="00F033DE" w:rsidRPr="00907D74" w:rsidRDefault="00F033DE" w:rsidP="00F033DE">
      <w:pPr>
        <w:spacing w:before="67" w:after="0" w:line="240" w:lineRule="auto"/>
        <w:rPr>
          <w:rFonts w:ascii="Times New Roman" w:hAnsi="Times New Roman" w:cs="Times New Roman"/>
          <w:kern w:val="0"/>
          <w:sz w:val="26"/>
          <w:szCs w:val="26"/>
          <w:u w:val="single"/>
          <w14:ligatures w14:val="none"/>
        </w:rPr>
      </w:pPr>
      <w:r w:rsidRPr="00907D74">
        <w:rPr>
          <w:rFonts w:asciiTheme="majorHAnsi" w:eastAsia="Times New Roman" w:hAnsi="Calibri" w:cs="Times New Roman"/>
          <w:b/>
          <w:bCs/>
          <w:color w:val="000000" w:themeColor="text1"/>
          <w:sz w:val="26"/>
          <w:szCs w:val="26"/>
          <w:u w:val="single"/>
          <w14:ligatures w14:val="none"/>
        </w:rPr>
        <w:t xml:space="preserve">Module </w:t>
      </w:r>
      <w:r w:rsidRPr="00907D74">
        <w:rPr>
          <w:rFonts w:asciiTheme="majorHAnsi" w:eastAsia="Times New Roman" w:hAnsi="Calibri" w:cs="Times New Roman"/>
          <w:b/>
          <w:bCs/>
          <w:color w:val="000000" w:themeColor="text1"/>
          <w:sz w:val="26"/>
          <w:szCs w:val="26"/>
          <w:u w:val="single"/>
          <w14:ligatures w14:val="none"/>
        </w:rPr>
        <w:t>–</w:t>
      </w:r>
      <w:r w:rsidRPr="00907D74">
        <w:rPr>
          <w:rFonts w:asciiTheme="majorHAnsi" w:eastAsia="Times New Roman" w:hAnsi="Calibri" w:cs="Times New Roman"/>
          <w:b/>
          <w:bCs/>
          <w:color w:val="000000" w:themeColor="text1"/>
          <w:sz w:val="26"/>
          <w:szCs w:val="26"/>
          <w:u w:val="single"/>
          <w14:ligatures w14:val="none"/>
        </w:rPr>
        <w:t xml:space="preserve"> psychological classification and provision </w:t>
      </w:r>
    </w:p>
    <w:p w14:paraId="08FC110C" w14:textId="6047AE0E" w:rsidR="00F033DE" w:rsidRPr="00907D74" w:rsidRDefault="00F033DE">
      <w:pPr>
        <w:rPr>
          <w:rFonts w:asciiTheme="majorHAnsi" w:eastAsia="Times New Roman" w:hAnsi="Calibri" w:cs="Times New Roman"/>
          <w:b/>
          <w:bCs/>
          <w:color w:val="000000" w:themeColor="text1"/>
          <w:sz w:val="26"/>
          <w:szCs w:val="26"/>
          <w:u w:val="single"/>
          <w14:ligatures w14:val="none"/>
        </w:rPr>
      </w:pPr>
      <w:r w:rsidRPr="00907D74">
        <w:rPr>
          <w:rFonts w:asciiTheme="majorHAnsi" w:eastAsia="Times New Roman" w:hAnsi="Calibri" w:cs="Times New Roman"/>
          <w:b/>
          <w:bCs/>
          <w:color w:val="000000" w:themeColor="text1"/>
          <w:sz w:val="26"/>
          <w:szCs w:val="26"/>
          <w:u w:val="single"/>
          <w14:ligatures w14:val="none"/>
        </w:rPr>
        <w:t xml:space="preserve">Lecturer </w:t>
      </w:r>
      <w:r w:rsidRPr="00907D74">
        <w:rPr>
          <w:rFonts w:asciiTheme="majorHAnsi" w:eastAsia="Times New Roman" w:hAnsi="Calibri" w:cs="Times New Roman"/>
          <w:b/>
          <w:bCs/>
          <w:color w:val="000000" w:themeColor="text1"/>
          <w:sz w:val="26"/>
          <w:szCs w:val="26"/>
          <w:u w:val="single"/>
          <w14:ligatures w14:val="none"/>
        </w:rPr>
        <w:t>–</w:t>
      </w:r>
      <w:r w:rsidRPr="00907D74">
        <w:rPr>
          <w:rFonts w:asciiTheme="majorHAnsi" w:eastAsia="Times New Roman" w:hAnsi="Calibri" w:cs="Times New Roman"/>
          <w:b/>
          <w:bCs/>
          <w:color w:val="000000" w:themeColor="text1"/>
          <w:sz w:val="26"/>
          <w:szCs w:val="26"/>
          <w:u w:val="single"/>
          <w14:ligatures w14:val="none"/>
        </w:rPr>
        <w:t xml:space="preserve"> </w:t>
      </w:r>
      <w:r w:rsidRPr="00907D74">
        <w:rPr>
          <w:rFonts w:asciiTheme="majorHAnsi" w:hAnsi="Calibri"/>
          <w:b/>
          <w:bCs/>
          <w:color w:val="000000" w:themeColor="text1"/>
          <w:kern w:val="24"/>
          <w:sz w:val="26"/>
          <w:szCs w:val="26"/>
          <w:u w:val="single"/>
          <w14:ligatures w14:val="none"/>
        </w:rPr>
        <w:t>Neale Haddon</w:t>
      </w:r>
      <w:r w:rsidRPr="00907D74">
        <w:rPr>
          <w:rFonts w:asciiTheme="majorHAnsi" w:eastAsia="Times New Roman" w:hAnsi="Calibri" w:cs="Times New Roman"/>
          <w:b/>
          <w:bCs/>
          <w:color w:val="000000" w:themeColor="text1"/>
          <w:sz w:val="26"/>
          <w:szCs w:val="26"/>
          <w:u w:val="single"/>
          <w14:ligatures w14:val="none"/>
        </w:rPr>
        <w:t xml:space="preserve"> (BMHP6029)</w:t>
      </w:r>
    </w:p>
    <w:p w14:paraId="5CABAAF5" w14:textId="64937D8D" w:rsidR="00C851CF" w:rsidRDefault="00F033DE">
      <w:pPr>
        <w:rPr>
          <w:rFonts w:asciiTheme="majorHAnsi" w:eastAsia="Times New Roman" w:hAnsi="Calibri" w:cs="Times New Roman"/>
          <w:b/>
          <w:bCs/>
          <w:color w:val="000000" w:themeColor="text1"/>
          <w:sz w:val="26"/>
          <w:szCs w:val="26"/>
          <w14:ligatures w14:val="none"/>
        </w:rPr>
      </w:pPr>
      <w:r w:rsidRPr="00907D74">
        <w:rPr>
          <w:rFonts w:asciiTheme="majorHAnsi" w:eastAsia="Times New Roman" w:hAnsi="Calibri" w:cs="Times New Roman"/>
          <w:b/>
          <w:bCs/>
          <w:color w:val="000000" w:themeColor="text1"/>
          <w:sz w:val="26"/>
          <w:szCs w:val="26"/>
          <w:u w:val="single"/>
          <w14:ligatures w14:val="none"/>
        </w:rPr>
        <w:t xml:space="preserve">Written report </w:t>
      </w:r>
      <w:r w:rsidR="00195A59">
        <w:rPr>
          <w:rFonts w:asciiTheme="majorHAnsi" w:eastAsia="Times New Roman" w:hAnsi="Calibri" w:cs="Times New Roman"/>
          <w:b/>
          <w:bCs/>
          <w:color w:val="000000" w:themeColor="text1"/>
          <w:sz w:val="26"/>
          <w:szCs w:val="26"/>
          <w14:ligatures w14:val="none"/>
        </w:rPr>
        <w:t xml:space="preserve">of </w:t>
      </w:r>
      <w:r w:rsidR="00C851CF">
        <w:rPr>
          <w:rFonts w:asciiTheme="majorHAnsi" w:eastAsia="Times New Roman" w:hAnsi="Calibri" w:cs="Times New Roman"/>
          <w:b/>
          <w:bCs/>
          <w:color w:val="000000" w:themeColor="text1"/>
          <w:sz w:val="26"/>
          <w:szCs w:val="26"/>
          <w14:ligatures w14:val="none"/>
        </w:rPr>
        <w:t>autism spectrum disorder.</w:t>
      </w:r>
    </w:p>
    <w:p w14:paraId="5F330FB0" w14:textId="77777777" w:rsidR="00EA597B" w:rsidRDefault="00EA597B">
      <w:pPr>
        <w:rPr>
          <w:rFonts w:asciiTheme="majorHAnsi" w:eastAsia="Times New Roman" w:hAnsi="Calibri" w:cs="Times New Roman"/>
          <w:b/>
          <w:bCs/>
          <w:color w:val="000000" w:themeColor="text1"/>
          <w:sz w:val="26"/>
          <w:szCs w:val="26"/>
          <w14:ligatures w14:val="none"/>
        </w:rPr>
      </w:pPr>
    </w:p>
    <w:p w14:paraId="331C12BE" w14:textId="44EDAB21" w:rsidR="00EA597B" w:rsidRDefault="00DB13C6">
      <w:pPr>
        <w:rPr>
          <w:rFonts w:asciiTheme="majorHAnsi" w:eastAsia="Times New Roman" w:hAnsi="Calibri" w:cs="Times New Roman"/>
          <w:b/>
          <w:bCs/>
          <w:sz w:val="26"/>
          <w:szCs w:val="26"/>
          <w:u w:val="single"/>
          <w14:ligatures w14:val="none"/>
        </w:rPr>
      </w:pPr>
      <w:r w:rsidRPr="005400C0">
        <w:rPr>
          <w:rFonts w:asciiTheme="majorHAnsi" w:eastAsia="Times New Roman" w:hAnsi="Calibri" w:cs="Times New Roman"/>
          <w:b/>
          <w:bCs/>
          <w:sz w:val="26"/>
          <w:szCs w:val="26"/>
          <w:u w:val="single"/>
          <w14:ligatures w14:val="none"/>
        </w:rPr>
        <w:t>Introduction</w:t>
      </w:r>
    </w:p>
    <w:p w14:paraId="008618A0" w14:textId="7848F998" w:rsidR="005400C0" w:rsidRDefault="005400C0">
      <w:pPr>
        <w:rPr>
          <w:rFonts w:asciiTheme="majorHAnsi" w:eastAsia="Times New Roman" w:hAnsi="Calibri" w:cs="Times New Roman"/>
          <w:b/>
          <w:bCs/>
          <w:sz w:val="26"/>
          <w:szCs w:val="26"/>
          <w14:ligatures w14:val="none"/>
        </w:rPr>
      </w:pPr>
      <w:r w:rsidRPr="00B41B97">
        <w:rPr>
          <w:rFonts w:asciiTheme="majorHAnsi" w:eastAsia="Times New Roman" w:hAnsi="Calibri" w:cs="Times New Roman"/>
          <w:b/>
          <w:bCs/>
          <w:sz w:val="26"/>
          <w:szCs w:val="26"/>
          <w14:ligatures w14:val="none"/>
        </w:rPr>
        <w:t xml:space="preserve">Autism Spectrum Disorder (ASD) is a </w:t>
      </w:r>
      <w:proofErr w:type="spellStart"/>
      <w:r w:rsidRPr="00B41B97">
        <w:rPr>
          <w:rFonts w:asciiTheme="majorHAnsi" w:eastAsia="Times New Roman" w:hAnsi="Calibri" w:cs="Times New Roman"/>
          <w:b/>
          <w:bCs/>
          <w:sz w:val="26"/>
          <w:szCs w:val="26"/>
          <w14:ligatures w14:val="none"/>
        </w:rPr>
        <w:t>neurodevelopmental</w:t>
      </w:r>
      <w:proofErr w:type="spellEnd"/>
      <w:r w:rsidRPr="00B41B97">
        <w:rPr>
          <w:rFonts w:asciiTheme="majorHAnsi" w:eastAsia="Times New Roman" w:hAnsi="Calibri" w:cs="Times New Roman"/>
          <w:b/>
          <w:bCs/>
          <w:sz w:val="26"/>
          <w:szCs w:val="26"/>
          <w14:ligatures w14:val="none"/>
        </w:rPr>
        <w:t xml:space="preserve"> disorder marked by limited and repetitive patterns of behaviour, interests, or activities as well as enduring abnormalities in social communication and interaction. ASD is categorised under </w:t>
      </w:r>
      <w:proofErr w:type="spellStart"/>
      <w:r w:rsidRPr="00B41B97">
        <w:rPr>
          <w:rFonts w:asciiTheme="majorHAnsi" w:eastAsia="Times New Roman" w:hAnsi="Calibri" w:cs="Times New Roman"/>
          <w:b/>
          <w:bCs/>
          <w:sz w:val="26"/>
          <w:szCs w:val="26"/>
          <w14:ligatures w14:val="none"/>
        </w:rPr>
        <w:t>neurodevelopmental</w:t>
      </w:r>
      <w:proofErr w:type="spellEnd"/>
      <w:r w:rsidRPr="00B41B97">
        <w:rPr>
          <w:rFonts w:asciiTheme="majorHAnsi" w:eastAsia="Times New Roman" w:hAnsi="Calibri" w:cs="Times New Roman"/>
          <w:b/>
          <w:bCs/>
          <w:sz w:val="26"/>
          <w:szCs w:val="26"/>
          <w14:ligatures w14:val="none"/>
        </w:rPr>
        <w:t xml:space="preserve"> disorders in the 11th revision of the World Health </w:t>
      </w:r>
      <w:proofErr w:type="spellStart"/>
      <w:r w:rsidRPr="00B41B97">
        <w:rPr>
          <w:rFonts w:asciiTheme="majorHAnsi" w:eastAsia="Times New Roman" w:hAnsi="Calibri" w:cs="Times New Roman"/>
          <w:b/>
          <w:bCs/>
          <w:sz w:val="26"/>
          <w:szCs w:val="26"/>
          <w14:ligatures w14:val="none"/>
        </w:rPr>
        <w:t>Organization's</w:t>
      </w:r>
      <w:proofErr w:type="spellEnd"/>
      <w:r w:rsidRPr="00B41B97">
        <w:rPr>
          <w:rFonts w:asciiTheme="majorHAnsi" w:eastAsia="Times New Roman" w:hAnsi="Calibri" w:cs="Times New Roman"/>
          <w:b/>
          <w:bCs/>
          <w:sz w:val="26"/>
          <w:szCs w:val="26"/>
          <w14:ligatures w14:val="none"/>
        </w:rPr>
        <w:t xml:space="preserve"> International Classification of Diseases, which reflects a shift away from acute psychiatric illness and toward the recognition of lifelong developmental diversity. This classification is important because it affects how autism is perceived by society, how resources are accessed, and how diagnostic procedures are carried out.</w:t>
      </w:r>
      <w:r w:rsidR="00984CE6">
        <w:rPr>
          <w:rFonts w:asciiTheme="majorHAnsi" w:eastAsia="Times New Roman" w:hAnsi="Calibri" w:cs="Times New Roman"/>
          <w:b/>
          <w:bCs/>
          <w:sz w:val="26"/>
          <w:szCs w:val="26"/>
          <w14:ligatures w14:val="none"/>
        </w:rPr>
        <w:t xml:space="preserve"> </w:t>
      </w:r>
      <w:r w:rsidR="00984CE6" w:rsidRPr="00984CE6">
        <w:rPr>
          <w:rFonts w:asciiTheme="majorHAnsi" w:eastAsia="Times New Roman" w:hAnsi="Calibri" w:cs="Times New Roman"/>
          <w:b/>
          <w:bCs/>
          <w:sz w:val="26"/>
          <w:szCs w:val="26"/>
          <w14:ligatures w14:val="none"/>
        </w:rPr>
        <w:t>This report's objectives are to critically investigate the ICD-11 classification of autism spectrum disorder, analyse the related diagnostic procedures and criteria, and assess the terminology employed in this framework. The report will achieve this by examining current discussions about medicalisation, the neurodiversity movement, and the consequences of classifying autism as a "disorder" as opposed to a difference. This will make it possible to comprehend how classification schemes affect clinical treatment as well as the real-life experiences of people with autism.</w:t>
      </w:r>
    </w:p>
    <w:p w14:paraId="5DA479F7" w14:textId="2A309693" w:rsidR="00984CE6" w:rsidRDefault="00AD636A">
      <w:pPr>
        <w:rPr>
          <w:rFonts w:asciiTheme="majorHAnsi" w:eastAsia="Times New Roman" w:hAnsi="Calibri" w:cs="Times New Roman"/>
          <w:b/>
          <w:bCs/>
          <w:sz w:val="26"/>
          <w:szCs w:val="26"/>
          <w14:ligatures w14:val="none"/>
        </w:rPr>
      </w:pPr>
      <w:r w:rsidRPr="00AD636A">
        <w:rPr>
          <w:rFonts w:asciiTheme="majorHAnsi" w:eastAsia="Times New Roman" w:hAnsi="Calibri" w:cs="Times New Roman"/>
          <w:b/>
          <w:bCs/>
          <w:sz w:val="26"/>
          <w:szCs w:val="26"/>
          <w14:ligatures w14:val="none"/>
        </w:rPr>
        <w:t xml:space="preserve">Autism Spectrum Disorder is under the category of </w:t>
      </w:r>
      <w:proofErr w:type="spellStart"/>
      <w:r w:rsidRPr="00AD636A">
        <w:rPr>
          <w:rFonts w:asciiTheme="majorHAnsi" w:eastAsia="Times New Roman" w:hAnsi="Calibri" w:cs="Times New Roman"/>
          <w:b/>
          <w:bCs/>
          <w:sz w:val="26"/>
          <w:szCs w:val="26"/>
          <w14:ligatures w14:val="none"/>
        </w:rPr>
        <w:t>neurodevelopmental</w:t>
      </w:r>
      <w:proofErr w:type="spellEnd"/>
      <w:r w:rsidRPr="00AD636A">
        <w:rPr>
          <w:rFonts w:asciiTheme="majorHAnsi" w:eastAsia="Times New Roman" w:hAnsi="Calibri" w:cs="Times New Roman"/>
          <w:b/>
          <w:bCs/>
          <w:sz w:val="26"/>
          <w:szCs w:val="26"/>
          <w14:ligatures w14:val="none"/>
        </w:rPr>
        <w:t xml:space="preserve"> disorders in ICD-11. These disorders are marked by early onset and developmental deficits that impact social, intellectual, vocational, and personal functioning (World Health </w:t>
      </w:r>
      <w:proofErr w:type="spellStart"/>
      <w:r w:rsidRPr="00AD636A">
        <w:rPr>
          <w:rFonts w:asciiTheme="majorHAnsi" w:eastAsia="Times New Roman" w:hAnsi="Calibri" w:cs="Times New Roman"/>
          <w:b/>
          <w:bCs/>
          <w:sz w:val="26"/>
          <w:szCs w:val="26"/>
          <w14:ligatures w14:val="none"/>
        </w:rPr>
        <w:t>Organization</w:t>
      </w:r>
      <w:proofErr w:type="spellEnd"/>
      <w:r w:rsidRPr="00AD636A">
        <w:rPr>
          <w:rFonts w:asciiTheme="majorHAnsi" w:eastAsia="Times New Roman" w:hAnsi="Calibri" w:cs="Times New Roman"/>
          <w:b/>
          <w:bCs/>
          <w:sz w:val="26"/>
          <w:szCs w:val="26"/>
          <w14:ligatures w14:val="none"/>
        </w:rPr>
        <w:t>, 2022). Asperger's syndrome, pervasive developmental disorder, autism disorder, and other previously distinct diagnoses are replaced by ASD and combined into a single spectrum paradigm. According to the American Psychiatric Association (2013), this indicates a growing knowledge that autism manifests along a continuum, with subgroups defining differences in intellectual functioning and language abilities.</w:t>
      </w:r>
    </w:p>
    <w:p w14:paraId="28322A3F" w14:textId="1D42EF23" w:rsidR="00185D74" w:rsidRDefault="00185D74">
      <w:pPr>
        <w:rPr>
          <w:rFonts w:asciiTheme="majorHAnsi" w:eastAsia="Times New Roman" w:hAnsi="Calibri" w:cs="Times New Roman"/>
          <w:b/>
          <w:bCs/>
          <w:sz w:val="26"/>
          <w:szCs w:val="26"/>
          <w14:ligatures w14:val="none"/>
        </w:rPr>
      </w:pPr>
      <w:r w:rsidRPr="00185D74">
        <w:rPr>
          <w:rFonts w:asciiTheme="majorHAnsi" w:eastAsia="Times New Roman" w:hAnsi="Calibri" w:cs="Times New Roman"/>
          <w:b/>
          <w:bCs/>
          <w:sz w:val="26"/>
          <w:szCs w:val="26"/>
          <w14:ligatures w14:val="none"/>
        </w:rPr>
        <w:t xml:space="preserve">Crucially, ICD-11's language constantly refers to autism as a "disorder," supporting a medical paradigm that describes </w:t>
      </w:r>
      <w:proofErr w:type="spellStart"/>
      <w:r w:rsidRPr="00185D74">
        <w:rPr>
          <w:rFonts w:asciiTheme="majorHAnsi" w:eastAsia="Times New Roman" w:hAnsi="Calibri" w:cs="Times New Roman"/>
          <w:b/>
          <w:bCs/>
          <w:sz w:val="26"/>
          <w:szCs w:val="26"/>
          <w14:ligatures w14:val="none"/>
        </w:rPr>
        <w:t>neurodevelopmental</w:t>
      </w:r>
      <w:proofErr w:type="spellEnd"/>
      <w:r w:rsidRPr="00185D74">
        <w:rPr>
          <w:rFonts w:asciiTheme="majorHAnsi" w:eastAsia="Times New Roman" w:hAnsi="Calibri" w:cs="Times New Roman"/>
          <w:b/>
          <w:bCs/>
          <w:sz w:val="26"/>
          <w:szCs w:val="26"/>
          <w14:ligatures w14:val="none"/>
        </w:rPr>
        <w:t xml:space="preserve"> abnormalities in terms of deficiencies and impairments. Opponents contend that this phrase may exacerbate stigma and ignore the positive aspects of autism, especially within the </w:t>
      </w:r>
      <w:r w:rsidRPr="00185D74">
        <w:rPr>
          <w:rFonts w:asciiTheme="majorHAnsi" w:eastAsia="Times New Roman" w:hAnsi="Calibri" w:cs="Times New Roman"/>
          <w:b/>
          <w:bCs/>
          <w:sz w:val="26"/>
          <w:szCs w:val="26"/>
          <w14:ligatures w14:val="none"/>
        </w:rPr>
        <w:lastRenderedPageBreak/>
        <w:t>neurodiversity movement (Singer, 1999). Therefore, the ICD-11 classification reflects wider conflicts between clinical value and changing social perceptions on neurodiversity, even while it offers a structured and internationally acknowledged framework for diagnosis.</w:t>
      </w:r>
    </w:p>
    <w:p w14:paraId="090D0C57" w14:textId="278760CA" w:rsidR="00185D74" w:rsidRDefault="00347749">
      <w:pPr>
        <w:rPr>
          <w:rFonts w:asciiTheme="majorHAnsi" w:eastAsia="Times New Roman" w:hAnsi="Calibri" w:cs="Times New Roman"/>
          <w:b/>
          <w:bCs/>
          <w:sz w:val="26"/>
          <w:szCs w:val="26"/>
          <w14:ligatures w14:val="none"/>
        </w:rPr>
      </w:pPr>
      <w:r w:rsidRPr="00347749">
        <w:rPr>
          <w:rFonts w:asciiTheme="majorHAnsi" w:eastAsia="Times New Roman" w:hAnsi="Calibri" w:cs="Times New Roman"/>
          <w:b/>
          <w:bCs/>
          <w:sz w:val="26"/>
          <w:szCs w:val="26"/>
          <w14:ligatures w14:val="none"/>
        </w:rPr>
        <w:t xml:space="preserve">The International Classification of Diseases 11th Revision framework for the treatment and rehabilitation of Autism Spectrum Disorder (ASD) emphasises a multidisciplinary, person-centred approach that focuses on enhancing functioning and quality of life rather than "curing" the condition (World Health </w:t>
      </w:r>
      <w:proofErr w:type="spellStart"/>
      <w:r w:rsidRPr="00347749">
        <w:rPr>
          <w:rFonts w:asciiTheme="majorHAnsi" w:eastAsia="Times New Roman" w:hAnsi="Calibri" w:cs="Times New Roman"/>
          <w:b/>
          <w:bCs/>
          <w:sz w:val="26"/>
          <w:szCs w:val="26"/>
          <w14:ligatures w14:val="none"/>
        </w:rPr>
        <w:t>Organization</w:t>
      </w:r>
      <w:proofErr w:type="spellEnd"/>
      <w:r w:rsidRPr="00347749">
        <w:rPr>
          <w:rFonts w:asciiTheme="majorHAnsi" w:eastAsia="Times New Roman" w:hAnsi="Calibri" w:cs="Times New Roman"/>
          <w:b/>
          <w:bCs/>
          <w:sz w:val="26"/>
          <w:szCs w:val="26"/>
          <w14:ligatures w14:val="none"/>
        </w:rPr>
        <w:t>, 2022). Behavioural therapies, occupational therapy, speech and language therapy, and, where necessary, medication support for co-occurring illnesses including anxiety or hyperactivity are standard treatment modalities.</w:t>
      </w:r>
      <w:r>
        <w:rPr>
          <w:rFonts w:asciiTheme="majorHAnsi" w:eastAsia="Times New Roman" w:hAnsi="Calibri" w:cs="Times New Roman"/>
          <w:b/>
          <w:bCs/>
          <w:sz w:val="26"/>
          <w:szCs w:val="26"/>
          <w14:ligatures w14:val="none"/>
        </w:rPr>
        <w:t xml:space="preserve"> </w:t>
      </w:r>
    </w:p>
    <w:p w14:paraId="78900163" w14:textId="70C0EC95" w:rsidR="00347749" w:rsidRDefault="006D78A6">
      <w:pPr>
        <w:rPr>
          <w:rFonts w:asciiTheme="majorHAnsi" w:eastAsia="Times New Roman" w:hAnsi="Calibri" w:cs="Times New Roman"/>
          <w:b/>
          <w:bCs/>
          <w:sz w:val="26"/>
          <w:szCs w:val="26"/>
          <w14:ligatures w14:val="none"/>
        </w:rPr>
      </w:pPr>
      <w:r w:rsidRPr="006D78A6">
        <w:rPr>
          <w:rFonts w:asciiTheme="majorHAnsi" w:eastAsia="Times New Roman" w:hAnsi="Calibri" w:cs="Times New Roman"/>
          <w:b/>
          <w:bCs/>
          <w:sz w:val="26"/>
          <w:szCs w:val="26"/>
          <w14:ligatures w14:val="none"/>
        </w:rPr>
        <w:t xml:space="preserve">Based on behaviourist principles, Applied Behaviour Analysis (ABA) is one of the most popular interventions. Its goal is to decrease maladaptive behaviours while promoting socially acceptable ones (Ivar </w:t>
      </w:r>
      <w:proofErr w:type="spellStart"/>
      <w:r w:rsidRPr="006D78A6">
        <w:rPr>
          <w:rFonts w:asciiTheme="majorHAnsi" w:eastAsia="Times New Roman" w:hAnsi="Calibri" w:cs="Times New Roman"/>
          <w:b/>
          <w:bCs/>
          <w:sz w:val="26"/>
          <w:szCs w:val="26"/>
          <w14:ligatures w14:val="none"/>
        </w:rPr>
        <w:t>Lovaas</w:t>
      </w:r>
      <w:proofErr w:type="spellEnd"/>
      <w:r w:rsidRPr="006D78A6">
        <w:rPr>
          <w:rFonts w:asciiTheme="majorHAnsi" w:eastAsia="Times New Roman" w:hAnsi="Calibri" w:cs="Times New Roman"/>
          <w:b/>
          <w:bCs/>
          <w:sz w:val="26"/>
          <w:szCs w:val="26"/>
          <w14:ligatures w14:val="none"/>
        </w:rPr>
        <w:t>, 1987). Although ABA has shown promise in helping certain people improve their communication and adaptive abilities, it has also drawn a lot of criticism. According to critics, ABA may put neurotypical norm compliance ahead of personal well-being, which could result in emotional suffering and concealing behaviours (</w:t>
      </w:r>
      <w:proofErr w:type="spellStart"/>
      <w:r w:rsidRPr="006D78A6">
        <w:rPr>
          <w:rFonts w:asciiTheme="majorHAnsi" w:eastAsia="Times New Roman" w:hAnsi="Calibri" w:cs="Times New Roman"/>
          <w:b/>
          <w:bCs/>
          <w:sz w:val="26"/>
          <w:szCs w:val="26"/>
          <w14:ligatures w14:val="none"/>
        </w:rPr>
        <w:t>Kupferstein</w:t>
      </w:r>
      <w:proofErr w:type="spellEnd"/>
      <w:r w:rsidRPr="006D78A6">
        <w:rPr>
          <w:rFonts w:asciiTheme="majorHAnsi" w:eastAsia="Times New Roman" w:hAnsi="Calibri" w:cs="Times New Roman"/>
          <w:b/>
          <w:bCs/>
          <w:sz w:val="26"/>
          <w:szCs w:val="26"/>
          <w14:ligatures w14:val="none"/>
        </w:rPr>
        <w:t>, 2018). This highlights conflicts between treatment objectives and neurodiversity viewpoints and presents ethical questions about autonomy.</w:t>
      </w:r>
    </w:p>
    <w:p w14:paraId="3F0B1F67" w14:textId="3CF91059" w:rsidR="006D78A6" w:rsidRDefault="00934B94">
      <w:pPr>
        <w:rPr>
          <w:rFonts w:asciiTheme="majorHAnsi" w:eastAsia="Times New Roman" w:hAnsi="Calibri" w:cs="Times New Roman"/>
          <w:b/>
          <w:bCs/>
          <w:sz w:val="26"/>
          <w:szCs w:val="26"/>
          <w14:ligatures w14:val="none"/>
        </w:rPr>
      </w:pPr>
      <w:r w:rsidRPr="00934B94">
        <w:rPr>
          <w:rFonts w:asciiTheme="majorHAnsi" w:eastAsia="Times New Roman" w:hAnsi="Calibri" w:cs="Times New Roman"/>
          <w:b/>
          <w:bCs/>
          <w:sz w:val="26"/>
          <w:szCs w:val="26"/>
          <w14:ligatures w14:val="none"/>
        </w:rPr>
        <w:t>Developmental and relationship-based strategies, such speech and language therapy, are frequently advised in addition to behavioural therapies. The goal of these interventions is to enhance social interaction and communication abilities in more realistic settings (Lord et al., 2020). Occupational therapy also helps by improving everyday life skills and treating sensory processing issues. These methods are frequently seen as more holistic than more rigid behavioural models, but their efficacy varies greatly according on the needs of the individual and the level of intervention, suggesting a lack of universal application.</w:t>
      </w:r>
    </w:p>
    <w:p w14:paraId="08565B2D" w14:textId="7612C43E" w:rsidR="00934B94" w:rsidRDefault="00D32EF2">
      <w:pPr>
        <w:rPr>
          <w:rFonts w:asciiTheme="majorHAnsi" w:eastAsia="Times New Roman" w:hAnsi="Calibri" w:cs="Times New Roman"/>
          <w:b/>
          <w:bCs/>
          <w:sz w:val="26"/>
          <w:szCs w:val="26"/>
          <w14:ligatures w14:val="none"/>
        </w:rPr>
      </w:pPr>
      <w:r w:rsidRPr="00D32EF2">
        <w:rPr>
          <w:rFonts w:asciiTheme="majorHAnsi" w:eastAsia="Times New Roman" w:hAnsi="Calibri" w:cs="Times New Roman"/>
          <w:b/>
          <w:bCs/>
          <w:sz w:val="26"/>
          <w:szCs w:val="26"/>
          <w14:ligatures w14:val="none"/>
        </w:rPr>
        <w:t xml:space="preserve">Although ICD-11 rehabilitation is not specifically prescriptive, it is in line with a more comprehensive </w:t>
      </w:r>
      <w:proofErr w:type="spellStart"/>
      <w:r w:rsidRPr="00D32EF2">
        <w:rPr>
          <w:rFonts w:asciiTheme="majorHAnsi" w:eastAsia="Times New Roman" w:hAnsi="Calibri" w:cs="Times New Roman"/>
          <w:b/>
          <w:bCs/>
          <w:sz w:val="26"/>
          <w:szCs w:val="26"/>
          <w14:ligatures w14:val="none"/>
        </w:rPr>
        <w:t>biopsychosocial</w:t>
      </w:r>
      <w:proofErr w:type="spellEnd"/>
      <w:r w:rsidRPr="00D32EF2">
        <w:rPr>
          <w:rFonts w:asciiTheme="majorHAnsi" w:eastAsia="Times New Roman" w:hAnsi="Calibri" w:cs="Times New Roman"/>
          <w:b/>
          <w:bCs/>
          <w:sz w:val="26"/>
          <w:szCs w:val="26"/>
          <w14:ligatures w14:val="none"/>
        </w:rPr>
        <w:t xml:space="preserve"> paradigm that promotes inclusive education, early intervention, and family participation (World Health </w:t>
      </w:r>
      <w:proofErr w:type="spellStart"/>
      <w:r w:rsidRPr="00D32EF2">
        <w:rPr>
          <w:rFonts w:asciiTheme="majorHAnsi" w:eastAsia="Times New Roman" w:hAnsi="Calibri" w:cs="Times New Roman"/>
          <w:b/>
          <w:bCs/>
          <w:sz w:val="26"/>
          <w:szCs w:val="26"/>
          <w14:ligatures w14:val="none"/>
        </w:rPr>
        <w:t>Organization</w:t>
      </w:r>
      <w:proofErr w:type="spellEnd"/>
      <w:r w:rsidRPr="00D32EF2">
        <w:rPr>
          <w:rFonts w:asciiTheme="majorHAnsi" w:eastAsia="Times New Roman" w:hAnsi="Calibri" w:cs="Times New Roman"/>
          <w:b/>
          <w:bCs/>
          <w:sz w:val="26"/>
          <w:szCs w:val="26"/>
          <w14:ligatures w14:val="none"/>
        </w:rPr>
        <w:t xml:space="preserve">, 2022). In actuality, community-based support networks, social skills training, and individualised education plans are frequently used as rehabilitation strategies. The goal of these interventions is to encourage self-sufficiency and social engagement. However, access to these services is frequently uneven, with </w:t>
      </w:r>
      <w:r w:rsidRPr="00D32EF2">
        <w:rPr>
          <w:rFonts w:asciiTheme="majorHAnsi" w:eastAsia="Times New Roman" w:hAnsi="Calibri" w:cs="Times New Roman"/>
          <w:b/>
          <w:bCs/>
          <w:sz w:val="26"/>
          <w:szCs w:val="26"/>
          <w14:ligatures w14:val="none"/>
        </w:rPr>
        <w:lastRenderedPageBreak/>
        <w:t>differences impacted by socioeconomic position, location, and the availability of qualified specialists (Lord et al., 2020).</w:t>
      </w:r>
    </w:p>
    <w:p w14:paraId="0A26B458" w14:textId="11C9F818" w:rsidR="00D32EF2" w:rsidRDefault="00225D39">
      <w:pPr>
        <w:rPr>
          <w:rFonts w:asciiTheme="majorHAnsi" w:eastAsia="Times New Roman" w:hAnsi="Calibri" w:cs="Times New Roman"/>
          <w:b/>
          <w:bCs/>
          <w:sz w:val="26"/>
          <w:szCs w:val="26"/>
          <w14:ligatures w14:val="none"/>
        </w:rPr>
      </w:pPr>
      <w:r w:rsidRPr="00225D39">
        <w:rPr>
          <w:rFonts w:asciiTheme="majorHAnsi" w:eastAsia="Times New Roman" w:hAnsi="Calibri" w:cs="Times New Roman"/>
          <w:b/>
          <w:bCs/>
          <w:sz w:val="26"/>
          <w:szCs w:val="26"/>
          <w14:ligatures w14:val="none"/>
        </w:rPr>
        <w:t>The efficacy of contemporary treatment and rehabilitation strategies is still up for discussion. Although early intensive therapies have been linked to increases in cognitive and adaptive functioning, there is conflicting data about long-term results (Sandbank et al., 2020). Furthermore, rather than identifying and promoting neurodiverse capabilities, many programs prioritise improving deficiencies. Advocates of the neurodiversity movement, who call for a change from normalisation to acceptance and support, have been challenging this deficit-based approach more and more (Singer, 1999).</w:t>
      </w:r>
    </w:p>
    <w:p w14:paraId="79D94277" w14:textId="73E64133" w:rsidR="00225D39" w:rsidRDefault="009B327B">
      <w:pPr>
        <w:rPr>
          <w:rFonts w:asciiTheme="majorHAnsi" w:eastAsia="Times New Roman" w:hAnsi="Calibri" w:cs="Times New Roman"/>
          <w:b/>
          <w:bCs/>
          <w:sz w:val="26"/>
          <w:szCs w:val="26"/>
          <w14:ligatures w14:val="none"/>
        </w:rPr>
      </w:pPr>
      <w:r w:rsidRPr="009B327B">
        <w:rPr>
          <w:rFonts w:asciiTheme="majorHAnsi" w:eastAsia="Times New Roman" w:hAnsi="Calibri" w:cs="Times New Roman"/>
          <w:b/>
          <w:bCs/>
          <w:sz w:val="26"/>
          <w:szCs w:val="26"/>
          <w14:ligatures w14:val="none"/>
        </w:rPr>
        <w:t>In conclusion, while current methods of ASD therapy and rehabilitation can provide significant advantages, they are not without drawbacks. Concerns about accessibility, ethical behaviour, and the predominance of deficit-focused models underscore the need for more person-centred, inclusive, and adaptable methods. Future advancements should combine clinical efficacy with respect for neurodiversity, according to a critical evaluation, to guarantee that interventions promote both functional outcomes and personal identity.</w:t>
      </w:r>
    </w:p>
    <w:p w14:paraId="17EBBFB8" w14:textId="77777777" w:rsidR="00B441C9" w:rsidRPr="00B441C9" w:rsidRDefault="00B441C9">
      <w:pPr>
        <w:rPr>
          <w:rFonts w:asciiTheme="majorHAnsi" w:eastAsia="Times New Roman" w:hAnsi="Calibri" w:cs="Times New Roman"/>
          <w:b/>
          <w:bCs/>
          <w:sz w:val="26"/>
          <w:szCs w:val="26"/>
          <w14:ligatures w14:val="none"/>
        </w:rPr>
      </w:pPr>
      <w:r w:rsidRPr="00B441C9">
        <w:rPr>
          <w:rFonts w:asciiTheme="majorHAnsi" w:eastAsia="Times New Roman" w:hAnsi="Calibri" w:cs="Times New Roman"/>
          <w:b/>
          <w:bCs/>
          <w:sz w:val="26"/>
          <w:szCs w:val="26"/>
          <w14:ligatures w14:val="none"/>
        </w:rPr>
        <w:t xml:space="preserve">According to the International Classification of Diseases 11th Revision, the diagnosis of Autism Spectrum Disorder (ASD) is predicated on the existence of restricted, repetitive, and rigid behavioural patterns in addition to ongoing deficiencies in social communication and interaction (World Health </w:t>
      </w:r>
      <w:proofErr w:type="spellStart"/>
      <w:r w:rsidRPr="00B441C9">
        <w:rPr>
          <w:rFonts w:asciiTheme="majorHAnsi" w:eastAsia="Times New Roman" w:hAnsi="Calibri" w:cs="Times New Roman"/>
          <w:b/>
          <w:bCs/>
          <w:sz w:val="26"/>
          <w:szCs w:val="26"/>
          <w14:ligatures w14:val="none"/>
        </w:rPr>
        <w:t>Organization</w:t>
      </w:r>
      <w:proofErr w:type="spellEnd"/>
      <w:r w:rsidRPr="00B441C9">
        <w:rPr>
          <w:rFonts w:asciiTheme="majorHAnsi" w:eastAsia="Times New Roman" w:hAnsi="Calibri" w:cs="Times New Roman"/>
          <w:b/>
          <w:bCs/>
          <w:sz w:val="26"/>
          <w:szCs w:val="26"/>
          <w14:ligatures w14:val="none"/>
        </w:rPr>
        <w:t>, 2022). Although they could become more noticeable as social demands rise, these symptoms must be present during the formative stage. In order to reflect the spectrum character of the disorder, ICD-11 further defines subcategories based on the existence or absence of functional language and intellectual disability.</w:t>
      </w:r>
    </w:p>
    <w:p w14:paraId="7B11DF5B" w14:textId="4EB05BF7" w:rsidR="009B327B" w:rsidRDefault="00AF06AB">
      <w:pPr>
        <w:rPr>
          <w:rFonts w:asciiTheme="majorHAnsi" w:eastAsia="Times New Roman" w:hAnsi="Calibri" w:cs="Times New Roman"/>
          <w:b/>
          <w:bCs/>
          <w:sz w:val="26"/>
          <w:szCs w:val="26"/>
          <w14:ligatures w14:val="none"/>
        </w:rPr>
      </w:pPr>
      <w:r w:rsidRPr="00AF06AB">
        <w:rPr>
          <w:rFonts w:asciiTheme="majorHAnsi" w:eastAsia="Times New Roman" w:hAnsi="Calibri" w:cs="Times New Roman"/>
          <w:b/>
          <w:bCs/>
          <w:sz w:val="26"/>
          <w:szCs w:val="26"/>
          <w14:ligatures w14:val="none"/>
        </w:rPr>
        <w:t>Standardised assessment instruments, developmental history, and clinical observation are all part of the multidisciplinary diagnostic process. To guarantee a thorough grasp of the person's functioning, experts like psychologists, psychiatrists, and speech and language therapists participate in the examination (Lord et al., 2020). Although ICD-11 does not need any particular measures, structured interviews and observational evaluations are often utilised methods.</w:t>
      </w:r>
    </w:p>
    <w:p w14:paraId="42FF56DC" w14:textId="4629650D" w:rsidR="00AF06AB" w:rsidRDefault="0002173C">
      <w:pPr>
        <w:rPr>
          <w:rFonts w:asciiTheme="majorHAnsi" w:eastAsia="Times New Roman" w:hAnsi="Calibri" w:cs="Times New Roman"/>
          <w:b/>
          <w:bCs/>
          <w:sz w:val="26"/>
          <w:szCs w:val="26"/>
          <w14:ligatures w14:val="none"/>
        </w:rPr>
      </w:pPr>
      <w:r w:rsidRPr="0002173C">
        <w:rPr>
          <w:rFonts w:asciiTheme="majorHAnsi" w:eastAsia="Times New Roman" w:hAnsi="Calibri" w:cs="Times New Roman"/>
          <w:b/>
          <w:bCs/>
          <w:sz w:val="26"/>
          <w:szCs w:val="26"/>
          <w14:ligatures w14:val="none"/>
        </w:rPr>
        <w:t xml:space="preserve">Problems persist despite efforts to standardise diagnosis. Concerns regarding reliability and possible </w:t>
      </w:r>
      <w:proofErr w:type="spellStart"/>
      <w:r w:rsidRPr="0002173C">
        <w:rPr>
          <w:rFonts w:asciiTheme="majorHAnsi" w:eastAsia="Times New Roman" w:hAnsi="Calibri" w:cs="Times New Roman"/>
          <w:b/>
          <w:bCs/>
          <w:sz w:val="26"/>
          <w:szCs w:val="26"/>
          <w14:ligatures w14:val="none"/>
        </w:rPr>
        <w:t>underdiagnosis</w:t>
      </w:r>
      <w:proofErr w:type="spellEnd"/>
      <w:r w:rsidRPr="0002173C">
        <w:rPr>
          <w:rFonts w:asciiTheme="majorHAnsi" w:eastAsia="Times New Roman" w:hAnsi="Calibri" w:cs="Times New Roman"/>
          <w:b/>
          <w:bCs/>
          <w:sz w:val="26"/>
          <w:szCs w:val="26"/>
          <w14:ligatures w14:val="none"/>
        </w:rPr>
        <w:t xml:space="preserve"> or </w:t>
      </w:r>
      <w:proofErr w:type="spellStart"/>
      <w:r w:rsidRPr="0002173C">
        <w:rPr>
          <w:rFonts w:asciiTheme="majorHAnsi" w:eastAsia="Times New Roman" w:hAnsi="Calibri" w:cs="Times New Roman"/>
          <w:b/>
          <w:bCs/>
          <w:sz w:val="26"/>
          <w:szCs w:val="26"/>
          <w14:ligatures w14:val="none"/>
        </w:rPr>
        <w:t>overdiagnosis</w:t>
      </w:r>
      <w:proofErr w:type="spellEnd"/>
      <w:r w:rsidRPr="0002173C">
        <w:rPr>
          <w:rFonts w:asciiTheme="majorHAnsi" w:eastAsia="Times New Roman" w:hAnsi="Calibri" w:cs="Times New Roman"/>
          <w:b/>
          <w:bCs/>
          <w:sz w:val="26"/>
          <w:szCs w:val="26"/>
          <w14:ligatures w14:val="none"/>
        </w:rPr>
        <w:t xml:space="preserve"> are raised by the fact that diagnostic techniques can differ between doctors and cultural contexts (World Health </w:t>
      </w:r>
      <w:proofErr w:type="spellStart"/>
      <w:r w:rsidRPr="0002173C">
        <w:rPr>
          <w:rFonts w:asciiTheme="majorHAnsi" w:eastAsia="Times New Roman" w:hAnsi="Calibri" w:cs="Times New Roman"/>
          <w:b/>
          <w:bCs/>
          <w:sz w:val="26"/>
          <w:szCs w:val="26"/>
          <w14:ligatures w14:val="none"/>
        </w:rPr>
        <w:t>Organization</w:t>
      </w:r>
      <w:proofErr w:type="spellEnd"/>
      <w:r w:rsidRPr="0002173C">
        <w:rPr>
          <w:rFonts w:asciiTheme="majorHAnsi" w:eastAsia="Times New Roman" w:hAnsi="Calibri" w:cs="Times New Roman"/>
          <w:b/>
          <w:bCs/>
          <w:sz w:val="26"/>
          <w:szCs w:val="26"/>
          <w14:ligatures w14:val="none"/>
        </w:rPr>
        <w:t xml:space="preserve">, 2022). Furthermore, diagnosis is sometimes subjective due </w:t>
      </w:r>
      <w:r w:rsidRPr="0002173C">
        <w:rPr>
          <w:rFonts w:asciiTheme="majorHAnsi" w:eastAsia="Times New Roman" w:hAnsi="Calibri" w:cs="Times New Roman"/>
          <w:b/>
          <w:bCs/>
          <w:sz w:val="26"/>
          <w:szCs w:val="26"/>
          <w14:ligatures w14:val="none"/>
        </w:rPr>
        <w:lastRenderedPageBreak/>
        <w:t>to the dependence on behavioural factors, especially in people who conceal symptoms. These drawbacks show how diagnostic frameworks must be continuously improved to guarantee precision and inclusivity.</w:t>
      </w:r>
    </w:p>
    <w:p w14:paraId="2D87854B" w14:textId="296B7271" w:rsidR="000F68F7" w:rsidRDefault="000F68F7">
      <w:pPr>
        <w:rPr>
          <w:rFonts w:asciiTheme="majorHAnsi" w:eastAsia="Times New Roman" w:hAnsi="Calibri" w:cs="Times New Roman"/>
          <w:b/>
          <w:bCs/>
          <w:sz w:val="26"/>
          <w:szCs w:val="26"/>
          <w14:ligatures w14:val="none"/>
        </w:rPr>
      </w:pPr>
      <w:r w:rsidRPr="000F68F7">
        <w:rPr>
          <w:rFonts w:asciiTheme="majorHAnsi" w:eastAsia="Times New Roman" w:hAnsi="Calibri" w:cs="Times New Roman"/>
          <w:b/>
          <w:bCs/>
          <w:sz w:val="26"/>
          <w:szCs w:val="26"/>
          <w14:ligatures w14:val="none"/>
        </w:rPr>
        <w:t xml:space="preserve">The classification of Autism Spectrum disease (ASD), treatment strategies, and the wider ramifications of classifying autism as a "disorder" are all topics of ongoing discussion. The 11th Revision of the International Classification of Diseases places ASD in a medical framework that highlights functional deficiencies (World Health </w:t>
      </w:r>
      <w:proofErr w:type="spellStart"/>
      <w:r w:rsidRPr="000F68F7">
        <w:rPr>
          <w:rFonts w:asciiTheme="majorHAnsi" w:eastAsia="Times New Roman" w:hAnsi="Calibri" w:cs="Times New Roman"/>
          <w:b/>
          <w:bCs/>
          <w:sz w:val="26"/>
          <w:szCs w:val="26"/>
          <w14:ligatures w14:val="none"/>
        </w:rPr>
        <w:t>Organization</w:t>
      </w:r>
      <w:proofErr w:type="spellEnd"/>
      <w:r w:rsidRPr="000F68F7">
        <w:rPr>
          <w:rFonts w:asciiTheme="majorHAnsi" w:eastAsia="Times New Roman" w:hAnsi="Calibri" w:cs="Times New Roman"/>
          <w:b/>
          <w:bCs/>
          <w:sz w:val="26"/>
          <w:szCs w:val="26"/>
          <w14:ligatures w14:val="none"/>
        </w:rPr>
        <w:t>, 2022). The emergence of the neurodiversity movement, which contends that autism should be viewed as a normal variation in human intellect rather than a disorder, calls into question this viewpoint (Judy Singer, 1999). Calls for reclassification have resulted from this, with some arguing that terms like "condition" or "difference" should be used in place of "disorder."</w:t>
      </w:r>
    </w:p>
    <w:p w14:paraId="1200BF36" w14:textId="0883F6DC" w:rsidR="00983B6B" w:rsidRDefault="00555652">
      <w:pPr>
        <w:rPr>
          <w:rFonts w:asciiTheme="majorHAnsi" w:eastAsia="Times New Roman" w:hAnsi="Calibri" w:cs="Times New Roman"/>
          <w:b/>
          <w:bCs/>
          <w:sz w:val="26"/>
          <w:szCs w:val="26"/>
          <w14:ligatures w14:val="none"/>
        </w:rPr>
      </w:pPr>
      <w:r w:rsidRPr="00555652">
        <w:rPr>
          <w:rFonts w:asciiTheme="majorHAnsi" w:eastAsia="Times New Roman" w:hAnsi="Calibri" w:cs="Times New Roman"/>
          <w:b/>
          <w:bCs/>
          <w:sz w:val="26"/>
          <w:szCs w:val="26"/>
          <w14:ligatures w14:val="none"/>
        </w:rPr>
        <w:t>Treatment methods are also a topic of debate, especially behavioural techniques like Applied Behaviour Analysis (ABA), which have come under fire for encouraging adherence to neurotypical norms rather than fostering personal identity (</w:t>
      </w:r>
      <w:proofErr w:type="spellStart"/>
      <w:r w:rsidRPr="00555652">
        <w:rPr>
          <w:rFonts w:asciiTheme="majorHAnsi" w:eastAsia="Times New Roman" w:hAnsi="Calibri" w:cs="Times New Roman"/>
          <w:b/>
          <w:bCs/>
          <w:sz w:val="26"/>
          <w:szCs w:val="26"/>
          <w14:ligatures w14:val="none"/>
        </w:rPr>
        <w:t>Kupferstein</w:t>
      </w:r>
      <w:proofErr w:type="spellEnd"/>
      <w:r w:rsidRPr="00555652">
        <w:rPr>
          <w:rFonts w:asciiTheme="majorHAnsi" w:eastAsia="Times New Roman" w:hAnsi="Calibri" w:cs="Times New Roman"/>
          <w:b/>
          <w:bCs/>
          <w:sz w:val="26"/>
          <w:szCs w:val="26"/>
          <w14:ligatures w14:val="none"/>
        </w:rPr>
        <w:t>, 2018). These conflicts point to a change toward more person-centred and strengths-based methods. As a result of these discussions, inclusive education, rights-based frameworks, and individualised care are becoming more and more important in practice and policy. However, as diagnostic labels continue to be essential for obtaining support and resources, striking a balance between clinical utility and respect for neurodiversity continues to be a major challenge (Lord et al., 2020).</w:t>
      </w:r>
    </w:p>
    <w:p w14:paraId="05F6D554" w14:textId="711FD6A1" w:rsidR="006D7FA8" w:rsidRDefault="00082EDA">
      <w:pPr>
        <w:rPr>
          <w:rFonts w:asciiTheme="majorHAnsi" w:eastAsia="Times New Roman" w:hAnsi="Calibri" w:cs="Times New Roman"/>
          <w:b/>
          <w:bCs/>
          <w:sz w:val="26"/>
          <w:szCs w:val="26"/>
          <w14:ligatures w14:val="none"/>
        </w:rPr>
      </w:pPr>
      <w:r w:rsidRPr="00082EDA">
        <w:rPr>
          <w:rFonts w:asciiTheme="majorHAnsi" w:eastAsia="Times New Roman" w:hAnsi="Calibri" w:cs="Times New Roman"/>
          <w:b/>
          <w:bCs/>
          <w:sz w:val="26"/>
          <w:szCs w:val="26"/>
          <w14:ligatures w14:val="none"/>
        </w:rPr>
        <w:t xml:space="preserve">It is advised to use a more balanced approach that incorporates medical and neurodiversity viewpoints in order to improve the diagnosis, classification, and support of autism spectrum disorder (ASD). First, categorisation schemes like ICD-11 ought to think about using language that is more inclusive and impartial, emphasising individual differences and strengths while lessening the focus on deficiencies (World Health </w:t>
      </w:r>
      <w:proofErr w:type="spellStart"/>
      <w:r w:rsidRPr="00082EDA">
        <w:rPr>
          <w:rFonts w:asciiTheme="majorHAnsi" w:eastAsia="Times New Roman" w:hAnsi="Calibri" w:cs="Times New Roman"/>
          <w:b/>
          <w:bCs/>
          <w:sz w:val="26"/>
          <w:szCs w:val="26"/>
          <w14:ligatures w14:val="none"/>
        </w:rPr>
        <w:t>Organization</w:t>
      </w:r>
      <w:proofErr w:type="spellEnd"/>
      <w:r w:rsidRPr="00082EDA">
        <w:rPr>
          <w:rFonts w:asciiTheme="majorHAnsi" w:eastAsia="Times New Roman" w:hAnsi="Calibri" w:cs="Times New Roman"/>
          <w:b/>
          <w:bCs/>
          <w:sz w:val="26"/>
          <w:szCs w:val="26"/>
          <w14:ligatures w14:val="none"/>
        </w:rPr>
        <w:t>, 2022). This could reduce stigma while preserving the clinical clarity needed for diagnosis and service delivery.</w:t>
      </w:r>
    </w:p>
    <w:p w14:paraId="293F0141" w14:textId="77777777" w:rsidR="0019598C" w:rsidRPr="0019598C" w:rsidRDefault="0019598C">
      <w:pPr>
        <w:rPr>
          <w:rFonts w:asciiTheme="majorHAnsi" w:eastAsia="Times New Roman" w:hAnsi="Calibri" w:cs="Times New Roman"/>
          <w:b/>
          <w:bCs/>
          <w:sz w:val="26"/>
          <w:szCs w:val="26"/>
          <w14:ligatures w14:val="none"/>
        </w:rPr>
      </w:pPr>
      <w:r w:rsidRPr="0019598C">
        <w:rPr>
          <w:rFonts w:asciiTheme="majorHAnsi" w:eastAsia="Times New Roman" w:hAnsi="Calibri" w:cs="Times New Roman"/>
          <w:b/>
          <w:bCs/>
          <w:sz w:val="26"/>
          <w:szCs w:val="26"/>
          <w14:ligatures w14:val="none"/>
        </w:rPr>
        <w:t xml:space="preserve">Second, in order to ensure that evaluations are fair and inclusive across a range of demographics, diagnostic procedures should be improved through increased standardisation and cultural sensitivity. Diagnostic accuracy would be further enhanced by providing professionals with further training on identifying masked or atypical presentations of autism (Lord et al., 2020). Instead of concentrating only on behavioural normalisation, treatment and rehabilitation should move towards </w:t>
      </w:r>
      <w:r w:rsidRPr="0019598C">
        <w:rPr>
          <w:rFonts w:asciiTheme="majorHAnsi" w:eastAsia="Times New Roman" w:hAnsi="Calibri" w:cs="Times New Roman"/>
          <w:b/>
          <w:bCs/>
          <w:sz w:val="26"/>
          <w:szCs w:val="26"/>
          <w14:ligatures w14:val="none"/>
        </w:rPr>
        <w:lastRenderedPageBreak/>
        <w:t>person-centred, strengths-based therapies that put wellbeing, autonomy, and quality of life first.</w:t>
      </w:r>
    </w:p>
    <w:p w14:paraId="3C1341CE" w14:textId="7CF8B70C" w:rsidR="0019598C" w:rsidRDefault="0053139C">
      <w:pPr>
        <w:rPr>
          <w:rFonts w:asciiTheme="majorHAnsi" w:eastAsia="Times New Roman" w:hAnsi="Calibri" w:cs="Times New Roman"/>
          <w:b/>
          <w:bCs/>
          <w:sz w:val="26"/>
          <w:szCs w:val="26"/>
          <w14:ligatures w14:val="none"/>
        </w:rPr>
      </w:pPr>
      <w:r w:rsidRPr="0053139C">
        <w:rPr>
          <w:rFonts w:asciiTheme="majorHAnsi" w:eastAsia="Times New Roman" w:hAnsi="Calibri" w:cs="Times New Roman"/>
          <w:b/>
          <w:bCs/>
          <w:sz w:val="26"/>
          <w:szCs w:val="26"/>
          <w14:ligatures w14:val="none"/>
        </w:rPr>
        <w:t>Increased funding for community-based assistance, early intervention programs, and accessible services is crucial from a policy standpoint to alleviate current disparities. Long-term results and the real-life experiences of autistic people should be given top priority in future research in order to guide more morally and practically sound actions. All things considered, these suggestions emphasise the necessity of a more inclusive, adaptable, and evidence-based strategy that synchronises clinical practice with changing social conceptions of neurodiversity (Singer, 1999).</w:t>
      </w:r>
    </w:p>
    <w:p w14:paraId="66FBF22D" w14:textId="488B89EE" w:rsidR="0053139C" w:rsidRDefault="00044A50">
      <w:pPr>
        <w:rPr>
          <w:rFonts w:asciiTheme="majorHAnsi" w:eastAsia="Times New Roman" w:hAnsi="Calibri" w:cs="Times New Roman"/>
          <w:b/>
          <w:bCs/>
          <w:sz w:val="26"/>
          <w:szCs w:val="26"/>
          <w14:ligatures w14:val="none"/>
        </w:rPr>
      </w:pPr>
      <w:r w:rsidRPr="00044A50">
        <w:rPr>
          <w:rFonts w:asciiTheme="majorHAnsi" w:eastAsia="Times New Roman" w:hAnsi="Calibri" w:cs="Times New Roman"/>
          <w:b/>
          <w:bCs/>
          <w:sz w:val="26"/>
          <w:szCs w:val="26"/>
          <w14:ligatures w14:val="none"/>
        </w:rPr>
        <w:t xml:space="preserve">Increasingly, inclusive, rights-based frameworks that prioritise accessibility, early intervention, and social involvement have become the focus of policy solutions to autism spectrum disorder (ASD). The World Health </w:t>
      </w:r>
      <w:proofErr w:type="spellStart"/>
      <w:r w:rsidRPr="00044A50">
        <w:rPr>
          <w:rFonts w:asciiTheme="majorHAnsi" w:eastAsia="Times New Roman" w:hAnsi="Calibri" w:cs="Times New Roman"/>
          <w:b/>
          <w:bCs/>
          <w:sz w:val="26"/>
          <w:szCs w:val="26"/>
          <w14:ligatures w14:val="none"/>
        </w:rPr>
        <w:t>Organization's</w:t>
      </w:r>
      <w:proofErr w:type="spellEnd"/>
      <w:r w:rsidRPr="00044A50">
        <w:rPr>
          <w:rFonts w:asciiTheme="majorHAnsi" w:eastAsia="Times New Roman" w:hAnsi="Calibri" w:cs="Times New Roman"/>
          <w:b/>
          <w:bCs/>
          <w:sz w:val="26"/>
          <w:szCs w:val="26"/>
          <w14:ligatures w14:val="none"/>
        </w:rPr>
        <w:t xml:space="preserve"> (2022) global guidelines emphasise the significance of integrated health, education, and social care systems to support people throughout their lives. In the UK, initiatives like the National Autism Strategy support prompt diagnosis, individualised treatment, and increased public awareness. Nonetheless, there are still gaps in the services that are provided, and differences in the availability of diagnostic tests and post-diagnostic assistance continue to impact results (Lord et al., 2020).</w:t>
      </w:r>
    </w:p>
    <w:p w14:paraId="0ED92A67" w14:textId="5AE0D878" w:rsidR="00082EDA" w:rsidRDefault="00A06B13">
      <w:pPr>
        <w:rPr>
          <w:rFonts w:asciiTheme="majorHAnsi" w:eastAsia="Times New Roman" w:hAnsi="Calibri" w:cs="Times New Roman"/>
          <w:b/>
          <w:bCs/>
          <w:sz w:val="26"/>
          <w:szCs w:val="26"/>
          <w14:ligatures w14:val="none"/>
        </w:rPr>
      </w:pPr>
      <w:r w:rsidRPr="00A06B13">
        <w:rPr>
          <w:rFonts w:asciiTheme="majorHAnsi" w:eastAsia="Times New Roman" w:hAnsi="Calibri" w:cs="Times New Roman"/>
          <w:b/>
          <w:bCs/>
          <w:sz w:val="26"/>
          <w:szCs w:val="26"/>
          <w14:ligatures w14:val="none"/>
        </w:rPr>
        <w:t>Current discussions about neurodiversity have also had an impact on policy creation, pushing for a shift away from models that are solely deficit-based and toward strategies that acknowledge strengths and encourage inclusivity. The growing focus on workplace accommodations and inclusive education is a reflection of this. However, there are still conflicts between the aspirations of policy and reality, especially when it comes to worker training and financial restrictions. Therefore, consistent funding, cross-sector cooperation, and the inclusion of autistic perspectives in decision-making processes are necessary for the effective implementation of policies. Enhancing these areas would guarantee that policies not only take into account changing perspectives on autism but also result in significant enhancements to lived experience.</w:t>
      </w:r>
    </w:p>
    <w:p w14:paraId="103A33C6" w14:textId="3CE5E722" w:rsidR="006D7FA8" w:rsidRDefault="0012629D">
      <w:pPr>
        <w:rPr>
          <w:rFonts w:asciiTheme="majorHAnsi" w:eastAsia="Times New Roman" w:hAnsi="Calibri" w:cs="Times New Roman"/>
          <w:b/>
          <w:bCs/>
          <w:sz w:val="26"/>
          <w:szCs w:val="26"/>
          <w14:ligatures w14:val="none"/>
        </w:rPr>
      </w:pPr>
      <w:r w:rsidRPr="0012629D">
        <w:rPr>
          <w:rFonts w:asciiTheme="majorHAnsi" w:eastAsia="Times New Roman" w:hAnsi="Calibri" w:cs="Times New Roman"/>
          <w:b/>
          <w:bCs/>
          <w:sz w:val="26"/>
          <w:szCs w:val="26"/>
          <w14:ligatures w14:val="none"/>
        </w:rPr>
        <w:t xml:space="preserve">In summary, the International Classification of Diseases 11th Revision's classification of Autism Spectrum Disorder (ASD) represents a methodical and practically helpful framework that has developed toward a spectrum-based comprehension of </w:t>
      </w:r>
      <w:proofErr w:type="spellStart"/>
      <w:r w:rsidRPr="0012629D">
        <w:rPr>
          <w:rFonts w:asciiTheme="majorHAnsi" w:eastAsia="Times New Roman" w:hAnsi="Calibri" w:cs="Times New Roman"/>
          <w:b/>
          <w:bCs/>
          <w:sz w:val="26"/>
          <w:szCs w:val="26"/>
          <w14:ligatures w14:val="none"/>
        </w:rPr>
        <w:t>neurodevelopmental</w:t>
      </w:r>
      <w:proofErr w:type="spellEnd"/>
      <w:r w:rsidRPr="0012629D">
        <w:rPr>
          <w:rFonts w:asciiTheme="majorHAnsi" w:eastAsia="Times New Roman" w:hAnsi="Calibri" w:cs="Times New Roman"/>
          <w:b/>
          <w:bCs/>
          <w:sz w:val="26"/>
          <w:szCs w:val="26"/>
          <w14:ligatures w14:val="none"/>
        </w:rPr>
        <w:t xml:space="preserve"> variations. Subjectivity and cultural variability continue to limit the diagnostic criteria and procedures, even though they offer consistency and facilitate service access (World Health </w:t>
      </w:r>
      <w:proofErr w:type="spellStart"/>
      <w:r w:rsidRPr="0012629D">
        <w:rPr>
          <w:rFonts w:asciiTheme="majorHAnsi" w:eastAsia="Times New Roman" w:hAnsi="Calibri" w:cs="Times New Roman"/>
          <w:b/>
          <w:bCs/>
          <w:sz w:val="26"/>
          <w:szCs w:val="26"/>
          <w14:ligatures w14:val="none"/>
        </w:rPr>
        <w:t>Organization</w:t>
      </w:r>
      <w:proofErr w:type="spellEnd"/>
      <w:r w:rsidRPr="0012629D">
        <w:rPr>
          <w:rFonts w:asciiTheme="majorHAnsi" w:eastAsia="Times New Roman" w:hAnsi="Calibri" w:cs="Times New Roman"/>
          <w:b/>
          <w:bCs/>
          <w:sz w:val="26"/>
          <w:szCs w:val="26"/>
          <w14:ligatures w14:val="none"/>
        </w:rPr>
        <w:t xml:space="preserve">, </w:t>
      </w:r>
      <w:r w:rsidRPr="0012629D">
        <w:rPr>
          <w:rFonts w:asciiTheme="majorHAnsi" w:eastAsia="Times New Roman" w:hAnsi="Calibri" w:cs="Times New Roman"/>
          <w:b/>
          <w:bCs/>
          <w:sz w:val="26"/>
          <w:szCs w:val="26"/>
          <w14:ligatures w14:val="none"/>
        </w:rPr>
        <w:lastRenderedPageBreak/>
        <w:t>2022). Similar to this, existing methods of therapy and rehabilitation provide quantifiable improvements in functioning and quality of life, but they are limited by ethical dilemmas, accessibility problems, and a persistent reliance on deficit-focused methods.</w:t>
      </w:r>
    </w:p>
    <w:p w14:paraId="0CEA563D" w14:textId="77777777" w:rsidR="0012629D" w:rsidRDefault="0012629D">
      <w:pPr>
        <w:rPr>
          <w:rFonts w:asciiTheme="majorHAnsi" w:eastAsia="Times New Roman" w:hAnsi="Calibri" w:cs="Times New Roman"/>
          <w:b/>
          <w:bCs/>
          <w:sz w:val="26"/>
          <w:szCs w:val="26"/>
          <w14:ligatures w14:val="none"/>
        </w:rPr>
      </w:pPr>
    </w:p>
    <w:p w14:paraId="7FF29A74" w14:textId="37CD7B23" w:rsidR="0012629D" w:rsidRDefault="0012629D">
      <w:pPr>
        <w:rPr>
          <w:rFonts w:asciiTheme="majorHAnsi" w:eastAsia="Times New Roman" w:hAnsi="Calibri" w:cs="Times New Roman"/>
          <w:b/>
          <w:bCs/>
          <w:sz w:val="26"/>
          <w:szCs w:val="26"/>
          <w:u w:val="single"/>
          <w14:ligatures w14:val="none"/>
        </w:rPr>
      </w:pPr>
      <w:r>
        <w:rPr>
          <w:rFonts w:asciiTheme="majorHAnsi" w:eastAsia="Times New Roman" w:hAnsi="Calibri" w:cs="Times New Roman"/>
          <w:b/>
          <w:bCs/>
          <w:sz w:val="26"/>
          <w:szCs w:val="26"/>
          <w:u w:val="single"/>
          <w14:ligatures w14:val="none"/>
        </w:rPr>
        <w:t xml:space="preserve">Reference list </w:t>
      </w:r>
    </w:p>
    <w:p w14:paraId="6F384399" w14:textId="77777777" w:rsidR="00EA7A4B" w:rsidRPr="0095102B" w:rsidRDefault="00EA7A4B">
      <w:pPr>
        <w:pStyle w:val="p1"/>
        <w:rPr>
          <w:rFonts w:asciiTheme="majorHAnsi" w:hAnsiTheme="majorHAnsi"/>
          <w:b/>
          <w:bCs/>
        </w:rPr>
      </w:pPr>
      <w:r w:rsidRPr="0095102B">
        <w:rPr>
          <w:rStyle w:val="s1"/>
          <w:rFonts w:asciiTheme="majorHAnsi" w:hAnsiTheme="majorHAnsi"/>
        </w:rPr>
        <w:t xml:space="preserve">American Psychiatric Association (2013) </w:t>
      </w:r>
      <w:r w:rsidRPr="0095102B">
        <w:rPr>
          <w:rStyle w:val="s2"/>
          <w:rFonts w:asciiTheme="majorHAnsi" w:hAnsiTheme="majorHAnsi"/>
          <w:i w:val="0"/>
          <w:iCs w:val="0"/>
        </w:rPr>
        <w:t>Diagnostic and statistical manual of mental disorders (5th ed.)</w:t>
      </w:r>
      <w:r w:rsidRPr="0095102B">
        <w:rPr>
          <w:rStyle w:val="s1"/>
          <w:rFonts w:asciiTheme="majorHAnsi" w:hAnsiTheme="majorHAnsi"/>
        </w:rPr>
        <w:t>. Washington, DC: APA.</w:t>
      </w:r>
    </w:p>
    <w:p w14:paraId="5C863233" w14:textId="77777777" w:rsidR="00EA7A4B" w:rsidRPr="0095102B" w:rsidRDefault="00EA7A4B">
      <w:pPr>
        <w:pStyle w:val="p2"/>
        <w:rPr>
          <w:rFonts w:asciiTheme="majorHAnsi" w:hAnsiTheme="majorHAnsi"/>
          <w:b/>
          <w:bCs/>
        </w:rPr>
      </w:pPr>
    </w:p>
    <w:p w14:paraId="2340C4D7" w14:textId="77777777" w:rsidR="00EA7A4B" w:rsidRPr="0095102B" w:rsidRDefault="00EA7A4B">
      <w:pPr>
        <w:pStyle w:val="p1"/>
        <w:rPr>
          <w:rFonts w:asciiTheme="majorHAnsi" w:hAnsiTheme="majorHAnsi"/>
          <w:b/>
          <w:bCs/>
        </w:rPr>
      </w:pPr>
      <w:r w:rsidRPr="0095102B">
        <w:rPr>
          <w:rStyle w:val="s1"/>
          <w:rFonts w:asciiTheme="majorHAnsi" w:hAnsiTheme="majorHAnsi"/>
        </w:rPr>
        <w:t xml:space="preserve">Singer, J. (1999) ‘Why can’t you be normal for once in your life? From a “problem with no name” to the emergence of a new category of difference’, in Corker, M. and French, S. (eds.) </w:t>
      </w:r>
      <w:r w:rsidRPr="0095102B">
        <w:rPr>
          <w:rStyle w:val="s2"/>
          <w:rFonts w:asciiTheme="majorHAnsi" w:hAnsiTheme="majorHAnsi"/>
          <w:i w:val="0"/>
          <w:iCs w:val="0"/>
        </w:rPr>
        <w:t>Disability discourse</w:t>
      </w:r>
      <w:r w:rsidRPr="0095102B">
        <w:rPr>
          <w:rStyle w:val="s1"/>
          <w:rFonts w:asciiTheme="majorHAnsi" w:hAnsiTheme="majorHAnsi"/>
        </w:rPr>
        <w:t>. Buckingham: Open University Press, pp. 59–67.</w:t>
      </w:r>
    </w:p>
    <w:p w14:paraId="06CC3EAE" w14:textId="77777777" w:rsidR="00EA7A4B" w:rsidRPr="0095102B" w:rsidRDefault="00EA7A4B">
      <w:pPr>
        <w:pStyle w:val="p2"/>
        <w:rPr>
          <w:rFonts w:asciiTheme="majorHAnsi" w:hAnsiTheme="majorHAnsi"/>
          <w:b/>
          <w:bCs/>
        </w:rPr>
      </w:pPr>
    </w:p>
    <w:p w14:paraId="648D5321" w14:textId="77777777" w:rsidR="00EA7A4B" w:rsidRPr="0095102B" w:rsidRDefault="00EA7A4B">
      <w:pPr>
        <w:pStyle w:val="p1"/>
        <w:rPr>
          <w:rFonts w:asciiTheme="majorHAnsi" w:hAnsiTheme="majorHAnsi"/>
          <w:b/>
          <w:bCs/>
        </w:rPr>
      </w:pPr>
      <w:r w:rsidRPr="0095102B">
        <w:rPr>
          <w:rStyle w:val="s1"/>
          <w:rFonts w:asciiTheme="majorHAnsi" w:hAnsiTheme="majorHAnsi"/>
        </w:rPr>
        <w:t xml:space="preserve">World Health </w:t>
      </w:r>
      <w:proofErr w:type="spellStart"/>
      <w:r w:rsidRPr="0095102B">
        <w:rPr>
          <w:rStyle w:val="s1"/>
          <w:rFonts w:asciiTheme="majorHAnsi" w:hAnsiTheme="majorHAnsi"/>
        </w:rPr>
        <w:t>Organization</w:t>
      </w:r>
      <w:proofErr w:type="spellEnd"/>
      <w:r w:rsidRPr="0095102B">
        <w:rPr>
          <w:rStyle w:val="s1"/>
          <w:rFonts w:asciiTheme="majorHAnsi" w:hAnsiTheme="majorHAnsi"/>
        </w:rPr>
        <w:t xml:space="preserve"> (2022) </w:t>
      </w:r>
      <w:r w:rsidRPr="0095102B">
        <w:rPr>
          <w:rStyle w:val="s2"/>
          <w:rFonts w:asciiTheme="majorHAnsi" w:hAnsiTheme="majorHAnsi"/>
          <w:i w:val="0"/>
          <w:iCs w:val="0"/>
        </w:rPr>
        <w:t>International classification of diseases for mortality and morbidity statistics (11th Revision)</w:t>
      </w:r>
      <w:r w:rsidRPr="0095102B">
        <w:rPr>
          <w:rStyle w:val="s1"/>
          <w:rFonts w:asciiTheme="majorHAnsi" w:hAnsiTheme="majorHAnsi"/>
        </w:rPr>
        <w:t>. Available at: https://icd.who.int</w:t>
      </w:r>
    </w:p>
    <w:p w14:paraId="1CBB027D" w14:textId="77777777" w:rsidR="00EA7A4B" w:rsidRPr="0095102B" w:rsidRDefault="00EA7A4B">
      <w:pPr>
        <w:pStyle w:val="p2"/>
        <w:rPr>
          <w:rFonts w:asciiTheme="majorHAnsi" w:hAnsiTheme="majorHAnsi"/>
          <w:b/>
          <w:bCs/>
        </w:rPr>
      </w:pPr>
    </w:p>
    <w:p w14:paraId="4D5B45A8" w14:textId="77777777" w:rsidR="00EA7A4B" w:rsidRPr="0095102B" w:rsidRDefault="00EA7A4B">
      <w:pPr>
        <w:pStyle w:val="p1"/>
        <w:rPr>
          <w:rFonts w:asciiTheme="majorHAnsi" w:hAnsiTheme="majorHAnsi"/>
          <w:b/>
          <w:bCs/>
        </w:rPr>
      </w:pPr>
      <w:proofErr w:type="spellStart"/>
      <w:r w:rsidRPr="0095102B">
        <w:rPr>
          <w:rStyle w:val="s1"/>
          <w:rFonts w:asciiTheme="majorHAnsi" w:hAnsiTheme="majorHAnsi"/>
        </w:rPr>
        <w:t>Kupferstein</w:t>
      </w:r>
      <w:proofErr w:type="spellEnd"/>
      <w:r w:rsidRPr="0095102B">
        <w:rPr>
          <w:rStyle w:val="s1"/>
          <w:rFonts w:asciiTheme="majorHAnsi" w:hAnsiTheme="majorHAnsi"/>
        </w:rPr>
        <w:t xml:space="preserve">, H. (2018) ‘Evidence of increased PTSD symptoms in autistics exposed to applied </w:t>
      </w:r>
      <w:proofErr w:type="spellStart"/>
      <w:r w:rsidRPr="0095102B">
        <w:rPr>
          <w:rStyle w:val="s1"/>
          <w:rFonts w:asciiTheme="majorHAnsi" w:hAnsiTheme="majorHAnsi"/>
        </w:rPr>
        <w:t>behavior</w:t>
      </w:r>
      <w:proofErr w:type="spellEnd"/>
      <w:r w:rsidRPr="0095102B">
        <w:rPr>
          <w:rStyle w:val="s1"/>
          <w:rFonts w:asciiTheme="majorHAnsi" w:hAnsiTheme="majorHAnsi"/>
        </w:rPr>
        <w:t xml:space="preserve"> analysis’, </w:t>
      </w:r>
      <w:r w:rsidRPr="0095102B">
        <w:rPr>
          <w:rStyle w:val="s2"/>
          <w:rFonts w:asciiTheme="majorHAnsi" w:hAnsiTheme="majorHAnsi"/>
          <w:i w:val="0"/>
          <w:iCs w:val="0"/>
        </w:rPr>
        <w:t>Advances in Autism</w:t>
      </w:r>
      <w:r w:rsidRPr="0095102B">
        <w:rPr>
          <w:rStyle w:val="s1"/>
          <w:rFonts w:asciiTheme="majorHAnsi" w:hAnsiTheme="majorHAnsi"/>
        </w:rPr>
        <w:t>, 4(1), pp. 19–29.</w:t>
      </w:r>
    </w:p>
    <w:p w14:paraId="418C2C7A" w14:textId="77777777" w:rsidR="00EA7A4B" w:rsidRPr="0095102B" w:rsidRDefault="00EA7A4B">
      <w:pPr>
        <w:pStyle w:val="p2"/>
        <w:rPr>
          <w:rFonts w:asciiTheme="majorHAnsi" w:hAnsiTheme="majorHAnsi"/>
          <w:b/>
          <w:bCs/>
        </w:rPr>
      </w:pPr>
    </w:p>
    <w:p w14:paraId="3993141F" w14:textId="77777777" w:rsidR="00EA7A4B" w:rsidRPr="0095102B" w:rsidRDefault="00EA7A4B">
      <w:pPr>
        <w:pStyle w:val="p1"/>
        <w:rPr>
          <w:rFonts w:asciiTheme="majorHAnsi" w:hAnsiTheme="majorHAnsi"/>
          <w:b/>
          <w:bCs/>
        </w:rPr>
      </w:pPr>
      <w:r w:rsidRPr="0095102B">
        <w:rPr>
          <w:rStyle w:val="s1"/>
          <w:rFonts w:asciiTheme="majorHAnsi" w:hAnsiTheme="majorHAnsi"/>
        </w:rPr>
        <w:t xml:space="preserve">Lord, C., </w:t>
      </w:r>
      <w:proofErr w:type="spellStart"/>
      <w:r w:rsidRPr="0095102B">
        <w:rPr>
          <w:rStyle w:val="s1"/>
          <w:rFonts w:asciiTheme="majorHAnsi" w:hAnsiTheme="majorHAnsi"/>
        </w:rPr>
        <w:t>Elsabbagh</w:t>
      </w:r>
      <w:proofErr w:type="spellEnd"/>
      <w:r w:rsidRPr="0095102B">
        <w:rPr>
          <w:rStyle w:val="s1"/>
          <w:rFonts w:asciiTheme="majorHAnsi" w:hAnsiTheme="majorHAnsi"/>
        </w:rPr>
        <w:t xml:space="preserve">, M., Baird, G. and </w:t>
      </w:r>
      <w:proofErr w:type="spellStart"/>
      <w:r w:rsidRPr="0095102B">
        <w:rPr>
          <w:rStyle w:val="s1"/>
          <w:rFonts w:asciiTheme="majorHAnsi" w:hAnsiTheme="majorHAnsi"/>
        </w:rPr>
        <w:t>Veenstra-Vanderweele</w:t>
      </w:r>
      <w:proofErr w:type="spellEnd"/>
      <w:r w:rsidRPr="0095102B">
        <w:rPr>
          <w:rStyle w:val="s1"/>
          <w:rFonts w:asciiTheme="majorHAnsi" w:hAnsiTheme="majorHAnsi"/>
        </w:rPr>
        <w:t xml:space="preserve">, J. (2020) ‘Autism spectrum disorder’, </w:t>
      </w:r>
      <w:r w:rsidRPr="0095102B">
        <w:rPr>
          <w:rStyle w:val="s2"/>
          <w:rFonts w:asciiTheme="majorHAnsi" w:hAnsiTheme="majorHAnsi"/>
          <w:i w:val="0"/>
          <w:iCs w:val="0"/>
        </w:rPr>
        <w:t>The Lancet</w:t>
      </w:r>
      <w:r w:rsidRPr="0095102B">
        <w:rPr>
          <w:rStyle w:val="s1"/>
          <w:rFonts w:asciiTheme="majorHAnsi" w:hAnsiTheme="majorHAnsi"/>
        </w:rPr>
        <w:t>, 392(10146), pp. 508–520.</w:t>
      </w:r>
    </w:p>
    <w:p w14:paraId="5A77ADE5" w14:textId="77777777" w:rsidR="00EA7A4B" w:rsidRPr="0095102B" w:rsidRDefault="00EA7A4B">
      <w:pPr>
        <w:pStyle w:val="p2"/>
        <w:rPr>
          <w:rFonts w:asciiTheme="majorHAnsi" w:hAnsiTheme="majorHAnsi"/>
          <w:b/>
          <w:bCs/>
        </w:rPr>
      </w:pPr>
    </w:p>
    <w:p w14:paraId="3C5712B8" w14:textId="77777777" w:rsidR="00EA7A4B" w:rsidRPr="0095102B" w:rsidRDefault="00EA7A4B">
      <w:pPr>
        <w:pStyle w:val="p1"/>
        <w:rPr>
          <w:rFonts w:asciiTheme="majorHAnsi" w:hAnsiTheme="majorHAnsi"/>
          <w:b/>
          <w:bCs/>
        </w:rPr>
      </w:pPr>
      <w:proofErr w:type="spellStart"/>
      <w:r w:rsidRPr="0095102B">
        <w:rPr>
          <w:rStyle w:val="s1"/>
          <w:rFonts w:asciiTheme="majorHAnsi" w:hAnsiTheme="majorHAnsi"/>
        </w:rPr>
        <w:t>Lovaas</w:t>
      </w:r>
      <w:proofErr w:type="spellEnd"/>
      <w:r w:rsidRPr="0095102B">
        <w:rPr>
          <w:rStyle w:val="s1"/>
          <w:rFonts w:asciiTheme="majorHAnsi" w:hAnsiTheme="majorHAnsi"/>
        </w:rPr>
        <w:t>, O.I. (1987) ‘</w:t>
      </w:r>
      <w:proofErr w:type="spellStart"/>
      <w:r w:rsidRPr="0095102B">
        <w:rPr>
          <w:rStyle w:val="s1"/>
          <w:rFonts w:asciiTheme="majorHAnsi" w:hAnsiTheme="majorHAnsi"/>
        </w:rPr>
        <w:t>Behavioral</w:t>
      </w:r>
      <w:proofErr w:type="spellEnd"/>
      <w:r w:rsidRPr="0095102B">
        <w:rPr>
          <w:rStyle w:val="s1"/>
          <w:rFonts w:asciiTheme="majorHAnsi" w:hAnsiTheme="majorHAnsi"/>
        </w:rPr>
        <w:t xml:space="preserve"> treatment and normal educational and intellectual functioning in young autistic children’, </w:t>
      </w:r>
      <w:r w:rsidRPr="0095102B">
        <w:rPr>
          <w:rStyle w:val="s2"/>
          <w:rFonts w:asciiTheme="majorHAnsi" w:hAnsiTheme="majorHAnsi"/>
          <w:i w:val="0"/>
          <w:iCs w:val="0"/>
        </w:rPr>
        <w:t>Journal of Consulting and Clinical Psychology</w:t>
      </w:r>
      <w:r w:rsidRPr="0095102B">
        <w:rPr>
          <w:rStyle w:val="s1"/>
          <w:rFonts w:asciiTheme="majorHAnsi" w:hAnsiTheme="majorHAnsi"/>
        </w:rPr>
        <w:t>, 55(1), pp. 3–9.</w:t>
      </w:r>
    </w:p>
    <w:p w14:paraId="7375DF3A" w14:textId="77777777" w:rsidR="00EA7A4B" w:rsidRPr="0095102B" w:rsidRDefault="00EA7A4B">
      <w:pPr>
        <w:pStyle w:val="p2"/>
        <w:rPr>
          <w:rFonts w:asciiTheme="majorHAnsi" w:hAnsiTheme="majorHAnsi"/>
          <w:b/>
          <w:bCs/>
        </w:rPr>
      </w:pPr>
    </w:p>
    <w:p w14:paraId="0C01B1BB" w14:textId="77777777" w:rsidR="00EA7A4B" w:rsidRPr="0095102B" w:rsidRDefault="00EA7A4B">
      <w:pPr>
        <w:pStyle w:val="p1"/>
        <w:rPr>
          <w:rFonts w:asciiTheme="majorHAnsi" w:hAnsiTheme="majorHAnsi"/>
          <w:b/>
          <w:bCs/>
        </w:rPr>
      </w:pPr>
      <w:r w:rsidRPr="0095102B">
        <w:rPr>
          <w:rStyle w:val="s1"/>
          <w:rFonts w:asciiTheme="majorHAnsi" w:hAnsiTheme="majorHAnsi"/>
        </w:rPr>
        <w:t xml:space="preserve">Sandbank, M. et al. (2020) ‘Project AIM: Autism intervention meta-analysis for studies of young children’, </w:t>
      </w:r>
      <w:r w:rsidRPr="0095102B">
        <w:rPr>
          <w:rStyle w:val="s2"/>
          <w:rFonts w:asciiTheme="majorHAnsi" w:hAnsiTheme="majorHAnsi"/>
          <w:i w:val="0"/>
          <w:iCs w:val="0"/>
        </w:rPr>
        <w:t>Psychological Bulletin</w:t>
      </w:r>
      <w:r w:rsidRPr="0095102B">
        <w:rPr>
          <w:rStyle w:val="s1"/>
          <w:rFonts w:asciiTheme="majorHAnsi" w:hAnsiTheme="majorHAnsi"/>
        </w:rPr>
        <w:t>, 146(1), pp. 1–29.</w:t>
      </w:r>
    </w:p>
    <w:p w14:paraId="380BF793" w14:textId="77777777" w:rsidR="00EA7A4B" w:rsidRPr="0095102B" w:rsidRDefault="00EA7A4B">
      <w:pPr>
        <w:pStyle w:val="p2"/>
        <w:rPr>
          <w:rFonts w:asciiTheme="majorHAnsi" w:hAnsiTheme="majorHAnsi"/>
          <w:b/>
          <w:bCs/>
        </w:rPr>
      </w:pPr>
    </w:p>
    <w:p w14:paraId="3E25956C" w14:textId="77777777" w:rsidR="00EA7A4B" w:rsidRPr="0095102B" w:rsidRDefault="00EA7A4B">
      <w:pPr>
        <w:pStyle w:val="p1"/>
        <w:rPr>
          <w:rFonts w:asciiTheme="majorHAnsi" w:hAnsiTheme="majorHAnsi"/>
          <w:b/>
          <w:bCs/>
        </w:rPr>
      </w:pPr>
      <w:r w:rsidRPr="0095102B">
        <w:rPr>
          <w:rStyle w:val="s1"/>
          <w:rFonts w:asciiTheme="majorHAnsi" w:hAnsiTheme="majorHAnsi"/>
        </w:rPr>
        <w:t xml:space="preserve">Singer, J. (1999) ‘Why can’t you be normal for once in your life?’, in Corker, M. and French, S. (eds.) </w:t>
      </w:r>
      <w:r w:rsidRPr="0095102B">
        <w:rPr>
          <w:rStyle w:val="s2"/>
          <w:rFonts w:asciiTheme="majorHAnsi" w:hAnsiTheme="majorHAnsi"/>
          <w:i w:val="0"/>
          <w:iCs w:val="0"/>
        </w:rPr>
        <w:t>Disability discourse</w:t>
      </w:r>
      <w:r w:rsidRPr="0095102B">
        <w:rPr>
          <w:rStyle w:val="s1"/>
          <w:rFonts w:asciiTheme="majorHAnsi" w:hAnsiTheme="majorHAnsi"/>
        </w:rPr>
        <w:t>. Buckingham: Open University Press, pp. 59–67.</w:t>
      </w:r>
    </w:p>
    <w:p w14:paraId="42E233F7" w14:textId="77777777" w:rsidR="00EA7A4B" w:rsidRPr="0095102B" w:rsidRDefault="00EA7A4B">
      <w:pPr>
        <w:pStyle w:val="p2"/>
        <w:rPr>
          <w:rFonts w:asciiTheme="majorHAnsi" w:hAnsiTheme="majorHAnsi"/>
          <w:b/>
          <w:bCs/>
        </w:rPr>
      </w:pPr>
    </w:p>
    <w:p w14:paraId="7AF05B80" w14:textId="77777777" w:rsidR="00EA7A4B" w:rsidRPr="0095102B" w:rsidRDefault="00EA7A4B">
      <w:pPr>
        <w:pStyle w:val="p1"/>
        <w:rPr>
          <w:rFonts w:asciiTheme="majorHAnsi" w:hAnsiTheme="majorHAnsi"/>
          <w:b/>
          <w:bCs/>
        </w:rPr>
      </w:pPr>
      <w:r w:rsidRPr="0095102B">
        <w:rPr>
          <w:rStyle w:val="s1"/>
          <w:rFonts w:asciiTheme="majorHAnsi" w:hAnsiTheme="majorHAnsi"/>
        </w:rPr>
        <w:t xml:space="preserve">World Health </w:t>
      </w:r>
      <w:proofErr w:type="spellStart"/>
      <w:r w:rsidRPr="0095102B">
        <w:rPr>
          <w:rStyle w:val="s1"/>
          <w:rFonts w:asciiTheme="majorHAnsi" w:hAnsiTheme="majorHAnsi"/>
        </w:rPr>
        <w:t>Organization</w:t>
      </w:r>
      <w:proofErr w:type="spellEnd"/>
      <w:r w:rsidRPr="0095102B">
        <w:rPr>
          <w:rStyle w:val="s1"/>
          <w:rFonts w:asciiTheme="majorHAnsi" w:hAnsiTheme="majorHAnsi"/>
        </w:rPr>
        <w:t xml:space="preserve"> (2022) </w:t>
      </w:r>
      <w:r w:rsidRPr="0095102B">
        <w:rPr>
          <w:rStyle w:val="s2"/>
          <w:rFonts w:asciiTheme="majorHAnsi" w:hAnsiTheme="majorHAnsi"/>
          <w:i w:val="0"/>
          <w:iCs w:val="0"/>
        </w:rPr>
        <w:t>International classification of diseases for mortality and morbidity statistics (11th Revision)</w:t>
      </w:r>
      <w:r w:rsidRPr="0095102B">
        <w:rPr>
          <w:rStyle w:val="s1"/>
          <w:rFonts w:asciiTheme="majorHAnsi" w:hAnsiTheme="majorHAnsi"/>
        </w:rPr>
        <w:t>. Available at: https://icd.who.int/</w:t>
      </w:r>
    </w:p>
    <w:p w14:paraId="71F3365B" w14:textId="77777777" w:rsidR="00EA7A4B" w:rsidRPr="0095102B" w:rsidRDefault="00EA7A4B">
      <w:pPr>
        <w:pStyle w:val="p2"/>
        <w:rPr>
          <w:rFonts w:asciiTheme="majorHAnsi" w:hAnsiTheme="majorHAnsi"/>
          <w:b/>
          <w:bCs/>
        </w:rPr>
      </w:pPr>
    </w:p>
    <w:p w14:paraId="1A7940D0" w14:textId="77777777" w:rsidR="00EA7A4B" w:rsidRPr="0095102B" w:rsidRDefault="00EA7A4B">
      <w:pPr>
        <w:pStyle w:val="p1"/>
        <w:rPr>
          <w:rFonts w:asciiTheme="majorHAnsi" w:hAnsiTheme="majorHAnsi"/>
          <w:b/>
          <w:bCs/>
        </w:rPr>
      </w:pPr>
      <w:r w:rsidRPr="0095102B">
        <w:rPr>
          <w:rStyle w:val="s1"/>
          <w:rFonts w:asciiTheme="majorHAnsi" w:hAnsiTheme="majorHAnsi"/>
        </w:rPr>
        <w:t xml:space="preserve">World Health </w:t>
      </w:r>
      <w:proofErr w:type="spellStart"/>
      <w:r w:rsidRPr="0095102B">
        <w:rPr>
          <w:rStyle w:val="s1"/>
          <w:rFonts w:asciiTheme="majorHAnsi" w:hAnsiTheme="majorHAnsi"/>
        </w:rPr>
        <w:t>Organization</w:t>
      </w:r>
      <w:proofErr w:type="spellEnd"/>
      <w:r w:rsidRPr="0095102B">
        <w:rPr>
          <w:rStyle w:val="s1"/>
          <w:rFonts w:asciiTheme="majorHAnsi" w:hAnsiTheme="majorHAnsi"/>
        </w:rPr>
        <w:t xml:space="preserve"> (2022) </w:t>
      </w:r>
      <w:r w:rsidRPr="0095102B">
        <w:rPr>
          <w:rStyle w:val="s2"/>
          <w:rFonts w:asciiTheme="majorHAnsi" w:hAnsiTheme="majorHAnsi"/>
          <w:i w:val="0"/>
          <w:iCs w:val="0"/>
        </w:rPr>
        <w:t>International classification of diseases for mortality and morbidity statistics (11th Revision)</w:t>
      </w:r>
      <w:r w:rsidRPr="0095102B">
        <w:rPr>
          <w:rStyle w:val="s1"/>
          <w:rFonts w:asciiTheme="majorHAnsi" w:hAnsiTheme="majorHAnsi"/>
        </w:rPr>
        <w:t>. Available at: https://icd.who.int/</w:t>
      </w:r>
    </w:p>
    <w:p w14:paraId="38B839DD" w14:textId="77777777" w:rsidR="00EA7A4B" w:rsidRPr="0095102B" w:rsidRDefault="00EA7A4B">
      <w:pPr>
        <w:pStyle w:val="p2"/>
        <w:rPr>
          <w:rFonts w:asciiTheme="majorHAnsi" w:hAnsiTheme="majorHAnsi"/>
          <w:b/>
          <w:bCs/>
        </w:rPr>
      </w:pPr>
    </w:p>
    <w:p w14:paraId="0E90A602" w14:textId="77777777" w:rsidR="00EA7A4B" w:rsidRPr="0095102B" w:rsidRDefault="00EA7A4B">
      <w:pPr>
        <w:pStyle w:val="p1"/>
        <w:rPr>
          <w:rFonts w:asciiTheme="majorHAnsi" w:hAnsiTheme="majorHAnsi"/>
          <w:b/>
          <w:bCs/>
        </w:rPr>
      </w:pPr>
      <w:r w:rsidRPr="0095102B">
        <w:rPr>
          <w:rStyle w:val="s1"/>
          <w:rFonts w:asciiTheme="majorHAnsi" w:hAnsiTheme="majorHAnsi"/>
        </w:rPr>
        <w:t xml:space="preserve">Lord, C., </w:t>
      </w:r>
      <w:proofErr w:type="spellStart"/>
      <w:r w:rsidRPr="0095102B">
        <w:rPr>
          <w:rStyle w:val="s1"/>
          <w:rFonts w:asciiTheme="majorHAnsi" w:hAnsiTheme="majorHAnsi"/>
        </w:rPr>
        <w:t>Elsabbagh</w:t>
      </w:r>
      <w:proofErr w:type="spellEnd"/>
      <w:r w:rsidRPr="0095102B">
        <w:rPr>
          <w:rStyle w:val="s1"/>
          <w:rFonts w:asciiTheme="majorHAnsi" w:hAnsiTheme="majorHAnsi"/>
        </w:rPr>
        <w:t xml:space="preserve">, M., Baird, G. and </w:t>
      </w:r>
      <w:proofErr w:type="spellStart"/>
      <w:r w:rsidRPr="0095102B">
        <w:rPr>
          <w:rStyle w:val="s1"/>
          <w:rFonts w:asciiTheme="majorHAnsi" w:hAnsiTheme="majorHAnsi"/>
        </w:rPr>
        <w:t>Veenstra-Vanderweele</w:t>
      </w:r>
      <w:proofErr w:type="spellEnd"/>
      <w:r w:rsidRPr="0095102B">
        <w:rPr>
          <w:rStyle w:val="s1"/>
          <w:rFonts w:asciiTheme="majorHAnsi" w:hAnsiTheme="majorHAnsi"/>
        </w:rPr>
        <w:t xml:space="preserve">, J. (2020) ‘Autism spectrum disorder’, </w:t>
      </w:r>
      <w:r w:rsidRPr="0095102B">
        <w:rPr>
          <w:rStyle w:val="s2"/>
          <w:rFonts w:asciiTheme="majorHAnsi" w:hAnsiTheme="majorHAnsi"/>
          <w:i w:val="0"/>
          <w:iCs w:val="0"/>
        </w:rPr>
        <w:t>The Lancet</w:t>
      </w:r>
      <w:r w:rsidRPr="0095102B">
        <w:rPr>
          <w:rStyle w:val="s1"/>
          <w:rFonts w:asciiTheme="majorHAnsi" w:hAnsiTheme="majorHAnsi"/>
        </w:rPr>
        <w:t>, 392(10146), pp. 508–520.</w:t>
      </w:r>
    </w:p>
    <w:p w14:paraId="5E3D6295" w14:textId="77777777" w:rsidR="00EA7A4B" w:rsidRPr="0095102B" w:rsidRDefault="00EA7A4B">
      <w:pPr>
        <w:pStyle w:val="p2"/>
        <w:rPr>
          <w:rFonts w:asciiTheme="majorHAnsi" w:hAnsiTheme="majorHAnsi"/>
          <w:b/>
          <w:bCs/>
        </w:rPr>
      </w:pPr>
    </w:p>
    <w:p w14:paraId="73FBCF62" w14:textId="77777777" w:rsidR="00EA7A4B" w:rsidRPr="0095102B" w:rsidRDefault="00EA7A4B">
      <w:pPr>
        <w:pStyle w:val="p1"/>
        <w:rPr>
          <w:rFonts w:asciiTheme="majorHAnsi" w:hAnsiTheme="majorHAnsi"/>
          <w:b/>
          <w:bCs/>
        </w:rPr>
      </w:pPr>
      <w:proofErr w:type="spellStart"/>
      <w:r w:rsidRPr="0095102B">
        <w:rPr>
          <w:rStyle w:val="s1"/>
          <w:rFonts w:asciiTheme="majorHAnsi" w:hAnsiTheme="majorHAnsi"/>
        </w:rPr>
        <w:t>Kupferstein</w:t>
      </w:r>
      <w:proofErr w:type="spellEnd"/>
      <w:r w:rsidRPr="0095102B">
        <w:rPr>
          <w:rStyle w:val="s1"/>
          <w:rFonts w:asciiTheme="majorHAnsi" w:hAnsiTheme="majorHAnsi"/>
        </w:rPr>
        <w:t xml:space="preserve">, H. (2018) ‘Evidence of increased PTSD symptoms in autistics exposed to applied </w:t>
      </w:r>
      <w:proofErr w:type="spellStart"/>
      <w:r w:rsidRPr="0095102B">
        <w:rPr>
          <w:rStyle w:val="s1"/>
          <w:rFonts w:asciiTheme="majorHAnsi" w:hAnsiTheme="majorHAnsi"/>
        </w:rPr>
        <w:t>behavior</w:t>
      </w:r>
      <w:proofErr w:type="spellEnd"/>
      <w:r w:rsidRPr="0095102B">
        <w:rPr>
          <w:rStyle w:val="s1"/>
          <w:rFonts w:asciiTheme="majorHAnsi" w:hAnsiTheme="majorHAnsi"/>
        </w:rPr>
        <w:t xml:space="preserve"> analysis’, </w:t>
      </w:r>
      <w:r w:rsidRPr="0095102B">
        <w:rPr>
          <w:rStyle w:val="s2"/>
          <w:rFonts w:asciiTheme="majorHAnsi" w:hAnsiTheme="majorHAnsi"/>
          <w:i w:val="0"/>
          <w:iCs w:val="0"/>
        </w:rPr>
        <w:t>Advances in Autism</w:t>
      </w:r>
      <w:r w:rsidRPr="0095102B">
        <w:rPr>
          <w:rStyle w:val="s1"/>
          <w:rFonts w:asciiTheme="majorHAnsi" w:hAnsiTheme="majorHAnsi"/>
        </w:rPr>
        <w:t>, 4(1), pp. 19–29.</w:t>
      </w:r>
    </w:p>
    <w:p w14:paraId="1E4FD9F7" w14:textId="77777777" w:rsidR="00EA7A4B" w:rsidRPr="0095102B" w:rsidRDefault="00EA7A4B">
      <w:pPr>
        <w:pStyle w:val="p2"/>
        <w:rPr>
          <w:rFonts w:asciiTheme="majorHAnsi" w:hAnsiTheme="majorHAnsi"/>
          <w:b/>
          <w:bCs/>
        </w:rPr>
      </w:pPr>
    </w:p>
    <w:p w14:paraId="786999D7" w14:textId="77777777" w:rsidR="00EA7A4B" w:rsidRPr="0095102B" w:rsidRDefault="00EA7A4B">
      <w:pPr>
        <w:pStyle w:val="p1"/>
        <w:rPr>
          <w:rFonts w:asciiTheme="majorHAnsi" w:hAnsiTheme="majorHAnsi"/>
          <w:b/>
          <w:bCs/>
        </w:rPr>
      </w:pPr>
      <w:r w:rsidRPr="0095102B">
        <w:rPr>
          <w:rStyle w:val="s1"/>
          <w:rFonts w:asciiTheme="majorHAnsi" w:hAnsiTheme="majorHAnsi"/>
        </w:rPr>
        <w:t xml:space="preserve">Lord, C., </w:t>
      </w:r>
      <w:proofErr w:type="spellStart"/>
      <w:r w:rsidRPr="0095102B">
        <w:rPr>
          <w:rStyle w:val="s1"/>
          <w:rFonts w:asciiTheme="majorHAnsi" w:hAnsiTheme="majorHAnsi"/>
        </w:rPr>
        <w:t>Elsabbagh</w:t>
      </w:r>
      <w:proofErr w:type="spellEnd"/>
      <w:r w:rsidRPr="0095102B">
        <w:rPr>
          <w:rStyle w:val="s1"/>
          <w:rFonts w:asciiTheme="majorHAnsi" w:hAnsiTheme="majorHAnsi"/>
        </w:rPr>
        <w:t xml:space="preserve">, M., Baird, G. and </w:t>
      </w:r>
      <w:proofErr w:type="spellStart"/>
      <w:r w:rsidRPr="0095102B">
        <w:rPr>
          <w:rStyle w:val="s1"/>
          <w:rFonts w:asciiTheme="majorHAnsi" w:hAnsiTheme="majorHAnsi"/>
        </w:rPr>
        <w:t>Veenstra-Vanderweele</w:t>
      </w:r>
      <w:proofErr w:type="spellEnd"/>
      <w:r w:rsidRPr="0095102B">
        <w:rPr>
          <w:rStyle w:val="s1"/>
          <w:rFonts w:asciiTheme="majorHAnsi" w:hAnsiTheme="majorHAnsi"/>
        </w:rPr>
        <w:t xml:space="preserve">, J. (2020) ‘Autism spectrum disorder’, </w:t>
      </w:r>
      <w:r w:rsidRPr="0095102B">
        <w:rPr>
          <w:rStyle w:val="s2"/>
          <w:rFonts w:asciiTheme="majorHAnsi" w:hAnsiTheme="majorHAnsi"/>
          <w:i w:val="0"/>
          <w:iCs w:val="0"/>
        </w:rPr>
        <w:t>The Lancet</w:t>
      </w:r>
      <w:r w:rsidRPr="0095102B">
        <w:rPr>
          <w:rStyle w:val="s1"/>
          <w:rFonts w:asciiTheme="majorHAnsi" w:hAnsiTheme="majorHAnsi"/>
        </w:rPr>
        <w:t>, 392(10146), pp. 508–520.</w:t>
      </w:r>
    </w:p>
    <w:p w14:paraId="063FC764" w14:textId="77777777" w:rsidR="00EA7A4B" w:rsidRPr="0095102B" w:rsidRDefault="00EA7A4B">
      <w:pPr>
        <w:pStyle w:val="p2"/>
        <w:rPr>
          <w:rFonts w:asciiTheme="majorHAnsi" w:hAnsiTheme="majorHAnsi"/>
          <w:b/>
          <w:bCs/>
        </w:rPr>
      </w:pPr>
    </w:p>
    <w:p w14:paraId="57D10B96" w14:textId="77777777" w:rsidR="00EA7A4B" w:rsidRPr="0095102B" w:rsidRDefault="00EA7A4B">
      <w:pPr>
        <w:pStyle w:val="p1"/>
        <w:rPr>
          <w:rFonts w:asciiTheme="majorHAnsi" w:hAnsiTheme="majorHAnsi"/>
          <w:b/>
          <w:bCs/>
        </w:rPr>
      </w:pPr>
      <w:r w:rsidRPr="0095102B">
        <w:rPr>
          <w:rStyle w:val="s1"/>
          <w:rFonts w:asciiTheme="majorHAnsi" w:hAnsiTheme="majorHAnsi"/>
        </w:rPr>
        <w:t xml:space="preserve">Singer, J. (1999) ‘Why can’t you be normal for once in your life?’, in Corker, M. and French, S. (eds.) </w:t>
      </w:r>
      <w:r w:rsidRPr="0095102B">
        <w:rPr>
          <w:rStyle w:val="s2"/>
          <w:rFonts w:asciiTheme="majorHAnsi" w:hAnsiTheme="majorHAnsi"/>
          <w:i w:val="0"/>
          <w:iCs w:val="0"/>
        </w:rPr>
        <w:t>Disability discourse</w:t>
      </w:r>
      <w:r w:rsidRPr="0095102B">
        <w:rPr>
          <w:rStyle w:val="s1"/>
          <w:rFonts w:asciiTheme="majorHAnsi" w:hAnsiTheme="majorHAnsi"/>
        </w:rPr>
        <w:t>. Buckingham: Open University Press, pp. 59–67.</w:t>
      </w:r>
    </w:p>
    <w:p w14:paraId="09B6658B" w14:textId="77777777" w:rsidR="00EA7A4B" w:rsidRPr="0095102B" w:rsidRDefault="00EA7A4B">
      <w:pPr>
        <w:pStyle w:val="p2"/>
        <w:rPr>
          <w:rFonts w:asciiTheme="majorHAnsi" w:hAnsiTheme="majorHAnsi"/>
          <w:b/>
          <w:bCs/>
        </w:rPr>
      </w:pPr>
    </w:p>
    <w:p w14:paraId="35623620" w14:textId="77777777" w:rsidR="00EA7A4B" w:rsidRPr="0095102B" w:rsidRDefault="00EA7A4B">
      <w:pPr>
        <w:pStyle w:val="p1"/>
        <w:rPr>
          <w:rFonts w:asciiTheme="majorHAnsi" w:hAnsiTheme="majorHAnsi"/>
          <w:b/>
          <w:bCs/>
        </w:rPr>
      </w:pPr>
      <w:r w:rsidRPr="0095102B">
        <w:rPr>
          <w:rStyle w:val="s1"/>
          <w:rFonts w:asciiTheme="majorHAnsi" w:hAnsiTheme="majorHAnsi"/>
        </w:rPr>
        <w:t xml:space="preserve">World Health </w:t>
      </w:r>
      <w:proofErr w:type="spellStart"/>
      <w:r w:rsidRPr="0095102B">
        <w:rPr>
          <w:rStyle w:val="s1"/>
          <w:rFonts w:asciiTheme="majorHAnsi" w:hAnsiTheme="majorHAnsi"/>
        </w:rPr>
        <w:t>Organization</w:t>
      </w:r>
      <w:proofErr w:type="spellEnd"/>
      <w:r w:rsidRPr="0095102B">
        <w:rPr>
          <w:rStyle w:val="s1"/>
          <w:rFonts w:asciiTheme="majorHAnsi" w:hAnsiTheme="majorHAnsi"/>
        </w:rPr>
        <w:t xml:space="preserve"> (2022) </w:t>
      </w:r>
      <w:r w:rsidRPr="0095102B">
        <w:rPr>
          <w:rStyle w:val="s2"/>
          <w:rFonts w:asciiTheme="majorHAnsi" w:hAnsiTheme="majorHAnsi"/>
          <w:i w:val="0"/>
          <w:iCs w:val="0"/>
        </w:rPr>
        <w:t>International classification of diseases for mortality and morbidity statistics (11th Revision)</w:t>
      </w:r>
      <w:r w:rsidRPr="0095102B">
        <w:rPr>
          <w:rStyle w:val="s1"/>
          <w:rFonts w:asciiTheme="majorHAnsi" w:hAnsiTheme="majorHAnsi"/>
        </w:rPr>
        <w:t>. Available at: https://icd.who.int</w:t>
      </w:r>
    </w:p>
    <w:p w14:paraId="13C33F0C" w14:textId="77777777" w:rsidR="00EA7A4B" w:rsidRPr="0095102B" w:rsidRDefault="00EA7A4B">
      <w:pPr>
        <w:pStyle w:val="p2"/>
        <w:rPr>
          <w:rFonts w:asciiTheme="majorHAnsi" w:hAnsiTheme="majorHAnsi"/>
          <w:b/>
          <w:bCs/>
        </w:rPr>
      </w:pPr>
    </w:p>
    <w:p w14:paraId="44566588" w14:textId="77777777" w:rsidR="00EA7A4B" w:rsidRPr="0095102B" w:rsidRDefault="00EA7A4B">
      <w:pPr>
        <w:pStyle w:val="p1"/>
        <w:rPr>
          <w:rFonts w:asciiTheme="majorHAnsi" w:hAnsiTheme="majorHAnsi"/>
          <w:b/>
          <w:bCs/>
        </w:rPr>
      </w:pPr>
      <w:r w:rsidRPr="0095102B">
        <w:rPr>
          <w:rStyle w:val="s1"/>
          <w:rFonts w:asciiTheme="majorHAnsi" w:hAnsiTheme="majorHAnsi"/>
        </w:rPr>
        <w:t xml:space="preserve">Lord, C., </w:t>
      </w:r>
      <w:proofErr w:type="spellStart"/>
      <w:r w:rsidRPr="0095102B">
        <w:rPr>
          <w:rStyle w:val="s1"/>
          <w:rFonts w:asciiTheme="majorHAnsi" w:hAnsiTheme="majorHAnsi"/>
        </w:rPr>
        <w:t>Elsabbagh</w:t>
      </w:r>
      <w:proofErr w:type="spellEnd"/>
      <w:r w:rsidRPr="0095102B">
        <w:rPr>
          <w:rStyle w:val="s1"/>
          <w:rFonts w:asciiTheme="majorHAnsi" w:hAnsiTheme="majorHAnsi"/>
        </w:rPr>
        <w:t xml:space="preserve">, M., Baird, G. and </w:t>
      </w:r>
      <w:proofErr w:type="spellStart"/>
      <w:r w:rsidRPr="0095102B">
        <w:rPr>
          <w:rStyle w:val="s1"/>
          <w:rFonts w:asciiTheme="majorHAnsi" w:hAnsiTheme="majorHAnsi"/>
        </w:rPr>
        <w:t>Veenstra-Vanderweele</w:t>
      </w:r>
      <w:proofErr w:type="spellEnd"/>
      <w:r w:rsidRPr="0095102B">
        <w:rPr>
          <w:rStyle w:val="s1"/>
          <w:rFonts w:asciiTheme="majorHAnsi" w:hAnsiTheme="majorHAnsi"/>
        </w:rPr>
        <w:t xml:space="preserve">, J. (2020) ‘Autism spectrum disorder’, </w:t>
      </w:r>
      <w:r w:rsidRPr="0095102B">
        <w:rPr>
          <w:rStyle w:val="s2"/>
          <w:rFonts w:asciiTheme="majorHAnsi" w:hAnsiTheme="majorHAnsi"/>
          <w:i w:val="0"/>
          <w:iCs w:val="0"/>
        </w:rPr>
        <w:t>The Lancet</w:t>
      </w:r>
      <w:r w:rsidRPr="0095102B">
        <w:rPr>
          <w:rStyle w:val="s1"/>
          <w:rFonts w:asciiTheme="majorHAnsi" w:hAnsiTheme="majorHAnsi"/>
        </w:rPr>
        <w:t>, 392(10146), pp. 508–520.</w:t>
      </w:r>
    </w:p>
    <w:p w14:paraId="4181F8C2" w14:textId="77777777" w:rsidR="00EA7A4B" w:rsidRPr="0095102B" w:rsidRDefault="00EA7A4B">
      <w:pPr>
        <w:pStyle w:val="p2"/>
        <w:rPr>
          <w:rFonts w:asciiTheme="majorHAnsi" w:hAnsiTheme="majorHAnsi"/>
          <w:b/>
          <w:bCs/>
        </w:rPr>
      </w:pPr>
    </w:p>
    <w:p w14:paraId="323108F6" w14:textId="77777777" w:rsidR="00EA7A4B" w:rsidRPr="0095102B" w:rsidRDefault="00EA7A4B">
      <w:pPr>
        <w:pStyle w:val="p1"/>
        <w:rPr>
          <w:rFonts w:asciiTheme="majorHAnsi" w:hAnsiTheme="majorHAnsi"/>
          <w:b/>
          <w:bCs/>
        </w:rPr>
      </w:pPr>
      <w:r w:rsidRPr="0095102B">
        <w:rPr>
          <w:rStyle w:val="s1"/>
          <w:rFonts w:asciiTheme="majorHAnsi" w:hAnsiTheme="majorHAnsi"/>
        </w:rPr>
        <w:t xml:space="preserve">World Health </w:t>
      </w:r>
      <w:proofErr w:type="spellStart"/>
      <w:r w:rsidRPr="0095102B">
        <w:rPr>
          <w:rStyle w:val="s1"/>
          <w:rFonts w:asciiTheme="majorHAnsi" w:hAnsiTheme="majorHAnsi"/>
        </w:rPr>
        <w:t>Organization</w:t>
      </w:r>
      <w:proofErr w:type="spellEnd"/>
      <w:r w:rsidRPr="0095102B">
        <w:rPr>
          <w:rStyle w:val="s1"/>
          <w:rFonts w:asciiTheme="majorHAnsi" w:hAnsiTheme="majorHAnsi"/>
        </w:rPr>
        <w:t xml:space="preserve"> (2022) </w:t>
      </w:r>
      <w:r w:rsidRPr="0095102B">
        <w:rPr>
          <w:rStyle w:val="s2"/>
          <w:rFonts w:asciiTheme="majorHAnsi" w:hAnsiTheme="majorHAnsi"/>
          <w:i w:val="0"/>
          <w:iCs w:val="0"/>
        </w:rPr>
        <w:t>International classification of diseases for mortality and morbidity statistics (11th Revision)</w:t>
      </w:r>
      <w:r w:rsidRPr="0095102B">
        <w:rPr>
          <w:rStyle w:val="s1"/>
          <w:rFonts w:asciiTheme="majorHAnsi" w:hAnsiTheme="majorHAnsi"/>
        </w:rPr>
        <w:t>. Available at: https://icd.who.int/</w:t>
      </w:r>
    </w:p>
    <w:p w14:paraId="1E31A115" w14:textId="77777777" w:rsidR="00EA7A4B" w:rsidRPr="0095102B" w:rsidRDefault="00EA7A4B">
      <w:pPr>
        <w:pStyle w:val="p2"/>
        <w:rPr>
          <w:rFonts w:asciiTheme="majorHAnsi" w:hAnsiTheme="majorHAnsi"/>
          <w:b/>
          <w:bCs/>
        </w:rPr>
      </w:pPr>
    </w:p>
    <w:p w14:paraId="70FD62B1" w14:textId="77777777" w:rsidR="00EA7A4B" w:rsidRPr="0095102B" w:rsidRDefault="00EA7A4B">
      <w:pPr>
        <w:pStyle w:val="p1"/>
        <w:rPr>
          <w:rFonts w:asciiTheme="majorHAnsi" w:hAnsiTheme="majorHAnsi"/>
          <w:b/>
          <w:bCs/>
        </w:rPr>
      </w:pPr>
      <w:r w:rsidRPr="0095102B">
        <w:rPr>
          <w:rStyle w:val="s1"/>
          <w:rFonts w:asciiTheme="majorHAnsi" w:hAnsiTheme="majorHAnsi"/>
        </w:rPr>
        <w:t xml:space="preserve">UK Government (2021) </w:t>
      </w:r>
      <w:r w:rsidRPr="0095102B">
        <w:rPr>
          <w:rStyle w:val="s2"/>
          <w:rFonts w:asciiTheme="majorHAnsi" w:hAnsiTheme="majorHAnsi"/>
          <w:i w:val="0"/>
          <w:iCs w:val="0"/>
        </w:rPr>
        <w:t>National Autism Strategy</w:t>
      </w:r>
      <w:r w:rsidRPr="0095102B">
        <w:rPr>
          <w:rStyle w:val="s1"/>
          <w:rFonts w:asciiTheme="majorHAnsi" w:hAnsiTheme="majorHAnsi"/>
        </w:rPr>
        <w:t>. London: Department of Health and Social Care.</w:t>
      </w:r>
    </w:p>
    <w:p w14:paraId="6A385AF2" w14:textId="77777777" w:rsidR="0012629D" w:rsidRPr="0095102B" w:rsidRDefault="0012629D">
      <w:pPr>
        <w:rPr>
          <w:rFonts w:asciiTheme="majorHAnsi" w:eastAsia="Times New Roman" w:hAnsiTheme="majorHAnsi" w:cs="Times New Roman"/>
          <w:b/>
          <w:bCs/>
          <w:sz w:val="26"/>
          <w:szCs w:val="26"/>
          <w:u w:val="single"/>
          <w14:ligatures w14:val="none"/>
        </w:rPr>
      </w:pPr>
    </w:p>
    <w:sectPr w:rsidR="0012629D" w:rsidRPr="009510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3DE"/>
    <w:rsid w:val="0002173C"/>
    <w:rsid w:val="00044A50"/>
    <w:rsid w:val="00082EDA"/>
    <w:rsid w:val="000C7C1D"/>
    <w:rsid w:val="000F68F7"/>
    <w:rsid w:val="0012629D"/>
    <w:rsid w:val="00185D74"/>
    <w:rsid w:val="0019598C"/>
    <w:rsid w:val="00195A59"/>
    <w:rsid w:val="00225D39"/>
    <w:rsid w:val="00255467"/>
    <w:rsid w:val="00347749"/>
    <w:rsid w:val="00420EF0"/>
    <w:rsid w:val="00507D62"/>
    <w:rsid w:val="0053139C"/>
    <w:rsid w:val="005400C0"/>
    <w:rsid w:val="00555652"/>
    <w:rsid w:val="006556A7"/>
    <w:rsid w:val="006D78A6"/>
    <w:rsid w:val="006D7FA8"/>
    <w:rsid w:val="00722170"/>
    <w:rsid w:val="00907D74"/>
    <w:rsid w:val="00934B94"/>
    <w:rsid w:val="0095102B"/>
    <w:rsid w:val="00983B6B"/>
    <w:rsid w:val="00984CE6"/>
    <w:rsid w:val="009B327B"/>
    <w:rsid w:val="00A06B13"/>
    <w:rsid w:val="00A6157E"/>
    <w:rsid w:val="00AD636A"/>
    <w:rsid w:val="00AF06AB"/>
    <w:rsid w:val="00B026AA"/>
    <w:rsid w:val="00B41B97"/>
    <w:rsid w:val="00B441C9"/>
    <w:rsid w:val="00C851CF"/>
    <w:rsid w:val="00D32EF2"/>
    <w:rsid w:val="00D64444"/>
    <w:rsid w:val="00DB13C6"/>
    <w:rsid w:val="00EA597B"/>
    <w:rsid w:val="00EA7A4B"/>
    <w:rsid w:val="00EF3C74"/>
    <w:rsid w:val="00F033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E90A417"/>
  <w15:chartTrackingRefBased/>
  <w15:docId w15:val="{FFEB4437-087E-A74D-8AE3-85281A1C1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33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033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33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33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33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33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33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33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33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33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33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33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33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33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33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33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33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33DE"/>
    <w:rPr>
      <w:rFonts w:eastAsiaTheme="majorEastAsia" w:cstheme="majorBidi"/>
      <w:color w:val="272727" w:themeColor="text1" w:themeTint="D8"/>
    </w:rPr>
  </w:style>
  <w:style w:type="paragraph" w:styleId="Title">
    <w:name w:val="Title"/>
    <w:basedOn w:val="Normal"/>
    <w:next w:val="Normal"/>
    <w:link w:val="TitleChar"/>
    <w:uiPriority w:val="10"/>
    <w:qFormat/>
    <w:rsid w:val="00F033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33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33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33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33DE"/>
    <w:pPr>
      <w:spacing w:before="160"/>
      <w:jc w:val="center"/>
    </w:pPr>
    <w:rPr>
      <w:i/>
      <w:iCs/>
      <w:color w:val="404040" w:themeColor="text1" w:themeTint="BF"/>
    </w:rPr>
  </w:style>
  <w:style w:type="character" w:customStyle="1" w:styleId="QuoteChar">
    <w:name w:val="Quote Char"/>
    <w:basedOn w:val="DefaultParagraphFont"/>
    <w:link w:val="Quote"/>
    <w:uiPriority w:val="29"/>
    <w:rsid w:val="00F033DE"/>
    <w:rPr>
      <w:i/>
      <w:iCs/>
      <w:color w:val="404040" w:themeColor="text1" w:themeTint="BF"/>
    </w:rPr>
  </w:style>
  <w:style w:type="paragraph" w:styleId="ListParagraph">
    <w:name w:val="List Paragraph"/>
    <w:basedOn w:val="Normal"/>
    <w:uiPriority w:val="34"/>
    <w:qFormat/>
    <w:rsid w:val="00F033DE"/>
    <w:pPr>
      <w:ind w:left="720"/>
      <w:contextualSpacing/>
    </w:pPr>
  </w:style>
  <w:style w:type="character" w:styleId="IntenseEmphasis">
    <w:name w:val="Intense Emphasis"/>
    <w:basedOn w:val="DefaultParagraphFont"/>
    <w:uiPriority w:val="21"/>
    <w:qFormat/>
    <w:rsid w:val="00F033DE"/>
    <w:rPr>
      <w:i/>
      <w:iCs/>
      <w:color w:val="0F4761" w:themeColor="accent1" w:themeShade="BF"/>
    </w:rPr>
  </w:style>
  <w:style w:type="paragraph" w:styleId="IntenseQuote">
    <w:name w:val="Intense Quote"/>
    <w:basedOn w:val="Normal"/>
    <w:next w:val="Normal"/>
    <w:link w:val="IntenseQuoteChar"/>
    <w:uiPriority w:val="30"/>
    <w:qFormat/>
    <w:rsid w:val="00F033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33DE"/>
    <w:rPr>
      <w:i/>
      <w:iCs/>
      <w:color w:val="0F4761" w:themeColor="accent1" w:themeShade="BF"/>
    </w:rPr>
  </w:style>
  <w:style w:type="character" w:styleId="IntenseReference">
    <w:name w:val="Intense Reference"/>
    <w:basedOn w:val="DefaultParagraphFont"/>
    <w:uiPriority w:val="32"/>
    <w:qFormat/>
    <w:rsid w:val="00F033DE"/>
    <w:rPr>
      <w:b/>
      <w:bCs/>
      <w:smallCaps/>
      <w:color w:val="0F4761" w:themeColor="accent1" w:themeShade="BF"/>
      <w:spacing w:val="5"/>
    </w:rPr>
  </w:style>
  <w:style w:type="paragraph" w:styleId="NormalWeb">
    <w:name w:val="Normal (Web)"/>
    <w:basedOn w:val="Normal"/>
    <w:uiPriority w:val="99"/>
    <w:semiHidden/>
    <w:unhideWhenUsed/>
    <w:rsid w:val="00F033DE"/>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EA7A4B"/>
    <w:pPr>
      <w:spacing w:after="0" w:line="240" w:lineRule="auto"/>
    </w:pPr>
    <w:rPr>
      <w:rFonts w:ascii=".AppleSystemUIFont" w:hAnsi=".AppleSystemUIFont" w:cs="Times New Roman"/>
      <w:kern w:val="0"/>
      <w:sz w:val="23"/>
      <w:szCs w:val="23"/>
      <w14:ligatures w14:val="none"/>
    </w:rPr>
  </w:style>
  <w:style w:type="paragraph" w:customStyle="1" w:styleId="p2">
    <w:name w:val="p2"/>
    <w:basedOn w:val="Normal"/>
    <w:rsid w:val="00EA7A4B"/>
    <w:pPr>
      <w:spacing w:after="0" w:line="240" w:lineRule="auto"/>
    </w:pPr>
    <w:rPr>
      <w:rFonts w:ascii=".AppleSystemUIFont" w:hAnsi=".AppleSystemUIFont" w:cs="Times New Roman"/>
      <w:kern w:val="0"/>
      <w:sz w:val="23"/>
      <w:szCs w:val="23"/>
      <w14:ligatures w14:val="none"/>
    </w:rPr>
  </w:style>
  <w:style w:type="character" w:customStyle="1" w:styleId="s1">
    <w:name w:val="s1"/>
    <w:basedOn w:val="DefaultParagraphFont"/>
    <w:rsid w:val="00EA7A4B"/>
    <w:rPr>
      <w:rFonts w:ascii="UICTFontTextStyleEmphasizedBody" w:hAnsi="UICTFontTextStyleEmphasizedBody" w:hint="default"/>
      <w:b/>
      <w:bCs/>
      <w:i w:val="0"/>
      <w:iCs w:val="0"/>
      <w:sz w:val="23"/>
      <w:szCs w:val="23"/>
    </w:rPr>
  </w:style>
  <w:style w:type="character" w:customStyle="1" w:styleId="s2">
    <w:name w:val="s2"/>
    <w:basedOn w:val="DefaultParagraphFont"/>
    <w:rsid w:val="00EA7A4B"/>
    <w:rPr>
      <w:b/>
      <w:bCs/>
      <w:i/>
      <w:iCs/>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2420</Words>
  <Characters>13797</Characters>
  <Application>Microsoft Office Word</Application>
  <DocSecurity>0</DocSecurity>
  <Lines>114</Lines>
  <Paragraphs>32</Paragraphs>
  <ScaleCrop>false</ScaleCrop>
  <Company/>
  <LinksUpToDate>false</LinksUpToDate>
  <CharactersWithSpaces>16185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Amna Hussain (2319523)</dc:creator>
  <cp:keywords/>
  <dc:description/>
  <cp:lastModifiedBy>Amna Hussain (2319523)</cp:lastModifiedBy>
  <cp:revision>2</cp:revision>
  <dcterms:created xsi:type="dcterms:W3CDTF">2026-03-29T00:25:00Z</dcterms:created>
  <dcterms:modified xsi:type="dcterms:W3CDTF">2026-03-29T00:25:00Z</dcterms:modified>
</cp:coreProperties>
</file>