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79F5C8" w14:textId="325E202E" w:rsidR="005C1D38" w:rsidRPr="00F435CB" w:rsidRDefault="00D95A6E" w:rsidP="005C1D38">
      <w:pPr>
        <w:jc w:val="center"/>
      </w:pPr>
      <w:r w:rsidRPr="00F435CB">
        <w:rPr>
          <w:noProof/>
        </w:rPr>
        <w:drawing>
          <wp:inline distT="0" distB="0" distL="0" distR="0" wp14:anchorId="5861F5EF" wp14:editId="16621E58">
            <wp:extent cx="1839817" cy="2974768"/>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6132" t="16786" r="14827" b="8773"/>
                    <a:stretch/>
                  </pic:blipFill>
                  <pic:spPr bwMode="auto">
                    <a:xfrm>
                      <a:off x="0" y="0"/>
                      <a:ext cx="1839817" cy="2974768"/>
                    </a:xfrm>
                    <a:prstGeom prst="rect">
                      <a:avLst/>
                    </a:prstGeom>
                    <a:noFill/>
                    <a:ln>
                      <a:noFill/>
                    </a:ln>
                    <a:extLst>
                      <a:ext uri="{53640926-AAD7-44D8-BBD7-CCE9431645EC}">
                        <a14:shadowObscured xmlns:a14="http://schemas.microsoft.com/office/drawing/2010/main"/>
                      </a:ext>
                    </a:extLst>
                  </pic:spPr>
                </pic:pic>
              </a:graphicData>
            </a:graphic>
          </wp:inline>
        </w:drawing>
      </w:r>
    </w:p>
    <w:p w14:paraId="0887D1E5" w14:textId="5A47E5E1" w:rsidR="005C1D38" w:rsidRPr="00F435CB" w:rsidRDefault="005C1D38" w:rsidP="00F808DB">
      <w:pPr>
        <w:jc w:val="center"/>
      </w:pPr>
      <w:hyperlink r:id="rId9" w:history="1">
        <w:r w:rsidRPr="00F435CB">
          <w:rPr>
            <w:rStyle w:val="Hyperlink"/>
          </w:rPr>
          <w:t>https://www.metmuseum.org/art/collection/search/552927</w:t>
        </w:r>
      </w:hyperlink>
      <w:r w:rsidRPr="00F435CB">
        <w:t xml:space="preserve"> </w:t>
      </w:r>
    </w:p>
    <w:p w14:paraId="134ADCA8" w14:textId="2AB44587" w:rsidR="00333E2E" w:rsidRPr="00F435CB" w:rsidRDefault="00333E2E" w:rsidP="00F808DB">
      <w:pPr>
        <w:jc w:val="center"/>
      </w:pPr>
      <w:r w:rsidRPr="00F435CB">
        <w:t>Museum Accession number: 68.101</w:t>
      </w:r>
    </w:p>
    <w:p w14:paraId="60DC2761" w14:textId="6D7F1541" w:rsidR="002A32AF" w:rsidRPr="00F435CB" w:rsidRDefault="002A32AF" w:rsidP="00F808DB">
      <w:pPr>
        <w:jc w:val="center"/>
      </w:pPr>
      <w:r w:rsidRPr="00F435CB">
        <w:t>The Met Fifth Avenue, Gallery 106</w:t>
      </w:r>
    </w:p>
    <w:p w14:paraId="59285A40" w14:textId="77777777" w:rsidR="00E611BF" w:rsidRPr="00F435CB" w:rsidRDefault="00E611BF" w:rsidP="00F808DB">
      <w:pPr>
        <w:jc w:val="center"/>
      </w:pPr>
    </w:p>
    <w:p w14:paraId="4A33F8C7" w14:textId="7B30AA14" w:rsidR="00D95A6E" w:rsidRPr="00F435CB" w:rsidRDefault="00F808DB" w:rsidP="00F808DB">
      <w:r w:rsidRPr="00F435CB">
        <w:t xml:space="preserve">This object is a statuette carved during the Middle Kingdom era of Ancient Egypt, between </w:t>
      </w:r>
      <w:r w:rsidR="00A66EC6" w:rsidRPr="00F435CB">
        <w:t xml:space="preserve">2040. BC and around 1790. BC. </w:t>
      </w:r>
      <w:r w:rsidRPr="00F435CB">
        <w:t xml:space="preserve"> </w:t>
      </w:r>
      <w:r w:rsidR="00E611BF" w:rsidRPr="00F435CB">
        <w:t xml:space="preserve">It depicts the figure of either man or woman with their arm crossed across their chest. I chose this object for my analysis because there are multiple different purposes which it could be ascribed to. It is possible that </w:t>
      </w:r>
      <w:r w:rsidR="00DE7FAA" w:rsidRPr="00F435CB">
        <w:t>it</w:t>
      </w:r>
      <w:r w:rsidR="00E611BF" w:rsidRPr="00F435CB">
        <w:t xml:space="preserve"> was used as a religious or ceremonial piece, due to the fact that </w:t>
      </w:r>
      <w:proofErr w:type="gramStart"/>
      <w:r w:rsidR="00DE7FAA" w:rsidRPr="00F435CB">
        <w:t>it’s</w:t>
      </w:r>
      <w:proofErr w:type="gramEnd"/>
      <w:r w:rsidR="00E611BF" w:rsidRPr="00F435CB">
        <w:t xml:space="preserve"> arm is crossed across the chest in a way which could indicate prayer. There is also the possibility that it is of royal importance, as there are depictions</w:t>
      </w:r>
      <w:r w:rsidR="0031537A" w:rsidRPr="00F435CB">
        <w:t xml:space="preserve">, such as on paintings and statuettes, </w:t>
      </w:r>
      <w:r w:rsidR="00E611BF" w:rsidRPr="00F435CB">
        <w:t xml:space="preserve">from different eras of Ancient Egypt which show Pharaohs crossing their arms in similar fashions to that seen above. </w:t>
      </w:r>
    </w:p>
    <w:p w14:paraId="14F9BBC7" w14:textId="77777777" w:rsidR="005613A4" w:rsidRPr="00F435CB" w:rsidRDefault="005613A4" w:rsidP="00F808DB"/>
    <w:p w14:paraId="489436BE" w14:textId="2E26D109" w:rsidR="00023E6C" w:rsidRPr="00F435CB" w:rsidRDefault="005613A4" w:rsidP="00023E6C">
      <w:r w:rsidRPr="00F435CB">
        <w:t>The statuette is dated between 1981. BC and 1550. BC (between the 12</w:t>
      </w:r>
      <w:r w:rsidRPr="00F435CB">
        <w:rPr>
          <w:vertAlign w:val="superscript"/>
        </w:rPr>
        <w:t>th</w:t>
      </w:r>
      <w:r w:rsidRPr="00F435CB">
        <w:t xml:space="preserve"> and 18</w:t>
      </w:r>
      <w:r w:rsidRPr="00F435CB">
        <w:rPr>
          <w:vertAlign w:val="superscript"/>
        </w:rPr>
        <w:t>th</w:t>
      </w:r>
      <w:r w:rsidRPr="00F435CB">
        <w:t xml:space="preserve"> Dynasties), firmly within the Middle Kingdom era. During this period there was an increased amount of trade between Egypt and places outside of the Egyptian kingdom. </w:t>
      </w:r>
      <w:r w:rsidR="00023E6C" w:rsidRPr="00F435CB">
        <w:t xml:space="preserve">Whether the </w:t>
      </w:r>
      <w:r w:rsidR="00023E6C" w:rsidRPr="00F435CB">
        <w:t>statuette itself</w:t>
      </w:r>
      <w:r w:rsidR="00023E6C" w:rsidRPr="00F435CB">
        <w:t xml:space="preserve"> was traded is unknown, though being</w:t>
      </w:r>
      <w:r w:rsidR="00023E6C" w:rsidRPr="00F435CB">
        <w:t xml:space="preserve"> originally</w:t>
      </w:r>
      <w:r w:rsidR="00023E6C" w:rsidRPr="00F435CB">
        <w:t xml:space="preserve"> from a period </w:t>
      </w:r>
      <w:r w:rsidR="00023E6C" w:rsidRPr="00F435CB">
        <w:t xml:space="preserve">of increased trading, there is the possibility that it was traded at some point over the eras, potentially to the High Priest of </w:t>
      </w:r>
      <w:proofErr w:type="spellStart"/>
      <w:r w:rsidR="000E2D53" w:rsidRPr="00F435CB">
        <w:t>Memphios</w:t>
      </w:r>
      <w:proofErr w:type="spellEnd"/>
      <w:r w:rsidR="000E2D53" w:rsidRPr="00F435CB">
        <w:t xml:space="preserve"> during the Third Intermediate period, when it was </w:t>
      </w:r>
      <w:proofErr w:type="spellStart"/>
      <w:r w:rsidR="000E2D53" w:rsidRPr="00F435CB">
        <w:t>reinscribed</w:t>
      </w:r>
      <w:proofErr w:type="spellEnd"/>
      <w:r w:rsidR="000E2D53" w:rsidRPr="00F435CB">
        <w:t>.</w:t>
      </w:r>
    </w:p>
    <w:p w14:paraId="15F1E025" w14:textId="7904F4FB" w:rsidR="005613A4" w:rsidRPr="00F435CB" w:rsidRDefault="005613A4" w:rsidP="005613A4">
      <w:r w:rsidRPr="00F435CB">
        <w:t>The Middle Kingdom follows the era known as the First Intermediate period (2181. BC – 2040. BC), which there is little known about bar that there was significant governmental breakdown after the end of the Old Kingdom.</w:t>
      </w:r>
    </w:p>
    <w:p w14:paraId="3144A4CC" w14:textId="01838221" w:rsidR="005C1D38" w:rsidRPr="00F435CB" w:rsidRDefault="005C1D38" w:rsidP="00F808DB"/>
    <w:p w14:paraId="4C31A165" w14:textId="68B8BEC6" w:rsidR="0031537A" w:rsidRPr="00F435CB" w:rsidRDefault="00DE7FAA" w:rsidP="00F808DB">
      <w:r w:rsidRPr="00F435CB">
        <w:t xml:space="preserve">The statuette is relatively plain in terms of decoration, with the colour being mostly that of the </w:t>
      </w:r>
      <w:r w:rsidR="00333E2E" w:rsidRPr="00F435CB">
        <w:t>medium is made from (Greywacke)</w:t>
      </w:r>
      <w:r w:rsidRPr="00F435CB">
        <w:t xml:space="preserve">. It is possible that there was once colour decorating it, </w:t>
      </w:r>
      <w:r w:rsidR="00333E2E" w:rsidRPr="00F435CB">
        <w:t>which</w:t>
      </w:r>
      <w:r w:rsidRPr="00F435CB">
        <w:t xml:space="preserve"> has faded and discoloured with time. This has been seen with other </w:t>
      </w:r>
      <w:proofErr w:type="spellStart"/>
      <w:r w:rsidRPr="00F435CB">
        <w:t>art</w:t>
      </w:r>
      <w:r w:rsidR="00333E2E" w:rsidRPr="00F435CB">
        <w:t>i</w:t>
      </w:r>
      <w:r w:rsidRPr="00F435CB">
        <w:t>facts</w:t>
      </w:r>
      <w:proofErr w:type="spellEnd"/>
      <w:r w:rsidRPr="00F435CB">
        <w:t xml:space="preserve"> from Ancient Egypt, such </w:t>
      </w:r>
      <w:r w:rsidR="009D5A89" w:rsidRPr="00F435CB">
        <w:t>as the statuette head of Amenhotep III</w:t>
      </w:r>
      <w:r w:rsidR="00333E2E" w:rsidRPr="00F435CB">
        <w:t xml:space="preserve">, </w:t>
      </w:r>
      <w:r w:rsidR="009D5A89" w:rsidRPr="00F435CB">
        <w:t>18</w:t>
      </w:r>
      <w:r w:rsidR="009D5A89" w:rsidRPr="00F435CB">
        <w:rPr>
          <w:vertAlign w:val="superscript"/>
        </w:rPr>
        <w:t>th</w:t>
      </w:r>
      <w:r w:rsidR="009D5A89" w:rsidRPr="00F435CB">
        <w:t xml:space="preserve"> dynasty</w:t>
      </w:r>
      <w:r w:rsidR="00333E2E" w:rsidRPr="00F435CB">
        <w:t>, (</w:t>
      </w:r>
      <w:r w:rsidR="009D5A89" w:rsidRPr="00F435CB">
        <w:t>found in the Greco-Roman Museum in Alexandri</w:t>
      </w:r>
      <w:r w:rsidR="00333E2E" w:rsidRPr="00F435CB">
        <w:t>a)</w:t>
      </w:r>
      <w:r w:rsidR="009D5A89" w:rsidRPr="00F435CB">
        <w:t xml:space="preserve"> which was once covered in red pain</w:t>
      </w:r>
      <w:r w:rsidR="00333E2E" w:rsidRPr="00F435CB">
        <w:t>t</w:t>
      </w:r>
      <w:r w:rsidR="009D5A89" w:rsidRPr="00F435CB">
        <w:t xml:space="preserve"> that has now </w:t>
      </w:r>
      <w:r w:rsidR="009D5A89" w:rsidRPr="00F435CB">
        <w:lastRenderedPageBreak/>
        <w:t>discoloured to patches of faded red on the crown</w:t>
      </w:r>
      <w:r w:rsidR="009D5A89" w:rsidRPr="00F435CB">
        <w:rPr>
          <w:rStyle w:val="FootnoteReference"/>
        </w:rPr>
        <w:footnoteReference w:id="1"/>
      </w:r>
      <w:r w:rsidR="009D5A89" w:rsidRPr="00F435CB">
        <w:t>.</w:t>
      </w:r>
      <w:r w:rsidR="0031537A" w:rsidRPr="00F435CB">
        <w:t xml:space="preserve"> </w:t>
      </w:r>
      <w:r w:rsidR="005613A4" w:rsidRPr="00F435CB">
        <w:t xml:space="preserve">There are some inscriptions written onto the statuette; however, these inscriptions were not created at the same time as the statuette was made. The object was </w:t>
      </w:r>
      <w:proofErr w:type="spellStart"/>
      <w:r w:rsidR="005613A4" w:rsidRPr="00F435CB">
        <w:t>reinscribed</w:t>
      </w:r>
      <w:proofErr w:type="spellEnd"/>
      <w:r w:rsidR="005613A4" w:rsidRPr="00F435CB">
        <w:t xml:space="preserve"> during the Third Intermediate period (1070. BC – 525. BC) for the High Priest of Memphis.</w:t>
      </w:r>
    </w:p>
    <w:p w14:paraId="207714D1" w14:textId="2F9892BA" w:rsidR="0031537A" w:rsidRPr="00F435CB" w:rsidRDefault="0031537A" w:rsidP="00F808DB">
      <w:r w:rsidRPr="00F435CB">
        <w:t xml:space="preserve">The statuette may have been one of a wider group of objects, depending on </w:t>
      </w:r>
      <w:proofErr w:type="gramStart"/>
      <w:r w:rsidRPr="00F435CB">
        <w:t>it’s</w:t>
      </w:r>
      <w:proofErr w:type="gramEnd"/>
      <w:r w:rsidRPr="00F435CB">
        <w:t xml:space="preserve"> original purpose. Should the statuette have been used for religious purposes, it is likely that there would be others similar in </w:t>
      </w:r>
      <w:proofErr w:type="gramStart"/>
      <w:r w:rsidRPr="00F435CB">
        <w:t>it’s</w:t>
      </w:r>
      <w:proofErr w:type="gramEnd"/>
      <w:r w:rsidRPr="00F435CB">
        <w:t xml:space="preserve"> likeness. </w:t>
      </w:r>
    </w:p>
    <w:p w14:paraId="1D1AE270" w14:textId="77777777" w:rsidR="000E2D53" w:rsidRPr="00F435CB" w:rsidRDefault="000E2D53" w:rsidP="000E2D53">
      <w:r w:rsidRPr="00F435CB">
        <w:t xml:space="preserve">Given the religious context surrounding the statuette, it is founded to believe that it was of a more symbolic and ceremonial object, as opposed to a utilitarian one. The material which forms the statuette would possibly be too breakable for any utilitarian purposes. The object is broken at the bottom, possibly due to a fragility of the greywacke or the extensive passage of time; but overall, the context of the statuette portray the idea that the object was for ceremonial or symbolic use as opposed to anything else. </w:t>
      </w:r>
    </w:p>
    <w:p w14:paraId="652B28F0" w14:textId="77777777" w:rsidR="00DE7FAA" w:rsidRPr="00F435CB" w:rsidRDefault="00DE7FAA" w:rsidP="00F808DB"/>
    <w:p w14:paraId="47206EE1" w14:textId="0EF41584" w:rsidR="005C1D38" w:rsidRPr="00F435CB" w:rsidRDefault="005613A4" w:rsidP="00F808DB">
      <w:r w:rsidRPr="00F435CB">
        <w:t>Based on the fact that the statuette was later possessed by the H</w:t>
      </w:r>
      <w:r w:rsidR="002A32AF" w:rsidRPr="00F435CB">
        <w:t>i</w:t>
      </w:r>
      <w:r w:rsidRPr="00F435CB">
        <w:t xml:space="preserve">gh Priest of Memphis and the inscriptions seen upon it translate to ‘The </w:t>
      </w:r>
      <w:proofErr w:type="spellStart"/>
      <w:r w:rsidRPr="00F435CB">
        <w:t>Iunmutef</w:t>
      </w:r>
      <w:proofErr w:type="spellEnd"/>
      <w:r w:rsidRPr="00F435CB">
        <w:t xml:space="preserve">-priest </w:t>
      </w:r>
      <w:proofErr w:type="spellStart"/>
      <w:r w:rsidRPr="00F435CB">
        <w:t>Horsiese</w:t>
      </w:r>
      <w:proofErr w:type="spellEnd"/>
      <w:r w:rsidRPr="00F435CB">
        <w:t xml:space="preserve">, true of </w:t>
      </w:r>
      <w:proofErr w:type="spellStart"/>
      <w:r w:rsidRPr="00F435CB">
        <w:t>voi</w:t>
      </w:r>
      <w:proofErr w:type="spellEnd"/>
      <w:r w:rsidRPr="00F435CB">
        <w:t>[</w:t>
      </w:r>
      <w:proofErr w:type="spellStart"/>
      <w:r w:rsidRPr="00F435CB">
        <w:t>ce</w:t>
      </w:r>
      <w:proofErr w:type="spellEnd"/>
      <w:r w:rsidRPr="00F435CB">
        <w:t xml:space="preserve">]’ (front inscriptions) and ‘The Sem-Priest, greatest of the </w:t>
      </w:r>
      <w:proofErr w:type="spellStart"/>
      <w:r w:rsidRPr="00F435CB">
        <w:t>firectors</w:t>
      </w:r>
      <w:proofErr w:type="spellEnd"/>
      <w:r w:rsidRPr="00F435CB">
        <w:t xml:space="preserve"> of craftsman (high priest of Memphis), the Great official, </w:t>
      </w:r>
      <w:proofErr w:type="spellStart"/>
      <w:r w:rsidRPr="00F435CB">
        <w:t>Horsiese</w:t>
      </w:r>
      <w:proofErr w:type="spellEnd"/>
      <w:r w:rsidRPr="00F435CB">
        <w:t xml:space="preserve"> true [of voice]</w:t>
      </w:r>
      <w:r w:rsidR="002A32AF" w:rsidRPr="00F435CB">
        <w:t>’ (back inscriptions)</w:t>
      </w:r>
      <w:r w:rsidRPr="00F435CB">
        <w:rPr>
          <w:rStyle w:val="FootnoteReference"/>
        </w:rPr>
        <w:footnoteReference w:id="2"/>
      </w:r>
      <w:r w:rsidR="002A32AF" w:rsidRPr="00F435CB">
        <w:t xml:space="preserve"> it would be justified to believe that the statuette had a form of religious use or significance. Memphis was the capital of Ancient Egypt for a large amount of time during the earlier periods of Egyptian history. Memphis being the capital made it the centre of religion, as it was close to the Pharaoh, who was seen as the earthly manifestation of the God, Horus. </w:t>
      </w:r>
      <w:r w:rsidR="00431890" w:rsidRPr="00F435CB">
        <w:t xml:space="preserve">Little is known about the purpose and usage of the statuette before it was given to the High Priest, though the assumption that it was still of some religious significance is founded. </w:t>
      </w:r>
    </w:p>
    <w:p w14:paraId="045184D1" w14:textId="142BB793" w:rsidR="00DD2A5D" w:rsidRPr="00F435CB" w:rsidRDefault="00431890" w:rsidP="00F808DB">
      <w:r w:rsidRPr="00F435CB">
        <w:t>The Third Intermediate period in which the statuette was given to the High Priest followed the New Kingdom of Egypt</w:t>
      </w:r>
      <w:r w:rsidR="000E2D53" w:rsidRPr="00F435CB">
        <w:t>; d</w:t>
      </w:r>
      <w:r w:rsidRPr="00F435CB">
        <w:t>uring this period, the Pharaoh Akhenaten (Amenhotep IV) denounced the worship of the God Amun-Re, in it’s place raising the God, Aten (possibly to reduce the power held by the priests of Amun-Re. This caused religious unrest within Egypt, as Akhenaten also relocated the religious capital to Amarna. Once Akhenaten’s reign ended, the religious situation of Egypt was reverted to it’s original</w:t>
      </w:r>
      <w:r w:rsidR="000E2D53" w:rsidRPr="00F435CB">
        <w:rPr>
          <w:rStyle w:val="FootnoteReference"/>
        </w:rPr>
        <w:footnoteReference w:id="3"/>
      </w:r>
      <w:r w:rsidR="000E2D53" w:rsidRPr="00F435CB">
        <w:t xml:space="preserve">. The period following the New Kingdom would have possibly been one of religious solidification, but because there is little known about the Intermediate periods of Egypt, it would be difficult to be sure. If religious solidification was the aim, the use of the object by the High priest of Memphis would make it a significant religious ceremonial or symbolic </w:t>
      </w:r>
      <w:proofErr w:type="spellStart"/>
      <w:r w:rsidR="000E2D53" w:rsidRPr="00F435CB">
        <w:t>artifcat</w:t>
      </w:r>
      <w:proofErr w:type="spellEnd"/>
      <w:r w:rsidR="000E2D53" w:rsidRPr="00F435CB">
        <w:t xml:space="preserve">. </w:t>
      </w:r>
    </w:p>
    <w:p w14:paraId="6C2E3F51" w14:textId="453FFA1D" w:rsidR="00E859CF" w:rsidRPr="00F435CB" w:rsidRDefault="00E859CF" w:rsidP="00F808DB"/>
    <w:p w14:paraId="23D2F4CD" w14:textId="3772D4CF" w:rsidR="0031537A" w:rsidRDefault="00E859CF" w:rsidP="00F808DB">
      <w:r w:rsidRPr="00F435CB">
        <w:t>The object which I chose to analyse is a statuette formed out of greywacke</w:t>
      </w:r>
      <w:r w:rsidR="00F435CB" w:rsidRPr="00F435CB">
        <w:t xml:space="preserve"> into the form of a man or woman, most probably a male figure given the silhouette of the statuette and the characteristics it displays (e.g. hair), with an arm crossed over the chest. The object seems to be more of a symbolic or ceremonial religious </w:t>
      </w:r>
      <w:proofErr w:type="spellStart"/>
      <w:r w:rsidR="00F435CB" w:rsidRPr="00F435CB">
        <w:t>artifcat</w:t>
      </w:r>
      <w:proofErr w:type="spellEnd"/>
      <w:r w:rsidR="00F435CB" w:rsidRPr="00F435CB">
        <w:t xml:space="preserve">, as opposed to one that was for </w:t>
      </w:r>
      <w:r w:rsidR="00F435CB" w:rsidRPr="00F435CB">
        <w:lastRenderedPageBreak/>
        <w:t>utilitarian or decorative purposes, given the fact that the object was given to the High Priest of Memphis and there are religious inscriptions written into the body of the statuette.</w:t>
      </w:r>
      <w:r w:rsidR="00F435CB">
        <w:t xml:space="preserve"> </w:t>
      </w:r>
    </w:p>
    <w:p w14:paraId="4B5AE7E9" w14:textId="797F9FE5" w:rsidR="00F435CB" w:rsidRDefault="00F435CB" w:rsidP="00F808DB"/>
    <w:p w14:paraId="3026149F" w14:textId="7A21FE4E" w:rsidR="00F435CB" w:rsidRDefault="00F435CB" w:rsidP="00F808DB">
      <w:r>
        <w:t>Bibliography</w:t>
      </w:r>
    </w:p>
    <w:p w14:paraId="0525F9C4" w14:textId="4460E8A2" w:rsidR="00F435CB" w:rsidRDefault="00F435CB" w:rsidP="00F435CB">
      <w:pPr>
        <w:pStyle w:val="ListParagraph"/>
        <w:numPr>
          <w:ilvl w:val="0"/>
          <w:numId w:val="1"/>
        </w:numPr>
      </w:pPr>
      <w:r>
        <w:t xml:space="preserve">Tutankhamun, The Golden King and the Great Pharaohs’, Z. </w:t>
      </w:r>
      <w:proofErr w:type="spellStart"/>
      <w:r>
        <w:t>Hawass</w:t>
      </w:r>
      <w:proofErr w:type="spellEnd"/>
      <w:r>
        <w:t>, National Geographic, 2008</w:t>
      </w:r>
    </w:p>
    <w:p w14:paraId="64011445" w14:textId="3FA164B8" w:rsidR="00F435CB" w:rsidRDefault="00F435CB" w:rsidP="00F435CB">
      <w:pPr>
        <w:pStyle w:val="ListParagraph"/>
        <w:numPr>
          <w:ilvl w:val="0"/>
          <w:numId w:val="1"/>
        </w:numPr>
      </w:pPr>
      <w:r>
        <w:t xml:space="preserve">The Metropolitan Museum of Art - </w:t>
      </w:r>
      <w:hyperlink r:id="rId10" w:history="1">
        <w:r w:rsidRPr="00064506">
          <w:rPr>
            <w:rStyle w:val="Hyperlink"/>
          </w:rPr>
          <w:t>https://www.metmuseum.org/art/collection/search/552927</w:t>
        </w:r>
      </w:hyperlink>
      <w:bookmarkStart w:id="0" w:name="_GoBack"/>
      <w:bookmarkEnd w:id="0"/>
    </w:p>
    <w:sectPr w:rsidR="00F435C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6FC453" w14:textId="77777777" w:rsidR="00F6160C" w:rsidRDefault="00F6160C" w:rsidP="00D95A6E">
      <w:pPr>
        <w:spacing w:line="240" w:lineRule="auto"/>
      </w:pPr>
      <w:r>
        <w:separator/>
      </w:r>
    </w:p>
  </w:endnote>
  <w:endnote w:type="continuationSeparator" w:id="0">
    <w:p w14:paraId="551A0380" w14:textId="77777777" w:rsidR="00F6160C" w:rsidRDefault="00F6160C" w:rsidP="00D95A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FD6E75" w14:textId="77777777" w:rsidR="00F6160C" w:rsidRDefault="00F6160C" w:rsidP="00D95A6E">
      <w:pPr>
        <w:spacing w:line="240" w:lineRule="auto"/>
      </w:pPr>
      <w:r>
        <w:separator/>
      </w:r>
    </w:p>
  </w:footnote>
  <w:footnote w:type="continuationSeparator" w:id="0">
    <w:p w14:paraId="3A0B69D0" w14:textId="77777777" w:rsidR="00F6160C" w:rsidRDefault="00F6160C" w:rsidP="00D95A6E">
      <w:pPr>
        <w:spacing w:line="240" w:lineRule="auto"/>
      </w:pPr>
      <w:r>
        <w:continuationSeparator/>
      </w:r>
    </w:p>
  </w:footnote>
  <w:footnote w:id="1">
    <w:p w14:paraId="5A0A534E" w14:textId="2EE52362" w:rsidR="009D5A89" w:rsidRDefault="009D5A89">
      <w:pPr>
        <w:pStyle w:val="FootnoteText"/>
      </w:pPr>
      <w:r>
        <w:rPr>
          <w:rStyle w:val="FootnoteReference"/>
        </w:rPr>
        <w:footnoteRef/>
      </w:r>
      <w:r>
        <w:t xml:space="preserve"> ‘Tutankhamun, The Golden King and the Great Pharaohs’, </w:t>
      </w:r>
      <w:r w:rsidR="0031537A">
        <w:t xml:space="preserve">Z. </w:t>
      </w:r>
      <w:proofErr w:type="spellStart"/>
      <w:r w:rsidR="0031537A">
        <w:t>Hawass</w:t>
      </w:r>
      <w:proofErr w:type="spellEnd"/>
      <w:r w:rsidR="0031537A">
        <w:t>, National Geographic, 2008</w:t>
      </w:r>
      <w:r w:rsidR="000E2D53">
        <w:t>, pg. 101</w:t>
      </w:r>
    </w:p>
  </w:footnote>
  <w:footnote w:id="2">
    <w:p w14:paraId="21F07A6D" w14:textId="7E2FC51D" w:rsidR="005613A4" w:rsidRDefault="005613A4">
      <w:pPr>
        <w:pStyle w:val="FootnoteText"/>
      </w:pPr>
      <w:r>
        <w:rPr>
          <w:rStyle w:val="FootnoteReference"/>
        </w:rPr>
        <w:footnoteRef/>
      </w:r>
      <w:r>
        <w:t xml:space="preserve"> </w:t>
      </w:r>
      <w:hyperlink r:id="rId1" w:history="1">
        <w:r w:rsidR="002A32AF" w:rsidRPr="00064506">
          <w:rPr>
            <w:rStyle w:val="Hyperlink"/>
          </w:rPr>
          <w:t>https://www.metmuseum.org/art/collection/search/552927</w:t>
        </w:r>
      </w:hyperlink>
      <w:r w:rsidR="002A32AF">
        <w:t xml:space="preserve"> </w:t>
      </w:r>
    </w:p>
  </w:footnote>
  <w:footnote w:id="3">
    <w:p w14:paraId="674D6E98" w14:textId="736B4726" w:rsidR="000E2D53" w:rsidRDefault="000E2D53">
      <w:pPr>
        <w:pStyle w:val="FootnoteText"/>
      </w:pPr>
      <w:r>
        <w:rPr>
          <w:rStyle w:val="FootnoteReference"/>
        </w:rPr>
        <w:footnoteRef/>
      </w:r>
      <w:r>
        <w:t xml:space="preserve"> ‘Tutankhamun, The Golden King and the Great Pharaohs’, Z. </w:t>
      </w:r>
      <w:proofErr w:type="spellStart"/>
      <w:r>
        <w:t>Hawass</w:t>
      </w:r>
      <w:proofErr w:type="spellEnd"/>
      <w:r>
        <w:t xml:space="preserve">, National Geographic, 2008, pg. 19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17DC1" w14:textId="19461D1D" w:rsidR="00D95A6E" w:rsidRDefault="00D95A6E" w:rsidP="00D95A6E">
    <w:pPr>
      <w:pStyle w:val="Header"/>
      <w:jc w:val="right"/>
    </w:pPr>
    <w:r>
      <w:t>Teri Hamilton</w:t>
    </w:r>
  </w:p>
  <w:p w14:paraId="31D7B2AF" w14:textId="6859E65C" w:rsidR="00D95A6E" w:rsidRDefault="00D95A6E" w:rsidP="00D95A6E">
    <w:pPr>
      <w:pStyle w:val="Header"/>
      <w:jc w:val="center"/>
    </w:pPr>
    <w:r>
      <w:t>Object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E6627"/>
    <w:multiLevelType w:val="hybridMultilevel"/>
    <w:tmpl w:val="0BB2E9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B69"/>
    <w:rsid w:val="00023E6C"/>
    <w:rsid w:val="000E2D53"/>
    <w:rsid w:val="002A32AF"/>
    <w:rsid w:val="0031537A"/>
    <w:rsid w:val="00333E2E"/>
    <w:rsid w:val="0041193F"/>
    <w:rsid w:val="00431890"/>
    <w:rsid w:val="004D5B69"/>
    <w:rsid w:val="005613A4"/>
    <w:rsid w:val="005C1D38"/>
    <w:rsid w:val="00821D07"/>
    <w:rsid w:val="00900211"/>
    <w:rsid w:val="009D5A89"/>
    <w:rsid w:val="00A666A2"/>
    <w:rsid w:val="00A66EC6"/>
    <w:rsid w:val="00D95A6E"/>
    <w:rsid w:val="00DD2A5D"/>
    <w:rsid w:val="00DE7FAA"/>
    <w:rsid w:val="00E611BF"/>
    <w:rsid w:val="00E859CF"/>
    <w:rsid w:val="00F435CB"/>
    <w:rsid w:val="00F6160C"/>
    <w:rsid w:val="00F76E0D"/>
    <w:rsid w:val="00F80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B8301"/>
  <w15:chartTrackingRefBased/>
  <w15:docId w15:val="{3605E18B-9821-4864-BCC5-58CA3D20A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5A6E"/>
    <w:pPr>
      <w:tabs>
        <w:tab w:val="center" w:pos="4513"/>
        <w:tab w:val="right" w:pos="9026"/>
      </w:tabs>
      <w:spacing w:line="240" w:lineRule="auto"/>
    </w:pPr>
  </w:style>
  <w:style w:type="character" w:customStyle="1" w:styleId="HeaderChar">
    <w:name w:val="Header Char"/>
    <w:basedOn w:val="DefaultParagraphFont"/>
    <w:link w:val="Header"/>
    <w:uiPriority w:val="99"/>
    <w:rsid w:val="00D95A6E"/>
  </w:style>
  <w:style w:type="paragraph" w:styleId="Footer">
    <w:name w:val="footer"/>
    <w:basedOn w:val="Normal"/>
    <w:link w:val="FooterChar"/>
    <w:uiPriority w:val="99"/>
    <w:unhideWhenUsed/>
    <w:rsid w:val="00D95A6E"/>
    <w:pPr>
      <w:tabs>
        <w:tab w:val="center" w:pos="4513"/>
        <w:tab w:val="right" w:pos="9026"/>
      </w:tabs>
      <w:spacing w:line="240" w:lineRule="auto"/>
    </w:pPr>
  </w:style>
  <w:style w:type="character" w:customStyle="1" w:styleId="FooterChar">
    <w:name w:val="Footer Char"/>
    <w:basedOn w:val="DefaultParagraphFont"/>
    <w:link w:val="Footer"/>
    <w:uiPriority w:val="99"/>
    <w:rsid w:val="00D95A6E"/>
  </w:style>
  <w:style w:type="character" w:styleId="Hyperlink">
    <w:name w:val="Hyperlink"/>
    <w:basedOn w:val="DefaultParagraphFont"/>
    <w:uiPriority w:val="99"/>
    <w:unhideWhenUsed/>
    <w:rsid w:val="005C1D38"/>
    <w:rPr>
      <w:color w:val="0563C1" w:themeColor="hyperlink"/>
      <w:u w:val="single"/>
    </w:rPr>
  </w:style>
  <w:style w:type="character" w:styleId="UnresolvedMention">
    <w:name w:val="Unresolved Mention"/>
    <w:basedOn w:val="DefaultParagraphFont"/>
    <w:uiPriority w:val="99"/>
    <w:semiHidden/>
    <w:unhideWhenUsed/>
    <w:rsid w:val="005C1D38"/>
    <w:rPr>
      <w:color w:val="605E5C"/>
      <w:shd w:val="clear" w:color="auto" w:fill="E1DFDD"/>
    </w:rPr>
  </w:style>
  <w:style w:type="paragraph" w:styleId="FootnoteText">
    <w:name w:val="footnote text"/>
    <w:basedOn w:val="Normal"/>
    <w:link w:val="FootnoteTextChar"/>
    <w:uiPriority w:val="99"/>
    <w:semiHidden/>
    <w:unhideWhenUsed/>
    <w:rsid w:val="009D5A89"/>
    <w:pPr>
      <w:spacing w:line="240" w:lineRule="auto"/>
    </w:pPr>
    <w:rPr>
      <w:sz w:val="20"/>
      <w:szCs w:val="20"/>
    </w:rPr>
  </w:style>
  <w:style w:type="character" w:customStyle="1" w:styleId="FootnoteTextChar">
    <w:name w:val="Footnote Text Char"/>
    <w:basedOn w:val="DefaultParagraphFont"/>
    <w:link w:val="FootnoteText"/>
    <w:uiPriority w:val="99"/>
    <w:semiHidden/>
    <w:rsid w:val="009D5A89"/>
    <w:rPr>
      <w:sz w:val="20"/>
      <w:szCs w:val="20"/>
    </w:rPr>
  </w:style>
  <w:style w:type="character" w:styleId="FootnoteReference">
    <w:name w:val="footnote reference"/>
    <w:basedOn w:val="DefaultParagraphFont"/>
    <w:uiPriority w:val="99"/>
    <w:semiHidden/>
    <w:unhideWhenUsed/>
    <w:rsid w:val="009D5A89"/>
    <w:rPr>
      <w:vertAlign w:val="superscript"/>
    </w:rPr>
  </w:style>
  <w:style w:type="paragraph" w:styleId="ListParagraph">
    <w:name w:val="List Paragraph"/>
    <w:basedOn w:val="Normal"/>
    <w:uiPriority w:val="34"/>
    <w:qFormat/>
    <w:rsid w:val="00F435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metmuseum.org/art/collection/search/552927" TargetMode="External"/><Relationship Id="rId4" Type="http://schemas.openxmlformats.org/officeDocument/2006/relationships/settings" Target="settings.xml"/><Relationship Id="rId9" Type="http://schemas.openxmlformats.org/officeDocument/2006/relationships/hyperlink" Target="https://www.metmuseum.org/art/collection/search/552927"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metmuseum.org/art/collection/search/5529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D43726-0DFA-4D67-909E-DFA91E162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3</Pages>
  <Words>864</Words>
  <Characters>4930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Teri Hamilton</dc:creator>
  <cp:keywords/>
  <dc:description/>
  <cp:lastModifiedBy>Teri Hamilton</cp:lastModifiedBy>
  <cp:revision>7</cp:revision>
  <dcterms:created xsi:type="dcterms:W3CDTF">2020-03-31T11:09:00Z</dcterms:created>
  <dcterms:modified xsi:type="dcterms:W3CDTF">2020-03-31T17:05:00Z</dcterms:modified>
</cp:coreProperties>
</file>