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7274E" w14:textId="2CB7CC38" w:rsidR="00B151A8" w:rsidRPr="003C1995" w:rsidRDefault="003C1995" w:rsidP="003C1995">
      <w:pPr>
        <w:jc w:val="center"/>
        <w:rPr>
          <w:rFonts w:ascii="Arial" w:hAnsi="Arial" w:cs="Arial"/>
          <w:b/>
          <w:bCs/>
          <w:sz w:val="36"/>
          <w:szCs w:val="36"/>
        </w:rPr>
      </w:pPr>
      <w:r w:rsidRPr="003C1995">
        <w:rPr>
          <w:rFonts w:ascii="Arial" w:hAnsi="Arial" w:cs="Arial"/>
          <w:b/>
          <w:bCs/>
          <w:sz w:val="36"/>
          <w:szCs w:val="36"/>
        </w:rPr>
        <w:t>Food and Beverages Operations</w:t>
      </w:r>
    </w:p>
    <w:p w14:paraId="22224821" w14:textId="73E3056C" w:rsidR="003C1995" w:rsidRDefault="003C1995" w:rsidP="003C1995">
      <w:pPr>
        <w:jc w:val="center"/>
        <w:rPr>
          <w:rFonts w:ascii="Arial" w:hAnsi="Arial" w:cs="Arial"/>
          <w:b/>
          <w:bCs/>
          <w:sz w:val="36"/>
          <w:szCs w:val="36"/>
        </w:rPr>
      </w:pPr>
      <w:r w:rsidRPr="003C1995">
        <w:rPr>
          <w:rFonts w:ascii="Arial" w:hAnsi="Arial" w:cs="Arial"/>
          <w:b/>
          <w:bCs/>
          <w:sz w:val="36"/>
          <w:szCs w:val="36"/>
        </w:rPr>
        <w:t>BMIH4002</w:t>
      </w:r>
    </w:p>
    <w:p w14:paraId="67540082" w14:textId="1CA47A3C" w:rsidR="003C1995" w:rsidRDefault="003C1995" w:rsidP="003C1995">
      <w:pPr>
        <w:jc w:val="center"/>
        <w:rPr>
          <w:rFonts w:ascii="Arial" w:hAnsi="Arial" w:cs="Arial"/>
          <w:b/>
          <w:bCs/>
          <w:sz w:val="36"/>
          <w:szCs w:val="36"/>
        </w:rPr>
      </w:pPr>
    </w:p>
    <w:p w14:paraId="6CF1FEB3" w14:textId="3FBEAEE4" w:rsidR="003C1995" w:rsidRDefault="003C1995" w:rsidP="003C1995">
      <w:pPr>
        <w:jc w:val="center"/>
        <w:rPr>
          <w:rFonts w:ascii="Arial" w:hAnsi="Arial" w:cs="Arial"/>
          <w:b/>
          <w:bCs/>
          <w:sz w:val="36"/>
          <w:szCs w:val="36"/>
        </w:rPr>
      </w:pPr>
      <w:r>
        <w:rPr>
          <w:rFonts w:ascii="Arial" w:hAnsi="Arial" w:cs="Arial"/>
          <w:b/>
          <w:bCs/>
          <w:sz w:val="36"/>
          <w:szCs w:val="36"/>
        </w:rPr>
        <w:t xml:space="preserve">Journal log </w:t>
      </w:r>
    </w:p>
    <w:p w14:paraId="1148325A" w14:textId="19C07227" w:rsidR="003C1995" w:rsidRDefault="003C1995" w:rsidP="003C1995">
      <w:pPr>
        <w:jc w:val="center"/>
        <w:rPr>
          <w:rFonts w:ascii="Arial" w:hAnsi="Arial" w:cs="Arial"/>
          <w:b/>
          <w:bCs/>
          <w:sz w:val="36"/>
          <w:szCs w:val="36"/>
        </w:rPr>
      </w:pPr>
    </w:p>
    <w:p w14:paraId="06E7F247" w14:textId="0B463270" w:rsidR="003C1995" w:rsidRDefault="003C1995" w:rsidP="003C1995">
      <w:pPr>
        <w:jc w:val="center"/>
        <w:rPr>
          <w:rFonts w:ascii="Arial" w:hAnsi="Arial" w:cs="Arial"/>
          <w:b/>
          <w:bCs/>
          <w:sz w:val="36"/>
          <w:szCs w:val="36"/>
        </w:rPr>
      </w:pPr>
    </w:p>
    <w:p w14:paraId="1F099F59" w14:textId="4F32D6B3" w:rsidR="003C1995" w:rsidRDefault="003C1995" w:rsidP="003C1995">
      <w:pPr>
        <w:jc w:val="center"/>
        <w:rPr>
          <w:rFonts w:ascii="Arial" w:hAnsi="Arial" w:cs="Arial"/>
          <w:b/>
          <w:bCs/>
          <w:sz w:val="36"/>
          <w:szCs w:val="36"/>
        </w:rPr>
      </w:pPr>
    </w:p>
    <w:p w14:paraId="6C6361CC" w14:textId="3BABC7F8" w:rsidR="003C1995" w:rsidRDefault="003C1995" w:rsidP="003C1995">
      <w:pPr>
        <w:jc w:val="center"/>
        <w:rPr>
          <w:rFonts w:ascii="Arial" w:hAnsi="Arial" w:cs="Arial"/>
          <w:b/>
          <w:bCs/>
          <w:sz w:val="36"/>
          <w:szCs w:val="36"/>
        </w:rPr>
      </w:pPr>
    </w:p>
    <w:p w14:paraId="48234E7C" w14:textId="19938AA4" w:rsidR="003C1995" w:rsidRPr="00C86C65" w:rsidRDefault="003C1995" w:rsidP="003C1995">
      <w:pPr>
        <w:jc w:val="center"/>
        <w:rPr>
          <w:rFonts w:ascii="Arial" w:hAnsi="Arial" w:cs="Arial"/>
          <w:sz w:val="36"/>
          <w:szCs w:val="36"/>
        </w:rPr>
      </w:pPr>
      <w:r w:rsidRPr="00C86C65">
        <w:rPr>
          <w:rFonts w:ascii="Arial" w:hAnsi="Arial" w:cs="Arial"/>
          <w:sz w:val="36"/>
          <w:szCs w:val="36"/>
        </w:rPr>
        <w:t>Student id:</w:t>
      </w:r>
      <w:r w:rsidR="008B21CB" w:rsidRPr="00C86C65">
        <w:rPr>
          <w:rFonts w:ascii="Arial" w:hAnsi="Arial" w:cs="Arial"/>
          <w:sz w:val="36"/>
          <w:szCs w:val="36"/>
        </w:rPr>
        <w:t xml:space="preserve"> 212</w:t>
      </w:r>
      <w:r w:rsidR="00C86C65" w:rsidRPr="00C86C65">
        <w:rPr>
          <w:rFonts w:ascii="Arial" w:hAnsi="Arial" w:cs="Arial"/>
          <w:sz w:val="36"/>
          <w:szCs w:val="36"/>
        </w:rPr>
        <w:t>7116</w:t>
      </w:r>
    </w:p>
    <w:p w14:paraId="3062CDDA" w14:textId="0E8F940D" w:rsidR="003C1995" w:rsidRPr="00C86C65" w:rsidRDefault="003C1995" w:rsidP="003C1995">
      <w:pPr>
        <w:jc w:val="center"/>
        <w:rPr>
          <w:rFonts w:ascii="Arial" w:hAnsi="Arial" w:cs="Arial"/>
          <w:sz w:val="36"/>
          <w:szCs w:val="36"/>
        </w:rPr>
      </w:pPr>
      <w:r w:rsidRPr="00C86C65">
        <w:rPr>
          <w:rFonts w:ascii="Arial" w:hAnsi="Arial" w:cs="Arial"/>
          <w:sz w:val="36"/>
          <w:szCs w:val="36"/>
        </w:rPr>
        <w:t>Word count:</w:t>
      </w:r>
      <w:r w:rsidR="00C86C65" w:rsidRPr="00C86C65">
        <w:rPr>
          <w:rFonts w:ascii="Arial" w:hAnsi="Arial" w:cs="Arial"/>
          <w:sz w:val="36"/>
          <w:szCs w:val="36"/>
        </w:rPr>
        <w:t xml:space="preserve"> 79</w:t>
      </w:r>
      <w:r w:rsidR="00C57479">
        <w:rPr>
          <w:rFonts w:ascii="Arial" w:hAnsi="Arial" w:cs="Arial"/>
          <w:sz w:val="36"/>
          <w:szCs w:val="36"/>
        </w:rPr>
        <w:t>7</w:t>
      </w:r>
    </w:p>
    <w:p w14:paraId="579B7BA0" w14:textId="77777777" w:rsidR="003C1995" w:rsidRDefault="003C1995"/>
    <w:p w14:paraId="050606AF" w14:textId="533B2CA8" w:rsidR="00D623B3" w:rsidRDefault="00D623B3"/>
    <w:p w14:paraId="202D1501" w14:textId="7C8B9762" w:rsidR="00D623B3" w:rsidRDefault="00D623B3"/>
    <w:p w14:paraId="123B8A82" w14:textId="113D531A" w:rsidR="00D623B3" w:rsidRDefault="00D623B3"/>
    <w:p w14:paraId="78A9D6EC" w14:textId="26A70AB4" w:rsidR="00D623B3" w:rsidRDefault="00D623B3"/>
    <w:p w14:paraId="715275AD" w14:textId="03796955" w:rsidR="00D623B3" w:rsidRDefault="00D623B3"/>
    <w:p w14:paraId="63CAA28A" w14:textId="6FCA7EF7" w:rsidR="00D623B3" w:rsidRDefault="00D623B3"/>
    <w:p w14:paraId="4675CD14" w14:textId="30496224" w:rsidR="00D623B3" w:rsidRDefault="00D623B3"/>
    <w:p w14:paraId="0A46CBCF" w14:textId="590577AC" w:rsidR="00D623B3" w:rsidRDefault="00D623B3"/>
    <w:p w14:paraId="41CCF985" w14:textId="6F8D3CB4" w:rsidR="00D623B3" w:rsidRDefault="00D623B3"/>
    <w:p w14:paraId="185EB9FB" w14:textId="05119DF1" w:rsidR="00D623B3" w:rsidRDefault="00D623B3"/>
    <w:p w14:paraId="0FE4CC2B" w14:textId="57794824" w:rsidR="00D623B3" w:rsidRDefault="00D623B3"/>
    <w:p w14:paraId="62D16198" w14:textId="159A003A" w:rsidR="00D623B3" w:rsidRDefault="00D623B3"/>
    <w:p w14:paraId="50077C26" w14:textId="4A3297CB" w:rsidR="00D623B3" w:rsidRDefault="00D623B3"/>
    <w:p w14:paraId="1DB08ACB" w14:textId="18C94E90" w:rsidR="00D623B3" w:rsidRDefault="00D623B3"/>
    <w:p w14:paraId="7DD7A25B" w14:textId="547C782A" w:rsidR="00D623B3" w:rsidRDefault="00D623B3"/>
    <w:p w14:paraId="7C8BDA13" w14:textId="77777777" w:rsidR="003110BD" w:rsidRDefault="003110BD" w:rsidP="003110BD"/>
    <w:p w14:paraId="1A39095E" w14:textId="778CD637" w:rsidR="00D623B3" w:rsidRPr="003110BD" w:rsidRDefault="003C1995" w:rsidP="003110BD">
      <w:pPr>
        <w:jc w:val="center"/>
        <w:rPr>
          <w:rFonts w:ascii="Arial" w:hAnsi="Arial" w:cs="Arial"/>
          <w:b/>
          <w:bCs/>
          <w:sz w:val="24"/>
          <w:szCs w:val="24"/>
        </w:rPr>
      </w:pPr>
      <w:r w:rsidRPr="003110BD">
        <w:rPr>
          <w:rFonts w:ascii="Arial" w:hAnsi="Arial" w:cs="Arial"/>
          <w:b/>
          <w:bCs/>
          <w:sz w:val="24"/>
          <w:szCs w:val="24"/>
        </w:rPr>
        <w:lastRenderedPageBreak/>
        <w:t>Journal log</w:t>
      </w:r>
    </w:p>
    <w:p w14:paraId="7102E3D4" w14:textId="77777777" w:rsidR="003110BD" w:rsidRPr="003110BD" w:rsidRDefault="003110BD" w:rsidP="003110BD">
      <w:pPr>
        <w:jc w:val="center"/>
        <w:rPr>
          <w:rFonts w:ascii="Arial" w:hAnsi="Arial" w:cs="Arial"/>
          <w:b/>
          <w:bCs/>
          <w:sz w:val="24"/>
          <w:szCs w:val="24"/>
        </w:rPr>
      </w:pPr>
    </w:p>
    <w:p w14:paraId="571A422F" w14:textId="507BA301" w:rsidR="00D623B3" w:rsidRPr="003110BD" w:rsidRDefault="00D623B3" w:rsidP="00D623B3">
      <w:pPr>
        <w:spacing w:line="360" w:lineRule="auto"/>
        <w:jc w:val="both"/>
        <w:rPr>
          <w:rFonts w:ascii="Arial" w:hAnsi="Arial" w:cs="Arial"/>
          <w:sz w:val="24"/>
          <w:szCs w:val="24"/>
        </w:rPr>
      </w:pPr>
      <w:r w:rsidRPr="003110BD">
        <w:rPr>
          <w:rFonts w:ascii="Arial" w:hAnsi="Arial" w:cs="Arial"/>
          <w:sz w:val="24"/>
          <w:szCs w:val="24"/>
        </w:rPr>
        <w:t xml:space="preserve">From fast food franchises to high-end restaurants, cafés, bars, and hotels, </w:t>
      </w:r>
      <w:r w:rsidR="003C1995" w:rsidRPr="003110BD">
        <w:rPr>
          <w:rFonts w:ascii="Arial" w:hAnsi="Arial" w:cs="Arial"/>
          <w:sz w:val="24"/>
          <w:szCs w:val="24"/>
        </w:rPr>
        <w:t>food,</w:t>
      </w:r>
      <w:r w:rsidRPr="003110BD">
        <w:rPr>
          <w:rFonts w:ascii="Arial" w:hAnsi="Arial" w:cs="Arial"/>
          <w:sz w:val="24"/>
          <w:szCs w:val="24"/>
        </w:rPr>
        <w:t xml:space="preserve"> and beverage (F&amp;B) firms provide a diverse range of services and eating experiences. The skill set required of F&amp;B staff </w:t>
      </w:r>
      <w:r w:rsidR="00E656F0" w:rsidRPr="003110BD">
        <w:rPr>
          <w:rFonts w:ascii="Arial" w:hAnsi="Arial" w:cs="Arial"/>
          <w:sz w:val="24"/>
          <w:szCs w:val="24"/>
        </w:rPr>
        <w:t>differs</w:t>
      </w:r>
      <w:r w:rsidR="0041139E">
        <w:rPr>
          <w:rFonts w:ascii="Arial" w:hAnsi="Arial" w:cs="Arial"/>
          <w:sz w:val="24"/>
          <w:szCs w:val="24"/>
        </w:rPr>
        <w:t xml:space="preserve"> and is</w:t>
      </w:r>
      <w:r w:rsidRPr="003110BD">
        <w:rPr>
          <w:rFonts w:ascii="Arial" w:hAnsi="Arial" w:cs="Arial"/>
          <w:sz w:val="24"/>
          <w:szCs w:val="24"/>
        </w:rPr>
        <w:t xml:space="preserve"> </w:t>
      </w:r>
      <w:r w:rsidR="00E656F0">
        <w:rPr>
          <w:rFonts w:ascii="Arial" w:hAnsi="Arial" w:cs="Arial"/>
          <w:sz w:val="24"/>
          <w:szCs w:val="24"/>
        </w:rPr>
        <w:t>contingent</w:t>
      </w:r>
      <w:r w:rsidRPr="003110BD">
        <w:rPr>
          <w:rFonts w:ascii="Arial" w:hAnsi="Arial" w:cs="Arial"/>
          <w:sz w:val="24"/>
          <w:szCs w:val="24"/>
        </w:rPr>
        <w:t xml:space="preserve"> on the </w:t>
      </w:r>
      <w:r w:rsidR="0041139E" w:rsidRPr="003110BD">
        <w:rPr>
          <w:rFonts w:ascii="Arial" w:hAnsi="Arial" w:cs="Arial"/>
          <w:sz w:val="24"/>
          <w:szCs w:val="24"/>
        </w:rPr>
        <w:t>form</w:t>
      </w:r>
      <w:r w:rsidRPr="003110BD">
        <w:rPr>
          <w:rFonts w:ascii="Arial" w:hAnsi="Arial" w:cs="Arial"/>
          <w:sz w:val="24"/>
          <w:szCs w:val="24"/>
        </w:rPr>
        <w:t xml:space="preserve"> of </w:t>
      </w:r>
      <w:r w:rsidR="0041139E" w:rsidRPr="003110BD">
        <w:rPr>
          <w:rFonts w:ascii="Arial" w:hAnsi="Arial" w:cs="Arial"/>
          <w:sz w:val="24"/>
          <w:szCs w:val="24"/>
        </w:rPr>
        <w:t>enterprise</w:t>
      </w:r>
      <w:r w:rsidRPr="003110BD">
        <w:rPr>
          <w:rFonts w:ascii="Arial" w:hAnsi="Arial" w:cs="Arial"/>
          <w:sz w:val="24"/>
          <w:szCs w:val="24"/>
        </w:rPr>
        <w:t xml:space="preserve"> and the </w:t>
      </w:r>
      <w:r w:rsidR="0041139E" w:rsidRPr="003110BD">
        <w:rPr>
          <w:rFonts w:ascii="Arial" w:hAnsi="Arial" w:cs="Arial"/>
          <w:sz w:val="24"/>
          <w:szCs w:val="24"/>
        </w:rPr>
        <w:t>type</w:t>
      </w:r>
      <w:r w:rsidRPr="003110BD">
        <w:rPr>
          <w:rFonts w:ascii="Arial" w:hAnsi="Arial" w:cs="Arial"/>
          <w:sz w:val="24"/>
          <w:szCs w:val="24"/>
        </w:rPr>
        <w:t xml:space="preserve"> of service used</w:t>
      </w:r>
      <w:r w:rsidR="003110BD" w:rsidRPr="003110BD">
        <w:rPr>
          <w:rFonts w:ascii="Arial" w:hAnsi="Arial" w:cs="Arial"/>
          <w:sz w:val="24"/>
          <w:szCs w:val="24"/>
        </w:rPr>
        <w:t xml:space="preserve"> (Davis et al., 2018).</w:t>
      </w:r>
      <w:r w:rsidRPr="003110BD">
        <w:rPr>
          <w:rFonts w:ascii="Arial" w:hAnsi="Arial" w:cs="Arial"/>
          <w:sz w:val="24"/>
          <w:szCs w:val="24"/>
        </w:rPr>
        <w:t xml:space="preserve"> In this journal, I will evaluate several sorts of F&amp;B enterprises </w:t>
      </w:r>
      <w:r w:rsidR="007B0410">
        <w:rPr>
          <w:rFonts w:ascii="Arial" w:hAnsi="Arial" w:cs="Arial"/>
          <w:sz w:val="24"/>
          <w:szCs w:val="24"/>
        </w:rPr>
        <w:t>such as</w:t>
      </w:r>
      <w:r w:rsidRPr="003110BD">
        <w:rPr>
          <w:rFonts w:ascii="Arial" w:hAnsi="Arial" w:cs="Arial"/>
          <w:sz w:val="24"/>
          <w:szCs w:val="24"/>
        </w:rPr>
        <w:t xml:space="preserve"> the types and styles of service </w:t>
      </w:r>
      <w:r w:rsidR="007B0410" w:rsidRPr="003110BD">
        <w:rPr>
          <w:rFonts w:ascii="Arial" w:hAnsi="Arial" w:cs="Arial"/>
          <w:sz w:val="24"/>
          <w:szCs w:val="24"/>
        </w:rPr>
        <w:t>supplied</w:t>
      </w:r>
      <w:r w:rsidRPr="003110BD">
        <w:rPr>
          <w:rFonts w:ascii="Arial" w:hAnsi="Arial" w:cs="Arial"/>
          <w:sz w:val="24"/>
          <w:szCs w:val="24"/>
        </w:rPr>
        <w:t xml:space="preserve">, </w:t>
      </w:r>
      <w:r w:rsidR="000D0D0C" w:rsidRPr="003110BD">
        <w:rPr>
          <w:rFonts w:ascii="Arial" w:hAnsi="Arial" w:cs="Arial"/>
          <w:sz w:val="24"/>
          <w:szCs w:val="24"/>
        </w:rPr>
        <w:t>together with</w:t>
      </w:r>
      <w:r w:rsidRPr="003110BD">
        <w:rPr>
          <w:rFonts w:ascii="Arial" w:hAnsi="Arial" w:cs="Arial"/>
          <w:sz w:val="24"/>
          <w:szCs w:val="24"/>
        </w:rPr>
        <w:t xml:space="preserve"> the needed hard and soft skill </w:t>
      </w:r>
      <w:r w:rsidR="005E7F84">
        <w:rPr>
          <w:rFonts w:ascii="Arial" w:hAnsi="Arial" w:cs="Arial"/>
          <w:sz w:val="24"/>
          <w:szCs w:val="24"/>
        </w:rPr>
        <w:t xml:space="preserve">which </w:t>
      </w:r>
      <w:r w:rsidRPr="003110BD">
        <w:rPr>
          <w:rFonts w:ascii="Arial" w:hAnsi="Arial" w:cs="Arial"/>
          <w:sz w:val="24"/>
          <w:szCs w:val="24"/>
        </w:rPr>
        <w:t>employees</w:t>
      </w:r>
      <w:r w:rsidR="005E7F84">
        <w:rPr>
          <w:rFonts w:ascii="Arial" w:hAnsi="Arial" w:cs="Arial"/>
          <w:sz w:val="24"/>
          <w:szCs w:val="24"/>
        </w:rPr>
        <w:t xml:space="preserve"> require</w:t>
      </w:r>
      <w:r w:rsidRPr="003110BD">
        <w:rPr>
          <w:rFonts w:ascii="Arial" w:hAnsi="Arial" w:cs="Arial"/>
          <w:sz w:val="24"/>
          <w:szCs w:val="24"/>
        </w:rPr>
        <w:t>.</w:t>
      </w:r>
    </w:p>
    <w:p w14:paraId="2861F4F7" w14:textId="1885BE3E" w:rsidR="00D623B3" w:rsidRPr="003110BD" w:rsidRDefault="00D623B3" w:rsidP="00D623B3">
      <w:pPr>
        <w:spacing w:line="360" w:lineRule="auto"/>
        <w:jc w:val="both"/>
        <w:rPr>
          <w:rFonts w:ascii="Arial" w:hAnsi="Arial" w:cs="Arial"/>
          <w:sz w:val="24"/>
          <w:szCs w:val="24"/>
        </w:rPr>
      </w:pPr>
      <w:r w:rsidRPr="003110BD">
        <w:rPr>
          <w:rFonts w:ascii="Arial" w:hAnsi="Arial" w:cs="Arial"/>
          <w:sz w:val="24"/>
          <w:szCs w:val="24"/>
        </w:rPr>
        <w:t>Firstly, the efficiency and quickness with which fast food companies and quick-service restaurants operate distinguishes them. Employees in these sorts of F&amp;B enterprises must be taught to operate under pressure, multitask, and maintain a high degree of sanitation and hygiene. Physical skills like basic food preparation, assembly line procedures, and cash management are required, as with soft skills like customer service, communication, and collaboration</w:t>
      </w:r>
      <w:r w:rsidR="003C1995" w:rsidRPr="003110BD">
        <w:rPr>
          <w:rFonts w:ascii="Arial" w:hAnsi="Arial" w:cs="Arial"/>
          <w:sz w:val="24"/>
          <w:szCs w:val="24"/>
        </w:rPr>
        <w:t xml:space="preserve"> (Cousins, 2020).</w:t>
      </w:r>
      <w:r w:rsidRPr="003110BD">
        <w:rPr>
          <w:rFonts w:ascii="Arial" w:hAnsi="Arial" w:cs="Arial"/>
          <w:sz w:val="24"/>
          <w:szCs w:val="24"/>
        </w:rPr>
        <w:t xml:space="preserve"> Fast food restaurants offer identical menus, and employee training focuses on uniformity and speed of service. The turnover rate is often high, and the workplace can be stressful. Casual dining establishments, on the other hand, provide a more relaxed and individualised eating experience. These businesses</w:t>
      </w:r>
      <w:r w:rsidR="003C1995" w:rsidRPr="003110BD">
        <w:rPr>
          <w:rFonts w:ascii="Arial" w:hAnsi="Arial" w:cs="Arial"/>
          <w:sz w:val="24"/>
          <w:szCs w:val="24"/>
        </w:rPr>
        <w:t xml:space="preserve"> (Johnston, 2012).</w:t>
      </w:r>
      <w:r w:rsidRPr="003110BD">
        <w:rPr>
          <w:rFonts w:ascii="Arial" w:hAnsi="Arial" w:cs="Arial"/>
          <w:sz w:val="24"/>
          <w:szCs w:val="24"/>
        </w:rPr>
        <w:t xml:space="preserve"> personnel must have advanced hard skills in food preparation, plating, and presentation, as well as menu knowledge and the ability to propose items to guests. Communication, attention to detail, and problem-solving abilities are also required, since personnel must manage client concerns and ensure that their eating experience is pleasant. Employees in casual dining restaurants receive more complete training, and the work environment is less stressful than in fast food restaurants. In addition, fine dining establishments provide a premium and individualised eating experience, emphasising excellent ingredients, innovative food, and attentive service. These businesses' personnel must have superior hard skills in food preparation, plating, and wine service. Soft skills like as communication, attention to detail, and decorum are also essential, since personnel must give customers with a high degree of individualised care</w:t>
      </w:r>
      <w:r w:rsidR="003110BD" w:rsidRPr="003110BD">
        <w:rPr>
          <w:rFonts w:ascii="Arial" w:hAnsi="Arial" w:cs="Arial"/>
          <w:sz w:val="24"/>
          <w:szCs w:val="24"/>
        </w:rPr>
        <w:t xml:space="preserve"> (Davis et al,2018). </w:t>
      </w:r>
      <w:r w:rsidRPr="003110BD">
        <w:rPr>
          <w:rFonts w:ascii="Arial" w:hAnsi="Arial" w:cs="Arial"/>
          <w:sz w:val="24"/>
          <w:szCs w:val="24"/>
        </w:rPr>
        <w:t xml:space="preserve"> Employees in fine dining restaurants receive comprehensive and continual training, and the job environment is fast-paced and demanding. Lastly, Hotels are another sort of business that includes food and beverage operations, and the skill set required of staff varies depending on the degree of service provided. Hotels can feature a variety of food and beverage venues, including as fine dining restaurants, casual dining restaurants, pubs, cafés, and room service. Furthermore, fine dining restaurants at hotels demand personnel with significant culinary talents, including the ability to prepare complex and high-quality meals. These personnel must be knowledgeable about various culinary techniques, ingredients, and taste combinations</w:t>
      </w:r>
      <w:r w:rsidR="003C1995" w:rsidRPr="003110BD">
        <w:rPr>
          <w:rFonts w:ascii="Arial" w:hAnsi="Arial" w:cs="Arial"/>
          <w:sz w:val="24"/>
          <w:szCs w:val="24"/>
        </w:rPr>
        <w:t xml:space="preserve"> (Boussard, 2021). </w:t>
      </w:r>
      <w:r w:rsidRPr="003110BD">
        <w:rPr>
          <w:rFonts w:ascii="Arial" w:hAnsi="Arial" w:cs="Arial"/>
          <w:sz w:val="24"/>
          <w:szCs w:val="24"/>
        </w:rPr>
        <w:t xml:space="preserve"> Employees in fine dining restaurants in hotels must have good communication and customer service abilities in addition to culinary talents, as they are expected to deliver customised service to hotel customers. Moreover, depending on the type of food served, casual dining restaurants in hotels require a combination of basic and expert culinary talents</w:t>
      </w:r>
      <w:r w:rsidR="003110BD" w:rsidRPr="003110BD">
        <w:rPr>
          <w:rFonts w:ascii="Arial" w:hAnsi="Arial" w:cs="Arial"/>
          <w:sz w:val="24"/>
          <w:szCs w:val="24"/>
        </w:rPr>
        <w:t xml:space="preserve"> (Foskett et al., 2021). </w:t>
      </w:r>
      <w:r w:rsidRPr="003110BD">
        <w:rPr>
          <w:rFonts w:ascii="Arial" w:hAnsi="Arial" w:cs="Arial"/>
          <w:sz w:val="24"/>
          <w:szCs w:val="24"/>
        </w:rPr>
        <w:t xml:space="preserve"> While they are expected to give polite and efficient service to hotel customers, these staff must also have strong communication and customer service abilities. On the other hand, hotel bars demand personnel with mixology abilities as well as knowledge of various types of wine and spirits. These staff must also be knowledgeable with the hotel's beverage programme and be able to provide recommendations to visitors. Employees in hotel bars must have strong communication and customer service abilities in addition to mixology expertise, as they are expected to deliver a tailored experience to hotel customers</w:t>
      </w:r>
      <w:r w:rsidR="003C1995" w:rsidRPr="003110BD">
        <w:rPr>
          <w:rFonts w:ascii="Arial" w:hAnsi="Arial" w:cs="Arial"/>
          <w:sz w:val="24"/>
          <w:szCs w:val="24"/>
        </w:rPr>
        <w:t xml:space="preserve"> (Wood, 2013).</w:t>
      </w:r>
      <w:r w:rsidRPr="003110BD">
        <w:rPr>
          <w:rFonts w:ascii="Arial" w:hAnsi="Arial" w:cs="Arial"/>
          <w:sz w:val="24"/>
          <w:szCs w:val="24"/>
        </w:rPr>
        <w:t xml:space="preserve"> Also, depending on the sort of cuisine served, hotel room service requires staff with a mix of basic and sophisticated culinary talents. Although they are required to give efficient and individualised care to hotel guests in their rooms, these staff must also have strong communication and customer service abilities.</w:t>
      </w:r>
    </w:p>
    <w:p w14:paraId="6FE07554" w14:textId="1E2CF4E5" w:rsidR="00D623B3" w:rsidRPr="003110BD" w:rsidRDefault="00D623B3" w:rsidP="00D623B3">
      <w:pPr>
        <w:spacing w:line="360" w:lineRule="auto"/>
        <w:jc w:val="both"/>
        <w:rPr>
          <w:rFonts w:ascii="Arial" w:hAnsi="Arial" w:cs="Arial"/>
          <w:sz w:val="24"/>
          <w:szCs w:val="24"/>
        </w:rPr>
      </w:pPr>
      <w:r w:rsidRPr="003110BD">
        <w:rPr>
          <w:rFonts w:ascii="Arial" w:hAnsi="Arial" w:cs="Arial"/>
          <w:sz w:val="24"/>
          <w:szCs w:val="24"/>
        </w:rPr>
        <w:t xml:space="preserve">However, since it defines the degree of personnel and training available, resource allocation can have an </w:t>
      </w:r>
      <w:r w:rsidR="00DE295C" w:rsidRPr="003110BD">
        <w:rPr>
          <w:rFonts w:ascii="Arial" w:hAnsi="Arial" w:cs="Arial"/>
          <w:sz w:val="24"/>
          <w:szCs w:val="24"/>
        </w:rPr>
        <w:t>influence</w:t>
      </w:r>
      <w:r w:rsidRPr="003110BD">
        <w:rPr>
          <w:rFonts w:ascii="Arial" w:hAnsi="Arial" w:cs="Arial"/>
          <w:sz w:val="24"/>
          <w:szCs w:val="24"/>
        </w:rPr>
        <w:t xml:space="preserve"> on the needed skill set of food and beverage professionals. If a restaurant, for example, has insufficient training resources, staff may not be able to gain advanced culinary talents and may instead focus on fundamental skills such as food preparation and service</w:t>
      </w:r>
      <w:r w:rsidR="003C1995" w:rsidRPr="003110BD">
        <w:rPr>
          <w:rFonts w:ascii="Arial" w:hAnsi="Arial" w:cs="Arial"/>
          <w:sz w:val="24"/>
          <w:szCs w:val="24"/>
        </w:rPr>
        <w:t xml:space="preserve"> (Zutshi, 2019). </w:t>
      </w:r>
      <w:r w:rsidRPr="003110BD">
        <w:rPr>
          <w:rFonts w:ascii="Arial" w:hAnsi="Arial" w:cs="Arial"/>
          <w:sz w:val="24"/>
          <w:szCs w:val="24"/>
        </w:rPr>
        <w:t>Employees may be able to gain more advanced abilities and provide a higher quality of service if a restaurant has enough training resources. Similarly, management styles and culture may also have an influence on the skill set required of food and beverage personnel</w:t>
      </w:r>
      <w:r w:rsidR="003110BD" w:rsidRPr="003110BD">
        <w:rPr>
          <w:rFonts w:ascii="Arial" w:hAnsi="Arial" w:cs="Arial"/>
          <w:sz w:val="24"/>
          <w:szCs w:val="24"/>
        </w:rPr>
        <w:t xml:space="preserve"> (Brown, Totalboox and Tbx, 2013). </w:t>
      </w:r>
      <w:r w:rsidRPr="003110BD">
        <w:rPr>
          <w:rFonts w:ascii="Arial" w:hAnsi="Arial" w:cs="Arial"/>
          <w:sz w:val="24"/>
          <w:szCs w:val="24"/>
        </w:rPr>
        <w:t xml:space="preserve">Employees may be required to learn more sophisticated culinary abilities and experiment with novel meals and taste combinations if a company's culture promotes creativity and </w:t>
      </w:r>
      <w:r w:rsidR="003C1995" w:rsidRPr="003110BD">
        <w:rPr>
          <w:rFonts w:ascii="Arial" w:hAnsi="Arial" w:cs="Arial"/>
          <w:sz w:val="24"/>
          <w:szCs w:val="24"/>
        </w:rPr>
        <w:t xml:space="preserve">innovation. At the same time, to guarantee that the firm fulfils health and safety regulations, employees must be trained in food handling, cleanliness, and safety measures. </w:t>
      </w:r>
    </w:p>
    <w:p w14:paraId="580D9220" w14:textId="1BABC246" w:rsidR="003110BD" w:rsidRDefault="003110BD" w:rsidP="00D623B3">
      <w:pPr>
        <w:spacing w:line="360" w:lineRule="auto"/>
        <w:jc w:val="both"/>
        <w:rPr>
          <w:rFonts w:ascii="Arial" w:hAnsi="Arial" w:cs="Arial"/>
          <w:sz w:val="24"/>
          <w:szCs w:val="24"/>
        </w:rPr>
      </w:pPr>
    </w:p>
    <w:p w14:paraId="2748B971" w14:textId="2BFEFEDE" w:rsidR="003110BD" w:rsidRDefault="003110BD" w:rsidP="00D623B3">
      <w:pPr>
        <w:spacing w:line="360" w:lineRule="auto"/>
        <w:jc w:val="both"/>
        <w:rPr>
          <w:rFonts w:ascii="Arial" w:hAnsi="Arial" w:cs="Arial"/>
          <w:sz w:val="24"/>
          <w:szCs w:val="24"/>
        </w:rPr>
      </w:pPr>
    </w:p>
    <w:p w14:paraId="708443D1" w14:textId="1D2A9978" w:rsidR="003110BD" w:rsidRDefault="003110BD" w:rsidP="00D623B3">
      <w:pPr>
        <w:spacing w:line="360" w:lineRule="auto"/>
        <w:jc w:val="both"/>
        <w:rPr>
          <w:rFonts w:ascii="Arial" w:hAnsi="Arial" w:cs="Arial"/>
          <w:sz w:val="24"/>
          <w:szCs w:val="24"/>
        </w:rPr>
      </w:pPr>
    </w:p>
    <w:p w14:paraId="064E63D8" w14:textId="08590161" w:rsidR="003110BD" w:rsidRDefault="003110BD" w:rsidP="00D623B3">
      <w:pPr>
        <w:spacing w:line="360" w:lineRule="auto"/>
        <w:jc w:val="both"/>
        <w:rPr>
          <w:rFonts w:ascii="Arial" w:hAnsi="Arial" w:cs="Arial"/>
          <w:sz w:val="24"/>
          <w:szCs w:val="24"/>
        </w:rPr>
      </w:pPr>
    </w:p>
    <w:p w14:paraId="5996AAA6" w14:textId="041D75EE" w:rsidR="003110BD" w:rsidRDefault="003110BD" w:rsidP="00D623B3">
      <w:pPr>
        <w:spacing w:line="360" w:lineRule="auto"/>
        <w:jc w:val="both"/>
        <w:rPr>
          <w:rFonts w:ascii="Arial" w:hAnsi="Arial" w:cs="Arial"/>
          <w:sz w:val="24"/>
          <w:szCs w:val="24"/>
        </w:rPr>
      </w:pPr>
    </w:p>
    <w:p w14:paraId="7941D3D8" w14:textId="6D6901FF" w:rsidR="003110BD" w:rsidRDefault="003110BD" w:rsidP="00D623B3">
      <w:pPr>
        <w:spacing w:line="360" w:lineRule="auto"/>
        <w:jc w:val="both"/>
        <w:rPr>
          <w:rFonts w:ascii="Arial" w:hAnsi="Arial" w:cs="Arial"/>
          <w:sz w:val="24"/>
          <w:szCs w:val="24"/>
        </w:rPr>
      </w:pPr>
    </w:p>
    <w:p w14:paraId="707E8FA4" w14:textId="42597818" w:rsidR="003110BD" w:rsidRDefault="003110BD" w:rsidP="00D623B3">
      <w:pPr>
        <w:spacing w:line="360" w:lineRule="auto"/>
        <w:jc w:val="both"/>
        <w:rPr>
          <w:rFonts w:ascii="Arial" w:hAnsi="Arial" w:cs="Arial"/>
          <w:sz w:val="24"/>
          <w:szCs w:val="24"/>
        </w:rPr>
      </w:pPr>
    </w:p>
    <w:p w14:paraId="7D6111BF" w14:textId="0FF2D536" w:rsidR="003110BD" w:rsidRDefault="003110BD" w:rsidP="00D623B3">
      <w:pPr>
        <w:spacing w:line="360" w:lineRule="auto"/>
        <w:jc w:val="both"/>
        <w:rPr>
          <w:rFonts w:ascii="Arial" w:hAnsi="Arial" w:cs="Arial"/>
          <w:sz w:val="24"/>
          <w:szCs w:val="24"/>
        </w:rPr>
      </w:pPr>
    </w:p>
    <w:p w14:paraId="71EA1FCD" w14:textId="3DD2FB9A" w:rsidR="003110BD" w:rsidRDefault="003110BD" w:rsidP="00D623B3">
      <w:pPr>
        <w:spacing w:line="360" w:lineRule="auto"/>
        <w:jc w:val="both"/>
        <w:rPr>
          <w:rFonts w:ascii="Arial" w:hAnsi="Arial" w:cs="Arial"/>
          <w:sz w:val="24"/>
          <w:szCs w:val="24"/>
        </w:rPr>
      </w:pPr>
    </w:p>
    <w:p w14:paraId="620B0DCC" w14:textId="5D1D368E" w:rsidR="003110BD" w:rsidRDefault="003110BD" w:rsidP="00D623B3">
      <w:pPr>
        <w:spacing w:line="360" w:lineRule="auto"/>
        <w:jc w:val="both"/>
        <w:rPr>
          <w:rFonts w:ascii="Arial" w:hAnsi="Arial" w:cs="Arial"/>
          <w:sz w:val="24"/>
          <w:szCs w:val="24"/>
        </w:rPr>
      </w:pPr>
    </w:p>
    <w:p w14:paraId="44C2D18F" w14:textId="00EE2AFA" w:rsidR="003110BD" w:rsidRDefault="003110BD" w:rsidP="00D623B3">
      <w:pPr>
        <w:spacing w:line="360" w:lineRule="auto"/>
        <w:jc w:val="both"/>
        <w:rPr>
          <w:rFonts w:ascii="Arial" w:hAnsi="Arial" w:cs="Arial"/>
          <w:sz w:val="24"/>
          <w:szCs w:val="24"/>
        </w:rPr>
      </w:pPr>
    </w:p>
    <w:p w14:paraId="4BF36BFF" w14:textId="5482F1CC" w:rsidR="003110BD" w:rsidRDefault="003110BD" w:rsidP="00D623B3">
      <w:pPr>
        <w:spacing w:line="360" w:lineRule="auto"/>
        <w:jc w:val="both"/>
        <w:rPr>
          <w:rFonts w:ascii="Arial" w:hAnsi="Arial" w:cs="Arial"/>
          <w:sz w:val="24"/>
          <w:szCs w:val="24"/>
        </w:rPr>
      </w:pPr>
    </w:p>
    <w:p w14:paraId="3E831473" w14:textId="45B4447D" w:rsidR="003110BD" w:rsidRDefault="003110BD" w:rsidP="00D623B3">
      <w:pPr>
        <w:spacing w:line="360" w:lineRule="auto"/>
        <w:jc w:val="both"/>
        <w:rPr>
          <w:rFonts w:ascii="Arial" w:hAnsi="Arial" w:cs="Arial"/>
          <w:sz w:val="24"/>
          <w:szCs w:val="24"/>
        </w:rPr>
      </w:pPr>
    </w:p>
    <w:p w14:paraId="2FB4388B" w14:textId="2FE9EAC3" w:rsidR="003110BD" w:rsidRDefault="003110BD" w:rsidP="00D623B3">
      <w:pPr>
        <w:spacing w:line="360" w:lineRule="auto"/>
        <w:jc w:val="both"/>
        <w:rPr>
          <w:rFonts w:ascii="Arial" w:hAnsi="Arial" w:cs="Arial"/>
          <w:sz w:val="24"/>
          <w:szCs w:val="24"/>
        </w:rPr>
      </w:pPr>
    </w:p>
    <w:p w14:paraId="3BE01282" w14:textId="1E32CCA3" w:rsidR="003110BD" w:rsidRDefault="003110BD" w:rsidP="00D623B3">
      <w:pPr>
        <w:spacing w:line="360" w:lineRule="auto"/>
        <w:jc w:val="both"/>
        <w:rPr>
          <w:rFonts w:ascii="Arial" w:hAnsi="Arial" w:cs="Arial"/>
          <w:sz w:val="24"/>
          <w:szCs w:val="24"/>
        </w:rPr>
      </w:pPr>
    </w:p>
    <w:p w14:paraId="1DE140AA" w14:textId="657A7D1E" w:rsidR="003110BD" w:rsidRDefault="003110BD" w:rsidP="00D623B3">
      <w:pPr>
        <w:spacing w:line="360" w:lineRule="auto"/>
        <w:jc w:val="both"/>
        <w:rPr>
          <w:rFonts w:ascii="Arial" w:hAnsi="Arial" w:cs="Arial"/>
          <w:sz w:val="24"/>
          <w:szCs w:val="24"/>
        </w:rPr>
      </w:pPr>
    </w:p>
    <w:p w14:paraId="271ECD0E" w14:textId="63AD4DCD" w:rsidR="003110BD" w:rsidRDefault="003110BD" w:rsidP="00D623B3">
      <w:pPr>
        <w:spacing w:line="360" w:lineRule="auto"/>
        <w:jc w:val="both"/>
        <w:rPr>
          <w:rFonts w:ascii="Arial" w:hAnsi="Arial" w:cs="Arial"/>
          <w:sz w:val="24"/>
          <w:szCs w:val="24"/>
        </w:rPr>
      </w:pPr>
    </w:p>
    <w:p w14:paraId="0A8EA8C3" w14:textId="1DECFAE9" w:rsidR="003110BD" w:rsidRDefault="003110BD" w:rsidP="00D623B3">
      <w:pPr>
        <w:spacing w:line="360" w:lineRule="auto"/>
        <w:jc w:val="both"/>
        <w:rPr>
          <w:rFonts w:ascii="Arial" w:hAnsi="Arial" w:cs="Arial"/>
          <w:sz w:val="24"/>
          <w:szCs w:val="24"/>
        </w:rPr>
      </w:pPr>
    </w:p>
    <w:p w14:paraId="27628DB8" w14:textId="0AE393DA" w:rsidR="003110BD" w:rsidRDefault="003110BD" w:rsidP="00D623B3">
      <w:pPr>
        <w:spacing w:line="360" w:lineRule="auto"/>
        <w:jc w:val="both"/>
        <w:rPr>
          <w:rFonts w:ascii="Arial" w:hAnsi="Arial" w:cs="Arial"/>
          <w:sz w:val="24"/>
          <w:szCs w:val="24"/>
        </w:rPr>
      </w:pPr>
    </w:p>
    <w:p w14:paraId="57ABDB06" w14:textId="76FE644C" w:rsidR="003110BD" w:rsidRDefault="003110BD" w:rsidP="00D623B3">
      <w:pPr>
        <w:spacing w:line="360" w:lineRule="auto"/>
        <w:jc w:val="both"/>
        <w:rPr>
          <w:rFonts w:ascii="Arial" w:hAnsi="Arial" w:cs="Arial"/>
          <w:sz w:val="24"/>
          <w:szCs w:val="24"/>
        </w:rPr>
      </w:pPr>
    </w:p>
    <w:p w14:paraId="185A9FC3" w14:textId="67AFC1E5" w:rsidR="003110BD" w:rsidRDefault="003110BD" w:rsidP="00D623B3">
      <w:pPr>
        <w:spacing w:line="360" w:lineRule="auto"/>
        <w:jc w:val="both"/>
        <w:rPr>
          <w:rFonts w:ascii="Arial" w:hAnsi="Arial" w:cs="Arial"/>
          <w:sz w:val="24"/>
          <w:szCs w:val="24"/>
        </w:rPr>
      </w:pPr>
    </w:p>
    <w:p w14:paraId="5CAE6806" w14:textId="29D9955C" w:rsidR="003110BD" w:rsidRDefault="003110BD" w:rsidP="00D623B3">
      <w:pPr>
        <w:spacing w:line="360" w:lineRule="auto"/>
        <w:jc w:val="both"/>
        <w:rPr>
          <w:rFonts w:ascii="Arial" w:hAnsi="Arial" w:cs="Arial"/>
          <w:sz w:val="24"/>
          <w:szCs w:val="24"/>
        </w:rPr>
      </w:pPr>
    </w:p>
    <w:p w14:paraId="3CDF8FCA" w14:textId="77777777" w:rsidR="003110BD" w:rsidRDefault="003110BD" w:rsidP="00D623B3">
      <w:pPr>
        <w:spacing w:line="360" w:lineRule="auto"/>
        <w:jc w:val="both"/>
        <w:rPr>
          <w:rFonts w:ascii="Arial" w:hAnsi="Arial" w:cs="Arial"/>
          <w:sz w:val="24"/>
          <w:szCs w:val="24"/>
        </w:rPr>
      </w:pPr>
    </w:p>
    <w:p w14:paraId="5C1EBEA0" w14:textId="17E17076" w:rsidR="003C1995" w:rsidRDefault="003C1995" w:rsidP="00D623B3">
      <w:pPr>
        <w:spacing w:line="360" w:lineRule="auto"/>
        <w:jc w:val="both"/>
        <w:rPr>
          <w:rFonts w:ascii="Arial" w:hAnsi="Arial" w:cs="Arial"/>
          <w:b/>
          <w:bCs/>
          <w:sz w:val="24"/>
          <w:szCs w:val="24"/>
        </w:rPr>
      </w:pPr>
      <w:r w:rsidRPr="003110BD">
        <w:rPr>
          <w:rFonts w:ascii="Arial" w:hAnsi="Arial" w:cs="Arial"/>
          <w:b/>
          <w:bCs/>
          <w:sz w:val="24"/>
          <w:szCs w:val="24"/>
        </w:rPr>
        <w:t>References:</w:t>
      </w:r>
    </w:p>
    <w:p w14:paraId="515E44AF" w14:textId="62E76ABA" w:rsidR="003110BD" w:rsidRPr="003110BD" w:rsidRDefault="003110BD" w:rsidP="003110BD">
      <w:pPr>
        <w:spacing w:after="0" w:line="360" w:lineRule="auto"/>
        <w:jc w:val="both"/>
        <w:rPr>
          <w:rFonts w:ascii="Arial" w:hAnsi="Arial" w:cs="Arial"/>
          <w:sz w:val="24"/>
          <w:szCs w:val="24"/>
        </w:rPr>
      </w:pPr>
      <w:r w:rsidRPr="003110BD">
        <w:rPr>
          <w:rFonts w:ascii="Arial" w:hAnsi="Arial" w:cs="Arial"/>
          <w:sz w:val="24"/>
          <w:szCs w:val="24"/>
        </w:rPr>
        <w:t xml:space="preserve">Boussard, S (2021) </w:t>
      </w:r>
      <w:r w:rsidRPr="003110BD">
        <w:rPr>
          <w:rFonts w:ascii="Arial" w:hAnsi="Arial" w:cs="Arial"/>
          <w:i/>
          <w:iCs/>
          <w:sz w:val="24"/>
          <w:szCs w:val="24"/>
        </w:rPr>
        <w:t>Food and Beverage Management in the Luxury Hotel Industry</w:t>
      </w:r>
      <w:r w:rsidRPr="003110BD">
        <w:rPr>
          <w:rFonts w:ascii="Arial" w:hAnsi="Arial" w:cs="Arial"/>
          <w:sz w:val="24"/>
          <w:szCs w:val="24"/>
        </w:rPr>
        <w:t>. New York: Business Expert Press</w:t>
      </w:r>
    </w:p>
    <w:p w14:paraId="62F65F13" w14:textId="77777777" w:rsidR="003110BD" w:rsidRPr="003110BD" w:rsidRDefault="003110BD" w:rsidP="003110BD">
      <w:pPr>
        <w:spacing w:after="0" w:line="360" w:lineRule="auto"/>
        <w:jc w:val="both"/>
        <w:rPr>
          <w:rFonts w:ascii="Arial" w:hAnsi="Arial" w:cs="Arial"/>
          <w:sz w:val="24"/>
          <w:szCs w:val="24"/>
        </w:rPr>
      </w:pPr>
    </w:p>
    <w:p w14:paraId="616A7179" w14:textId="74468B63" w:rsidR="003C1995" w:rsidRPr="003110BD" w:rsidRDefault="003110BD" w:rsidP="003110BD">
      <w:pPr>
        <w:spacing w:line="360" w:lineRule="auto"/>
        <w:jc w:val="both"/>
        <w:rPr>
          <w:rFonts w:ascii="Arial" w:hAnsi="Arial" w:cs="Arial"/>
          <w:sz w:val="24"/>
          <w:szCs w:val="24"/>
        </w:rPr>
      </w:pPr>
      <w:r w:rsidRPr="003110BD">
        <w:rPr>
          <w:rFonts w:ascii="Arial" w:hAnsi="Arial" w:cs="Arial"/>
          <w:sz w:val="24"/>
          <w:szCs w:val="24"/>
        </w:rPr>
        <w:t xml:space="preserve">Brown, D. R., TotalBoox and TBX (2013) </w:t>
      </w:r>
      <w:r w:rsidRPr="003110BD">
        <w:rPr>
          <w:rFonts w:ascii="Arial" w:hAnsi="Arial" w:cs="Arial"/>
          <w:i/>
          <w:iCs/>
          <w:sz w:val="24"/>
          <w:szCs w:val="24"/>
        </w:rPr>
        <w:t>The Restaurant Manager’s Handbook : How to Set Up, Operate, and Manage a Financially Successful Food Service Operation</w:t>
      </w:r>
      <w:r w:rsidRPr="003110BD">
        <w:rPr>
          <w:rFonts w:ascii="Arial" w:hAnsi="Arial" w:cs="Arial"/>
          <w:sz w:val="24"/>
          <w:szCs w:val="24"/>
        </w:rPr>
        <w:t>. 4th Edition. Atlantic Publishing Group</w:t>
      </w:r>
    </w:p>
    <w:p w14:paraId="77FD4F09" w14:textId="6DC6CC45" w:rsidR="003110BD" w:rsidRPr="003110BD" w:rsidRDefault="003110BD" w:rsidP="003110BD">
      <w:pPr>
        <w:spacing w:after="0" w:line="360" w:lineRule="auto"/>
        <w:jc w:val="both"/>
        <w:rPr>
          <w:rFonts w:ascii="Arial" w:hAnsi="Arial" w:cs="Arial"/>
          <w:sz w:val="24"/>
          <w:szCs w:val="24"/>
        </w:rPr>
      </w:pPr>
      <w:r w:rsidRPr="003110BD">
        <w:rPr>
          <w:rFonts w:ascii="Arial" w:hAnsi="Arial" w:cs="Arial"/>
          <w:sz w:val="24"/>
          <w:szCs w:val="24"/>
        </w:rPr>
        <w:t xml:space="preserve">Cousins, J. (2020) </w:t>
      </w:r>
      <w:r w:rsidRPr="003110BD">
        <w:rPr>
          <w:rFonts w:ascii="Arial" w:hAnsi="Arial" w:cs="Arial"/>
          <w:i/>
          <w:iCs/>
          <w:sz w:val="24"/>
          <w:szCs w:val="24"/>
        </w:rPr>
        <w:t>Food and beverage service</w:t>
      </w:r>
      <w:r w:rsidRPr="003110BD">
        <w:rPr>
          <w:rFonts w:ascii="Arial" w:hAnsi="Arial" w:cs="Arial"/>
          <w:sz w:val="24"/>
          <w:szCs w:val="24"/>
        </w:rPr>
        <w:t>. 9</w:t>
      </w:r>
      <w:r w:rsidRPr="003110BD">
        <w:rPr>
          <w:rFonts w:ascii="Arial" w:hAnsi="Arial" w:cs="Arial"/>
          <w:sz w:val="24"/>
          <w:szCs w:val="24"/>
          <w:vertAlign w:val="superscript"/>
        </w:rPr>
        <w:t>th</w:t>
      </w:r>
      <w:r w:rsidRPr="003110BD">
        <w:rPr>
          <w:rFonts w:ascii="Arial" w:hAnsi="Arial" w:cs="Arial"/>
          <w:sz w:val="24"/>
          <w:szCs w:val="24"/>
        </w:rPr>
        <w:t xml:space="preserve"> ed. London: Hodder Education Group.</w:t>
      </w:r>
    </w:p>
    <w:p w14:paraId="7E9765A1" w14:textId="1122C75B" w:rsidR="003110BD" w:rsidRPr="003110BD" w:rsidRDefault="003110BD" w:rsidP="003110BD">
      <w:pPr>
        <w:spacing w:after="0" w:line="360" w:lineRule="auto"/>
        <w:jc w:val="both"/>
        <w:rPr>
          <w:rFonts w:ascii="Arial" w:hAnsi="Arial" w:cs="Arial"/>
          <w:sz w:val="24"/>
          <w:szCs w:val="24"/>
        </w:rPr>
      </w:pPr>
    </w:p>
    <w:p w14:paraId="27B3C9F8" w14:textId="32C5ECAD" w:rsidR="003110BD" w:rsidRPr="003110BD" w:rsidRDefault="003110BD" w:rsidP="003110BD">
      <w:pPr>
        <w:spacing w:after="0" w:line="360" w:lineRule="auto"/>
        <w:jc w:val="both"/>
        <w:rPr>
          <w:rFonts w:ascii="Arial" w:hAnsi="Arial" w:cs="Arial"/>
          <w:sz w:val="24"/>
          <w:szCs w:val="24"/>
        </w:rPr>
      </w:pPr>
      <w:r w:rsidRPr="003110BD">
        <w:rPr>
          <w:rFonts w:ascii="Arial" w:hAnsi="Arial" w:cs="Arial"/>
          <w:sz w:val="24"/>
          <w:szCs w:val="24"/>
        </w:rPr>
        <w:t xml:space="preserve">Davis, B </w:t>
      </w:r>
      <w:r w:rsidRPr="003110BD">
        <w:rPr>
          <w:rFonts w:ascii="Arial" w:hAnsi="Arial" w:cs="Arial"/>
          <w:i/>
          <w:iCs/>
          <w:sz w:val="24"/>
          <w:szCs w:val="24"/>
        </w:rPr>
        <w:t>et al</w:t>
      </w:r>
      <w:r w:rsidRPr="003110BD">
        <w:rPr>
          <w:rFonts w:ascii="Arial" w:hAnsi="Arial" w:cs="Arial"/>
          <w:sz w:val="24"/>
          <w:szCs w:val="24"/>
        </w:rPr>
        <w:t>. (2018) Food and Beverage Management. 6 edn London: Routledge.</w:t>
      </w:r>
    </w:p>
    <w:p w14:paraId="6E157413" w14:textId="77777777" w:rsidR="003110BD" w:rsidRPr="003110BD" w:rsidRDefault="003110BD" w:rsidP="003110BD">
      <w:pPr>
        <w:spacing w:after="0" w:line="360" w:lineRule="auto"/>
        <w:jc w:val="both"/>
        <w:rPr>
          <w:rFonts w:ascii="Arial" w:hAnsi="Arial" w:cs="Arial"/>
          <w:sz w:val="24"/>
          <w:szCs w:val="24"/>
        </w:rPr>
      </w:pPr>
    </w:p>
    <w:p w14:paraId="39EED8E5" w14:textId="20AA3F42" w:rsidR="003110BD" w:rsidRPr="003110BD" w:rsidRDefault="003110BD" w:rsidP="003110BD">
      <w:pPr>
        <w:spacing w:line="360" w:lineRule="auto"/>
        <w:jc w:val="both"/>
        <w:rPr>
          <w:rFonts w:ascii="Arial" w:hAnsi="Arial" w:cs="Arial"/>
          <w:sz w:val="24"/>
          <w:szCs w:val="24"/>
        </w:rPr>
      </w:pPr>
      <w:r w:rsidRPr="003110BD">
        <w:rPr>
          <w:rFonts w:ascii="Arial" w:hAnsi="Arial" w:cs="Arial"/>
          <w:sz w:val="24"/>
          <w:szCs w:val="24"/>
        </w:rPr>
        <w:t>Foskett, D. </w:t>
      </w:r>
      <w:r w:rsidRPr="003110BD">
        <w:rPr>
          <w:rFonts w:ascii="Arial" w:hAnsi="Arial" w:cs="Arial"/>
          <w:i/>
          <w:iCs/>
          <w:sz w:val="24"/>
          <w:szCs w:val="24"/>
        </w:rPr>
        <w:t>et al</w:t>
      </w:r>
      <w:r w:rsidRPr="003110BD">
        <w:rPr>
          <w:rFonts w:ascii="Arial" w:hAnsi="Arial" w:cs="Arial"/>
          <w:sz w:val="24"/>
          <w:szCs w:val="24"/>
        </w:rPr>
        <w:t>. (2021) </w:t>
      </w:r>
      <w:r w:rsidRPr="003110BD">
        <w:rPr>
          <w:rFonts w:ascii="Arial" w:hAnsi="Arial" w:cs="Arial"/>
          <w:i/>
          <w:iCs/>
          <w:sz w:val="24"/>
          <w:szCs w:val="24"/>
        </w:rPr>
        <w:t>The Theory of Hospitality and Catering</w:t>
      </w:r>
      <w:r w:rsidRPr="003110BD">
        <w:rPr>
          <w:rFonts w:ascii="Arial" w:hAnsi="Arial" w:cs="Arial"/>
          <w:sz w:val="24"/>
          <w:szCs w:val="24"/>
        </w:rPr>
        <w:t>. 14th Edition. London: Hodder Education Group.</w:t>
      </w:r>
    </w:p>
    <w:p w14:paraId="17DCE528" w14:textId="104FF1D9" w:rsidR="003110BD" w:rsidRPr="003110BD" w:rsidRDefault="003110BD" w:rsidP="003110BD">
      <w:pPr>
        <w:spacing w:after="0" w:line="360" w:lineRule="auto"/>
        <w:jc w:val="both"/>
        <w:rPr>
          <w:rFonts w:ascii="Arial" w:hAnsi="Arial" w:cs="Arial"/>
          <w:sz w:val="24"/>
          <w:szCs w:val="24"/>
        </w:rPr>
      </w:pPr>
      <w:r w:rsidRPr="003110BD">
        <w:rPr>
          <w:rFonts w:ascii="Arial" w:hAnsi="Arial" w:cs="Arial"/>
          <w:sz w:val="24"/>
          <w:szCs w:val="24"/>
        </w:rPr>
        <w:t xml:space="preserve">Johnston, R. (2012) </w:t>
      </w:r>
      <w:r w:rsidRPr="003110BD">
        <w:rPr>
          <w:rFonts w:ascii="Arial" w:hAnsi="Arial" w:cs="Arial"/>
          <w:i/>
          <w:iCs/>
          <w:sz w:val="24"/>
          <w:szCs w:val="24"/>
        </w:rPr>
        <w:t>Service operations management : improving service delivery</w:t>
      </w:r>
      <w:r w:rsidRPr="003110BD">
        <w:rPr>
          <w:rFonts w:ascii="Arial" w:hAnsi="Arial" w:cs="Arial"/>
          <w:sz w:val="24"/>
          <w:szCs w:val="24"/>
        </w:rPr>
        <w:t>. 4th ed. Harlow, England: Pearson.</w:t>
      </w:r>
    </w:p>
    <w:p w14:paraId="7E4696E4" w14:textId="77777777" w:rsidR="003110BD" w:rsidRPr="003110BD" w:rsidRDefault="003110BD" w:rsidP="003110BD">
      <w:pPr>
        <w:spacing w:after="0" w:line="360" w:lineRule="auto"/>
        <w:jc w:val="both"/>
        <w:rPr>
          <w:rFonts w:ascii="Arial" w:hAnsi="Arial" w:cs="Arial"/>
          <w:sz w:val="24"/>
          <w:szCs w:val="24"/>
        </w:rPr>
      </w:pPr>
    </w:p>
    <w:p w14:paraId="73B35D7B" w14:textId="28D68D2B" w:rsidR="003C1995" w:rsidRPr="003110BD" w:rsidRDefault="003110BD" w:rsidP="003110BD">
      <w:pPr>
        <w:spacing w:after="0" w:line="360" w:lineRule="auto"/>
        <w:jc w:val="both"/>
        <w:rPr>
          <w:rFonts w:ascii="Arial" w:hAnsi="Arial" w:cs="Arial"/>
          <w:sz w:val="24"/>
          <w:szCs w:val="24"/>
        </w:rPr>
      </w:pPr>
      <w:r w:rsidRPr="003110BD">
        <w:rPr>
          <w:rFonts w:ascii="Arial" w:hAnsi="Arial" w:cs="Arial"/>
          <w:sz w:val="24"/>
          <w:szCs w:val="24"/>
        </w:rPr>
        <w:t xml:space="preserve">Wood, R. (2013) </w:t>
      </w:r>
      <w:r w:rsidRPr="003110BD">
        <w:rPr>
          <w:rFonts w:ascii="Arial" w:hAnsi="Arial" w:cs="Arial"/>
          <w:i/>
          <w:iCs/>
          <w:sz w:val="24"/>
          <w:szCs w:val="24"/>
        </w:rPr>
        <w:t>Key Concepts in Hospitality Management</w:t>
      </w:r>
      <w:r w:rsidRPr="003110BD">
        <w:rPr>
          <w:rFonts w:ascii="Arial" w:hAnsi="Arial" w:cs="Arial"/>
          <w:sz w:val="24"/>
          <w:szCs w:val="24"/>
        </w:rPr>
        <w:t>. London: Sage</w:t>
      </w:r>
    </w:p>
    <w:p w14:paraId="49F28210" w14:textId="77777777" w:rsidR="003110BD" w:rsidRPr="003110BD" w:rsidRDefault="003110BD" w:rsidP="003110BD">
      <w:pPr>
        <w:spacing w:after="0" w:line="360" w:lineRule="auto"/>
        <w:jc w:val="both"/>
        <w:rPr>
          <w:rFonts w:ascii="Arial" w:hAnsi="Arial" w:cs="Arial"/>
          <w:sz w:val="24"/>
          <w:szCs w:val="24"/>
        </w:rPr>
      </w:pPr>
    </w:p>
    <w:p w14:paraId="4CEA5CA8" w14:textId="777478AD" w:rsidR="003110BD" w:rsidRPr="003110BD" w:rsidRDefault="003110BD" w:rsidP="003110BD">
      <w:pPr>
        <w:spacing w:after="0" w:line="360" w:lineRule="auto"/>
        <w:jc w:val="both"/>
        <w:rPr>
          <w:rFonts w:ascii="Arial" w:hAnsi="Arial" w:cs="Arial"/>
          <w:sz w:val="24"/>
          <w:szCs w:val="24"/>
          <w:shd w:val="clear" w:color="auto" w:fill="FFFFFF"/>
        </w:rPr>
      </w:pPr>
      <w:r w:rsidRPr="003110BD">
        <w:rPr>
          <w:rFonts w:ascii="Arial" w:hAnsi="Arial" w:cs="Arial"/>
          <w:sz w:val="24"/>
          <w:szCs w:val="24"/>
          <w:shd w:val="clear" w:color="auto" w:fill="FFFFFF"/>
        </w:rPr>
        <w:t>Zutshi, A. (2019) ‘How to develop well-informed and assured teams to embed food safety compliance in the UK catering and hospitality industry’, </w:t>
      </w:r>
      <w:r w:rsidRPr="003110BD">
        <w:rPr>
          <w:rFonts w:ascii="Arial" w:hAnsi="Arial" w:cs="Arial"/>
          <w:i/>
          <w:iCs/>
          <w:sz w:val="24"/>
          <w:szCs w:val="24"/>
          <w:shd w:val="clear" w:color="auto" w:fill="FFFFFF"/>
        </w:rPr>
        <w:t>Perspectives in Public Health</w:t>
      </w:r>
      <w:r w:rsidRPr="003110BD">
        <w:rPr>
          <w:rFonts w:ascii="Arial" w:hAnsi="Arial" w:cs="Arial"/>
          <w:sz w:val="24"/>
          <w:szCs w:val="24"/>
          <w:shd w:val="clear" w:color="auto" w:fill="FFFFFF"/>
        </w:rPr>
        <w:t>, 139(6), pp. 294–295.</w:t>
      </w:r>
    </w:p>
    <w:p w14:paraId="1E58BA28" w14:textId="77777777" w:rsidR="003110BD" w:rsidRDefault="003110BD" w:rsidP="00D623B3">
      <w:pPr>
        <w:spacing w:line="360" w:lineRule="auto"/>
        <w:jc w:val="both"/>
        <w:rPr>
          <w:rFonts w:ascii="Arial" w:hAnsi="Arial" w:cs="Arial"/>
          <w:sz w:val="24"/>
          <w:szCs w:val="24"/>
        </w:rPr>
      </w:pPr>
    </w:p>
    <w:p w14:paraId="394793A4" w14:textId="09F7D791" w:rsidR="003C1995" w:rsidRDefault="003C1995" w:rsidP="00D623B3">
      <w:pPr>
        <w:spacing w:line="360" w:lineRule="auto"/>
        <w:jc w:val="both"/>
        <w:rPr>
          <w:rFonts w:ascii="Arial" w:hAnsi="Arial" w:cs="Arial"/>
          <w:sz w:val="24"/>
          <w:szCs w:val="24"/>
        </w:rPr>
      </w:pPr>
    </w:p>
    <w:p w14:paraId="0415991D" w14:textId="4B9FB34B" w:rsidR="003C1995" w:rsidRDefault="003C1995" w:rsidP="00D623B3">
      <w:pPr>
        <w:spacing w:line="360" w:lineRule="auto"/>
        <w:jc w:val="both"/>
        <w:rPr>
          <w:rFonts w:ascii="Arial" w:hAnsi="Arial" w:cs="Arial"/>
          <w:sz w:val="24"/>
          <w:szCs w:val="24"/>
        </w:rPr>
      </w:pPr>
    </w:p>
    <w:p w14:paraId="48AE2235" w14:textId="5B631C8D" w:rsidR="003C1995" w:rsidRDefault="003C1995" w:rsidP="00D623B3">
      <w:pPr>
        <w:spacing w:line="360" w:lineRule="auto"/>
        <w:jc w:val="both"/>
        <w:rPr>
          <w:rFonts w:ascii="Arial" w:hAnsi="Arial" w:cs="Arial"/>
          <w:sz w:val="24"/>
          <w:szCs w:val="24"/>
        </w:rPr>
      </w:pPr>
    </w:p>
    <w:p w14:paraId="044B2A23" w14:textId="529C3D2E" w:rsidR="003C1995" w:rsidRDefault="003C1995" w:rsidP="00D623B3">
      <w:pPr>
        <w:spacing w:line="360" w:lineRule="auto"/>
        <w:jc w:val="both"/>
        <w:rPr>
          <w:rFonts w:ascii="Arial" w:hAnsi="Arial" w:cs="Arial"/>
          <w:sz w:val="24"/>
          <w:szCs w:val="24"/>
        </w:rPr>
      </w:pPr>
    </w:p>
    <w:p w14:paraId="4EE3FDF4" w14:textId="1B92573B" w:rsidR="003C1995" w:rsidRDefault="003C1995" w:rsidP="00D623B3">
      <w:pPr>
        <w:spacing w:line="360" w:lineRule="auto"/>
        <w:jc w:val="both"/>
        <w:rPr>
          <w:rFonts w:ascii="Arial" w:hAnsi="Arial" w:cs="Arial"/>
          <w:sz w:val="24"/>
          <w:szCs w:val="24"/>
        </w:rPr>
      </w:pPr>
    </w:p>
    <w:p w14:paraId="582920E3" w14:textId="3CDF95FB" w:rsidR="003C1995" w:rsidRDefault="003C1995" w:rsidP="00D623B3">
      <w:pPr>
        <w:spacing w:line="360" w:lineRule="auto"/>
        <w:jc w:val="both"/>
        <w:rPr>
          <w:rFonts w:ascii="Arial" w:hAnsi="Arial" w:cs="Arial"/>
          <w:sz w:val="24"/>
          <w:szCs w:val="24"/>
        </w:rPr>
      </w:pPr>
    </w:p>
    <w:p w14:paraId="68899F23" w14:textId="02AB0392" w:rsidR="003C1995" w:rsidRDefault="003C1995" w:rsidP="00D623B3">
      <w:pPr>
        <w:spacing w:line="360" w:lineRule="auto"/>
        <w:jc w:val="both"/>
        <w:rPr>
          <w:rFonts w:ascii="Arial" w:hAnsi="Arial" w:cs="Arial"/>
          <w:sz w:val="24"/>
          <w:szCs w:val="24"/>
        </w:rPr>
      </w:pPr>
    </w:p>
    <w:p w14:paraId="75B4A332" w14:textId="2DE5A6FC" w:rsidR="003C1995" w:rsidRDefault="003C1995" w:rsidP="00D623B3">
      <w:pPr>
        <w:spacing w:line="360" w:lineRule="auto"/>
        <w:jc w:val="both"/>
        <w:rPr>
          <w:rFonts w:ascii="Arial" w:hAnsi="Arial" w:cs="Arial"/>
          <w:sz w:val="24"/>
          <w:szCs w:val="24"/>
        </w:rPr>
      </w:pPr>
    </w:p>
    <w:p w14:paraId="5E43D8A7" w14:textId="6BDB66F7" w:rsidR="003C1995" w:rsidRDefault="003C1995" w:rsidP="00D623B3">
      <w:pPr>
        <w:spacing w:line="360" w:lineRule="auto"/>
        <w:jc w:val="both"/>
        <w:rPr>
          <w:rFonts w:ascii="Arial" w:hAnsi="Arial" w:cs="Arial"/>
          <w:sz w:val="24"/>
          <w:szCs w:val="24"/>
        </w:rPr>
      </w:pPr>
    </w:p>
    <w:p w14:paraId="5B0A0BF0" w14:textId="2B78D9EB" w:rsidR="003C1995" w:rsidRDefault="003C1995" w:rsidP="00D623B3">
      <w:pPr>
        <w:spacing w:line="360" w:lineRule="auto"/>
        <w:jc w:val="both"/>
        <w:rPr>
          <w:rFonts w:ascii="Arial" w:hAnsi="Arial" w:cs="Arial"/>
          <w:sz w:val="24"/>
          <w:szCs w:val="24"/>
        </w:rPr>
      </w:pPr>
    </w:p>
    <w:p w14:paraId="564CDD25" w14:textId="5DCCA6F0" w:rsidR="003C1995" w:rsidRDefault="003C1995" w:rsidP="00D623B3">
      <w:pPr>
        <w:spacing w:line="360" w:lineRule="auto"/>
        <w:jc w:val="both"/>
        <w:rPr>
          <w:rFonts w:ascii="Arial" w:hAnsi="Arial" w:cs="Arial"/>
          <w:sz w:val="24"/>
          <w:szCs w:val="24"/>
        </w:rPr>
      </w:pPr>
    </w:p>
    <w:p w14:paraId="0F2D1E81" w14:textId="50F8021F" w:rsidR="003C1995" w:rsidRDefault="003C1995" w:rsidP="00D623B3">
      <w:pPr>
        <w:spacing w:line="360" w:lineRule="auto"/>
        <w:jc w:val="both"/>
        <w:rPr>
          <w:rFonts w:ascii="Arial" w:hAnsi="Arial" w:cs="Arial"/>
          <w:sz w:val="24"/>
          <w:szCs w:val="24"/>
        </w:rPr>
      </w:pPr>
    </w:p>
    <w:p w14:paraId="55762F22" w14:textId="31FB1D52" w:rsidR="003C1995" w:rsidRDefault="003C1995" w:rsidP="00D623B3">
      <w:pPr>
        <w:spacing w:line="360" w:lineRule="auto"/>
        <w:jc w:val="both"/>
        <w:rPr>
          <w:rFonts w:ascii="Arial" w:hAnsi="Arial" w:cs="Arial"/>
          <w:sz w:val="24"/>
          <w:szCs w:val="24"/>
        </w:rPr>
      </w:pPr>
    </w:p>
    <w:p w14:paraId="09A090D5" w14:textId="6FE0FE23" w:rsidR="003C1995" w:rsidRDefault="003C1995" w:rsidP="00D623B3">
      <w:pPr>
        <w:spacing w:line="360" w:lineRule="auto"/>
        <w:jc w:val="both"/>
        <w:rPr>
          <w:rFonts w:ascii="Arial" w:hAnsi="Arial" w:cs="Arial"/>
          <w:sz w:val="24"/>
          <w:szCs w:val="24"/>
        </w:rPr>
      </w:pPr>
    </w:p>
    <w:p w14:paraId="25827EDA" w14:textId="1A4927AC" w:rsidR="003C1995" w:rsidRDefault="003C1995" w:rsidP="00D623B3">
      <w:pPr>
        <w:spacing w:line="360" w:lineRule="auto"/>
        <w:jc w:val="both"/>
        <w:rPr>
          <w:rFonts w:ascii="Arial" w:hAnsi="Arial" w:cs="Arial"/>
          <w:sz w:val="24"/>
          <w:szCs w:val="24"/>
        </w:rPr>
      </w:pPr>
    </w:p>
    <w:p w14:paraId="0383A6FD" w14:textId="6CA9DF8B" w:rsidR="003C1995" w:rsidRDefault="003C1995" w:rsidP="00D623B3">
      <w:pPr>
        <w:spacing w:line="360" w:lineRule="auto"/>
        <w:jc w:val="both"/>
        <w:rPr>
          <w:rFonts w:ascii="Arial" w:hAnsi="Arial" w:cs="Arial"/>
          <w:sz w:val="24"/>
          <w:szCs w:val="24"/>
        </w:rPr>
      </w:pPr>
    </w:p>
    <w:p w14:paraId="4BF1DB12" w14:textId="186E19E2" w:rsidR="003C1995" w:rsidRDefault="003C1995" w:rsidP="00D623B3">
      <w:pPr>
        <w:spacing w:line="360" w:lineRule="auto"/>
        <w:jc w:val="both"/>
        <w:rPr>
          <w:rFonts w:ascii="Arial" w:hAnsi="Arial" w:cs="Arial"/>
          <w:sz w:val="24"/>
          <w:szCs w:val="24"/>
        </w:rPr>
      </w:pPr>
    </w:p>
    <w:p w14:paraId="52E3AC7F" w14:textId="035D633A" w:rsidR="003C1995" w:rsidRDefault="003C1995" w:rsidP="00D623B3">
      <w:pPr>
        <w:spacing w:line="360" w:lineRule="auto"/>
        <w:jc w:val="both"/>
        <w:rPr>
          <w:rFonts w:ascii="Arial" w:hAnsi="Arial" w:cs="Arial"/>
          <w:sz w:val="24"/>
          <w:szCs w:val="24"/>
        </w:rPr>
      </w:pPr>
    </w:p>
    <w:p w14:paraId="30B44871" w14:textId="77777777" w:rsidR="003C1995" w:rsidRPr="003C1995" w:rsidRDefault="003C1995" w:rsidP="00D623B3">
      <w:pPr>
        <w:spacing w:line="360" w:lineRule="auto"/>
        <w:jc w:val="both"/>
        <w:rPr>
          <w:rFonts w:ascii="Arial" w:hAnsi="Arial" w:cs="Arial"/>
          <w:sz w:val="24"/>
          <w:szCs w:val="24"/>
        </w:rPr>
      </w:pPr>
    </w:p>
    <w:p w14:paraId="24993569" w14:textId="50FF8205" w:rsidR="00D623B3" w:rsidRDefault="00D623B3"/>
    <w:sectPr w:rsidR="00D623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3B3"/>
    <w:rsid w:val="000D0D0C"/>
    <w:rsid w:val="003110BD"/>
    <w:rsid w:val="003C1995"/>
    <w:rsid w:val="0041139E"/>
    <w:rsid w:val="005E7F84"/>
    <w:rsid w:val="007B0410"/>
    <w:rsid w:val="008B21CB"/>
    <w:rsid w:val="00B151A8"/>
    <w:rsid w:val="00C57479"/>
    <w:rsid w:val="00C86C65"/>
    <w:rsid w:val="00D623B3"/>
    <w:rsid w:val="00DE295C"/>
    <w:rsid w:val="00E656F0"/>
    <w:rsid w:val="00FC2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FF3A"/>
  <w15:chartTrackingRefBased/>
  <w15:docId w15:val="{07917E89-8D85-414E-A1A8-531E777E2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12</cp:revision>
  <dcterms:created xsi:type="dcterms:W3CDTF">2023-02-16T14:46:00Z</dcterms:created>
  <dcterms:modified xsi:type="dcterms:W3CDTF">2023-02-16T15:30:00Z</dcterms:modified>
</cp:coreProperties>
</file>