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C6D5BA" w14:textId="77777777" w:rsidR="004F0DCC" w:rsidRPr="002608B2" w:rsidRDefault="004F0DCC" w:rsidP="002608B2">
      <w:pPr>
        <w:spacing w:after="0" w:line="480" w:lineRule="auto"/>
        <w:contextualSpacing/>
        <w:rPr>
          <w:rFonts w:ascii="Arial" w:hAnsi="Arial" w:cs="Arial"/>
          <w:sz w:val="24"/>
          <w:szCs w:val="24"/>
        </w:rPr>
      </w:pPr>
    </w:p>
    <w:p w14:paraId="01FB7B28" w14:textId="77777777" w:rsidR="004F0DCC" w:rsidRPr="002608B2" w:rsidRDefault="004F0DCC" w:rsidP="002608B2">
      <w:pPr>
        <w:spacing w:after="0" w:line="480" w:lineRule="auto"/>
        <w:contextualSpacing/>
        <w:rPr>
          <w:rFonts w:ascii="Arial" w:hAnsi="Arial" w:cs="Arial"/>
          <w:sz w:val="24"/>
          <w:szCs w:val="24"/>
        </w:rPr>
      </w:pPr>
    </w:p>
    <w:p w14:paraId="5F17796C" w14:textId="77777777" w:rsidR="004F0DCC" w:rsidRPr="002608B2" w:rsidRDefault="004F0DCC" w:rsidP="002608B2">
      <w:pPr>
        <w:pStyle w:val="Heading2"/>
        <w:spacing w:line="480" w:lineRule="auto"/>
        <w:jc w:val="center"/>
        <w:rPr>
          <w:rFonts w:ascii="Arial" w:hAnsi="Arial" w:cs="Arial"/>
          <w:b/>
          <w:color w:val="000000" w:themeColor="text1"/>
          <w:sz w:val="24"/>
          <w:szCs w:val="24"/>
        </w:rPr>
      </w:pPr>
      <w:r w:rsidRPr="002608B2">
        <w:rPr>
          <w:rFonts w:ascii="Arial" w:hAnsi="Arial" w:cs="Arial"/>
          <w:color w:val="000000" w:themeColor="text1"/>
          <w:sz w:val="24"/>
          <w:szCs w:val="24"/>
        </w:rPr>
        <w:t>Critically explore the needs of victims of crime and the services that are available to them in England and Wales.</w:t>
      </w:r>
    </w:p>
    <w:p w14:paraId="35B9ED90" w14:textId="77777777" w:rsidR="004F0DCC" w:rsidRPr="002608B2" w:rsidRDefault="004F0DCC" w:rsidP="002608B2">
      <w:pPr>
        <w:spacing w:after="0" w:line="480" w:lineRule="auto"/>
        <w:contextualSpacing/>
        <w:rPr>
          <w:rFonts w:ascii="Arial" w:hAnsi="Arial" w:cs="Arial"/>
          <w:sz w:val="24"/>
          <w:szCs w:val="24"/>
        </w:rPr>
      </w:pPr>
    </w:p>
    <w:p w14:paraId="5966AEA2" w14:textId="77777777" w:rsidR="004F0DCC" w:rsidRPr="002608B2" w:rsidRDefault="004F0DCC" w:rsidP="002608B2">
      <w:pPr>
        <w:spacing w:after="0" w:line="480" w:lineRule="auto"/>
        <w:contextualSpacing/>
        <w:rPr>
          <w:rFonts w:ascii="Arial" w:hAnsi="Arial" w:cs="Arial"/>
          <w:sz w:val="24"/>
          <w:szCs w:val="24"/>
        </w:rPr>
      </w:pPr>
    </w:p>
    <w:p w14:paraId="5B02055A" w14:textId="79492F64"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 xml:space="preserve">The Victims Code defines a “victim” as one who has suffered harm due to a criminal offence (including a close relative of an individual whose death was a direct result of a criminal offence) (CPS, 2021). Most “crime victim” reports from large, multimillion-dollar surveys attempt to count crime and its financial cost to society. However, many of these reports fail to inform victim support workers and politicians about the </w:t>
      </w:r>
      <w:r w:rsidR="001D732E">
        <w:rPr>
          <w:rFonts w:ascii="Arial" w:hAnsi="Arial" w:cs="Arial"/>
          <w:sz w:val="24"/>
          <w:szCs w:val="24"/>
        </w:rPr>
        <w:t xml:space="preserve"> effects crime has on victims and the needs of victims so that they can recover</w:t>
      </w:r>
      <w:r w:rsidRPr="002608B2">
        <w:rPr>
          <w:rFonts w:ascii="Arial" w:hAnsi="Arial" w:cs="Arial"/>
          <w:sz w:val="24"/>
          <w:szCs w:val="24"/>
        </w:rPr>
        <w:t xml:space="preserve"> from such crimes (Wedlock and Tapley, 2016). The United Nations Office on Drugs and Crime (UNODC) (2019) highlights that a critical consideration that applies to the needs of victims </w:t>
      </w:r>
      <w:r w:rsidR="001D732E">
        <w:rPr>
          <w:rFonts w:ascii="Arial" w:hAnsi="Arial" w:cs="Arial"/>
          <w:sz w:val="24"/>
          <w:szCs w:val="24"/>
        </w:rPr>
        <w:t>is the concept that a victim’s needs evolve as time progresses.</w:t>
      </w:r>
      <w:r w:rsidRPr="002608B2">
        <w:rPr>
          <w:rFonts w:ascii="Arial" w:hAnsi="Arial" w:cs="Arial"/>
          <w:sz w:val="24"/>
          <w:szCs w:val="24"/>
        </w:rPr>
        <w:t xml:space="preserve"> Some needs emerge immediately after the crime, like securing a person’s property, whereas others, i.e., making sure a victim’s voice is heard during criminal proceedings, are evident </w:t>
      </w:r>
      <w:r w:rsidRPr="000A38E6">
        <w:rPr>
          <w:rFonts w:ascii="Arial" w:hAnsi="Arial" w:cs="Arial"/>
          <w:sz w:val="24"/>
          <w:szCs w:val="24"/>
        </w:rPr>
        <w:t xml:space="preserve">throughout the entire process of criminal justice (UNODC, 2019). </w:t>
      </w:r>
      <w:r w:rsidR="000A38E6" w:rsidRPr="000A38E6">
        <w:rPr>
          <w:rFonts w:ascii="Arial" w:hAnsi="Arial" w:cs="Arial"/>
          <w:sz w:val="24"/>
          <w:szCs w:val="24"/>
        </w:rPr>
        <w:t>A victim of crime has multiple needs, including respect, recognition, protection, support, and assistance, as well as access to justice and fair treatment.</w:t>
      </w:r>
      <w:r w:rsidR="000A38E6" w:rsidRPr="000A38E6">
        <w:rPr>
          <w:rFonts w:ascii="Arial" w:hAnsi="Arial" w:cs="Arial"/>
          <w:sz w:val="24"/>
          <w:szCs w:val="24"/>
        </w:rPr>
        <w:t xml:space="preserve"> </w:t>
      </w:r>
      <w:r w:rsidRPr="000A38E6">
        <w:rPr>
          <w:rFonts w:ascii="Arial" w:hAnsi="Arial" w:cs="Arial"/>
          <w:sz w:val="24"/>
          <w:szCs w:val="24"/>
        </w:rPr>
        <w:t>Similarly, services, including emotional support, cou</w:t>
      </w:r>
      <w:r w:rsidR="001D732E" w:rsidRPr="000A38E6">
        <w:rPr>
          <w:rFonts w:ascii="Arial" w:hAnsi="Arial" w:cs="Arial"/>
          <w:sz w:val="24"/>
          <w:szCs w:val="24"/>
        </w:rPr>
        <w:t>nselling, and expert support</w:t>
      </w:r>
      <w:r w:rsidRPr="000A38E6">
        <w:rPr>
          <w:rFonts w:ascii="Arial" w:hAnsi="Arial" w:cs="Arial"/>
          <w:sz w:val="24"/>
          <w:szCs w:val="24"/>
        </w:rPr>
        <w:t xml:space="preserve"> for o</w:t>
      </w:r>
      <w:r w:rsidR="001D732E" w:rsidRPr="000A38E6">
        <w:rPr>
          <w:rFonts w:ascii="Arial" w:hAnsi="Arial" w:cs="Arial"/>
          <w:sz w:val="24"/>
          <w:szCs w:val="24"/>
        </w:rPr>
        <w:t xml:space="preserve">ffences including domestic abuse and </w:t>
      </w:r>
      <w:r w:rsidRPr="000A38E6">
        <w:rPr>
          <w:rFonts w:ascii="Arial" w:hAnsi="Arial" w:cs="Arial"/>
          <w:sz w:val="24"/>
          <w:szCs w:val="24"/>
        </w:rPr>
        <w:t>se</w:t>
      </w:r>
      <w:r w:rsidR="001D732E" w:rsidRPr="000A38E6">
        <w:rPr>
          <w:rFonts w:ascii="Arial" w:hAnsi="Arial" w:cs="Arial"/>
          <w:sz w:val="24"/>
          <w:szCs w:val="24"/>
        </w:rPr>
        <w:t xml:space="preserve">xual violence </w:t>
      </w:r>
      <w:r w:rsidRPr="000A38E6">
        <w:rPr>
          <w:rFonts w:ascii="Arial" w:hAnsi="Arial" w:cs="Arial"/>
          <w:sz w:val="24"/>
          <w:szCs w:val="24"/>
        </w:rPr>
        <w:t xml:space="preserve">are available to victims of crimes in the UK. This aim of this essay is to expand on the needs of the victims and the services available to them in England and Wales, with the incorporation of the </w:t>
      </w:r>
      <w:r w:rsidRPr="000A38E6">
        <w:rPr>
          <w:rFonts w:ascii="Arial" w:hAnsi="Arial" w:cs="Arial"/>
          <w:sz w:val="24"/>
          <w:szCs w:val="24"/>
        </w:rPr>
        <w:lastRenderedPageBreak/>
        <w:t>provisions of the Code of</w:t>
      </w:r>
      <w:r w:rsidRPr="002608B2">
        <w:rPr>
          <w:rFonts w:ascii="Arial" w:hAnsi="Arial" w:cs="Arial"/>
          <w:sz w:val="24"/>
          <w:szCs w:val="24"/>
        </w:rPr>
        <w:t xml:space="preserve"> Practice. Thus, the essay focuses on two themes or subtopics: crime statistics in the UK and relevant victimisation theories, and the needs of and services available to victims of crimes. Lastly, a conclusion presents the main ideas from the paper and reinstates the essay’s argument.</w:t>
      </w:r>
    </w:p>
    <w:p w14:paraId="77944427" w14:textId="77777777" w:rsidR="004F0DCC" w:rsidRPr="002608B2" w:rsidRDefault="004F0DCC" w:rsidP="002608B2">
      <w:pPr>
        <w:spacing w:after="0" w:line="480" w:lineRule="auto"/>
        <w:contextualSpacing/>
        <w:rPr>
          <w:rFonts w:ascii="Arial" w:hAnsi="Arial" w:cs="Arial"/>
          <w:sz w:val="24"/>
          <w:szCs w:val="24"/>
        </w:rPr>
      </w:pPr>
    </w:p>
    <w:p w14:paraId="0E07930B" w14:textId="77777777"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The following statistics present the severity of crimes in the UK and the needs of victims. According to The Office for National Statistics (ONS) (2018), the rapidly evolving nature of crime in the UK, considering that today, technology continues to enable criminality and, thus, new crimes like up skirting and offences like stalking emerge. Similarly, in England and Wales, cyber offences such as fraud, among others, represent about 50% of all crimes (HM Government, 2018). Moreover, more victims are increasingly gaining courage, hence coming forward and reporting offences that were traditionally under-reported and also seeking assistance (Spalek, 2017). For instance, HM Government (2018) reports a 176% rise in demand for support services for male sexual violence victims in the past five years. In this light, the support and needs of the victims must align with the changes to ensure no one deals with the trauma of offences alone.</w:t>
      </w:r>
    </w:p>
    <w:p w14:paraId="53A0BEAC" w14:textId="22C923C1" w:rsidR="004F0DCC" w:rsidRPr="002608B2" w:rsidRDefault="000A38E6" w:rsidP="002608B2">
      <w:pPr>
        <w:spacing w:after="0" w:line="480" w:lineRule="auto"/>
        <w:contextualSpacing/>
        <w:rPr>
          <w:rFonts w:ascii="Arial" w:hAnsi="Arial" w:cs="Arial"/>
          <w:sz w:val="24"/>
          <w:szCs w:val="24"/>
        </w:rPr>
      </w:pPr>
      <w:r w:rsidRPr="000A38E6">
        <w:rPr>
          <w:rFonts w:ascii="Arial" w:hAnsi="Arial" w:cs="Arial"/>
          <w:sz w:val="24"/>
          <w:szCs w:val="24"/>
        </w:rPr>
        <w:t> In March 2020, the Crime Survey for England and Wales (CSEW) showed that total crime in the UK dropped by 8% after the Coronavirus pandemic compared to the pre-coronavirus crisis year.</w:t>
      </w:r>
      <w:r w:rsidR="004F0DCC" w:rsidRPr="002608B2">
        <w:rPr>
          <w:rFonts w:ascii="Arial" w:hAnsi="Arial" w:cs="Arial"/>
          <w:sz w:val="24"/>
          <w:szCs w:val="24"/>
        </w:rPr>
        <w:t xml:space="preserve"> The crimes that have decreased include burglary, robbery, knife-enabled crime, homicide, and crimes that involve firearms, but no evidence supports that such decreases represent a change in long-term trends. However, despite the reduction in such crimes, police records show a rise in sexual offences by 21% (increased to 196,889) in comparison to the pre-coronavirus year (ONS, 2022). Kelly and Morgan (2020) reported a 25% increase in calls and online help requests since the coronavirus lockdown due to a dramatic rise in domestic violence. The victim precipitation theory proposed by Marvin Wolfgang in his 1957 study (Wolfgang, 1957) and the deviant place theory by Stark (1987) can explain the rise in offenses. The justification is that the personal features, circumstances, and exposure to dangerous areas led to a rise in domestic violence and sexual offences during the lockdown. The rise in sexual offences meant more victims of such crimes, hence the need to understand their needs and the available services or support.</w:t>
      </w:r>
    </w:p>
    <w:p w14:paraId="58BFB6BB" w14:textId="77777777" w:rsidR="004F0DCC" w:rsidRPr="002608B2" w:rsidRDefault="004F0DCC" w:rsidP="002608B2">
      <w:pPr>
        <w:spacing w:after="0" w:line="480" w:lineRule="auto"/>
        <w:contextualSpacing/>
        <w:rPr>
          <w:rFonts w:ascii="Arial" w:hAnsi="Arial" w:cs="Arial"/>
          <w:sz w:val="24"/>
          <w:szCs w:val="24"/>
        </w:rPr>
      </w:pPr>
    </w:p>
    <w:p w14:paraId="4DD21380" w14:textId="130A82B0"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 xml:space="preserve">The different needs of victims are consistent with the range of rights available to those who suffer from crimes. The first and most crucial need for victims is recognition. For most victims, it is essential that the law recognises them as victims and further acknowledges their suffering emanating from any wrongful act against them (UNODC, 2019). According to </w:t>
      </w:r>
      <w:r w:rsidRPr="000A38E6">
        <w:rPr>
          <w:rFonts w:ascii="Arial" w:hAnsi="Arial" w:cs="Arial"/>
          <w:sz w:val="24"/>
          <w:szCs w:val="24"/>
        </w:rPr>
        <w:t>Wemmers (2012),</w:t>
      </w:r>
      <w:r w:rsidR="000A38E6" w:rsidRPr="000A38E6">
        <w:rPr>
          <w:rFonts w:ascii="Arial" w:hAnsi="Arial" w:cs="Arial"/>
          <w:sz w:val="24"/>
          <w:szCs w:val="24"/>
        </w:rPr>
        <w:t xml:space="preserve"> t</w:t>
      </w:r>
      <w:r w:rsidR="000A38E6" w:rsidRPr="000A38E6">
        <w:rPr>
          <w:rFonts w:ascii="Arial" w:hAnsi="Arial" w:cs="Arial"/>
          <w:sz w:val="24"/>
          <w:szCs w:val="24"/>
        </w:rPr>
        <w:t>he criminal justice system regards victims as witness to crimes committed against the state, and allows them into the process only when their testimony is needed.</w:t>
      </w:r>
      <w:r w:rsidRPr="000A38E6">
        <w:rPr>
          <w:rFonts w:ascii="Arial" w:hAnsi="Arial" w:cs="Arial"/>
          <w:sz w:val="24"/>
          <w:szCs w:val="24"/>
        </w:rPr>
        <w:t xml:space="preserve"> Such a situation presents a significant source of dissatisfaction for victims, as they feel the system invalidates them.</w:t>
      </w:r>
    </w:p>
    <w:p w14:paraId="0F43011A" w14:textId="737D1B63"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The need for recognition is centred on the understanding that victims are people with privileges and rights, and crimes or offences violate such rights and act against the state or society. As per Right 3 of the Code of Practice, victims should be well info</w:t>
      </w:r>
      <w:bookmarkStart w:id="0" w:name="_GoBack"/>
      <w:bookmarkEnd w:id="0"/>
      <w:r w:rsidRPr="002608B2">
        <w:rPr>
          <w:rFonts w:ascii="Arial" w:hAnsi="Arial" w:cs="Arial"/>
          <w:sz w:val="24"/>
          <w:szCs w:val="24"/>
        </w:rPr>
        <w:t xml:space="preserve">rmed when reporting the </w:t>
      </w:r>
      <w:r w:rsidR="000A38E6" w:rsidRPr="002608B2">
        <w:rPr>
          <w:rFonts w:ascii="Arial" w:hAnsi="Arial" w:cs="Arial"/>
          <w:sz w:val="24"/>
          <w:szCs w:val="24"/>
        </w:rPr>
        <w:t>offence</w:t>
      </w:r>
      <w:r w:rsidRPr="002608B2">
        <w:rPr>
          <w:rFonts w:ascii="Arial" w:hAnsi="Arial" w:cs="Arial"/>
          <w:sz w:val="24"/>
          <w:szCs w:val="24"/>
        </w:rPr>
        <w:t xml:space="preserve"> and it is the responsibility of the police to inform such victims so that they can get further details about the process of criminal justice as well as the victims’ rights (Ministry of Justice, 2020). Recognition is related to treating victims fairly and with dignity and giving them clear, timely and accurate information. For instance, victims of the Grenfell Tower fire were treated fairly as there was release of accurate and timely information (Edkins, 2019). According to Criminal Justice Joint Inspection (2015), first contact with authorities is crucial. For victims to obtain justice through the services available to them and for the provisions of the Code of Practice to be effective, there is a need to record the crime and identify vulnerable and repeat victims (Criminal Justice Joint Inspection, 2015). Similarly, professionals handling the case must be aware of the provisions of the Code and, most importantly, should value giving support services to victims. </w:t>
      </w:r>
    </w:p>
    <w:p w14:paraId="188DEFA1" w14:textId="77777777" w:rsidR="004F0DCC" w:rsidRPr="002608B2" w:rsidRDefault="004F0DCC" w:rsidP="002608B2">
      <w:pPr>
        <w:spacing w:after="0" w:line="480" w:lineRule="auto"/>
        <w:contextualSpacing/>
        <w:rPr>
          <w:rFonts w:ascii="Arial" w:hAnsi="Arial" w:cs="Arial"/>
          <w:sz w:val="24"/>
          <w:szCs w:val="24"/>
        </w:rPr>
      </w:pPr>
    </w:p>
    <w:p w14:paraId="182EBB46" w14:textId="3DE052CA" w:rsidR="004F0DCC" w:rsidRPr="002608B2" w:rsidRDefault="002608B2" w:rsidP="002608B2">
      <w:pPr>
        <w:spacing w:after="0" w:line="480" w:lineRule="auto"/>
        <w:contextualSpacing/>
        <w:rPr>
          <w:rFonts w:ascii="Arial" w:hAnsi="Arial" w:cs="Arial"/>
          <w:sz w:val="24"/>
          <w:szCs w:val="24"/>
        </w:rPr>
      </w:pPr>
      <w:r w:rsidRPr="002608B2">
        <w:rPr>
          <w:rFonts w:ascii="Arial" w:hAnsi="Arial" w:cs="Arial"/>
          <w:sz w:val="24"/>
          <w:szCs w:val="24"/>
        </w:rPr>
        <w:t xml:space="preserve">The charity, Victim Support (2023) expands on the </w:t>
      </w:r>
      <w:r w:rsidR="004F0DCC" w:rsidRPr="002608B2">
        <w:rPr>
          <w:rFonts w:ascii="Arial" w:hAnsi="Arial" w:cs="Arial"/>
          <w:sz w:val="24"/>
          <w:szCs w:val="24"/>
        </w:rPr>
        <w:t>Services</w:t>
      </w:r>
      <w:r w:rsidRPr="002608B2">
        <w:rPr>
          <w:rFonts w:ascii="Arial" w:hAnsi="Arial" w:cs="Arial"/>
          <w:sz w:val="24"/>
          <w:szCs w:val="24"/>
        </w:rPr>
        <w:t xml:space="preserve"> available to victims. These</w:t>
      </w:r>
      <w:r w:rsidR="004F0DCC" w:rsidRPr="002608B2">
        <w:rPr>
          <w:rFonts w:ascii="Arial" w:hAnsi="Arial" w:cs="Arial"/>
          <w:sz w:val="24"/>
          <w:szCs w:val="24"/>
        </w:rPr>
        <w:t xml:space="preserve"> include, the Victim Contact Scheme, where victims of violent or sexual crime can be appointed a victim Liaison Office that is responsible for telling the victim the proceedings of the case. The IMatter 10 week Programme that is designed for women who have suffered domestic abuse and Support by the NCA: victims will be assigned a witness care officer whose role is to make sure that the victims needs are considered and that they are bei</w:t>
      </w:r>
      <w:r w:rsidR="001D732E">
        <w:rPr>
          <w:rFonts w:ascii="Arial" w:hAnsi="Arial" w:cs="Arial"/>
          <w:sz w:val="24"/>
          <w:szCs w:val="24"/>
        </w:rPr>
        <w:t>ng kept up to date about</w:t>
      </w:r>
      <w:r w:rsidR="004F0DCC" w:rsidRPr="002608B2">
        <w:rPr>
          <w:rFonts w:ascii="Arial" w:hAnsi="Arial" w:cs="Arial"/>
          <w:sz w:val="24"/>
          <w:szCs w:val="24"/>
        </w:rPr>
        <w:t xml:space="preserve"> developments in the investigation.</w:t>
      </w:r>
    </w:p>
    <w:p w14:paraId="53D3205B" w14:textId="77777777" w:rsidR="004F0DCC" w:rsidRPr="002608B2" w:rsidRDefault="004F0DCC" w:rsidP="002608B2">
      <w:pPr>
        <w:spacing w:after="0" w:line="480" w:lineRule="auto"/>
        <w:contextualSpacing/>
        <w:rPr>
          <w:rFonts w:ascii="Arial" w:hAnsi="Arial" w:cs="Arial"/>
          <w:sz w:val="24"/>
          <w:szCs w:val="24"/>
        </w:rPr>
      </w:pPr>
    </w:p>
    <w:p w14:paraId="658D182D" w14:textId="77777777"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 xml:space="preserve"> In agreeing with the insights by the Criminal Justice Joint Inspection (2015), the UNODC (2019) report highlights that victim support or social services must ensure their procedures and communications are “victim sensitive” or act with empathy. Especially when interacting with vulnerable victims like children and victims of the most serious crimes (like sexual offences and domestic abuse), the elderly, and disabled individuals. Since “victim” encompasses close relatives, treating these indirect victims respectfully is also pertinent.</w:t>
      </w:r>
    </w:p>
    <w:p w14:paraId="3C21506A" w14:textId="7CAD173E" w:rsidR="0058095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Special measures represent the other need and include ensuring victims give evidence in private and also focuses on pre-trial visual recorded, the use of an intermediary to examine the witness and also aids to communication. UNODC (2019) acknowledges that victims have numerous protection needs, especially privacy protection, so treating victims with confidentiality is a priority. Criminal justice professionals are obliged to protect victims from further crimes, such as intimidation, threats, and retaliation, as per the requirement of the Code of Practice (Ministry of Justice, 2020).   As part of the criminal justice proceedings, victims must also be protected against secondary victimisation, such as when the media fails to safeguard the victim's identity</w:t>
      </w:r>
      <w:r w:rsidR="0058095C" w:rsidRPr="002608B2">
        <w:rPr>
          <w:rFonts w:ascii="Arial" w:hAnsi="Arial" w:cs="Arial"/>
          <w:sz w:val="24"/>
          <w:szCs w:val="24"/>
        </w:rPr>
        <w:t xml:space="preserve"> </w:t>
      </w:r>
      <w:r w:rsidRPr="002608B2">
        <w:rPr>
          <w:rFonts w:ascii="Arial" w:hAnsi="Arial" w:cs="Arial"/>
          <w:sz w:val="24"/>
          <w:szCs w:val="24"/>
        </w:rPr>
        <w:t xml:space="preserve">(UNODC, 2019). </w:t>
      </w:r>
    </w:p>
    <w:p w14:paraId="2A3BFC5A" w14:textId="4C46330D"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 xml:space="preserve">Special measures aim to protect victims from harm, i.e., caused by insensitive and repeated interviewing or by facing the offender before trial in the waiting area (Cook and Davies, 2017). The protected person service is available to individuals who may face serious harm, such as witnesses and victims of honour-based abuse who may be helpful in investigations of serious crimes. (National Crime Agency, 2019). Similarly, Citizens Advice runs Witness Service that assists victims to understand the dynamics of the court process, i.e., by offering them pre-trial support and visiting the court before the trial day. </w:t>
      </w:r>
    </w:p>
    <w:p w14:paraId="5A4CBF77" w14:textId="77777777" w:rsidR="004F0DCC" w:rsidRPr="002608B2" w:rsidRDefault="004F0DCC" w:rsidP="002608B2">
      <w:pPr>
        <w:spacing w:after="0" w:line="480" w:lineRule="auto"/>
        <w:contextualSpacing/>
        <w:rPr>
          <w:rFonts w:ascii="Arial" w:hAnsi="Arial" w:cs="Arial"/>
          <w:sz w:val="24"/>
          <w:szCs w:val="24"/>
        </w:rPr>
      </w:pPr>
    </w:p>
    <w:p w14:paraId="4D5A2FF7" w14:textId="77777777"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Failure to protect victims of crime is a key issue in England and Wales. Syal (2022) reports that the dramatic drop in confidence and trust in the criminal justice system has resulted in about 1.5 million victims of crime in the UK opting not to pursue their cases. In most instances, victims are let down, and criminals or offenders are released, and much can be attributed to the lack of protection of the vulnerable. Syal (2022) further argues that failing to safeguard victims results in the public losing confidence in the ability of the police service to keep them safe. The Code of Practice details that victims have a right to be safeguarded from intimidation, re-victimisation, or even retaliation during or after police investigations and court proceedings (Ministry of Justice, 2020). The protection under the Code also requires service providers to respect the victims’ privacy in line with their obligations under the applicable privacy as well as data protection laws (Home Office, 2022). The recent police guidance included in the Police, Crime, Sentencing, and Courts (PCSC) Act 2022 is crucial in ensuring that victims’ rights to privacy are effectively safeguarded during rape investigations (Home Office, 2022b). With such protection, the media can be stopped from disclosing the information or identity of the victim, for instance, by focusing on the actions or inaction of the victim instead of those of the offender.</w:t>
      </w:r>
    </w:p>
    <w:p w14:paraId="17EEFA9D" w14:textId="77777777" w:rsidR="004F0DCC" w:rsidRPr="002608B2" w:rsidRDefault="004F0DCC" w:rsidP="002608B2">
      <w:pPr>
        <w:spacing w:after="0" w:line="480" w:lineRule="auto"/>
        <w:contextualSpacing/>
        <w:rPr>
          <w:rFonts w:ascii="Arial" w:hAnsi="Arial" w:cs="Arial"/>
          <w:sz w:val="24"/>
          <w:szCs w:val="24"/>
        </w:rPr>
      </w:pPr>
    </w:p>
    <w:p w14:paraId="46111162" w14:textId="10DF937E"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In the UK, victims of crime also need support and assistance. The Code of Practice emphasises the importance of seeking support and assistance to assist victims in recovering (Ministry of Justice, 2020). This category has a wide array of needs, i.e., psychological, emotional, legal, financial, and practical help. According to Bryce et al. (2016), early support and assistance could assist in the prevention of bigger and more sophisticated problems that victims are likely to encounter in the future; for instance</w:t>
      </w:r>
      <w:r w:rsidRPr="000A38E6">
        <w:rPr>
          <w:rFonts w:ascii="Arial" w:hAnsi="Arial" w:cs="Arial"/>
          <w:sz w:val="24"/>
          <w:szCs w:val="24"/>
        </w:rPr>
        <w:t>, preventing minor trauma could prevent the occurrence of PTSD.</w:t>
      </w:r>
      <w:r w:rsidR="000A38E6" w:rsidRPr="000A38E6">
        <w:rPr>
          <w:rFonts w:ascii="Arial" w:hAnsi="Arial" w:cs="Arial"/>
          <w:sz w:val="24"/>
          <w:szCs w:val="24"/>
        </w:rPr>
        <w:t xml:space="preserve"> </w:t>
      </w:r>
      <w:r w:rsidR="000A38E6" w:rsidRPr="000A38E6">
        <w:rPr>
          <w:rFonts w:ascii="Arial" w:hAnsi="Arial" w:cs="Arial"/>
          <w:sz w:val="24"/>
          <w:szCs w:val="24"/>
        </w:rPr>
        <w:t>According to Burrows (2014) and the Ministry of Justice (2020), public policy in the UK places a high priority on the needs of victims and encourages them to engage with support services as well as the criminal justice system.</w:t>
      </w:r>
      <w:r w:rsidRPr="002608B2">
        <w:rPr>
          <w:rFonts w:ascii="Arial" w:hAnsi="Arial" w:cs="Arial"/>
          <w:sz w:val="24"/>
          <w:szCs w:val="24"/>
        </w:rPr>
        <w:t xml:space="preserve"> Bryce et al. (2016) support the insights but present a different perspective, arguing that the level of engagement with victim support services, including shelter information, emergency financial assistance, and advocacy, is particularly low. Support services available to victims include counselling and therapy (offered by the NHS), follow-on support, mediation services, advice on security and prevention of crime, and restorative justice (MOPAC, 2014). These services are invaluable in guaranteeing the well-being of crime victims.</w:t>
      </w:r>
    </w:p>
    <w:p w14:paraId="17D4A6DC" w14:textId="77777777"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Victims' rights or entitlements include access to justice and fair treatment, as well as compensation and restitution.These are well-detailed under the Code of Practice, making them applicable to victims of crime in the UK. The procedural rights of victims relating to the right to complete information are also detailed under the Code of Practice. The crucial information relates to procedures, the role of the victim in such legal procedures, progress reports, and explanations of any delays and results of proceedings (Ministry of Justice, 2020). Moreover, victims need information about departments or organisations offering further help, including protection, support, compensation, and legal assistance (Ministry of Justice, 2020; 2022; Metropolitan Police, 2023). Miers (2014) argues that even though state compensation schemes are criticised for their heavy regulation and delays in providing redress, ensuring their efficiency and tailoring them to the needs of the victims could be crucial. In particular, the schemes can be less costly and thus not burden the state.</w:t>
      </w:r>
    </w:p>
    <w:p w14:paraId="5411F99F" w14:textId="2BBA09BB" w:rsidR="004F0DCC" w:rsidRPr="002608B2" w:rsidRDefault="004F0DCC" w:rsidP="002608B2">
      <w:pPr>
        <w:spacing w:after="0" w:line="480" w:lineRule="auto"/>
        <w:contextualSpacing/>
        <w:rPr>
          <w:rFonts w:ascii="Arial" w:hAnsi="Arial" w:cs="Arial"/>
          <w:sz w:val="24"/>
          <w:szCs w:val="24"/>
        </w:rPr>
      </w:pPr>
      <w:r w:rsidRPr="002608B2">
        <w:rPr>
          <w:rFonts w:ascii="Arial" w:hAnsi="Arial" w:cs="Arial"/>
          <w:sz w:val="24"/>
          <w:szCs w:val="24"/>
        </w:rPr>
        <w:t>The essay acknowledged a rapid evolution of the nature of crime in England and Wales, and with this, there is an increase in the number of victims of crime. As detailed in the essay, the critical needs of victims are respect and recognition, offering protection and safety, support and assistance, accessing justice and fair treatment, and lastly, compensation and restitution. The Code of Practice is applicable and aligns with the needs of victims, including informing them and offering support, protection, leg</w:t>
      </w:r>
      <w:r w:rsidR="002608B2" w:rsidRPr="002608B2">
        <w:rPr>
          <w:rFonts w:ascii="Arial" w:hAnsi="Arial" w:cs="Arial"/>
          <w:sz w:val="24"/>
          <w:szCs w:val="24"/>
        </w:rPr>
        <w:t>al assistance, and compensation</w:t>
      </w:r>
      <w:r w:rsidRPr="002608B2">
        <w:rPr>
          <w:rFonts w:ascii="Arial" w:hAnsi="Arial" w:cs="Arial"/>
          <w:sz w:val="24"/>
          <w:szCs w:val="24"/>
        </w:rPr>
        <w:t>. The findings have significant implications for the police service, social services, and criminal justice system regarding the importance of meeting the identified needs and providing support services for the victims’ overall well-being.</w:t>
      </w:r>
    </w:p>
    <w:p w14:paraId="152E704B" w14:textId="0A66D7F9" w:rsidR="004F0DCC" w:rsidRDefault="004F0DCC" w:rsidP="00280F2D">
      <w:pPr>
        <w:rPr>
          <w:rStyle w:val="BookTitle"/>
        </w:rPr>
      </w:pPr>
    </w:p>
    <w:p w14:paraId="0C2AFDEB" w14:textId="77777777" w:rsidR="004F0DCC" w:rsidRPr="001B0BDC" w:rsidRDefault="004F0DCC" w:rsidP="004F0DCC">
      <w:pPr>
        <w:rPr>
          <w:rFonts w:ascii="Times New Roman" w:hAnsi="Times New Roman" w:cs="Times New Roman"/>
          <w:sz w:val="24"/>
          <w:szCs w:val="24"/>
        </w:rPr>
      </w:pPr>
    </w:p>
    <w:p w14:paraId="267817D1" w14:textId="685BCB01" w:rsidR="004F0DCC" w:rsidRPr="001B0BDC" w:rsidRDefault="004F0DCC" w:rsidP="004F0DCC">
      <w:pPr>
        <w:rPr>
          <w:rFonts w:ascii="Times New Roman" w:hAnsi="Times New Roman" w:cs="Times New Roman"/>
          <w:sz w:val="24"/>
          <w:szCs w:val="24"/>
        </w:rPr>
      </w:pPr>
    </w:p>
    <w:p w14:paraId="05AF7B68" w14:textId="77777777" w:rsidR="001B0BDC" w:rsidRDefault="004F0DCC" w:rsidP="004F0DCC">
      <w:pPr>
        <w:spacing w:after="0" w:line="480" w:lineRule="auto"/>
        <w:contextualSpacing/>
        <w:jc w:val="center"/>
        <w:rPr>
          <w:rFonts w:ascii="Times New Roman" w:hAnsi="Times New Roman" w:cs="Times New Roman"/>
          <w:sz w:val="24"/>
          <w:szCs w:val="24"/>
        </w:rPr>
      </w:pPr>
      <w:r w:rsidRPr="001B0BDC">
        <w:rPr>
          <w:rFonts w:ascii="Times New Roman" w:hAnsi="Times New Roman" w:cs="Times New Roman"/>
          <w:sz w:val="24"/>
          <w:szCs w:val="24"/>
        </w:rPr>
        <w:tab/>
      </w:r>
    </w:p>
    <w:p w14:paraId="6C15A279" w14:textId="77777777" w:rsidR="001B0BDC" w:rsidRDefault="001B0BDC" w:rsidP="004F0DCC">
      <w:pPr>
        <w:spacing w:after="0" w:line="480" w:lineRule="auto"/>
        <w:contextualSpacing/>
        <w:jc w:val="center"/>
        <w:rPr>
          <w:rFonts w:ascii="Times New Roman" w:hAnsi="Times New Roman" w:cs="Times New Roman"/>
          <w:sz w:val="24"/>
          <w:szCs w:val="24"/>
        </w:rPr>
      </w:pPr>
    </w:p>
    <w:p w14:paraId="450AC4FD" w14:textId="77777777" w:rsidR="001B0BDC" w:rsidRDefault="001B0BDC" w:rsidP="004F0DCC">
      <w:pPr>
        <w:spacing w:after="0" w:line="480" w:lineRule="auto"/>
        <w:contextualSpacing/>
        <w:jc w:val="center"/>
        <w:rPr>
          <w:rFonts w:ascii="Times New Roman" w:hAnsi="Times New Roman" w:cs="Times New Roman"/>
          <w:sz w:val="24"/>
          <w:szCs w:val="24"/>
        </w:rPr>
      </w:pPr>
    </w:p>
    <w:p w14:paraId="68A8FE72" w14:textId="77777777" w:rsidR="001B0BDC" w:rsidRDefault="001B0BDC" w:rsidP="004F0DCC">
      <w:pPr>
        <w:spacing w:after="0" w:line="480" w:lineRule="auto"/>
        <w:contextualSpacing/>
        <w:jc w:val="center"/>
        <w:rPr>
          <w:rFonts w:ascii="Times New Roman" w:hAnsi="Times New Roman" w:cs="Times New Roman"/>
          <w:sz w:val="24"/>
          <w:szCs w:val="24"/>
        </w:rPr>
      </w:pPr>
    </w:p>
    <w:p w14:paraId="5E45EF7E" w14:textId="77777777" w:rsidR="001B0BDC" w:rsidRDefault="001B0BDC" w:rsidP="004F0DCC">
      <w:pPr>
        <w:spacing w:after="0" w:line="480" w:lineRule="auto"/>
        <w:contextualSpacing/>
        <w:jc w:val="center"/>
        <w:rPr>
          <w:rFonts w:ascii="Times New Roman" w:hAnsi="Times New Roman" w:cs="Times New Roman"/>
          <w:sz w:val="24"/>
          <w:szCs w:val="24"/>
        </w:rPr>
      </w:pPr>
    </w:p>
    <w:p w14:paraId="23C30375" w14:textId="77777777" w:rsidR="001B0BDC" w:rsidRDefault="001B0BDC" w:rsidP="004F0DCC">
      <w:pPr>
        <w:spacing w:after="0" w:line="480" w:lineRule="auto"/>
        <w:contextualSpacing/>
        <w:jc w:val="center"/>
        <w:rPr>
          <w:rFonts w:ascii="Times New Roman" w:hAnsi="Times New Roman" w:cs="Times New Roman"/>
          <w:sz w:val="24"/>
          <w:szCs w:val="24"/>
        </w:rPr>
      </w:pPr>
    </w:p>
    <w:p w14:paraId="3FF5EE4F" w14:textId="77777777" w:rsidR="001B0BDC" w:rsidRDefault="001B0BDC" w:rsidP="004F0DCC">
      <w:pPr>
        <w:spacing w:after="0" w:line="480" w:lineRule="auto"/>
        <w:contextualSpacing/>
        <w:jc w:val="center"/>
        <w:rPr>
          <w:rFonts w:ascii="Times New Roman" w:hAnsi="Times New Roman" w:cs="Times New Roman"/>
          <w:sz w:val="24"/>
          <w:szCs w:val="24"/>
        </w:rPr>
      </w:pPr>
    </w:p>
    <w:p w14:paraId="75FF0536" w14:textId="77777777" w:rsidR="001B0BDC" w:rsidRDefault="001B0BDC" w:rsidP="004F0DCC">
      <w:pPr>
        <w:spacing w:after="0" w:line="480" w:lineRule="auto"/>
        <w:contextualSpacing/>
        <w:jc w:val="center"/>
        <w:rPr>
          <w:rFonts w:ascii="Times New Roman" w:hAnsi="Times New Roman" w:cs="Times New Roman"/>
          <w:sz w:val="24"/>
          <w:szCs w:val="24"/>
        </w:rPr>
      </w:pPr>
    </w:p>
    <w:p w14:paraId="6027EEE9" w14:textId="58C418FA" w:rsidR="004F0DCC" w:rsidRPr="001B0BDC" w:rsidRDefault="004F0DCC" w:rsidP="004F0DCC">
      <w:pPr>
        <w:spacing w:after="0" w:line="480" w:lineRule="auto"/>
        <w:contextualSpacing/>
        <w:jc w:val="center"/>
        <w:rPr>
          <w:rFonts w:ascii="Times New Roman" w:hAnsi="Times New Roman" w:cs="Times New Roman"/>
          <w:b/>
          <w:sz w:val="24"/>
          <w:szCs w:val="24"/>
        </w:rPr>
      </w:pPr>
      <w:r w:rsidRPr="001B0BDC">
        <w:rPr>
          <w:rFonts w:ascii="Times New Roman" w:hAnsi="Times New Roman" w:cs="Times New Roman"/>
          <w:b/>
          <w:sz w:val="24"/>
          <w:szCs w:val="24"/>
        </w:rPr>
        <w:t>References:</w:t>
      </w:r>
    </w:p>
    <w:p w14:paraId="1EC0EFE8" w14:textId="77777777" w:rsidR="001B0BDC" w:rsidRPr="001B0BDC" w:rsidRDefault="001B0BDC" w:rsidP="004F0DCC">
      <w:pPr>
        <w:tabs>
          <w:tab w:val="left" w:pos="1290"/>
        </w:tabs>
        <w:rPr>
          <w:rFonts w:ascii="Verdana" w:hAnsi="Verdana"/>
          <w:color w:val="000000" w:themeColor="text1"/>
        </w:rPr>
      </w:pPr>
    </w:p>
    <w:p w14:paraId="6AC04F8D" w14:textId="77777777"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Bryce, J., Brooks, M., Robinson, P., Stokes, R., Irving, M., Graham-Kevan, N., Willan, V.J., Khan, R., Karwacka, M. and Lowe, M., 2016. A qualitative examination of engagement with support services by victims of violent crime. </w:t>
      </w:r>
      <w:r w:rsidRPr="001B0BDC">
        <w:rPr>
          <w:rFonts w:ascii="Times New Roman" w:eastAsia="Times New Roman" w:hAnsi="Times New Roman" w:cs="Times New Roman"/>
          <w:i/>
          <w:iCs/>
          <w:color w:val="000000" w:themeColor="text1"/>
          <w:sz w:val="24"/>
          <w:szCs w:val="24"/>
        </w:rPr>
        <w:t>International Review of Victimology</w:t>
      </w:r>
      <w:r w:rsidRPr="001B0BDC">
        <w:rPr>
          <w:rFonts w:ascii="Times New Roman" w:eastAsia="Times New Roman" w:hAnsi="Times New Roman" w:cs="Times New Roman"/>
          <w:color w:val="000000" w:themeColor="text1"/>
          <w:sz w:val="24"/>
          <w:szCs w:val="24"/>
        </w:rPr>
        <w:t>, </w:t>
      </w:r>
      <w:r w:rsidRPr="001B0BDC">
        <w:rPr>
          <w:rFonts w:ascii="Times New Roman" w:eastAsia="Times New Roman" w:hAnsi="Times New Roman" w:cs="Times New Roman"/>
          <w:b/>
          <w:bCs/>
          <w:color w:val="000000" w:themeColor="text1"/>
          <w:sz w:val="24"/>
          <w:szCs w:val="24"/>
        </w:rPr>
        <w:t>22</w:t>
      </w:r>
      <w:r w:rsidRPr="001B0BDC">
        <w:rPr>
          <w:rFonts w:ascii="Times New Roman" w:eastAsia="Times New Roman" w:hAnsi="Times New Roman" w:cs="Times New Roman"/>
          <w:color w:val="000000" w:themeColor="text1"/>
          <w:sz w:val="24"/>
          <w:szCs w:val="24"/>
        </w:rPr>
        <w:t>(3), pp.239-255. doi:10.1177/0269758016649050.</w:t>
      </w:r>
    </w:p>
    <w:p w14:paraId="6EB8BDDE" w14:textId="77777777"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 xml:space="preserve">Burrows, J., 2014. Victim awareness: re-examining a probation fundamental. </w:t>
      </w:r>
      <w:r w:rsidRPr="001B0BDC">
        <w:rPr>
          <w:rFonts w:ascii="Times New Roman" w:eastAsia="Times New Roman" w:hAnsi="Times New Roman" w:cs="Times New Roman"/>
          <w:i/>
          <w:color w:val="000000" w:themeColor="text1"/>
          <w:sz w:val="24"/>
          <w:szCs w:val="24"/>
        </w:rPr>
        <w:t>The Probation Journal</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b/>
          <w:bCs/>
          <w:color w:val="000000" w:themeColor="text1"/>
          <w:sz w:val="24"/>
          <w:szCs w:val="24"/>
        </w:rPr>
        <w:t>61</w:t>
      </w:r>
      <w:r w:rsidRPr="001B0BDC">
        <w:rPr>
          <w:rFonts w:ascii="Times New Roman" w:eastAsia="Times New Roman" w:hAnsi="Times New Roman" w:cs="Times New Roman"/>
          <w:color w:val="000000" w:themeColor="text1"/>
          <w:sz w:val="24"/>
          <w:szCs w:val="24"/>
        </w:rPr>
        <w:t>, pp.113-116.</w:t>
      </w:r>
    </w:p>
    <w:p w14:paraId="4058F232" w14:textId="77777777"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 xml:space="preserve">Cook, I. and Davies, P., 2017. Supporting victims and witnesses. In: </w:t>
      </w:r>
      <w:r w:rsidRPr="001B0BDC">
        <w:rPr>
          <w:rFonts w:ascii="Times New Roman" w:eastAsia="Times New Roman" w:hAnsi="Times New Roman" w:cs="Times New Roman"/>
          <w:i/>
          <w:color w:val="000000" w:themeColor="text1"/>
          <w:sz w:val="24"/>
          <w:szCs w:val="24"/>
        </w:rPr>
        <w:t>Introduction to criminal justice</w:t>
      </w:r>
      <w:r w:rsidRPr="001B0BDC">
        <w:rPr>
          <w:rFonts w:ascii="Times New Roman" w:eastAsia="Times New Roman" w:hAnsi="Times New Roman" w:cs="Times New Roman"/>
          <w:color w:val="000000" w:themeColor="text1"/>
          <w:sz w:val="24"/>
          <w:szCs w:val="24"/>
        </w:rPr>
        <w:t>. London: SAGE Publishing, pp.388-404.</w:t>
      </w:r>
    </w:p>
    <w:p w14:paraId="71108C15" w14:textId="6D0926DA" w:rsid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u w:val="single"/>
        </w:rPr>
      </w:pPr>
      <w:r w:rsidRPr="001B0BDC">
        <w:rPr>
          <w:rFonts w:ascii="Times New Roman" w:eastAsia="Times New Roman" w:hAnsi="Times New Roman" w:cs="Times New Roman"/>
          <w:color w:val="000000" w:themeColor="text1"/>
          <w:sz w:val="24"/>
          <w:szCs w:val="24"/>
        </w:rPr>
        <w:t xml:space="preserve">CPS, 2021. </w:t>
      </w:r>
      <w:r w:rsidRPr="001B0BDC">
        <w:rPr>
          <w:rFonts w:ascii="Times New Roman" w:eastAsia="Times New Roman" w:hAnsi="Times New Roman" w:cs="Times New Roman"/>
          <w:i/>
          <w:iCs/>
          <w:color w:val="000000" w:themeColor="text1"/>
          <w:sz w:val="24"/>
          <w:szCs w:val="24"/>
        </w:rPr>
        <w:t>Victims and witnesses: care and treatment</w:t>
      </w:r>
      <w:r w:rsidRPr="001B0BDC">
        <w:rPr>
          <w:rFonts w:ascii="Times New Roman" w:eastAsia="Times New Roman" w:hAnsi="Times New Roman" w:cs="Times New Roman"/>
          <w:color w:val="000000" w:themeColor="text1"/>
          <w:sz w:val="24"/>
          <w:szCs w:val="24"/>
        </w:rPr>
        <w:t>.</w:t>
      </w:r>
      <w:r w:rsidRPr="001B0BDC">
        <w:rPr>
          <w:rFonts w:ascii="Times New Roman" w:eastAsia="Times New Roman" w:hAnsi="Times New Roman" w:cs="Times New Roman"/>
          <w:i/>
          <w:iCs/>
          <w:color w:val="000000" w:themeColor="text1"/>
          <w:sz w:val="24"/>
          <w:szCs w:val="24"/>
        </w:rPr>
        <w:t xml:space="preserve"> </w:t>
      </w:r>
      <w:r w:rsidRPr="001B0BDC">
        <w:rPr>
          <w:rFonts w:ascii="Times New Roman" w:eastAsia="Times New Roman" w:hAnsi="Times New Roman" w:cs="Times New Roman"/>
          <w:color w:val="000000" w:themeColor="text1"/>
          <w:sz w:val="24"/>
          <w:szCs w:val="24"/>
        </w:rPr>
        <w:t>[Online] Available at:</w:t>
      </w:r>
      <w:r w:rsidRPr="001B0BDC">
        <w:rPr>
          <w:rFonts w:ascii="Times New Roman" w:eastAsia="Times New Roman" w:hAnsi="Times New Roman" w:cs="Times New Roman"/>
          <w:i/>
          <w:iCs/>
          <w:color w:val="000000" w:themeColor="text1"/>
          <w:sz w:val="24"/>
          <w:szCs w:val="24"/>
        </w:rPr>
        <w:t xml:space="preserve"> </w:t>
      </w:r>
      <w:hyperlink r:id="rId9" w:history="1">
        <w:r w:rsidRPr="00165B11">
          <w:rPr>
            <w:rStyle w:val="Hyperlink"/>
            <w:rFonts w:ascii="Times New Roman" w:eastAsia="Times New Roman" w:hAnsi="Times New Roman" w:cs="Times New Roman"/>
            <w:sz w:val="24"/>
            <w:szCs w:val="24"/>
          </w:rPr>
          <w:t>https://www.cps.gov.uk/legal-guidance/victims-and-witnesses-care-and-treatment</w:t>
        </w:r>
      </w:hyperlink>
    </w:p>
    <w:p w14:paraId="2F504E71" w14:textId="0A977FDA"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[Accessed 28/2/2023].</w:t>
      </w:r>
    </w:p>
    <w:p w14:paraId="36DE1C91" w14:textId="682D50A5" w:rsidR="001B0BDC" w:rsidRPr="001B0BDC" w:rsidRDefault="001B0BDC" w:rsidP="004F0DCC">
      <w:pPr>
        <w:pStyle w:val="NormalWeb"/>
        <w:shd w:val="clear" w:color="auto" w:fill="FFFFFF"/>
        <w:spacing w:before="0" w:beforeAutospacing="0" w:after="0" w:afterAutospacing="0" w:line="480" w:lineRule="auto"/>
        <w:ind w:left="720" w:hanging="720"/>
        <w:contextualSpacing/>
        <w:rPr>
          <w:color w:val="000000" w:themeColor="text1"/>
          <w:lang w:val="en-GB"/>
        </w:rPr>
      </w:pPr>
      <w:r w:rsidRPr="001B0BDC">
        <w:rPr>
          <w:color w:val="000000" w:themeColor="text1"/>
          <w:lang w:val="en-GB"/>
        </w:rPr>
        <w:t>Cr</w:t>
      </w:r>
      <w:r>
        <w:rPr>
          <w:color w:val="000000" w:themeColor="text1"/>
          <w:lang w:val="en-GB"/>
        </w:rPr>
        <w:t>iminal Justice Joint Inspection.,</w:t>
      </w:r>
      <w:r w:rsidRPr="001B0BDC">
        <w:rPr>
          <w:color w:val="000000" w:themeColor="text1"/>
          <w:lang w:val="en-GB"/>
        </w:rPr>
        <w:t xml:space="preserve"> </w:t>
      </w:r>
      <w:r>
        <w:rPr>
          <w:color w:val="000000" w:themeColor="text1"/>
          <w:lang w:val="en-GB"/>
        </w:rPr>
        <w:t>(2015)</w:t>
      </w:r>
      <w:r w:rsidRPr="001B0BDC">
        <w:rPr>
          <w:color w:val="000000" w:themeColor="text1"/>
          <w:lang w:val="en-GB"/>
        </w:rPr>
        <w:t xml:space="preserve"> Meeting the needs of victims in the criminal justice system - a consolidated report by the criminal justice inspectorates. </w:t>
      </w:r>
      <w:r w:rsidRPr="001B0BDC">
        <w:rPr>
          <w:i/>
          <w:color w:val="000000" w:themeColor="text1"/>
          <w:lang w:val="en-GB"/>
        </w:rPr>
        <w:t>CJJI</w:t>
      </w:r>
      <w:r w:rsidRPr="001B0BDC">
        <w:rPr>
          <w:color w:val="000000" w:themeColor="text1"/>
          <w:lang w:val="en-GB"/>
        </w:rPr>
        <w:t xml:space="preserve">, </w:t>
      </w:r>
      <w:r w:rsidRPr="001B0BDC">
        <w:rPr>
          <w:b/>
          <w:bCs/>
          <w:color w:val="000000" w:themeColor="text1"/>
          <w:lang w:val="en-GB"/>
        </w:rPr>
        <w:t>5</w:t>
      </w:r>
      <w:r w:rsidRPr="001B0BDC">
        <w:rPr>
          <w:color w:val="000000" w:themeColor="text1"/>
          <w:lang w:val="en-GB"/>
        </w:rPr>
        <w:t>, pp.1-89.</w:t>
      </w:r>
    </w:p>
    <w:p w14:paraId="01FAC683" w14:textId="4C6F40A1" w:rsidR="001B0BDC" w:rsidRPr="001B0BDC" w:rsidRDefault="001B0BDC" w:rsidP="002608B2">
      <w:pPr>
        <w:spacing w:before="100" w:beforeAutospacing="1" w:after="100" w:afterAutospacing="1" w:line="240" w:lineRule="auto"/>
        <w:ind w:left="567" w:hanging="567"/>
        <w:rPr>
          <w:rFonts w:ascii="Times New Roman" w:hAnsi="Times New Roman" w:cs="Times New Roman"/>
          <w:color w:val="000000" w:themeColor="text1"/>
          <w:sz w:val="24"/>
          <w:szCs w:val="24"/>
          <w:shd w:val="clear" w:color="auto" w:fill="FFFFFF"/>
        </w:rPr>
      </w:pPr>
      <w:r w:rsidRPr="001B0BDC">
        <w:rPr>
          <w:rFonts w:ascii="Times New Roman" w:hAnsi="Times New Roman" w:cs="Times New Roman"/>
          <w:color w:val="000000" w:themeColor="text1"/>
          <w:sz w:val="24"/>
          <w:szCs w:val="24"/>
          <w:shd w:val="clear" w:color="auto" w:fill="FFFFFF"/>
        </w:rPr>
        <w:t>Davies, Francis, P., &amp; Greer, C.</w:t>
      </w:r>
      <w:r>
        <w:rPr>
          <w:rFonts w:ascii="Times New Roman" w:hAnsi="Times New Roman" w:cs="Times New Roman"/>
          <w:color w:val="000000" w:themeColor="text1"/>
          <w:sz w:val="24"/>
          <w:szCs w:val="24"/>
          <w:shd w:val="clear" w:color="auto" w:fill="FFFFFF"/>
        </w:rPr>
        <w:t xml:space="preserve">, (2017) </w:t>
      </w:r>
      <w:r w:rsidRPr="001B0BDC">
        <w:rPr>
          <w:rFonts w:ascii="Times New Roman" w:hAnsi="Times New Roman" w:cs="Times New Roman"/>
          <w:i/>
          <w:iCs/>
          <w:color w:val="000000" w:themeColor="text1"/>
          <w:sz w:val="24"/>
          <w:szCs w:val="24"/>
          <w:shd w:val="clear" w:color="auto" w:fill="FFFFFF"/>
        </w:rPr>
        <w:t>Victims, crime &amp; society : an introduction</w:t>
      </w:r>
      <w:r w:rsidRPr="001B0BDC">
        <w:rPr>
          <w:rFonts w:ascii="Times New Roman" w:hAnsi="Times New Roman" w:cs="Times New Roman"/>
          <w:color w:val="000000" w:themeColor="text1"/>
          <w:sz w:val="24"/>
          <w:szCs w:val="24"/>
          <w:shd w:val="clear" w:color="auto" w:fill="FFFFFF"/>
        </w:rPr>
        <w:t> (Davies, P. Francis, &amp; C. (Chris R. H. . Greer, Eds.; Second edition.). SAGE Publications Ltd.</w:t>
      </w:r>
    </w:p>
    <w:p w14:paraId="0C9E4F48" w14:textId="2E9A1BC8" w:rsidR="001B0BDC" w:rsidRPr="001B0BDC" w:rsidRDefault="001B0BDC" w:rsidP="002608B2">
      <w:pPr>
        <w:spacing w:before="100" w:beforeAutospacing="1" w:after="100" w:afterAutospacing="1" w:line="240" w:lineRule="auto"/>
        <w:ind w:left="567" w:hanging="567"/>
        <w:rPr>
          <w:rFonts w:ascii="Times New Roman" w:hAnsi="Times New Roman" w:cs="Times New Roman"/>
          <w:color w:val="000000" w:themeColor="text1"/>
          <w:sz w:val="24"/>
          <w:szCs w:val="24"/>
          <w:shd w:val="clear" w:color="auto" w:fill="FFFFFF"/>
        </w:rPr>
      </w:pPr>
      <w:r w:rsidRPr="001B0BDC">
        <w:rPr>
          <w:rFonts w:ascii="Times New Roman" w:hAnsi="Times New Roman" w:cs="Times New Roman"/>
          <w:color w:val="000000" w:themeColor="text1"/>
          <w:sz w:val="24"/>
          <w:szCs w:val="24"/>
          <w:shd w:val="clear" w:color="auto" w:fill="FFFFFF"/>
        </w:rPr>
        <w:t>Davies.</w:t>
      </w:r>
      <w:r>
        <w:rPr>
          <w:rFonts w:ascii="Times New Roman" w:hAnsi="Times New Roman" w:cs="Times New Roman"/>
          <w:color w:val="000000" w:themeColor="text1"/>
          <w:sz w:val="24"/>
          <w:szCs w:val="24"/>
          <w:shd w:val="clear" w:color="auto" w:fill="FFFFFF"/>
        </w:rPr>
        <w:t>, (2011)</w:t>
      </w:r>
      <w:r w:rsidRPr="001B0BDC">
        <w:rPr>
          <w:rFonts w:ascii="Times New Roman" w:hAnsi="Times New Roman" w:cs="Times New Roman"/>
          <w:color w:val="000000" w:themeColor="text1"/>
          <w:sz w:val="24"/>
          <w:szCs w:val="24"/>
          <w:shd w:val="clear" w:color="auto" w:fill="FFFFFF"/>
        </w:rPr>
        <w:t> </w:t>
      </w:r>
      <w:r w:rsidRPr="001B0BDC">
        <w:rPr>
          <w:rFonts w:ascii="Times New Roman" w:hAnsi="Times New Roman" w:cs="Times New Roman"/>
          <w:i/>
          <w:iCs/>
          <w:color w:val="000000" w:themeColor="text1"/>
          <w:sz w:val="24"/>
          <w:szCs w:val="24"/>
          <w:shd w:val="clear" w:color="auto" w:fill="FFFFFF"/>
        </w:rPr>
        <w:t>Gender, crime and victimisation</w:t>
      </w:r>
      <w:r w:rsidRPr="001B0BDC">
        <w:rPr>
          <w:rFonts w:ascii="Times New Roman" w:hAnsi="Times New Roman" w:cs="Times New Roman"/>
          <w:color w:val="000000" w:themeColor="text1"/>
          <w:sz w:val="24"/>
          <w:szCs w:val="24"/>
          <w:shd w:val="clear" w:color="auto" w:fill="FFFFFF"/>
        </w:rPr>
        <w:t>. SAGE Publications Ltd.</w:t>
      </w:r>
    </w:p>
    <w:p w14:paraId="30543FC5" w14:textId="3574E258" w:rsidR="001B0BDC" w:rsidRPr="001B0BDC" w:rsidRDefault="001B0BDC" w:rsidP="004F0DCC">
      <w:pPr>
        <w:shd w:val="clear" w:color="auto" w:fill="FFFFFF"/>
        <w:spacing w:after="0" w:line="480" w:lineRule="auto"/>
        <w:ind w:left="720" w:hanging="720"/>
        <w:contextualSpacing/>
        <w:rPr>
          <w:rFonts w:ascii="Times New Roman" w:hAnsi="Times New Roman" w:cs="Times New Roman"/>
          <w:color w:val="000000" w:themeColor="text1"/>
          <w:sz w:val="24"/>
          <w:szCs w:val="24"/>
        </w:rPr>
      </w:pPr>
      <w:r w:rsidRPr="001B0BDC">
        <w:rPr>
          <w:rFonts w:ascii="Times New Roman" w:hAnsi="Times New Roman" w:cs="Times New Roman"/>
          <w:color w:val="000000" w:themeColor="text1"/>
          <w:sz w:val="24"/>
          <w:szCs w:val="24"/>
        </w:rPr>
        <w:t xml:space="preserve">Edkins, J., </w:t>
      </w:r>
      <w:r>
        <w:rPr>
          <w:rFonts w:ascii="Times New Roman" w:hAnsi="Times New Roman" w:cs="Times New Roman"/>
          <w:color w:val="000000" w:themeColor="text1"/>
          <w:sz w:val="24"/>
          <w:szCs w:val="24"/>
        </w:rPr>
        <w:t>(2019)</w:t>
      </w:r>
      <w:r w:rsidRPr="001B0BDC">
        <w:rPr>
          <w:rFonts w:ascii="Times New Roman" w:hAnsi="Times New Roman" w:cs="Times New Roman"/>
          <w:color w:val="000000" w:themeColor="text1"/>
          <w:sz w:val="24"/>
          <w:szCs w:val="24"/>
        </w:rPr>
        <w:t xml:space="preserve"> The Grenfell Tower fire. In: </w:t>
      </w:r>
      <w:r w:rsidRPr="001B0BDC">
        <w:rPr>
          <w:rFonts w:ascii="Times New Roman" w:hAnsi="Times New Roman" w:cs="Times New Roman"/>
          <w:i/>
          <w:color w:val="000000" w:themeColor="text1"/>
          <w:sz w:val="24"/>
          <w:szCs w:val="24"/>
        </w:rPr>
        <w:t>Change and the politics of certainty</w:t>
      </w:r>
      <w:r w:rsidRPr="001B0BDC">
        <w:rPr>
          <w:rFonts w:ascii="Times New Roman" w:hAnsi="Times New Roman" w:cs="Times New Roman"/>
          <w:color w:val="000000" w:themeColor="text1"/>
          <w:sz w:val="24"/>
          <w:szCs w:val="24"/>
        </w:rPr>
        <w:t>. Manchester: Manchester University Press, pp.168-191.</w:t>
      </w:r>
    </w:p>
    <w:p w14:paraId="7E549D44" w14:textId="61E2E465" w:rsid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sidRPr="001B0BDC">
        <w:rPr>
          <w:color w:val="000000" w:themeColor="text1"/>
          <w:lang w:val="en-GB"/>
        </w:rPr>
        <w:t>HM Government</w:t>
      </w:r>
      <w:r>
        <w:rPr>
          <w:color w:val="000000" w:themeColor="text1"/>
          <w:lang w:val="en-GB"/>
        </w:rPr>
        <w:t>.</w:t>
      </w:r>
      <w:r w:rsidRPr="001B0BDC">
        <w:rPr>
          <w:color w:val="000000" w:themeColor="text1"/>
          <w:lang w:val="en-GB"/>
        </w:rPr>
        <w:t xml:space="preserve">, </w:t>
      </w:r>
      <w:r>
        <w:rPr>
          <w:color w:val="000000" w:themeColor="text1"/>
          <w:lang w:val="en-GB"/>
        </w:rPr>
        <w:t>(2018)</w:t>
      </w:r>
      <w:r w:rsidRPr="001B0BDC">
        <w:rPr>
          <w:color w:val="000000" w:themeColor="text1"/>
          <w:lang w:val="en-GB"/>
        </w:rPr>
        <w:t xml:space="preserve"> </w:t>
      </w:r>
      <w:r w:rsidRPr="001B0BDC">
        <w:rPr>
          <w:i/>
          <w:iCs/>
          <w:color w:val="000000" w:themeColor="text1"/>
          <w:lang w:val="en-GB"/>
        </w:rPr>
        <w:t>Victims strategy</w:t>
      </w:r>
      <w:r w:rsidRPr="001B0BDC">
        <w:rPr>
          <w:color w:val="000000" w:themeColor="text1"/>
          <w:lang w:val="en-GB"/>
        </w:rPr>
        <w:t>. [Online] Available at:</w:t>
      </w:r>
      <w:r>
        <w:rPr>
          <w:color w:val="000000" w:themeColor="text1"/>
          <w:lang w:val="en-GB"/>
        </w:rPr>
        <w:t xml:space="preserve"> </w:t>
      </w:r>
      <w:hyperlink r:id="rId10" w:history="1">
        <w:r w:rsidRPr="00165B11">
          <w:rPr>
            <w:rStyle w:val="Hyperlink"/>
            <w:rFonts w:eastAsiaTheme="majorEastAsia"/>
            <w:iCs/>
            <w:lang w:val="en-GB"/>
          </w:rPr>
          <w:t>https://assets.publishing.service.gov.uk/government/uploads/system/uploads/attachment_data/file/746930/victim-strategy.pdf</w:t>
        </w:r>
      </w:hyperlink>
    </w:p>
    <w:p w14:paraId="2B1F4565" w14:textId="13A00E63" w:rsidR="001B0BDC" w:rsidRPr="001B0BDC" w:rsidRDefault="001B0BDC" w:rsidP="001B0BDC">
      <w:pPr>
        <w:pStyle w:val="NormalWeb"/>
        <w:shd w:val="clear" w:color="auto" w:fill="FFFFFF"/>
        <w:spacing w:before="0" w:beforeAutospacing="0" w:after="0" w:afterAutospacing="0" w:line="480" w:lineRule="auto"/>
        <w:ind w:left="720" w:hanging="720"/>
        <w:contextualSpacing/>
        <w:rPr>
          <w:rFonts w:eastAsiaTheme="majorEastAsia"/>
          <w:iCs/>
          <w:color w:val="000000" w:themeColor="text1"/>
          <w:u w:val="single"/>
          <w:lang w:val="en-GB"/>
        </w:rPr>
      </w:pPr>
      <w:r>
        <w:rPr>
          <w:iCs/>
          <w:color w:val="000000" w:themeColor="text1"/>
          <w:lang w:val="en-GB"/>
        </w:rPr>
        <w:t xml:space="preserve"> </w:t>
      </w:r>
      <w:r w:rsidRPr="001B0BDC">
        <w:rPr>
          <w:iCs/>
          <w:color w:val="000000" w:themeColor="text1"/>
          <w:lang w:val="en-GB"/>
        </w:rPr>
        <w:t>[Accessed 28/2/2023].</w:t>
      </w:r>
    </w:p>
    <w:p w14:paraId="7C4B64C2" w14:textId="6A6FAFF9" w:rsid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Home Office</w:t>
      </w:r>
      <w:r>
        <w:rPr>
          <w:rFonts w:ascii="Times New Roman" w:eastAsia="Times New Roman" w:hAnsi="Times New Roman" w:cs="Times New Roman"/>
          <w:color w:val="000000" w:themeColor="text1"/>
          <w:sz w:val="24"/>
          <w:szCs w:val="24"/>
        </w:rPr>
        <w:t>.</w:t>
      </w:r>
      <w:r w:rsidRPr="001B0BDC">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(2022)</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iCs/>
          <w:color w:val="000000" w:themeColor="text1"/>
          <w:sz w:val="24"/>
          <w:szCs w:val="24"/>
        </w:rPr>
        <w:t>Better protection from invasive data requests for victims of rape</w:t>
      </w:r>
      <w:r w:rsidRPr="001B0BDC">
        <w:rPr>
          <w:rFonts w:ascii="Times New Roman" w:eastAsia="Times New Roman" w:hAnsi="Times New Roman" w:cs="Times New Roman"/>
          <w:color w:val="000000" w:themeColor="text1"/>
          <w:sz w:val="24"/>
          <w:szCs w:val="24"/>
        </w:rPr>
        <w:t xml:space="preserve">. [Online] Available at: </w:t>
      </w:r>
      <w:hyperlink r:id="rId11" w:history="1">
        <w:r w:rsidRPr="00165B11">
          <w:rPr>
            <w:rStyle w:val="Hyperlink"/>
            <w:rFonts w:ascii="Times New Roman" w:eastAsia="Times New Roman" w:hAnsi="Times New Roman" w:cs="Times New Roman"/>
            <w:sz w:val="24"/>
            <w:szCs w:val="24"/>
          </w:rPr>
          <w:t>https://www.gov.uk/government/news/better-protection-from-invasive-data-requests-for-victims-of-rape</w:t>
        </w:r>
      </w:hyperlink>
    </w:p>
    <w:p w14:paraId="69B6004E" w14:textId="4868ECA6" w:rsidR="001B0BDC" w:rsidRPr="001B0BDC" w:rsidRDefault="001B0BDC" w:rsidP="001B0BDC">
      <w:pPr>
        <w:shd w:val="clear" w:color="auto" w:fill="FFFFFF"/>
        <w:spacing w:after="0" w:line="480" w:lineRule="auto"/>
        <w:ind w:left="720" w:hanging="720"/>
        <w:contextualSpacing/>
        <w:rPr>
          <w:rFonts w:ascii="Times New Roman" w:eastAsia="Times New Roman" w:hAnsi="Times New Roman" w:cs="Times New Roman"/>
          <w:iCs/>
          <w:color w:val="000000" w:themeColor="text1"/>
          <w:sz w:val="24"/>
          <w:szCs w:val="24"/>
        </w:rPr>
      </w:pPr>
      <w:r w:rsidRPr="001B0BDC">
        <w:rPr>
          <w:rFonts w:ascii="Times New Roman" w:eastAsia="Times New Roman" w:hAnsi="Times New Roman" w:cs="Times New Roman"/>
          <w:iCs/>
          <w:color w:val="000000" w:themeColor="text1"/>
          <w:sz w:val="24"/>
          <w:szCs w:val="24"/>
        </w:rPr>
        <w:t>[Accessed 28/2/2023].</w:t>
      </w:r>
    </w:p>
    <w:p w14:paraId="7958D87C" w14:textId="6FA62A01" w:rsidR="001B0BDC" w:rsidRDefault="001B0BDC" w:rsidP="001B0BDC">
      <w:pPr>
        <w:shd w:val="clear" w:color="auto" w:fill="FFFFFF"/>
        <w:spacing w:after="0" w:line="480" w:lineRule="auto"/>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Home Office., (2022)</w:t>
      </w:r>
      <w:r w:rsidRPr="001B0BDC">
        <w:rPr>
          <w:rFonts w:ascii="Times New Roman" w:hAnsi="Times New Roman" w:cs="Times New Roman"/>
          <w:color w:val="000000" w:themeColor="text1"/>
          <w:sz w:val="24"/>
          <w:szCs w:val="24"/>
        </w:rPr>
        <w:t xml:space="preserve">. Circular 009/2022: Police, Crime, Sentencing and Courts Act 2022. [Online] Available at: </w:t>
      </w:r>
      <w:hyperlink r:id="rId12" w:anchor=":~:text=The%20Minister%20for%20Crime%2C%20Policing,October%20and%208%20November%202022" w:history="1">
        <w:r w:rsidRPr="00165B11">
          <w:rPr>
            <w:rStyle w:val="Hyperlink"/>
            <w:rFonts w:ascii="Times New Roman" w:hAnsi="Times New Roman" w:cs="Times New Roman"/>
            <w:sz w:val="24"/>
            <w:szCs w:val="24"/>
          </w:rPr>
          <w:t>https://www.gov.uk/government/publications/circular-0092022-police-crime-sentencing-and-courts-act-2022/circular-0092022-police-crime-sentencing-and-courts-act-2022#:~:text=The%20Minister%20for%20Crime%2C%20Policing,October%20and%208%20November%202022</w:t>
        </w:r>
      </w:hyperlink>
      <w:r>
        <w:rPr>
          <w:rFonts w:ascii="Times New Roman" w:hAnsi="Times New Roman" w:cs="Times New Roman"/>
          <w:color w:val="000000" w:themeColor="text1"/>
          <w:sz w:val="24"/>
          <w:szCs w:val="24"/>
        </w:rPr>
        <w:t>.</w:t>
      </w:r>
    </w:p>
    <w:p w14:paraId="4E43096D" w14:textId="77777777" w:rsidR="001B0BDC" w:rsidRDefault="001B0BDC" w:rsidP="001B0BDC">
      <w:pPr>
        <w:shd w:val="clear" w:color="auto" w:fill="FFFFFF"/>
        <w:spacing w:after="0" w:line="480" w:lineRule="auto"/>
        <w:ind w:left="720" w:hanging="720"/>
        <w:contextualSpacing/>
        <w:rPr>
          <w:rFonts w:ascii="Times New Roman" w:hAnsi="Times New Roman" w:cs="Times New Roman"/>
          <w:color w:val="000000" w:themeColor="text1"/>
          <w:sz w:val="24"/>
          <w:szCs w:val="24"/>
        </w:rPr>
      </w:pPr>
      <w:r w:rsidRPr="001B0BDC">
        <w:rPr>
          <w:rFonts w:ascii="Times New Roman" w:hAnsi="Times New Roman" w:cs="Times New Roman"/>
          <w:iCs/>
          <w:color w:val="000000" w:themeColor="text1"/>
          <w:sz w:val="24"/>
          <w:szCs w:val="24"/>
        </w:rPr>
        <w:t>[Accessed 28/2/2023].</w:t>
      </w:r>
    </w:p>
    <w:p w14:paraId="52621F90" w14:textId="32494957" w:rsid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lang w:eastAsia="en-GB"/>
        </w:rPr>
      </w:pPr>
      <w:r w:rsidRPr="001B0BDC">
        <w:rPr>
          <w:rFonts w:ascii="Times New Roman" w:eastAsia="Times New Roman" w:hAnsi="Times New Roman" w:cs="Times New Roman"/>
          <w:i/>
          <w:iCs/>
          <w:color w:val="000000" w:themeColor="text1"/>
          <w:sz w:val="24"/>
          <w:szCs w:val="24"/>
          <w:lang w:eastAsia="en-GB"/>
        </w:rPr>
        <w:t>Home</w:t>
      </w:r>
      <w:r w:rsidRPr="001B0BDC">
        <w:rPr>
          <w:rFonts w:ascii="Times New Roman" w:eastAsia="Times New Roman" w:hAnsi="Times New Roman" w:cs="Times New Roman"/>
          <w:color w:val="000000" w:themeColor="text1"/>
          <w:sz w:val="24"/>
          <w:szCs w:val="24"/>
          <w:lang w:eastAsia="en-GB"/>
        </w:rPr>
        <w:t xml:space="preserve">.,(2023) </w:t>
      </w:r>
      <w:r w:rsidRPr="001B0BDC">
        <w:rPr>
          <w:rFonts w:ascii="Times New Roman" w:eastAsia="Times New Roman" w:hAnsi="Times New Roman" w:cs="Times New Roman"/>
          <w:i/>
          <w:iCs/>
          <w:color w:val="000000" w:themeColor="text1"/>
          <w:sz w:val="24"/>
          <w:szCs w:val="24"/>
          <w:lang w:eastAsia="en-GB"/>
        </w:rPr>
        <w:t>Victim Support</w:t>
      </w:r>
      <w:r w:rsidRPr="001B0BDC">
        <w:rPr>
          <w:rFonts w:ascii="Times New Roman" w:eastAsia="Times New Roman" w:hAnsi="Times New Roman" w:cs="Times New Roman"/>
          <w:color w:val="000000" w:themeColor="text1"/>
          <w:sz w:val="24"/>
          <w:szCs w:val="24"/>
          <w:lang w:eastAsia="en-GB"/>
        </w:rPr>
        <w:t xml:space="preserve">. Victim Support Charity. Available at: </w:t>
      </w:r>
      <w:hyperlink r:id="rId13" w:history="1">
        <w:r w:rsidRPr="00165B11">
          <w:rPr>
            <w:rStyle w:val="Hyperlink"/>
            <w:rFonts w:ascii="Times New Roman" w:eastAsia="Times New Roman" w:hAnsi="Times New Roman" w:cs="Times New Roman"/>
            <w:sz w:val="24"/>
            <w:szCs w:val="24"/>
            <w:lang w:eastAsia="en-GB"/>
          </w:rPr>
          <w:t>https://www.victimsupport.org.uk/</w:t>
        </w:r>
      </w:hyperlink>
    </w:p>
    <w:p w14:paraId="76AE92EA" w14:textId="3DE341DA" w:rsidR="001B0BDC" w:rsidRP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lang w:eastAsia="en-GB"/>
        </w:rPr>
      </w:pPr>
      <w:r w:rsidRPr="001B0BDC">
        <w:rPr>
          <w:rFonts w:ascii="Times New Roman" w:eastAsia="Times New Roman" w:hAnsi="Times New Roman" w:cs="Times New Roman"/>
          <w:color w:val="000000" w:themeColor="text1"/>
          <w:sz w:val="24"/>
          <w:szCs w:val="24"/>
          <w:lang w:eastAsia="en-GB"/>
        </w:rPr>
        <w:t xml:space="preserve">(Accessed: March 10, 2023). </w:t>
      </w:r>
    </w:p>
    <w:p w14:paraId="53ABD460" w14:textId="72878D11" w:rsid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sidRPr="001B0BDC">
        <w:rPr>
          <w:color w:val="000000" w:themeColor="text1"/>
          <w:lang w:val="en-GB"/>
        </w:rPr>
        <w:t xml:space="preserve">Kelly, J. and Morgan, T., </w:t>
      </w:r>
      <w:r>
        <w:rPr>
          <w:color w:val="000000" w:themeColor="text1"/>
          <w:lang w:val="en-GB"/>
        </w:rPr>
        <w:t>(2020)</w:t>
      </w:r>
      <w:r w:rsidRPr="001B0BDC">
        <w:rPr>
          <w:color w:val="000000" w:themeColor="text1"/>
          <w:lang w:val="en-GB"/>
        </w:rPr>
        <w:t xml:space="preserve"> </w:t>
      </w:r>
      <w:r w:rsidRPr="001B0BDC">
        <w:rPr>
          <w:i/>
          <w:iCs/>
          <w:color w:val="000000" w:themeColor="text1"/>
          <w:lang w:val="en-GB"/>
        </w:rPr>
        <w:t>Domestic abuse calls ‘up 25% since lockdown’</w:t>
      </w:r>
      <w:r w:rsidRPr="001B0BDC">
        <w:rPr>
          <w:color w:val="000000" w:themeColor="text1"/>
          <w:lang w:val="en-GB"/>
        </w:rPr>
        <w:t xml:space="preserve">. [Online] Available at: </w:t>
      </w:r>
      <w:hyperlink r:id="rId14" w:history="1">
        <w:r w:rsidRPr="00165B11">
          <w:rPr>
            <w:rStyle w:val="Hyperlink"/>
            <w:lang w:val="en-GB"/>
          </w:rPr>
          <w:t>https://www.bbc.co.uk/news/uk-52157620</w:t>
        </w:r>
      </w:hyperlink>
    </w:p>
    <w:p w14:paraId="22470389" w14:textId="1C7871A0" w:rsidR="001B0BDC" w:rsidRP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sidRPr="001B0BDC">
        <w:rPr>
          <w:iCs/>
          <w:color w:val="000000" w:themeColor="text1"/>
          <w:lang w:val="en-GB"/>
        </w:rPr>
        <w:t>[Accessed 28/2/2023].</w:t>
      </w:r>
    </w:p>
    <w:p w14:paraId="79BC8863" w14:textId="279CAD54" w:rsid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Metropolitan Police., (2023)</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iCs/>
          <w:color w:val="000000" w:themeColor="text1"/>
          <w:sz w:val="24"/>
          <w:szCs w:val="24"/>
        </w:rPr>
        <w:t>How victims of crime can apply for compensation</w:t>
      </w:r>
      <w:r w:rsidRPr="001B0BDC">
        <w:rPr>
          <w:rFonts w:ascii="Times New Roman" w:eastAsia="Times New Roman" w:hAnsi="Times New Roman" w:cs="Times New Roman"/>
          <w:color w:val="000000" w:themeColor="text1"/>
          <w:sz w:val="24"/>
          <w:szCs w:val="24"/>
        </w:rPr>
        <w:t xml:space="preserve">. [Online] Available at: </w:t>
      </w:r>
      <w:hyperlink r:id="rId15" w:history="1">
        <w:r w:rsidRPr="00165B11">
          <w:rPr>
            <w:rStyle w:val="Hyperlink"/>
            <w:rFonts w:ascii="Times New Roman" w:eastAsia="Times New Roman" w:hAnsi="Times New Roman" w:cs="Times New Roman"/>
            <w:sz w:val="24"/>
            <w:szCs w:val="24"/>
          </w:rPr>
          <w:t>https://www.met.police.uk/ar/applyregister/vc/compensation-for-victims-of-crime/</w:t>
        </w:r>
      </w:hyperlink>
    </w:p>
    <w:p w14:paraId="195F613C" w14:textId="68BEC5F0" w:rsidR="001B0BDC" w:rsidRP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u w:val="single"/>
        </w:rPr>
      </w:pP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Cs/>
          <w:color w:val="000000" w:themeColor="text1"/>
          <w:sz w:val="24"/>
          <w:szCs w:val="24"/>
        </w:rPr>
        <w:t>[Accessed 28/2/2023].</w:t>
      </w:r>
    </w:p>
    <w:p w14:paraId="7B21F2B1" w14:textId="168B5AA3" w:rsidR="001B0BDC" w:rsidRPr="001B0BDC" w:rsidRDefault="001B0BDC" w:rsidP="004F0DCC">
      <w:pPr>
        <w:pStyle w:val="NormalWeb"/>
        <w:shd w:val="clear" w:color="auto" w:fill="FFFFFF"/>
        <w:spacing w:before="0" w:beforeAutospacing="0" w:after="0" w:afterAutospacing="0" w:line="480" w:lineRule="auto"/>
        <w:ind w:left="720" w:hanging="720"/>
        <w:contextualSpacing/>
        <w:rPr>
          <w:color w:val="000000" w:themeColor="text1"/>
          <w:lang w:val="en-GB"/>
        </w:rPr>
      </w:pPr>
      <w:r w:rsidRPr="001B0BDC">
        <w:rPr>
          <w:color w:val="000000" w:themeColor="text1"/>
          <w:lang w:val="en-GB"/>
        </w:rPr>
        <w:t xml:space="preserve">Miers, D., </w:t>
      </w:r>
      <w:r>
        <w:rPr>
          <w:color w:val="000000" w:themeColor="text1"/>
          <w:lang w:val="en-GB"/>
        </w:rPr>
        <w:t>(2014)</w:t>
      </w:r>
      <w:r w:rsidRPr="001B0BDC">
        <w:rPr>
          <w:color w:val="000000" w:themeColor="text1"/>
          <w:lang w:val="en-GB"/>
        </w:rPr>
        <w:t xml:space="preserve"> Offender and state compensation for victims of crime: two decades of development and change. </w:t>
      </w:r>
      <w:r w:rsidRPr="001B0BDC">
        <w:rPr>
          <w:i/>
          <w:iCs/>
          <w:color w:val="000000" w:themeColor="text1"/>
          <w:lang w:val="en-GB"/>
        </w:rPr>
        <w:t>International Review of Victimology</w:t>
      </w:r>
      <w:r w:rsidRPr="001B0BDC">
        <w:rPr>
          <w:color w:val="000000" w:themeColor="text1"/>
          <w:lang w:val="en-GB"/>
        </w:rPr>
        <w:t>, </w:t>
      </w:r>
      <w:r w:rsidRPr="001B0BDC">
        <w:rPr>
          <w:b/>
          <w:bCs/>
          <w:color w:val="000000" w:themeColor="text1"/>
          <w:lang w:val="en-GB"/>
        </w:rPr>
        <w:t>20</w:t>
      </w:r>
      <w:r w:rsidRPr="001B0BDC">
        <w:rPr>
          <w:color w:val="000000" w:themeColor="text1"/>
          <w:lang w:val="en-GB"/>
        </w:rPr>
        <w:t xml:space="preserve">(1), pp.145-168. </w:t>
      </w:r>
    </w:p>
    <w:p w14:paraId="18327B1B" w14:textId="38A37391" w:rsid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Pr>
          <w:color w:val="000000" w:themeColor="text1"/>
          <w:lang w:val="en-GB"/>
        </w:rPr>
        <w:t>Ministry of Justice., (2020)</w:t>
      </w:r>
      <w:r w:rsidRPr="001B0BDC">
        <w:rPr>
          <w:i/>
          <w:iCs/>
          <w:color w:val="000000" w:themeColor="text1"/>
          <w:lang w:val="en-GB"/>
        </w:rPr>
        <w:t>Code of practice for victims of crime in England and Wales</w:t>
      </w:r>
      <w:r w:rsidRPr="001B0BDC">
        <w:rPr>
          <w:color w:val="000000" w:themeColor="text1"/>
          <w:lang w:val="en-GB"/>
        </w:rPr>
        <w:t xml:space="preserve">. [Online] Available at: </w:t>
      </w:r>
      <w:hyperlink r:id="rId16" w:history="1">
        <w:r w:rsidRPr="00165B11">
          <w:rPr>
            <w:rStyle w:val="Hyperlink"/>
            <w:iCs/>
            <w:lang w:val="en-GB"/>
          </w:rPr>
          <w:t>https://www.gov.uk/government/publications/the-code-of-practice-for-victims-of-crime</w:t>
        </w:r>
      </w:hyperlink>
    </w:p>
    <w:p w14:paraId="60685D78" w14:textId="0464558B" w:rsidR="001B0BDC" w:rsidRP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u w:val="single"/>
          <w:lang w:val="en-GB"/>
        </w:rPr>
      </w:pPr>
      <w:r w:rsidRPr="001B0BDC">
        <w:rPr>
          <w:iCs/>
          <w:color w:val="000000" w:themeColor="text1"/>
          <w:lang w:val="en-GB"/>
        </w:rPr>
        <w:t>[Accessed 28/2/2023].</w:t>
      </w:r>
    </w:p>
    <w:p w14:paraId="3B488B92" w14:textId="0F7F2817" w:rsidR="001B0BDC" w:rsidRDefault="001B0BDC" w:rsidP="00F7678F">
      <w:pPr>
        <w:pStyle w:val="NormalWeb"/>
        <w:shd w:val="clear" w:color="auto" w:fill="FFFFFF"/>
        <w:spacing w:before="0" w:beforeAutospacing="0" w:after="0" w:afterAutospacing="0" w:line="480" w:lineRule="auto"/>
        <w:contextualSpacing/>
        <w:rPr>
          <w:iCs/>
          <w:color w:val="000000" w:themeColor="text1"/>
          <w:lang w:val="en-GB"/>
        </w:rPr>
      </w:pPr>
      <w:r>
        <w:rPr>
          <w:color w:val="000000" w:themeColor="text1"/>
          <w:lang w:val="en-GB"/>
        </w:rPr>
        <w:t>Ministry of Justice., (2022)</w:t>
      </w:r>
      <w:r w:rsidRPr="001B0BDC">
        <w:rPr>
          <w:color w:val="000000" w:themeColor="text1"/>
          <w:lang w:val="en-GB"/>
        </w:rPr>
        <w:t xml:space="preserve"> </w:t>
      </w:r>
      <w:r w:rsidRPr="001B0BDC">
        <w:rPr>
          <w:i/>
          <w:iCs/>
          <w:color w:val="000000" w:themeColor="text1"/>
          <w:lang w:val="en-GB"/>
        </w:rPr>
        <w:t>Compensation in the justice system</w:t>
      </w:r>
      <w:r w:rsidRPr="001B0BDC">
        <w:rPr>
          <w:color w:val="000000" w:themeColor="text1"/>
          <w:lang w:val="en-GB"/>
        </w:rPr>
        <w:t xml:space="preserve">. [Online] Available at: </w:t>
      </w:r>
      <w:hyperlink r:id="rId17" w:history="1">
        <w:r w:rsidRPr="00165B11">
          <w:rPr>
            <w:rStyle w:val="Hyperlink"/>
            <w:lang w:val="en-GB"/>
          </w:rPr>
          <w:t>https://www.gov.uk/guidance/compensation-in-the-justice-system</w:t>
        </w:r>
      </w:hyperlink>
    </w:p>
    <w:p w14:paraId="1ED6B776" w14:textId="45BE9435" w:rsidR="001B0BDC" w:rsidRPr="001B0BDC" w:rsidRDefault="001B0BDC" w:rsidP="00F7678F">
      <w:pPr>
        <w:pStyle w:val="NormalWeb"/>
        <w:shd w:val="clear" w:color="auto" w:fill="FFFFFF"/>
        <w:spacing w:before="0" w:beforeAutospacing="0" w:after="0" w:afterAutospacing="0" w:line="480" w:lineRule="auto"/>
        <w:contextualSpacing/>
        <w:rPr>
          <w:iCs/>
          <w:color w:val="000000" w:themeColor="text1"/>
          <w:lang w:val="en-GB"/>
        </w:rPr>
      </w:pPr>
      <w:r w:rsidRPr="001B0BDC">
        <w:rPr>
          <w:iCs/>
          <w:color w:val="000000" w:themeColor="text1"/>
          <w:lang w:val="en-GB"/>
        </w:rPr>
        <w:t>[Accessed 28/2/2023].</w:t>
      </w:r>
    </w:p>
    <w:p w14:paraId="3FE98A40" w14:textId="4AAD619B" w:rsid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Pr>
          <w:color w:val="000000" w:themeColor="text1"/>
          <w:lang w:val="en-GB"/>
        </w:rPr>
        <w:t>MOPAC., (2014)</w:t>
      </w:r>
      <w:r w:rsidRPr="001B0BDC">
        <w:rPr>
          <w:color w:val="000000" w:themeColor="text1"/>
          <w:lang w:val="en-GB"/>
        </w:rPr>
        <w:t xml:space="preserve"> </w:t>
      </w:r>
      <w:r w:rsidRPr="001B0BDC">
        <w:rPr>
          <w:i/>
          <w:iCs/>
          <w:color w:val="000000" w:themeColor="text1"/>
          <w:lang w:val="en-GB"/>
        </w:rPr>
        <w:t>Review of victim services in London</w:t>
      </w:r>
      <w:r w:rsidRPr="001B0BDC">
        <w:rPr>
          <w:color w:val="000000" w:themeColor="text1"/>
          <w:lang w:val="en-GB"/>
        </w:rPr>
        <w:t xml:space="preserve">. [Online] Available at: </w:t>
      </w:r>
      <w:hyperlink r:id="rId18" w:history="1">
        <w:r w:rsidRPr="00165B11">
          <w:rPr>
            <w:rStyle w:val="Hyperlink"/>
            <w:lang w:val="en-GB"/>
          </w:rPr>
          <w:t>https://www.london.gov.uk/sites/default/files/Review%20of%20victim%20services%20in%20London.pdf</w:t>
        </w:r>
      </w:hyperlink>
    </w:p>
    <w:p w14:paraId="2E48EECD" w14:textId="77D84C06" w:rsidR="001B0BDC" w:rsidRPr="001B0BDC" w:rsidRDefault="001B0BDC" w:rsidP="001B0BDC">
      <w:pPr>
        <w:pStyle w:val="NormalWeb"/>
        <w:shd w:val="clear" w:color="auto" w:fill="FFFFFF"/>
        <w:spacing w:before="0" w:beforeAutospacing="0" w:after="0" w:afterAutospacing="0" w:line="480" w:lineRule="auto"/>
        <w:ind w:left="720" w:hanging="720"/>
        <w:contextualSpacing/>
        <w:rPr>
          <w:color w:val="000000" w:themeColor="text1"/>
          <w:u w:val="single"/>
          <w:lang w:val="en-GB"/>
        </w:rPr>
      </w:pPr>
      <w:r w:rsidRPr="001B0BDC">
        <w:rPr>
          <w:iCs/>
          <w:color w:val="000000" w:themeColor="text1"/>
          <w:lang w:val="en-GB"/>
        </w:rPr>
        <w:t>[Accessed 28/2/2023].</w:t>
      </w:r>
    </w:p>
    <w:p w14:paraId="10E2DCFE" w14:textId="3E807935" w:rsidR="001B0BDC" w:rsidRDefault="001B0BDC" w:rsidP="004F0DCC">
      <w:pPr>
        <w:pStyle w:val="NormalWeb"/>
        <w:shd w:val="clear" w:color="auto" w:fill="FFFFFF"/>
        <w:spacing w:before="0" w:beforeAutospacing="0" w:after="240" w:afterAutospacing="0" w:line="360" w:lineRule="auto"/>
        <w:rPr>
          <w:iCs/>
          <w:color w:val="000000" w:themeColor="text1"/>
          <w:lang w:val="en-GB"/>
        </w:rPr>
      </w:pPr>
      <w:r>
        <w:rPr>
          <w:color w:val="000000" w:themeColor="text1"/>
          <w:lang w:val="en-GB"/>
        </w:rPr>
        <w:t>National Crime Agency.,</w:t>
      </w:r>
      <w:r w:rsidRPr="001B0BDC">
        <w:rPr>
          <w:color w:val="000000" w:themeColor="text1"/>
          <w:lang w:val="en-GB"/>
        </w:rPr>
        <w:t xml:space="preserve"> </w:t>
      </w:r>
      <w:r>
        <w:rPr>
          <w:color w:val="000000" w:themeColor="text1"/>
          <w:lang w:val="en-GB"/>
        </w:rPr>
        <w:t>(2019)</w:t>
      </w:r>
      <w:r w:rsidRPr="001B0BDC">
        <w:rPr>
          <w:color w:val="000000" w:themeColor="text1"/>
          <w:lang w:val="en-GB"/>
        </w:rPr>
        <w:t xml:space="preserve"> </w:t>
      </w:r>
      <w:r w:rsidRPr="001B0BDC">
        <w:rPr>
          <w:i/>
          <w:iCs/>
          <w:color w:val="000000" w:themeColor="text1"/>
        </w:rPr>
        <w:t>New national protected persons service starts work</w:t>
      </w:r>
      <w:r w:rsidRPr="001B0BDC">
        <w:rPr>
          <w:color w:val="000000" w:themeColor="text1"/>
        </w:rPr>
        <w:t xml:space="preserve">. [Online] www.nationalcrimeagency.gov.uk. Available at: </w:t>
      </w:r>
      <w:hyperlink r:id="rId19" w:history="1">
        <w:r w:rsidRPr="00165B11">
          <w:rPr>
            <w:rStyle w:val="Hyperlink"/>
          </w:rPr>
          <w:t>https://www.nationalcrimeagency.gov.uk/news/new-national-protected-persons-service-starts-work</w:t>
        </w:r>
      </w:hyperlink>
    </w:p>
    <w:p w14:paraId="3EFE0C82" w14:textId="3B7BA12C" w:rsidR="001B0BDC" w:rsidRPr="001B0BDC" w:rsidRDefault="001B0BDC" w:rsidP="004F0DCC">
      <w:pPr>
        <w:pStyle w:val="NormalWeb"/>
        <w:shd w:val="clear" w:color="auto" w:fill="FFFFFF"/>
        <w:spacing w:before="0" w:beforeAutospacing="0" w:after="240" w:afterAutospacing="0" w:line="360" w:lineRule="auto"/>
        <w:rPr>
          <w:iCs/>
          <w:color w:val="000000" w:themeColor="text1"/>
          <w:lang w:val="en-GB"/>
        </w:rPr>
      </w:pPr>
      <w:r w:rsidRPr="001B0BDC">
        <w:rPr>
          <w:iCs/>
          <w:color w:val="000000" w:themeColor="text1"/>
          <w:lang w:val="en-GB"/>
        </w:rPr>
        <w:t>[Accessed 2/3/2023].</w:t>
      </w:r>
    </w:p>
    <w:p w14:paraId="30030697" w14:textId="5EE86D5F" w:rsidR="001B0BDC" w:rsidRDefault="001B0BDC" w:rsidP="001B0BDC">
      <w:pPr>
        <w:pStyle w:val="NormalWeb"/>
        <w:shd w:val="clear" w:color="auto" w:fill="FFFFFF"/>
        <w:spacing w:before="0" w:beforeAutospacing="0" w:after="0" w:afterAutospacing="0" w:line="480" w:lineRule="auto"/>
        <w:ind w:left="720" w:hanging="720"/>
        <w:contextualSpacing/>
        <w:rPr>
          <w:iCs/>
          <w:color w:val="000000" w:themeColor="text1"/>
          <w:lang w:val="en-GB"/>
        </w:rPr>
      </w:pPr>
      <w:r w:rsidRPr="001B0BDC">
        <w:rPr>
          <w:color w:val="000000" w:themeColor="text1"/>
          <w:lang w:val="en-GB"/>
        </w:rPr>
        <w:t>Office</w:t>
      </w:r>
      <w:r>
        <w:rPr>
          <w:color w:val="000000" w:themeColor="text1"/>
          <w:lang w:val="en-GB"/>
        </w:rPr>
        <w:t xml:space="preserve"> for National Statistics (ONS)., (2018)</w:t>
      </w:r>
      <w:r w:rsidRPr="001B0BDC">
        <w:rPr>
          <w:color w:val="000000" w:themeColor="text1"/>
          <w:lang w:val="en-GB"/>
        </w:rPr>
        <w:t xml:space="preserve"> </w:t>
      </w:r>
      <w:r w:rsidRPr="001B0BDC">
        <w:rPr>
          <w:i/>
          <w:iCs/>
          <w:color w:val="000000" w:themeColor="text1"/>
          <w:lang w:val="en-GB"/>
        </w:rPr>
        <w:t>Crime in England and Wales</w:t>
      </w:r>
      <w:r w:rsidRPr="001B0BDC">
        <w:rPr>
          <w:color w:val="000000" w:themeColor="text1"/>
          <w:lang w:val="en-GB"/>
        </w:rPr>
        <w:t>. [Online] Available at:</w:t>
      </w:r>
      <w:hyperlink r:id="rId20" w:history="1">
        <w:r w:rsidRPr="00165B11">
          <w:rPr>
            <w:rStyle w:val="Hyperlink"/>
            <w:lang w:val="en-GB"/>
          </w:rPr>
          <w:t>https://www.ons.gov.uk/peoplepopulationandcommunity/crimeandjustice/bulletins/crimeinenglandandwales/yearendingmarch2018</w:t>
        </w:r>
      </w:hyperlink>
    </w:p>
    <w:p w14:paraId="3332AF7E" w14:textId="5759EDC2" w:rsidR="001B0BDC" w:rsidRPr="001B0BDC" w:rsidRDefault="001B0BDC" w:rsidP="001B0BDC">
      <w:pPr>
        <w:pStyle w:val="NormalWeb"/>
        <w:shd w:val="clear" w:color="auto" w:fill="FFFFFF"/>
        <w:spacing w:before="0" w:beforeAutospacing="0" w:after="0" w:afterAutospacing="0" w:line="480" w:lineRule="auto"/>
        <w:ind w:left="720" w:hanging="720"/>
        <w:contextualSpacing/>
        <w:rPr>
          <w:color w:val="000000" w:themeColor="text1"/>
          <w:u w:val="single"/>
          <w:lang w:val="en-GB"/>
        </w:rPr>
      </w:pPr>
      <w:r w:rsidRPr="001B0BDC">
        <w:rPr>
          <w:iCs/>
          <w:color w:val="000000" w:themeColor="text1"/>
          <w:lang w:val="en-GB"/>
        </w:rPr>
        <w:t xml:space="preserve"> [Accessed 28/2/2023].</w:t>
      </w:r>
    </w:p>
    <w:p w14:paraId="5D5373E5" w14:textId="063DAB51" w:rsidR="001B0BDC" w:rsidRDefault="001B0BDC" w:rsidP="001B0BDC">
      <w:pPr>
        <w:shd w:val="clear" w:color="auto" w:fill="FFFFFF"/>
        <w:spacing w:after="0" w:line="480" w:lineRule="auto"/>
        <w:ind w:left="720" w:hanging="720"/>
        <w:contextualSpacing/>
        <w:rPr>
          <w:rFonts w:ascii="Times New Roman" w:hAnsi="Times New Roman" w:cs="Times New Roman"/>
          <w:iCs/>
          <w:color w:val="000000" w:themeColor="text1"/>
          <w:sz w:val="24"/>
          <w:szCs w:val="24"/>
        </w:rPr>
      </w:pPr>
      <w:r w:rsidRPr="001B0BDC">
        <w:rPr>
          <w:rFonts w:ascii="Times New Roman" w:hAnsi="Times New Roman" w:cs="Times New Roman"/>
          <w:color w:val="000000" w:themeColor="text1"/>
          <w:sz w:val="24"/>
          <w:szCs w:val="24"/>
        </w:rPr>
        <w:t>‌Office</w:t>
      </w:r>
      <w:r>
        <w:rPr>
          <w:rFonts w:ascii="Times New Roman" w:hAnsi="Times New Roman" w:cs="Times New Roman"/>
          <w:color w:val="000000" w:themeColor="text1"/>
          <w:sz w:val="24"/>
          <w:szCs w:val="24"/>
        </w:rPr>
        <w:t xml:space="preserve"> for National Statistics (ONS)., (2022)</w:t>
      </w:r>
      <w:r w:rsidRPr="001B0BDC">
        <w:rPr>
          <w:rFonts w:ascii="Times New Roman" w:hAnsi="Times New Roman" w:cs="Times New Roman"/>
          <w:color w:val="000000" w:themeColor="text1"/>
          <w:sz w:val="24"/>
          <w:szCs w:val="24"/>
        </w:rPr>
        <w:t xml:space="preserve"> </w:t>
      </w:r>
      <w:r w:rsidRPr="001B0BDC">
        <w:rPr>
          <w:rFonts w:ascii="Times New Roman" w:hAnsi="Times New Roman" w:cs="Times New Roman"/>
          <w:i/>
          <w:iCs/>
          <w:color w:val="000000" w:themeColor="text1"/>
          <w:sz w:val="24"/>
          <w:szCs w:val="24"/>
        </w:rPr>
        <w:t>Crime in England and Wales</w:t>
      </w:r>
      <w:r w:rsidRPr="001B0BDC">
        <w:rPr>
          <w:rFonts w:ascii="Times New Roman" w:hAnsi="Times New Roman" w:cs="Times New Roman"/>
          <w:color w:val="000000" w:themeColor="text1"/>
          <w:sz w:val="24"/>
          <w:szCs w:val="24"/>
        </w:rPr>
        <w:t>. [Online] Available at:</w:t>
      </w:r>
      <w:hyperlink r:id="rId21" w:history="1">
        <w:r w:rsidRPr="00165B11">
          <w:rPr>
            <w:rStyle w:val="Hyperlink"/>
            <w:rFonts w:ascii="Times New Roman" w:hAnsi="Times New Roman" w:cs="Times New Roman"/>
            <w:sz w:val="24"/>
            <w:szCs w:val="24"/>
          </w:rPr>
          <w:t>https://www.ons.gov.uk/peoplepopulationandcommunity/crimeandjustice/bulletins/crimeinenglandandwales/yearendingjune2022</w:t>
        </w:r>
      </w:hyperlink>
    </w:p>
    <w:p w14:paraId="3A834D90" w14:textId="6434EC20" w:rsidR="001B0BDC" w:rsidRPr="001B0BDC" w:rsidRDefault="001B0BDC" w:rsidP="001B0BDC">
      <w:pPr>
        <w:shd w:val="clear" w:color="auto" w:fill="FFFFFF"/>
        <w:spacing w:after="0" w:line="480" w:lineRule="auto"/>
        <w:ind w:left="720" w:hanging="720"/>
        <w:contextualSpacing/>
        <w:rPr>
          <w:rFonts w:ascii="Times New Roman" w:eastAsia="Times New Roman" w:hAnsi="Times New Roman" w:cs="Times New Roman"/>
          <w:iCs/>
          <w:color w:val="000000" w:themeColor="text1"/>
          <w:sz w:val="24"/>
          <w:szCs w:val="24"/>
        </w:rPr>
      </w:pPr>
      <w:r w:rsidRPr="001B0BDC">
        <w:rPr>
          <w:rFonts w:ascii="Times New Roman" w:hAnsi="Times New Roman" w:cs="Times New Roman"/>
          <w:iCs/>
          <w:color w:val="000000" w:themeColor="text1"/>
          <w:sz w:val="24"/>
          <w:szCs w:val="24"/>
        </w:rPr>
        <w:t>[Accessed 28/2/2023].</w:t>
      </w:r>
    </w:p>
    <w:p w14:paraId="5A437084" w14:textId="5F3CB75C"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 xml:space="preserve">Spalek, B., </w:t>
      </w:r>
      <w:r>
        <w:rPr>
          <w:rFonts w:ascii="Times New Roman" w:eastAsia="Times New Roman" w:hAnsi="Times New Roman" w:cs="Times New Roman"/>
          <w:color w:val="000000" w:themeColor="text1"/>
          <w:sz w:val="24"/>
          <w:szCs w:val="24"/>
        </w:rPr>
        <w:t>(2017)</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color w:val="000000" w:themeColor="text1"/>
          <w:sz w:val="24"/>
          <w:szCs w:val="24"/>
        </w:rPr>
        <w:t>Crime victims: theory, policy and practice</w:t>
      </w:r>
      <w:r w:rsidRPr="001B0BDC">
        <w:rPr>
          <w:rFonts w:ascii="Times New Roman" w:eastAsia="Times New Roman" w:hAnsi="Times New Roman" w:cs="Times New Roman"/>
          <w:color w:val="000000" w:themeColor="text1"/>
          <w:sz w:val="24"/>
          <w:szCs w:val="24"/>
        </w:rPr>
        <w:t>. London: Palgrave.</w:t>
      </w:r>
    </w:p>
    <w:p w14:paraId="684064AC" w14:textId="77777777" w:rsidR="001B0BDC" w:rsidRPr="001B0BDC" w:rsidRDefault="001B0BDC" w:rsidP="002608B2">
      <w:pPr>
        <w:spacing w:before="100" w:beforeAutospacing="1" w:after="100" w:afterAutospacing="1" w:line="240" w:lineRule="auto"/>
        <w:ind w:left="567" w:hanging="567"/>
        <w:rPr>
          <w:rFonts w:ascii="Times New Roman" w:eastAsia="Times New Roman" w:hAnsi="Times New Roman" w:cs="Times New Roman"/>
          <w:color w:val="000000" w:themeColor="text1"/>
          <w:sz w:val="24"/>
          <w:szCs w:val="24"/>
          <w:lang w:eastAsia="en-GB"/>
        </w:rPr>
      </w:pPr>
      <w:r w:rsidRPr="001B0BDC">
        <w:rPr>
          <w:rFonts w:ascii="Times New Roman" w:hAnsi="Times New Roman" w:cs="Times New Roman"/>
          <w:color w:val="000000" w:themeColor="text1"/>
          <w:sz w:val="24"/>
          <w:szCs w:val="24"/>
          <w:shd w:val="clear" w:color="auto" w:fill="FFFFFF"/>
        </w:rPr>
        <w:t>Spalek. (2008). </w:t>
      </w:r>
      <w:r w:rsidRPr="001B0BDC">
        <w:rPr>
          <w:rFonts w:ascii="Times New Roman" w:hAnsi="Times New Roman" w:cs="Times New Roman"/>
          <w:i/>
          <w:iCs/>
          <w:color w:val="000000" w:themeColor="text1"/>
          <w:sz w:val="24"/>
          <w:szCs w:val="24"/>
          <w:shd w:val="clear" w:color="auto" w:fill="FFFFFF"/>
        </w:rPr>
        <w:t>Communities, identities and crime</w:t>
      </w:r>
      <w:r w:rsidRPr="001B0BDC">
        <w:rPr>
          <w:rFonts w:ascii="Times New Roman" w:hAnsi="Times New Roman" w:cs="Times New Roman"/>
          <w:color w:val="000000" w:themeColor="text1"/>
          <w:sz w:val="24"/>
          <w:szCs w:val="24"/>
          <w:shd w:val="clear" w:color="auto" w:fill="FFFFFF"/>
        </w:rPr>
        <w:t>. Policy.</w:t>
      </w:r>
    </w:p>
    <w:p w14:paraId="096309D5" w14:textId="5B14D91F" w:rsidR="001B0BDC" w:rsidRPr="001B0BDC" w:rsidRDefault="001B0BDC" w:rsidP="004F0DCC">
      <w:pPr>
        <w:pStyle w:val="NormalWeb"/>
        <w:shd w:val="clear" w:color="auto" w:fill="FFFFFF"/>
        <w:spacing w:before="0" w:beforeAutospacing="0" w:after="0" w:afterAutospacing="0" w:line="480" w:lineRule="auto"/>
        <w:ind w:left="720" w:hanging="720"/>
        <w:contextualSpacing/>
        <w:rPr>
          <w:color w:val="000000" w:themeColor="text1"/>
          <w:lang w:val="en-GB"/>
        </w:rPr>
      </w:pPr>
      <w:r w:rsidRPr="001B0BDC">
        <w:rPr>
          <w:color w:val="000000" w:themeColor="text1"/>
          <w:lang w:val="en-GB"/>
        </w:rPr>
        <w:t xml:space="preserve">Stark, R., </w:t>
      </w:r>
      <w:r>
        <w:rPr>
          <w:color w:val="000000" w:themeColor="text1"/>
          <w:lang w:val="en-GB"/>
        </w:rPr>
        <w:t>(1987)</w:t>
      </w:r>
      <w:r w:rsidRPr="001B0BDC">
        <w:rPr>
          <w:color w:val="000000" w:themeColor="text1"/>
          <w:lang w:val="en-GB"/>
        </w:rPr>
        <w:t xml:space="preserve"> Deviant places: a theory of the ecology of crime. </w:t>
      </w:r>
      <w:r w:rsidRPr="001B0BDC">
        <w:rPr>
          <w:i/>
          <w:iCs/>
          <w:color w:val="000000" w:themeColor="text1"/>
          <w:lang w:val="en-GB"/>
        </w:rPr>
        <w:t>Criminology</w:t>
      </w:r>
      <w:r w:rsidRPr="001B0BDC">
        <w:rPr>
          <w:color w:val="000000" w:themeColor="text1"/>
          <w:lang w:val="en-GB"/>
        </w:rPr>
        <w:t>, </w:t>
      </w:r>
      <w:r w:rsidRPr="001B0BDC">
        <w:rPr>
          <w:b/>
          <w:bCs/>
          <w:color w:val="000000" w:themeColor="text1"/>
          <w:lang w:val="en-GB"/>
        </w:rPr>
        <w:t>25</w:t>
      </w:r>
      <w:r w:rsidRPr="001B0BDC">
        <w:rPr>
          <w:color w:val="000000" w:themeColor="text1"/>
          <w:lang w:val="en-GB"/>
        </w:rPr>
        <w:t xml:space="preserve">(4), pp.893-910. </w:t>
      </w:r>
    </w:p>
    <w:p w14:paraId="377CE0B5" w14:textId="211F1B3C" w:rsidR="001B0BDC" w:rsidRPr="001B0BDC" w:rsidRDefault="001B0BDC" w:rsidP="004F0DCC">
      <w:pPr>
        <w:pStyle w:val="NormalWeb"/>
        <w:shd w:val="clear" w:color="auto" w:fill="FFFFFF"/>
        <w:spacing w:before="0" w:beforeAutospacing="0" w:after="0" w:afterAutospacing="0" w:line="480" w:lineRule="auto"/>
        <w:ind w:left="720" w:hanging="720"/>
        <w:contextualSpacing/>
        <w:rPr>
          <w:color w:val="000000" w:themeColor="text1"/>
          <w:lang w:val="en-GB"/>
        </w:rPr>
      </w:pPr>
      <w:r w:rsidRPr="001B0BDC">
        <w:rPr>
          <w:color w:val="000000" w:themeColor="text1"/>
          <w:lang w:val="en-GB"/>
        </w:rPr>
        <w:t xml:space="preserve">Stevens, R. and Cloete, M.G., </w:t>
      </w:r>
      <w:r>
        <w:rPr>
          <w:color w:val="000000" w:themeColor="text1"/>
          <w:lang w:val="en-GB"/>
        </w:rPr>
        <w:t xml:space="preserve">(2010) </w:t>
      </w:r>
      <w:r w:rsidRPr="001B0BDC">
        <w:rPr>
          <w:i/>
          <w:iCs/>
          <w:color w:val="000000" w:themeColor="text1"/>
          <w:lang w:val="en-GB"/>
        </w:rPr>
        <w:t>Introduction to criminology</w:t>
      </w:r>
      <w:r w:rsidRPr="001B0BDC">
        <w:rPr>
          <w:color w:val="000000" w:themeColor="text1"/>
          <w:lang w:val="en-GB"/>
        </w:rPr>
        <w:t>. Oxford: Oxford University Press.</w:t>
      </w:r>
    </w:p>
    <w:p w14:paraId="0450B593" w14:textId="64D7785B" w:rsidR="001B0BDC" w:rsidRDefault="001B0BDC" w:rsidP="004F0DCC">
      <w:pPr>
        <w:shd w:val="clear" w:color="auto" w:fill="FFFFFF"/>
        <w:spacing w:after="0" w:line="480" w:lineRule="auto"/>
        <w:ind w:left="720" w:hanging="720"/>
        <w:contextualSpacing/>
        <w:rPr>
          <w:rFonts w:ascii="Times New Roman" w:eastAsia="Times New Roman" w:hAnsi="Times New Roman" w:cs="Times New Roman"/>
          <w:iCs/>
          <w:color w:val="000000" w:themeColor="text1"/>
          <w:sz w:val="24"/>
          <w:szCs w:val="24"/>
        </w:rPr>
      </w:pPr>
      <w:r w:rsidRPr="001B0BDC">
        <w:rPr>
          <w:rFonts w:ascii="Times New Roman" w:eastAsia="Times New Roman" w:hAnsi="Times New Roman" w:cs="Times New Roman"/>
          <w:color w:val="000000" w:themeColor="text1"/>
          <w:sz w:val="24"/>
          <w:szCs w:val="24"/>
        </w:rPr>
        <w:t xml:space="preserve">Syal, R., </w:t>
      </w:r>
      <w:r>
        <w:rPr>
          <w:rFonts w:ascii="Times New Roman" w:eastAsia="Times New Roman" w:hAnsi="Times New Roman" w:cs="Times New Roman"/>
          <w:color w:val="000000" w:themeColor="text1"/>
          <w:sz w:val="24"/>
          <w:szCs w:val="24"/>
        </w:rPr>
        <w:t>(2022)</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iCs/>
          <w:color w:val="000000" w:themeColor="text1"/>
          <w:sz w:val="24"/>
          <w:szCs w:val="24"/>
        </w:rPr>
        <w:t>Almost 1.5m England and Wales crime victims opt not to pursue cases</w:t>
      </w:r>
      <w:r w:rsidRPr="001B0BDC">
        <w:rPr>
          <w:rFonts w:ascii="Times New Roman" w:eastAsia="Times New Roman" w:hAnsi="Times New Roman" w:cs="Times New Roman"/>
          <w:color w:val="000000" w:themeColor="text1"/>
          <w:sz w:val="24"/>
          <w:szCs w:val="24"/>
        </w:rPr>
        <w:t xml:space="preserve">. [Online] Available at:  </w:t>
      </w:r>
      <w:hyperlink r:id="rId22" w:history="1">
        <w:r w:rsidRPr="00165B11">
          <w:rPr>
            <w:rStyle w:val="Hyperlink"/>
            <w:rFonts w:ascii="Times New Roman" w:eastAsia="Times New Roman" w:hAnsi="Times New Roman" w:cs="Times New Roman"/>
            <w:sz w:val="24"/>
            <w:szCs w:val="24"/>
          </w:rPr>
          <w:t>https://www.theguardian.com/law/2022/aug/12/england-and-wales-crime-victims-not-pursuing-cases-criminal-justice-system-confidence-collapse</w:t>
        </w:r>
      </w:hyperlink>
    </w:p>
    <w:p w14:paraId="4CC55FA9" w14:textId="1868B767"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iCs/>
          <w:color w:val="000000" w:themeColor="text1"/>
          <w:sz w:val="24"/>
          <w:szCs w:val="24"/>
        </w:rPr>
        <w:t>[Accessed 28/2/2023].</w:t>
      </w:r>
    </w:p>
    <w:p w14:paraId="762C6700" w14:textId="4A78992F" w:rsidR="001B0BDC" w:rsidRDefault="001B0BDC" w:rsidP="001B0BDC">
      <w:pPr>
        <w:shd w:val="clear" w:color="auto" w:fill="FFFFFF"/>
        <w:spacing w:after="0" w:line="480" w:lineRule="auto"/>
        <w:ind w:left="720" w:hanging="720"/>
        <w:contextualSpacing/>
        <w:rPr>
          <w:rFonts w:ascii="Times New Roman" w:eastAsia="Times New Roman" w:hAnsi="Times New Roman" w:cs="Times New Roman"/>
          <w:iCs/>
          <w:color w:val="000000" w:themeColor="text1"/>
          <w:sz w:val="24"/>
          <w:szCs w:val="24"/>
        </w:rPr>
      </w:pPr>
      <w:r w:rsidRPr="001B0BDC">
        <w:rPr>
          <w:rFonts w:ascii="Times New Roman" w:eastAsia="Times New Roman" w:hAnsi="Times New Roman" w:cs="Times New Roman"/>
          <w:color w:val="000000" w:themeColor="text1"/>
          <w:sz w:val="24"/>
          <w:szCs w:val="24"/>
        </w:rPr>
        <w:t>‌United Nations Office on Drugs and Crime (UNODC)</w:t>
      </w:r>
      <w:r>
        <w:rPr>
          <w:rFonts w:ascii="Times New Roman" w:eastAsia="Times New Roman" w:hAnsi="Times New Roman" w:cs="Times New Roman"/>
          <w:color w:val="000000" w:themeColor="text1"/>
          <w:sz w:val="24"/>
          <w:szCs w:val="24"/>
        </w:rPr>
        <w:t>.</w:t>
      </w:r>
      <w:r w:rsidRPr="001B0BDC">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(2019)</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iCs/>
          <w:color w:val="000000" w:themeColor="text1"/>
          <w:sz w:val="24"/>
          <w:szCs w:val="24"/>
        </w:rPr>
        <w:t>Crime prevention &amp; criminal justice module 11 key issues: 3. The right of victims to an adequate response to their needs</w:t>
      </w:r>
      <w:r w:rsidRPr="001B0BDC">
        <w:rPr>
          <w:rFonts w:ascii="Times New Roman" w:eastAsia="Times New Roman" w:hAnsi="Times New Roman" w:cs="Times New Roman"/>
          <w:color w:val="000000" w:themeColor="text1"/>
          <w:sz w:val="24"/>
          <w:szCs w:val="24"/>
        </w:rPr>
        <w:t xml:space="preserve">. [Online] Available at: </w:t>
      </w:r>
      <w:hyperlink r:id="rId23" w:history="1">
        <w:r w:rsidRPr="00165B11">
          <w:rPr>
            <w:rStyle w:val="Hyperlink"/>
            <w:rFonts w:ascii="Times New Roman" w:eastAsia="Times New Roman" w:hAnsi="Times New Roman" w:cs="Times New Roman"/>
            <w:sz w:val="24"/>
            <w:szCs w:val="24"/>
          </w:rPr>
          <w:t>https://www.unodc.org/e4j/zh/crime-prevention-criminal-justice/module-11/key-issues/3--the-right-of-victims-to-an-adequate-response-to-their-needs.html</w:t>
        </w:r>
      </w:hyperlink>
    </w:p>
    <w:p w14:paraId="4AF3C36A" w14:textId="5FCDD334" w:rsidR="001B0BDC" w:rsidRPr="001B0BDC" w:rsidRDefault="001B0BDC" w:rsidP="001B0BD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u w:val="single"/>
        </w:rPr>
      </w:pPr>
      <w:r w:rsidRPr="001B0BDC">
        <w:rPr>
          <w:rFonts w:ascii="Times New Roman" w:eastAsia="Times New Roman" w:hAnsi="Times New Roman" w:cs="Times New Roman"/>
          <w:iCs/>
          <w:color w:val="000000" w:themeColor="text1"/>
          <w:sz w:val="24"/>
          <w:szCs w:val="24"/>
        </w:rPr>
        <w:t>[Accessed 28/2/2023].</w:t>
      </w:r>
    </w:p>
    <w:p w14:paraId="049C9E5E" w14:textId="151F2EC7"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 xml:space="preserve">Wedlock, E. and Tapley, J., </w:t>
      </w:r>
      <w:r>
        <w:rPr>
          <w:rFonts w:ascii="Times New Roman" w:eastAsia="Times New Roman" w:hAnsi="Times New Roman" w:cs="Times New Roman"/>
          <w:color w:val="000000" w:themeColor="text1"/>
          <w:sz w:val="24"/>
          <w:szCs w:val="24"/>
        </w:rPr>
        <w:t>(2016)</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i/>
          <w:color w:val="000000" w:themeColor="text1"/>
          <w:sz w:val="24"/>
          <w:szCs w:val="24"/>
        </w:rPr>
        <w:t>What works in supporting victims of crime: a rapid evidence assessment</w:t>
      </w:r>
      <w:r w:rsidRPr="001B0BDC">
        <w:rPr>
          <w:rFonts w:ascii="Times New Roman" w:eastAsia="Times New Roman" w:hAnsi="Times New Roman" w:cs="Times New Roman"/>
          <w:color w:val="000000" w:themeColor="text1"/>
          <w:sz w:val="24"/>
          <w:szCs w:val="24"/>
        </w:rPr>
        <w:t>. London: Victims’ Commissioner’s Office.</w:t>
      </w:r>
    </w:p>
    <w:p w14:paraId="07741BFF" w14:textId="410A162E" w:rsidR="001B0BDC" w:rsidRPr="001B0BDC" w:rsidRDefault="001B0BDC" w:rsidP="004F0DCC">
      <w:pPr>
        <w:pStyle w:val="NormalWeb"/>
        <w:shd w:val="clear" w:color="auto" w:fill="FFFFFF"/>
        <w:spacing w:before="0" w:beforeAutospacing="0" w:after="0" w:afterAutospacing="0" w:line="480" w:lineRule="auto"/>
        <w:ind w:left="720" w:hanging="720"/>
        <w:contextualSpacing/>
        <w:rPr>
          <w:color w:val="000000" w:themeColor="text1"/>
          <w:lang w:val="en-GB"/>
        </w:rPr>
      </w:pPr>
      <w:r w:rsidRPr="001B0BDC">
        <w:rPr>
          <w:color w:val="000000" w:themeColor="text1"/>
          <w:lang w:val="en-GB"/>
        </w:rPr>
        <w:t xml:space="preserve">Wemmers, J.A., </w:t>
      </w:r>
      <w:r>
        <w:rPr>
          <w:color w:val="000000" w:themeColor="text1"/>
          <w:lang w:val="en-GB"/>
        </w:rPr>
        <w:t>(2012)</w:t>
      </w:r>
      <w:r w:rsidRPr="001B0BDC">
        <w:rPr>
          <w:color w:val="000000" w:themeColor="text1"/>
          <w:lang w:val="en-GB"/>
        </w:rPr>
        <w:t>Victims rights are human rights: the importance of recognising victims as persons. </w:t>
      </w:r>
      <w:r w:rsidRPr="001B0BDC">
        <w:rPr>
          <w:i/>
          <w:iCs/>
          <w:color w:val="000000" w:themeColor="text1"/>
          <w:lang w:val="en-GB"/>
        </w:rPr>
        <w:t xml:space="preserve">Temida, </w:t>
      </w:r>
      <w:r w:rsidRPr="001B0BDC">
        <w:rPr>
          <w:b/>
          <w:bCs/>
          <w:color w:val="000000" w:themeColor="text1"/>
          <w:lang w:val="en-GB"/>
        </w:rPr>
        <w:t>15</w:t>
      </w:r>
      <w:r w:rsidRPr="001B0BDC">
        <w:rPr>
          <w:color w:val="000000" w:themeColor="text1"/>
          <w:lang w:val="en-GB"/>
        </w:rPr>
        <w:t>(2), pp.71-83. doi:10.2298/tem1202071w.</w:t>
      </w:r>
    </w:p>
    <w:p w14:paraId="0C62C0AF" w14:textId="7D15FC78" w:rsidR="001B0BDC" w:rsidRPr="001B0BDC" w:rsidRDefault="001B0BDC" w:rsidP="004F0DCC">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1B0BDC">
        <w:rPr>
          <w:rFonts w:ascii="Times New Roman" w:eastAsia="Times New Roman" w:hAnsi="Times New Roman" w:cs="Times New Roman"/>
          <w:color w:val="000000" w:themeColor="text1"/>
          <w:sz w:val="24"/>
          <w:szCs w:val="24"/>
        </w:rPr>
        <w:t xml:space="preserve">Wolfgang, M.E., </w:t>
      </w:r>
      <w:r>
        <w:rPr>
          <w:rFonts w:ascii="Times New Roman" w:eastAsia="Times New Roman" w:hAnsi="Times New Roman" w:cs="Times New Roman"/>
          <w:color w:val="000000" w:themeColor="text1"/>
          <w:sz w:val="24"/>
          <w:szCs w:val="24"/>
        </w:rPr>
        <w:t>(1957)</w:t>
      </w:r>
      <w:r w:rsidRPr="001B0BDC">
        <w:rPr>
          <w:rFonts w:ascii="Times New Roman" w:eastAsia="Times New Roman" w:hAnsi="Times New Roman" w:cs="Times New Roman"/>
          <w:color w:val="000000" w:themeColor="text1"/>
          <w:sz w:val="24"/>
          <w:szCs w:val="24"/>
        </w:rPr>
        <w:t xml:space="preserve"> Victim precipitated criminal homicide. </w:t>
      </w:r>
      <w:r w:rsidRPr="001B0BDC">
        <w:rPr>
          <w:rFonts w:ascii="Times New Roman" w:eastAsia="Times New Roman" w:hAnsi="Times New Roman" w:cs="Times New Roman"/>
          <w:i/>
          <w:iCs/>
          <w:color w:val="000000" w:themeColor="text1"/>
          <w:sz w:val="24"/>
          <w:szCs w:val="24"/>
        </w:rPr>
        <w:t>The Journal of Criminal Law, Criminology, and Police Science</w:t>
      </w:r>
      <w:r w:rsidRPr="001B0BDC">
        <w:rPr>
          <w:rFonts w:ascii="Times New Roman" w:eastAsia="Times New Roman" w:hAnsi="Times New Roman" w:cs="Times New Roman"/>
          <w:color w:val="000000" w:themeColor="text1"/>
          <w:sz w:val="24"/>
          <w:szCs w:val="24"/>
        </w:rPr>
        <w:t xml:space="preserve">, </w:t>
      </w:r>
      <w:r w:rsidRPr="001B0BDC">
        <w:rPr>
          <w:rFonts w:ascii="Times New Roman" w:eastAsia="Times New Roman" w:hAnsi="Times New Roman" w:cs="Times New Roman"/>
          <w:b/>
          <w:bCs/>
          <w:color w:val="000000" w:themeColor="text1"/>
          <w:sz w:val="24"/>
          <w:szCs w:val="24"/>
        </w:rPr>
        <w:t>48</w:t>
      </w:r>
      <w:r w:rsidRPr="001B0BDC">
        <w:rPr>
          <w:rFonts w:ascii="Times New Roman" w:eastAsia="Times New Roman" w:hAnsi="Times New Roman" w:cs="Times New Roman"/>
          <w:color w:val="000000" w:themeColor="text1"/>
          <w:sz w:val="24"/>
          <w:szCs w:val="24"/>
        </w:rPr>
        <w:t>(1), p.1.</w:t>
      </w:r>
    </w:p>
    <w:sectPr w:rsidR="001B0BDC" w:rsidRPr="001B0BDC">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CB121B" w14:textId="77777777" w:rsidR="004F0DCC" w:rsidRDefault="004F0DCC" w:rsidP="004F0DCC">
      <w:pPr>
        <w:spacing w:after="0" w:line="240" w:lineRule="auto"/>
      </w:pPr>
      <w:r>
        <w:separator/>
      </w:r>
    </w:p>
  </w:endnote>
  <w:endnote w:type="continuationSeparator" w:id="0">
    <w:p w14:paraId="0AD586CA" w14:textId="77777777" w:rsidR="004F0DCC" w:rsidRDefault="004F0DCC" w:rsidP="004F0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EE43BA" w14:textId="77777777" w:rsidR="004F0DCC" w:rsidRDefault="004F0DCC" w:rsidP="004F0DCC">
      <w:pPr>
        <w:spacing w:after="0" w:line="240" w:lineRule="auto"/>
      </w:pPr>
      <w:r>
        <w:separator/>
      </w:r>
    </w:p>
  </w:footnote>
  <w:footnote w:type="continuationSeparator" w:id="0">
    <w:p w14:paraId="458BD26F" w14:textId="77777777" w:rsidR="004F0DCC" w:rsidRDefault="004F0DCC" w:rsidP="004F0D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F2FDE" w14:textId="237DB2FD" w:rsidR="004F0DCC" w:rsidRDefault="004F0DCC" w:rsidP="004F0DCC">
    <w:pPr>
      <w:pStyle w:val="Header"/>
      <w:jc w:val="right"/>
    </w:pPr>
    <w:r>
      <w:t>Ella Jade Smith</w:t>
    </w:r>
  </w:p>
  <w:p w14:paraId="2848674F" w14:textId="54A1963F" w:rsidR="004F0DCC" w:rsidRDefault="004F0DCC" w:rsidP="004F0DCC">
    <w:pPr>
      <w:pStyle w:val="Header"/>
      <w:jc w:val="right"/>
    </w:pPr>
    <w:r>
      <w:t>10/03/2023</w:t>
    </w:r>
  </w:p>
  <w:p w14:paraId="560DD1CB" w14:textId="1F219433" w:rsidR="004F0DCC" w:rsidRDefault="004F0DCC" w:rsidP="004F0DCC">
    <w:pPr>
      <w:pStyle w:val="Header"/>
      <w:jc w:val="right"/>
    </w:pPr>
    <w:r>
      <w:t>Social Inclusion, Victimisation and Welfare</w:t>
    </w:r>
  </w:p>
  <w:p w14:paraId="663F24EB" w14:textId="2C89859C" w:rsidR="004F0DCC" w:rsidRDefault="004F0DCC" w:rsidP="004F0DCC">
    <w:pPr>
      <w:pStyle w:val="Header"/>
      <w:jc w:val="right"/>
    </w:pPr>
    <w:r>
      <w:t>BMCP5002</w:t>
    </w:r>
  </w:p>
  <w:p w14:paraId="32D783DF" w14:textId="1ED21323" w:rsidR="004F0DCC" w:rsidRDefault="004F0DCC" w:rsidP="004F0DCC">
    <w:pPr>
      <w:pStyle w:val="Header"/>
      <w:jc w:val="right"/>
    </w:pP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A10"/>
    <w:rsid w:val="000A38E6"/>
    <w:rsid w:val="00157FFA"/>
    <w:rsid w:val="001B0BDC"/>
    <w:rsid w:val="001D732E"/>
    <w:rsid w:val="002608B2"/>
    <w:rsid w:val="00266B3E"/>
    <w:rsid w:val="00280F2D"/>
    <w:rsid w:val="00403BCD"/>
    <w:rsid w:val="004123FE"/>
    <w:rsid w:val="004F0DCC"/>
    <w:rsid w:val="0058095C"/>
    <w:rsid w:val="00644A10"/>
    <w:rsid w:val="00702A58"/>
    <w:rsid w:val="007A3200"/>
    <w:rsid w:val="00AE5ED3"/>
    <w:rsid w:val="00B56557"/>
    <w:rsid w:val="00B90990"/>
    <w:rsid w:val="00BC6170"/>
    <w:rsid w:val="00F76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165B2"/>
  <w15:chartTrackingRefBased/>
  <w15:docId w15:val="{C5D03270-0ACF-4942-851D-BC329A258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0DCC"/>
  </w:style>
  <w:style w:type="paragraph" w:styleId="Heading1">
    <w:name w:val="heading 1"/>
    <w:basedOn w:val="Normal"/>
    <w:next w:val="Normal"/>
    <w:link w:val="Heading1Char"/>
    <w:uiPriority w:val="9"/>
    <w:qFormat/>
    <w:rsid w:val="00403BCD"/>
    <w:pPr>
      <w:keepNext/>
      <w:keepLines/>
      <w:spacing w:before="240" w:after="0"/>
      <w:outlineLvl w:val="0"/>
    </w:pPr>
    <w:rPr>
      <w:rFonts w:ascii="Verdana" w:eastAsiaTheme="majorEastAsia" w:hAnsi="Verdan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BCD"/>
    <w:pPr>
      <w:keepNext/>
      <w:keepLines/>
      <w:spacing w:before="40" w:after="0"/>
      <w:outlineLvl w:val="1"/>
    </w:pPr>
    <w:rPr>
      <w:rFonts w:ascii="Verdana" w:eastAsiaTheme="majorEastAsia" w:hAnsi="Verdan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3BCD"/>
    <w:pPr>
      <w:keepNext/>
      <w:keepLines/>
      <w:spacing w:before="40" w:after="0"/>
      <w:outlineLvl w:val="2"/>
    </w:pPr>
    <w:rPr>
      <w:rFonts w:ascii="Verdana" w:eastAsiaTheme="majorEastAsia" w:hAnsi="Verdan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3BCD"/>
    <w:pPr>
      <w:keepNext/>
      <w:keepLines/>
      <w:spacing w:before="40" w:after="0"/>
      <w:outlineLvl w:val="3"/>
    </w:pPr>
    <w:rPr>
      <w:rFonts w:ascii="Verdana" w:eastAsiaTheme="majorEastAsia" w:hAnsi="Verdana" w:cstheme="majorBidi"/>
      <w:i/>
      <w:iCs/>
      <w:color w:val="2F5496" w:themeColor="accent1" w:themeShade="BF"/>
    </w:rPr>
  </w:style>
  <w:style w:type="paragraph" w:styleId="Heading5">
    <w:name w:val="heading 5"/>
    <w:basedOn w:val="Normal"/>
    <w:next w:val="Normal"/>
    <w:link w:val="Heading5Char"/>
    <w:uiPriority w:val="9"/>
    <w:unhideWhenUsed/>
    <w:qFormat/>
    <w:rsid w:val="00403BCD"/>
    <w:pPr>
      <w:keepNext/>
      <w:keepLines/>
      <w:spacing w:before="40" w:after="0"/>
      <w:outlineLvl w:val="4"/>
    </w:pPr>
    <w:rPr>
      <w:rFonts w:ascii="Verdana" w:eastAsiaTheme="majorEastAsia" w:hAnsi="Verdana" w:cstheme="majorBidi"/>
      <w:color w:val="2F5496" w:themeColor="accent1" w:themeShade="BF"/>
    </w:rPr>
  </w:style>
  <w:style w:type="paragraph" w:styleId="Heading6">
    <w:name w:val="heading 6"/>
    <w:basedOn w:val="Normal"/>
    <w:next w:val="Normal"/>
    <w:link w:val="Heading6Char"/>
    <w:uiPriority w:val="9"/>
    <w:unhideWhenUsed/>
    <w:qFormat/>
    <w:rsid w:val="00403BCD"/>
    <w:pPr>
      <w:keepNext/>
      <w:keepLines/>
      <w:spacing w:before="40" w:after="0"/>
      <w:outlineLvl w:val="5"/>
    </w:pPr>
    <w:rPr>
      <w:rFonts w:ascii="Verdana" w:eastAsiaTheme="majorEastAsia" w:hAnsi="Verdana" w:cstheme="majorBidi"/>
      <w:color w:val="1F3763" w:themeColor="accent1" w:themeShade="7F"/>
    </w:rPr>
  </w:style>
  <w:style w:type="paragraph" w:styleId="Heading7">
    <w:name w:val="heading 7"/>
    <w:basedOn w:val="Normal"/>
    <w:next w:val="Normal"/>
    <w:link w:val="Heading7Char"/>
    <w:uiPriority w:val="9"/>
    <w:unhideWhenUsed/>
    <w:qFormat/>
    <w:rsid w:val="00403BCD"/>
    <w:pPr>
      <w:keepNext/>
      <w:keepLines/>
      <w:spacing w:before="40" w:after="0"/>
      <w:outlineLvl w:val="6"/>
    </w:pPr>
    <w:rPr>
      <w:rFonts w:ascii="Verdana" w:eastAsiaTheme="majorEastAsia" w:hAnsi="Verdana" w:cstheme="majorBidi"/>
      <w:i/>
      <w:iCs/>
      <w:color w:val="1F3763" w:themeColor="accent1" w:themeShade="7F"/>
    </w:rPr>
  </w:style>
  <w:style w:type="paragraph" w:styleId="Heading8">
    <w:name w:val="heading 8"/>
    <w:basedOn w:val="Normal"/>
    <w:next w:val="Normal"/>
    <w:link w:val="Heading8Char"/>
    <w:uiPriority w:val="9"/>
    <w:unhideWhenUsed/>
    <w:qFormat/>
    <w:rsid w:val="00403BCD"/>
    <w:pPr>
      <w:keepNext/>
      <w:keepLines/>
      <w:spacing w:before="40" w:after="0"/>
      <w:outlineLvl w:val="7"/>
    </w:pPr>
    <w:rPr>
      <w:rFonts w:ascii="Verdana" w:eastAsiaTheme="majorEastAsia" w:hAnsi="Verdana" w:cstheme="majorBidi"/>
      <w:color w:val="272727" w:themeColor="text1" w:themeTint="D8"/>
      <w:sz w:val="21"/>
      <w:szCs w:val="21"/>
    </w:rPr>
  </w:style>
  <w:style w:type="paragraph" w:styleId="Heading9">
    <w:name w:val="heading 9"/>
    <w:basedOn w:val="Normal"/>
    <w:next w:val="Normal"/>
    <w:link w:val="Heading9Char"/>
    <w:uiPriority w:val="9"/>
    <w:unhideWhenUsed/>
    <w:qFormat/>
    <w:rsid w:val="00403BCD"/>
    <w:pPr>
      <w:keepNext/>
      <w:keepLines/>
      <w:spacing w:before="40" w:after="0"/>
      <w:outlineLvl w:val="8"/>
    </w:pPr>
    <w:rPr>
      <w:rFonts w:ascii="Verdana" w:eastAsiaTheme="majorEastAsia" w:hAnsi="Verdan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3BCD"/>
    <w:pPr>
      <w:spacing w:after="0" w:line="240" w:lineRule="auto"/>
    </w:pPr>
    <w:rPr>
      <w:rFonts w:ascii="Verdana" w:hAnsi="Verdana"/>
    </w:rPr>
  </w:style>
  <w:style w:type="character" w:customStyle="1" w:styleId="Heading1Char">
    <w:name w:val="Heading 1 Char"/>
    <w:basedOn w:val="DefaultParagraphFont"/>
    <w:link w:val="Heading1"/>
    <w:uiPriority w:val="9"/>
    <w:rsid w:val="00403BCD"/>
    <w:rPr>
      <w:rFonts w:ascii="Verdana" w:eastAsiaTheme="majorEastAsia" w:hAnsi="Verdana" w:cstheme="majorBidi"/>
      <w:color w:val="2F5496" w:themeColor="accent1" w:themeShade="BF"/>
      <w:sz w:val="32"/>
      <w:szCs w:val="32"/>
    </w:rPr>
  </w:style>
  <w:style w:type="character" w:customStyle="1" w:styleId="Heading2Char">
    <w:name w:val="Heading 2 Char"/>
    <w:basedOn w:val="DefaultParagraphFont"/>
    <w:link w:val="Heading2"/>
    <w:uiPriority w:val="9"/>
    <w:rsid w:val="00403BCD"/>
    <w:rPr>
      <w:rFonts w:ascii="Verdana" w:eastAsiaTheme="majorEastAsia" w:hAnsi="Verdana" w:cstheme="majorBidi"/>
      <w:color w:val="2F5496" w:themeColor="accent1" w:themeShade="BF"/>
      <w:sz w:val="26"/>
      <w:szCs w:val="26"/>
    </w:rPr>
  </w:style>
  <w:style w:type="character" w:customStyle="1" w:styleId="Heading3Char">
    <w:name w:val="Heading 3 Char"/>
    <w:basedOn w:val="DefaultParagraphFont"/>
    <w:link w:val="Heading3"/>
    <w:uiPriority w:val="9"/>
    <w:rsid w:val="00403BCD"/>
    <w:rPr>
      <w:rFonts w:ascii="Verdana" w:eastAsiaTheme="majorEastAsia" w:hAnsi="Verdana" w:cstheme="majorBidi"/>
      <w:color w:val="1F3763" w:themeColor="accent1" w:themeShade="7F"/>
      <w:sz w:val="24"/>
      <w:szCs w:val="24"/>
    </w:rPr>
  </w:style>
  <w:style w:type="character" w:customStyle="1" w:styleId="Heading4Char">
    <w:name w:val="Heading 4 Char"/>
    <w:basedOn w:val="DefaultParagraphFont"/>
    <w:link w:val="Heading4"/>
    <w:uiPriority w:val="9"/>
    <w:rsid w:val="00403BCD"/>
    <w:rPr>
      <w:rFonts w:ascii="Verdana" w:eastAsiaTheme="majorEastAsia" w:hAnsi="Verdana" w:cstheme="majorBidi"/>
      <w:i/>
      <w:iCs/>
      <w:color w:val="2F5496" w:themeColor="accent1" w:themeShade="BF"/>
    </w:rPr>
  </w:style>
  <w:style w:type="character" w:customStyle="1" w:styleId="Heading5Char">
    <w:name w:val="Heading 5 Char"/>
    <w:basedOn w:val="DefaultParagraphFont"/>
    <w:link w:val="Heading5"/>
    <w:uiPriority w:val="9"/>
    <w:rsid w:val="00403BCD"/>
    <w:rPr>
      <w:rFonts w:ascii="Verdana" w:eastAsiaTheme="majorEastAsia" w:hAnsi="Verdana" w:cstheme="majorBidi"/>
      <w:color w:val="2F5496" w:themeColor="accent1" w:themeShade="BF"/>
    </w:rPr>
  </w:style>
  <w:style w:type="character" w:customStyle="1" w:styleId="Heading6Char">
    <w:name w:val="Heading 6 Char"/>
    <w:basedOn w:val="DefaultParagraphFont"/>
    <w:link w:val="Heading6"/>
    <w:uiPriority w:val="9"/>
    <w:rsid w:val="00403BCD"/>
    <w:rPr>
      <w:rFonts w:ascii="Verdana" w:eastAsiaTheme="majorEastAsia" w:hAnsi="Verdana" w:cstheme="majorBidi"/>
      <w:color w:val="1F3763" w:themeColor="accent1" w:themeShade="7F"/>
    </w:rPr>
  </w:style>
  <w:style w:type="character" w:customStyle="1" w:styleId="Heading7Char">
    <w:name w:val="Heading 7 Char"/>
    <w:basedOn w:val="DefaultParagraphFont"/>
    <w:link w:val="Heading7"/>
    <w:uiPriority w:val="9"/>
    <w:rsid w:val="00403BCD"/>
    <w:rPr>
      <w:rFonts w:ascii="Verdana" w:eastAsiaTheme="majorEastAsia" w:hAnsi="Verdana" w:cstheme="majorBidi"/>
      <w:i/>
      <w:iCs/>
      <w:color w:val="1F3763" w:themeColor="accent1" w:themeShade="7F"/>
    </w:rPr>
  </w:style>
  <w:style w:type="character" w:customStyle="1" w:styleId="Heading8Char">
    <w:name w:val="Heading 8 Char"/>
    <w:basedOn w:val="DefaultParagraphFont"/>
    <w:link w:val="Heading8"/>
    <w:uiPriority w:val="9"/>
    <w:rsid w:val="00403BCD"/>
    <w:rPr>
      <w:rFonts w:ascii="Verdana" w:eastAsiaTheme="majorEastAsia" w:hAnsi="Verdana" w:cstheme="majorBidi"/>
      <w:color w:val="272727" w:themeColor="text1" w:themeTint="D8"/>
      <w:sz w:val="21"/>
      <w:szCs w:val="21"/>
    </w:rPr>
  </w:style>
  <w:style w:type="character" w:customStyle="1" w:styleId="Heading9Char">
    <w:name w:val="Heading 9 Char"/>
    <w:basedOn w:val="DefaultParagraphFont"/>
    <w:link w:val="Heading9"/>
    <w:uiPriority w:val="9"/>
    <w:rsid w:val="00403BCD"/>
    <w:rPr>
      <w:rFonts w:ascii="Verdana" w:eastAsiaTheme="majorEastAsia" w:hAnsi="Verdana" w:cstheme="majorBidi"/>
      <w:i/>
      <w:iCs/>
      <w:color w:val="272727" w:themeColor="text1" w:themeTint="D8"/>
      <w:sz w:val="21"/>
      <w:szCs w:val="21"/>
    </w:rPr>
  </w:style>
  <w:style w:type="paragraph" w:styleId="Title">
    <w:name w:val="Title"/>
    <w:basedOn w:val="Normal"/>
    <w:next w:val="Normal"/>
    <w:link w:val="TitleChar"/>
    <w:uiPriority w:val="10"/>
    <w:qFormat/>
    <w:rsid w:val="00403BCD"/>
    <w:pPr>
      <w:spacing w:after="0" w:line="240" w:lineRule="auto"/>
      <w:contextualSpacing/>
    </w:pPr>
    <w:rPr>
      <w:rFonts w:ascii="Verdana" w:eastAsiaTheme="majorEastAsia" w:hAnsi="Verdana" w:cstheme="majorBidi"/>
      <w:spacing w:val="-10"/>
      <w:kern w:val="28"/>
      <w:sz w:val="56"/>
      <w:szCs w:val="56"/>
    </w:rPr>
  </w:style>
  <w:style w:type="character" w:customStyle="1" w:styleId="TitleChar">
    <w:name w:val="Title Char"/>
    <w:basedOn w:val="DefaultParagraphFont"/>
    <w:link w:val="Title"/>
    <w:uiPriority w:val="10"/>
    <w:rsid w:val="00403BCD"/>
    <w:rPr>
      <w:rFonts w:ascii="Verdana" w:eastAsiaTheme="majorEastAsia" w:hAnsi="Verdana" w:cstheme="majorBidi"/>
      <w:spacing w:val="-10"/>
      <w:kern w:val="28"/>
      <w:sz w:val="56"/>
      <w:szCs w:val="56"/>
    </w:rPr>
  </w:style>
  <w:style w:type="paragraph" w:styleId="Subtitle">
    <w:name w:val="Subtitle"/>
    <w:basedOn w:val="Normal"/>
    <w:next w:val="Normal"/>
    <w:link w:val="SubtitleChar"/>
    <w:uiPriority w:val="11"/>
    <w:qFormat/>
    <w:rsid w:val="00403BCD"/>
    <w:pPr>
      <w:numPr>
        <w:ilvl w:val="1"/>
      </w:numPr>
    </w:pPr>
    <w:rPr>
      <w:rFonts w:ascii="Verdana" w:eastAsiaTheme="minorEastAsia" w:hAnsi="Verdana"/>
      <w:color w:val="5A5A5A" w:themeColor="text1" w:themeTint="A5"/>
      <w:spacing w:val="15"/>
    </w:rPr>
  </w:style>
  <w:style w:type="character" w:customStyle="1" w:styleId="SubtitleChar">
    <w:name w:val="Subtitle Char"/>
    <w:basedOn w:val="DefaultParagraphFont"/>
    <w:link w:val="Subtitle"/>
    <w:uiPriority w:val="11"/>
    <w:rsid w:val="00403BCD"/>
    <w:rPr>
      <w:rFonts w:ascii="Verdana" w:eastAsiaTheme="minorEastAsia" w:hAnsi="Verdana"/>
      <w:color w:val="5A5A5A" w:themeColor="text1" w:themeTint="A5"/>
      <w:spacing w:val="15"/>
    </w:rPr>
  </w:style>
  <w:style w:type="character" w:styleId="SubtleEmphasis">
    <w:name w:val="Subtle Emphasis"/>
    <w:basedOn w:val="DefaultParagraphFont"/>
    <w:uiPriority w:val="19"/>
    <w:qFormat/>
    <w:rsid w:val="00403BCD"/>
    <w:rPr>
      <w:rFonts w:ascii="Verdana" w:hAnsi="Verdana"/>
      <w:i/>
      <w:iCs/>
      <w:color w:val="404040" w:themeColor="text1" w:themeTint="BF"/>
    </w:rPr>
  </w:style>
  <w:style w:type="character" w:styleId="Emphasis">
    <w:name w:val="Emphasis"/>
    <w:basedOn w:val="DefaultParagraphFont"/>
    <w:uiPriority w:val="20"/>
    <w:qFormat/>
    <w:rsid w:val="00403BCD"/>
    <w:rPr>
      <w:rFonts w:ascii="Verdana" w:hAnsi="Verdana"/>
      <w:i/>
      <w:iCs/>
    </w:rPr>
  </w:style>
  <w:style w:type="character" w:styleId="IntenseEmphasis">
    <w:name w:val="Intense Emphasis"/>
    <w:basedOn w:val="DefaultParagraphFont"/>
    <w:uiPriority w:val="21"/>
    <w:qFormat/>
    <w:rsid w:val="00403BCD"/>
    <w:rPr>
      <w:rFonts w:ascii="Verdana" w:hAnsi="Verdana"/>
      <w:i/>
      <w:iCs/>
      <w:color w:val="4472C4" w:themeColor="accent1"/>
    </w:rPr>
  </w:style>
  <w:style w:type="character" w:styleId="Strong">
    <w:name w:val="Strong"/>
    <w:basedOn w:val="DefaultParagraphFont"/>
    <w:uiPriority w:val="22"/>
    <w:qFormat/>
    <w:rsid w:val="00403BCD"/>
    <w:rPr>
      <w:rFonts w:ascii="Verdana" w:hAnsi="Verdana"/>
      <w:b/>
      <w:bCs/>
    </w:rPr>
  </w:style>
  <w:style w:type="paragraph" w:styleId="Quote">
    <w:name w:val="Quote"/>
    <w:basedOn w:val="Normal"/>
    <w:next w:val="Normal"/>
    <w:link w:val="QuoteChar"/>
    <w:uiPriority w:val="29"/>
    <w:qFormat/>
    <w:rsid w:val="00403BCD"/>
    <w:pPr>
      <w:spacing w:before="200"/>
      <w:ind w:left="864" w:right="864"/>
      <w:jc w:val="center"/>
    </w:pPr>
    <w:rPr>
      <w:rFonts w:ascii="Verdana" w:hAnsi="Verdana"/>
      <w:i/>
      <w:iCs/>
      <w:color w:val="404040" w:themeColor="text1" w:themeTint="BF"/>
    </w:rPr>
  </w:style>
  <w:style w:type="character" w:customStyle="1" w:styleId="QuoteChar">
    <w:name w:val="Quote Char"/>
    <w:basedOn w:val="DefaultParagraphFont"/>
    <w:link w:val="Quote"/>
    <w:uiPriority w:val="29"/>
    <w:rsid w:val="00403BCD"/>
    <w:rPr>
      <w:rFonts w:ascii="Verdana" w:hAnsi="Verdana"/>
      <w:i/>
      <w:iCs/>
      <w:color w:val="404040" w:themeColor="text1" w:themeTint="BF"/>
    </w:rPr>
  </w:style>
  <w:style w:type="paragraph" w:styleId="IntenseQuote">
    <w:name w:val="Intense Quote"/>
    <w:basedOn w:val="Normal"/>
    <w:next w:val="Normal"/>
    <w:link w:val="IntenseQuoteChar"/>
    <w:uiPriority w:val="30"/>
    <w:qFormat/>
    <w:rsid w:val="00403BCD"/>
    <w:pPr>
      <w:pBdr>
        <w:top w:val="single" w:sz="4" w:space="10" w:color="4472C4" w:themeColor="accent1"/>
        <w:bottom w:val="single" w:sz="4" w:space="10" w:color="4472C4" w:themeColor="accent1"/>
      </w:pBdr>
      <w:spacing w:before="360" w:after="360"/>
      <w:ind w:left="864" w:right="864"/>
      <w:jc w:val="center"/>
    </w:pPr>
    <w:rPr>
      <w:rFonts w:ascii="Verdana" w:hAnsi="Verdana"/>
      <w:i/>
      <w:iCs/>
      <w:color w:val="4472C4" w:themeColor="accent1"/>
    </w:rPr>
  </w:style>
  <w:style w:type="character" w:customStyle="1" w:styleId="IntenseQuoteChar">
    <w:name w:val="Intense Quote Char"/>
    <w:basedOn w:val="DefaultParagraphFont"/>
    <w:link w:val="IntenseQuote"/>
    <w:uiPriority w:val="30"/>
    <w:rsid w:val="00403BCD"/>
    <w:rPr>
      <w:rFonts w:ascii="Verdana" w:hAnsi="Verdana"/>
      <w:i/>
      <w:iCs/>
      <w:color w:val="4472C4" w:themeColor="accent1"/>
    </w:rPr>
  </w:style>
  <w:style w:type="character" w:styleId="SubtleReference">
    <w:name w:val="Subtle Reference"/>
    <w:basedOn w:val="DefaultParagraphFont"/>
    <w:uiPriority w:val="31"/>
    <w:qFormat/>
    <w:rsid w:val="00403BCD"/>
    <w:rPr>
      <w:rFonts w:ascii="Verdana" w:hAnsi="Verdana"/>
      <w:smallCaps/>
      <w:color w:val="5A5A5A" w:themeColor="text1" w:themeTint="A5"/>
    </w:rPr>
  </w:style>
  <w:style w:type="character" w:styleId="IntenseReference">
    <w:name w:val="Intense Reference"/>
    <w:basedOn w:val="DefaultParagraphFont"/>
    <w:uiPriority w:val="32"/>
    <w:qFormat/>
    <w:rsid w:val="00403BCD"/>
    <w:rPr>
      <w:rFonts w:ascii="Verdana" w:hAnsi="Verdana"/>
      <w:b/>
      <w:bCs/>
      <w:smallCaps/>
      <w:color w:val="4472C4" w:themeColor="accent1"/>
      <w:spacing w:val="5"/>
    </w:rPr>
  </w:style>
  <w:style w:type="character" w:styleId="BookTitle">
    <w:name w:val="Book Title"/>
    <w:basedOn w:val="DefaultParagraphFont"/>
    <w:uiPriority w:val="33"/>
    <w:qFormat/>
    <w:rsid w:val="00280F2D"/>
    <w:rPr>
      <w:rFonts w:ascii="Verdana" w:hAnsi="Verdana"/>
      <w:b w:val="0"/>
      <w:bCs/>
      <w:i w:val="0"/>
      <w:iCs/>
      <w:spacing w:val="0"/>
      <w:sz w:val="22"/>
    </w:rPr>
  </w:style>
  <w:style w:type="paragraph" w:styleId="ListParagraph">
    <w:name w:val="List Paragraph"/>
    <w:basedOn w:val="Normal"/>
    <w:uiPriority w:val="34"/>
    <w:qFormat/>
    <w:rsid w:val="00403BCD"/>
    <w:pPr>
      <w:ind w:left="720"/>
      <w:contextualSpacing/>
    </w:pPr>
    <w:rPr>
      <w:rFonts w:ascii="Verdana" w:hAnsi="Verdana"/>
    </w:rPr>
  </w:style>
  <w:style w:type="paragraph" w:styleId="Header">
    <w:name w:val="header"/>
    <w:basedOn w:val="Normal"/>
    <w:link w:val="HeaderChar"/>
    <w:uiPriority w:val="99"/>
    <w:unhideWhenUsed/>
    <w:rsid w:val="004F0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DCC"/>
  </w:style>
  <w:style w:type="paragraph" w:styleId="Footer">
    <w:name w:val="footer"/>
    <w:basedOn w:val="Normal"/>
    <w:link w:val="FooterChar"/>
    <w:uiPriority w:val="99"/>
    <w:unhideWhenUsed/>
    <w:rsid w:val="004F0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DCC"/>
  </w:style>
  <w:style w:type="paragraph" w:styleId="BalloonText">
    <w:name w:val="Balloon Text"/>
    <w:basedOn w:val="Normal"/>
    <w:link w:val="BalloonTextChar"/>
    <w:uiPriority w:val="99"/>
    <w:semiHidden/>
    <w:unhideWhenUsed/>
    <w:rsid w:val="004F0D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0DCC"/>
    <w:rPr>
      <w:rFonts w:ascii="Segoe UI" w:hAnsi="Segoe UI" w:cs="Segoe UI"/>
      <w:sz w:val="18"/>
      <w:szCs w:val="18"/>
    </w:rPr>
  </w:style>
  <w:style w:type="paragraph" w:styleId="NormalWeb">
    <w:name w:val="Normal (Web)"/>
    <w:basedOn w:val="Normal"/>
    <w:uiPriority w:val="99"/>
    <w:unhideWhenUsed/>
    <w:rsid w:val="004F0DC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4F0D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043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ictimsupport.org.uk/" TargetMode="External"/><Relationship Id="rId18" Type="http://schemas.openxmlformats.org/officeDocument/2006/relationships/hyperlink" Target="https://www.london.gov.uk/sites/default/files/Review%20of%20victim%20services%20in%20London.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ons.gov.uk/peoplepopulationandcommunity/crimeandjustice/bulletins/crimeinenglandandwales/yearendingjune2022" TargetMode="External"/><Relationship Id="rId7" Type="http://schemas.openxmlformats.org/officeDocument/2006/relationships/footnotes" Target="footnotes.xml"/><Relationship Id="rId12" Type="http://schemas.openxmlformats.org/officeDocument/2006/relationships/hyperlink" Target="https://www.gov.uk/government/publications/circular-0092022-police-crime-sentencing-and-courts-act-2022/circular-0092022-police-crime-sentencing-and-courts-act-2022" TargetMode="External"/><Relationship Id="rId17" Type="http://schemas.openxmlformats.org/officeDocument/2006/relationships/hyperlink" Target="https://www.gov.uk/guidance/compensation-in-the-justice-syste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the-code-of-practice-for-victims-of-crime" TargetMode="External"/><Relationship Id="rId20" Type="http://schemas.openxmlformats.org/officeDocument/2006/relationships/hyperlink" Target="https://www.ons.gov.uk/peoplepopulationandcommunity/crimeandjustice/bulletins/crimeinenglandandwales/yearendingmarch201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news/better-protection-from-invasive-data-requests-for-victims-of-rape"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met.police.uk/ar/applyregister/vc/compensation-for-victims-of-crime/" TargetMode="External"/><Relationship Id="rId23" Type="http://schemas.openxmlformats.org/officeDocument/2006/relationships/hyperlink" Target="https://www.unodc.org/e4j/zh/crime-prevention-criminal-justice/module-11/key-issues/3--the-right-of-victims-to-an-adequate-response-to-their-needs.html" TargetMode="External"/><Relationship Id="rId10" Type="http://schemas.openxmlformats.org/officeDocument/2006/relationships/hyperlink" Target="https://assets.publishing.service.gov.uk/government/uploads/system/uploads/attachment_data/file/746930/victim-strategy.pdf" TargetMode="External"/><Relationship Id="rId19" Type="http://schemas.openxmlformats.org/officeDocument/2006/relationships/hyperlink" Target="https://www.nationalcrimeagency.gov.uk/news/new-national-protected-persons-service-starts-work" TargetMode="External"/><Relationship Id="rId4" Type="http://schemas.openxmlformats.org/officeDocument/2006/relationships/styles" Target="styles.xml"/><Relationship Id="rId9" Type="http://schemas.openxmlformats.org/officeDocument/2006/relationships/hyperlink" Target="https://www.cps.gov.uk/legal-guidance/victims-and-witnesses-care-and-treatment" TargetMode="External"/><Relationship Id="rId14" Type="http://schemas.openxmlformats.org/officeDocument/2006/relationships/hyperlink" Target="https://www.bbc.co.uk/news/uk-52157620" TargetMode="External"/><Relationship Id="rId22" Type="http://schemas.openxmlformats.org/officeDocument/2006/relationships/hyperlink" Target="https://www.theguardian.com/law/2022/aug/12/england-and-wales-crime-victims-not-pursuing-cases-criminal-justice-system-confidence-collap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2CCD2D453E674883C3C0D45D0C18F4" ma:contentTypeVersion="10" ma:contentTypeDescription="Create a new document." ma:contentTypeScope="" ma:versionID="06d88b299b0096175e40604c1a3b5367">
  <xsd:schema xmlns:xsd="http://www.w3.org/2001/XMLSchema" xmlns:xs="http://www.w3.org/2001/XMLSchema" xmlns:p="http://schemas.microsoft.com/office/2006/metadata/properties" xmlns:ns3="8801e5f2-4ca6-4bab-b726-d8b84bcbff67" targetNamespace="http://schemas.microsoft.com/office/2006/metadata/properties" ma:root="true" ma:fieldsID="eb5cda5b74d9c49ce93c63eaedb81fb0" ns3:_="">
    <xsd:import namespace="8801e5f2-4ca6-4bab-b726-d8b84bcbff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01e5f2-4ca6-4bab-b726-d8b84bcbff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F5286F-4CF3-4CCE-AB08-3425521808EC}">
  <ds:schemaRefs>
    <ds:schemaRef ds:uri="http://schemas.microsoft.com/sharepoint/v3/contenttype/forms"/>
  </ds:schemaRefs>
</ds:datastoreItem>
</file>

<file path=customXml/itemProps2.xml><?xml version="1.0" encoding="utf-8"?>
<ds:datastoreItem xmlns:ds="http://schemas.openxmlformats.org/officeDocument/2006/customXml" ds:itemID="{DEC9CFF0-BADC-44B7-BE75-C0B7B1C5C65C}">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801e5f2-4ca6-4bab-b726-d8b84bcbff67"/>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FFAB8861-3C7A-4B38-A1E1-F4DA9022DB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01e5f2-4ca6-4bab-b726-d8b84bcbff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12</Pages>
  <Words>3073</Words>
  <Characters>17521</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Critically explore the needs of victims of crime and the services that are avail</vt:lpstr>
    </vt:vector>
  </TitlesOfParts>
  <Company>HP</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Smith</dc:creator>
  <cp:keywords/>
  <dc:description/>
  <cp:lastModifiedBy>Michelle Smith</cp:lastModifiedBy>
  <cp:revision>4</cp:revision>
  <dcterms:created xsi:type="dcterms:W3CDTF">2023-03-10T16:11:00Z</dcterms:created>
  <dcterms:modified xsi:type="dcterms:W3CDTF">2023-03-10T17:33:00Z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0x010100342CCD2D453E674883C3C0D45D0C18F4</vt:lpwstr>
  </property>
</Properties>
</file>