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734" w:type="dxa"/>
        <w:tblInd w:w="113" w:type="dxa"/>
        <w:tblBorders>
          <w:top w:val="outset" w:sz="6" w:space="0" w:color="auto"/>
          <w:left w:val="outset" w:sz="6" w:space="0" w:color="auto"/>
          <w:bottom w:val="outset" w:sz="6" w:space="0" w:color="auto"/>
          <w:right w:val="outset" w:sz="6" w:space="0" w:color="auto"/>
        </w:tblBorders>
        <w:tblLayout w:type="fixed"/>
        <w:tblCellMar>
          <w:top w:w="142" w:type="dxa"/>
          <w:left w:w="142" w:type="dxa"/>
          <w:bottom w:w="142" w:type="dxa"/>
          <w:right w:w="142" w:type="dxa"/>
        </w:tblCellMar>
        <w:tblLook w:val="04A0" w:firstRow="1" w:lastRow="0" w:firstColumn="1" w:lastColumn="0" w:noHBand="0" w:noVBand="1"/>
      </w:tblPr>
      <w:tblGrid>
        <w:gridCol w:w="1841"/>
        <w:gridCol w:w="1842"/>
        <w:gridCol w:w="1842"/>
        <w:gridCol w:w="1842"/>
        <w:gridCol w:w="1841"/>
        <w:gridCol w:w="1842"/>
        <w:gridCol w:w="1842"/>
        <w:gridCol w:w="1842"/>
      </w:tblGrid>
      <w:tr w:rsidR="009A6116" w:rsidRPr="00D01B7F" w14:paraId="44E4D489" w14:textId="77777777" w:rsidTr="009A6116">
        <w:tc>
          <w:tcPr>
            <w:tcW w:w="1841" w:type="dxa"/>
            <w:tcBorders>
              <w:top w:val="single" w:sz="6" w:space="0" w:color="auto"/>
              <w:left w:val="single" w:sz="6" w:space="0" w:color="auto"/>
              <w:bottom w:val="single" w:sz="6" w:space="0" w:color="auto"/>
              <w:right w:val="single" w:sz="6" w:space="0" w:color="auto"/>
            </w:tcBorders>
            <w:shd w:val="clear" w:color="auto" w:fill="FABF8F"/>
            <w:hideMark/>
          </w:tcPr>
          <w:p w14:paraId="6696292C" w14:textId="77777777" w:rsidR="009A6116" w:rsidRPr="00D01B7F" w:rsidRDefault="009A6116" w:rsidP="005E6610">
            <w:pPr>
              <w:spacing w:after="0" w:line="240" w:lineRule="auto"/>
              <w:textAlignment w:val="baseline"/>
              <w:rPr>
                <w:rFonts w:ascii="Georgia" w:eastAsia="Times New Roman" w:hAnsi="Georgia" w:cs="Times New Roman"/>
                <w:lang w:eastAsia="en-GB"/>
              </w:rPr>
            </w:pPr>
            <w:bookmarkStart w:id="0" w:name="_GoBack"/>
            <w:r w:rsidRPr="00D01B7F">
              <w:rPr>
                <w:rFonts w:ascii="Georgia" w:eastAsia="Times New Roman" w:hAnsi="Georgia" w:cs="Arial"/>
                <w:b/>
                <w:bCs/>
                <w:lang w:eastAsia="en-GB"/>
              </w:rPr>
              <w:t>Level 3</w:t>
            </w:r>
            <w:r w:rsidRPr="00D01B7F">
              <w:rPr>
                <w:rFonts w:ascii="Georgia" w:eastAsia="Times New Roman" w:hAnsi="Georgia" w:cs="Arial"/>
                <w:lang w:eastAsia="en-GB"/>
              </w:rPr>
              <w:t> </w:t>
            </w:r>
          </w:p>
        </w:tc>
        <w:tc>
          <w:tcPr>
            <w:tcW w:w="1842" w:type="dxa"/>
            <w:tcBorders>
              <w:top w:val="single" w:sz="6" w:space="0" w:color="auto"/>
              <w:left w:val="nil"/>
              <w:bottom w:val="single" w:sz="6" w:space="0" w:color="auto"/>
              <w:right w:val="single" w:sz="6" w:space="0" w:color="auto"/>
            </w:tcBorders>
            <w:shd w:val="clear" w:color="auto" w:fill="FABF8F"/>
            <w:vAlign w:val="center"/>
            <w:hideMark/>
          </w:tcPr>
          <w:p w14:paraId="29B676BF"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FAIL</w:t>
            </w:r>
            <w:r w:rsidRPr="00D01B7F">
              <w:rPr>
                <w:rFonts w:ascii="Georgia" w:eastAsia="Times New Roman" w:hAnsi="Georgia" w:cs="Arial"/>
                <w:lang w:eastAsia="en-GB"/>
              </w:rPr>
              <w:t> </w:t>
            </w:r>
          </w:p>
        </w:tc>
        <w:tc>
          <w:tcPr>
            <w:tcW w:w="1842" w:type="dxa"/>
            <w:tcBorders>
              <w:top w:val="single" w:sz="6" w:space="0" w:color="auto"/>
              <w:left w:val="nil"/>
              <w:bottom w:val="single" w:sz="6" w:space="0" w:color="auto"/>
              <w:right w:val="single" w:sz="6" w:space="0" w:color="auto"/>
            </w:tcBorders>
            <w:shd w:val="clear" w:color="auto" w:fill="FABF8F"/>
            <w:vAlign w:val="center"/>
            <w:hideMark/>
          </w:tcPr>
          <w:p w14:paraId="57F6373B"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MARGINAL FAIL</w:t>
            </w:r>
            <w:r w:rsidRPr="00D01B7F">
              <w:rPr>
                <w:rFonts w:ascii="Georgia" w:eastAsia="Times New Roman" w:hAnsi="Georgia" w:cs="Arial"/>
                <w:lang w:eastAsia="en-GB"/>
              </w:rPr>
              <w:t> </w:t>
            </w:r>
          </w:p>
        </w:tc>
        <w:tc>
          <w:tcPr>
            <w:tcW w:w="1842" w:type="dxa"/>
            <w:tcBorders>
              <w:top w:val="single" w:sz="6" w:space="0" w:color="auto"/>
              <w:left w:val="nil"/>
              <w:bottom w:val="single" w:sz="6" w:space="0" w:color="auto"/>
              <w:right w:val="single" w:sz="6" w:space="0" w:color="auto"/>
            </w:tcBorders>
            <w:shd w:val="clear" w:color="auto" w:fill="FABF8F"/>
            <w:vAlign w:val="center"/>
            <w:hideMark/>
          </w:tcPr>
          <w:p w14:paraId="1BB1B4F8"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SATISFACTORY</w:t>
            </w:r>
            <w:r w:rsidRPr="00D01B7F">
              <w:rPr>
                <w:rFonts w:ascii="Georgia" w:eastAsia="Times New Roman" w:hAnsi="Georgia" w:cs="Arial"/>
                <w:lang w:eastAsia="en-GB"/>
              </w:rPr>
              <w:t> </w:t>
            </w:r>
          </w:p>
          <w:p w14:paraId="0B783C1A"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(Pass)</w:t>
            </w:r>
            <w:r w:rsidRPr="00D01B7F">
              <w:rPr>
                <w:rFonts w:ascii="Georgia" w:eastAsia="Times New Roman" w:hAnsi="Georgia" w:cs="Arial"/>
                <w:lang w:eastAsia="en-GB"/>
              </w:rPr>
              <w:t> </w:t>
            </w:r>
          </w:p>
        </w:tc>
        <w:tc>
          <w:tcPr>
            <w:tcW w:w="1841" w:type="dxa"/>
            <w:tcBorders>
              <w:top w:val="single" w:sz="6" w:space="0" w:color="auto"/>
              <w:left w:val="nil"/>
              <w:bottom w:val="single" w:sz="6" w:space="0" w:color="auto"/>
              <w:right w:val="single" w:sz="6" w:space="0" w:color="auto"/>
            </w:tcBorders>
            <w:shd w:val="clear" w:color="auto" w:fill="FABF8F"/>
            <w:vAlign w:val="center"/>
            <w:hideMark/>
          </w:tcPr>
          <w:p w14:paraId="1EA67927"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GOOD</w:t>
            </w:r>
            <w:r w:rsidRPr="00D01B7F">
              <w:rPr>
                <w:rFonts w:ascii="Georgia" w:eastAsia="Times New Roman" w:hAnsi="Georgia" w:cs="Arial"/>
                <w:lang w:eastAsia="en-GB"/>
              </w:rPr>
              <w:t> </w:t>
            </w:r>
          </w:p>
          <w:p w14:paraId="7382A07C"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p>
        </w:tc>
        <w:tc>
          <w:tcPr>
            <w:tcW w:w="1842" w:type="dxa"/>
            <w:tcBorders>
              <w:top w:val="single" w:sz="6" w:space="0" w:color="auto"/>
              <w:left w:val="nil"/>
              <w:bottom w:val="single" w:sz="6" w:space="0" w:color="auto"/>
              <w:right w:val="single" w:sz="6" w:space="0" w:color="auto"/>
            </w:tcBorders>
            <w:shd w:val="clear" w:color="auto" w:fill="FABF8F"/>
            <w:vAlign w:val="center"/>
            <w:hideMark/>
          </w:tcPr>
          <w:p w14:paraId="7553B4A6"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VERY GOOD</w:t>
            </w:r>
            <w:r w:rsidRPr="00D01B7F">
              <w:rPr>
                <w:rFonts w:ascii="Georgia" w:eastAsia="Times New Roman" w:hAnsi="Georgia" w:cs="Arial"/>
                <w:lang w:eastAsia="en-GB"/>
              </w:rPr>
              <w:t> </w:t>
            </w:r>
          </w:p>
          <w:p w14:paraId="27462B09"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p>
        </w:tc>
        <w:tc>
          <w:tcPr>
            <w:tcW w:w="1842" w:type="dxa"/>
            <w:tcBorders>
              <w:top w:val="single" w:sz="6" w:space="0" w:color="auto"/>
              <w:left w:val="nil"/>
              <w:bottom w:val="single" w:sz="6" w:space="0" w:color="auto"/>
              <w:right w:val="single" w:sz="6" w:space="0" w:color="auto"/>
            </w:tcBorders>
            <w:shd w:val="clear" w:color="auto" w:fill="FABF8F"/>
            <w:vAlign w:val="center"/>
            <w:hideMark/>
          </w:tcPr>
          <w:p w14:paraId="49EDACF2"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EXCELLENT</w:t>
            </w:r>
            <w:r w:rsidRPr="00D01B7F">
              <w:rPr>
                <w:rFonts w:ascii="Georgia" w:eastAsia="Times New Roman" w:hAnsi="Georgia" w:cs="Arial"/>
                <w:lang w:eastAsia="en-GB"/>
              </w:rPr>
              <w:t> </w:t>
            </w:r>
          </w:p>
          <w:p w14:paraId="3E108DFD"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p>
        </w:tc>
        <w:tc>
          <w:tcPr>
            <w:tcW w:w="1842" w:type="dxa"/>
            <w:tcBorders>
              <w:top w:val="single" w:sz="6" w:space="0" w:color="auto"/>
              <w:left w:val="nil"/>
              <w:bottom w:val="single" w:sz="6" w:space="0" w:color="auto"/>
              <w:right w:val="single" w:sz="6" w:space="0" w:color="auto"/>
            </w:tcBorders>
            <w:shd w:val="clear" w:color="auto" w:fill="FABF8F"/>
            <w:vAlign w:val="center"/>
            <w:hideMark/>
          </w:tcPr>
          <w:p w14:paraId="1C240717"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EXCEPTIONAL</w:t>
            </w:r>
            <w:r w:rsidRPr="00D01B7F">
              <w:rPr>
                <w:rFonts w:ascii="Georgia" w:eastAsia="Times New Roman" w:hAnsi="Georgia" w:cs="Arial"/>
                <w:lang w:eastAsia="en-GB"/>
              </w:rPr>
              <w:t> </w:t>
            </w:r>
          </w:p>
          <w:p w14:paraId="2D30D194"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p>
        </w:tc>
      </w:tr>
      <w:bookmarkEnd w:id="0"/>
      <w:tr w:rsidR="009A6116" w:rsidRPr="00D01B7F" w14:paraId="4994F0E2" w14:textId="77777777" w:rsidTr="009A6116">
        <w:tc>
          <w:tcPr>
            <w:tcW w:w="1841" w:type="dxa"/>
            <w:tcBorders>
              <w:top w:val="nil"/>
              <w:left w:val="single" w:sz="6" w:space="0" w:color="auto"/>
              <w:bottom w:val="single" w:sz="6" w:space="0" w:color="auto"/>
              <w:right w:val="single" w:sz="6" w:space="0" w:color="auto"/>
            </w:tcBorders>
            <w:shd w:val="clear" w:color="auto" w:fill="FABF8F"/>
            <w:hideMark/>
          </w:tcPr>
          <w:p w14:paraId="19BA6756" w14:textId="77777777" w:rsidR="009A6116" w:rsidRPr="00D01B7F" w:rsidRDefault="009A6116" w:rsidP="005E6610">
            <w:pPr>
              <w:spacing w:after="0" w:line="240" w:lineRule="auto"/>
              <w:ind w:left="165"/>
              <w:textAlignment w:val="baseline"/>
              <w:rPr>
                <w:rFonts w:ascii="Georgia" w:eastAsia="Times New Roman" w:hAnsi="Georgia" w:cs="Times New Roman"/>
                <w:lang w:eastAsia="en-GB"/>
              </w:rPr>
            </w:pPr>
            <w:r w:rsidRPr="00D01B7F">
              <w:rPr>
                <w:rFonts w:ascii="Georgia" w:eastAsia="Times New Roman" w:hAnsi="Georgia" w:cs="Arial"/>
                <w:b/>
                <w:bCs/>
                <w:lang w:eastAsia="en-GB"/>
              </w:rPr>
              <w:t>Category</w:t>
            </w:r>
            <w:r w:rsidRPr="00D01B7F">
              <w:rPr>
                <w:rFonts w:ascii="Georgia" w:eastAsia="Times New Roman" w:hAnsi="Georgia" w:cs="Arial"/>
                <w:lang w:eastAsia="en-GB"/>
              </w:rPr>
              <w:t> </w:t>
            </w:r>
          </w:p>
        </w:tc>
        <w:tc>
          <w:tcPr>
            <w:tcW w:w="1842" w:type="dxa"/>
            <w:tcBorders>
              <w:top w:val="nil"/>
              <w:left w:val="nil"/>
              <w:bottom w:val="single" w:sz="6" w:space="0" w:color="auto"/>
              <w:right w:val="single" w:sz="6" w:space="0" w:color="auto"/>
            </w:tcBorders>
            <w:shd w:val="clear" w:color="auto" w:fill="FABF8F"/>
            <w:vAlign w:val="bottom"/>
            <w:hideMark/>
          </w:tcPr>
          <w:p w14:paraId="1F1B005F"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0-29%</w:t>
            </w:r>
            <w:r w:rsidRPr="00D01B7F">
              <w:rPr>
                <w:rFonts w:ascii="Georgia" w:eastAsia="Times New Roman" w:hAnsi="Georgia" w:cs="Arial"/>
                <w:lang w:eastAsia="en-GB"/>
              </w:rPr>
              <w:t> </w:t>
            </w:r>
          </w:p>
        </w:tc>
        <w:tc>
          <w:tcPr>
            <w:tcW w:w="1842" w:type="dxa"/>
            <w:tcBorders>
              <w:top w:val="nil"/>
              <w:left w:val="nil"/>
              <w:bottom w:val="single" w:sz="6" w:space="0" w:color="auto"/>
              <w:right w:val="single" w:sz="6" w:space="0" w:color="auto"/>
            </w:tcBorders>
            <w:shd w:val="clear" w:color="auto" w:fill="FABF8F"/>
            <w:vAlign w:val="bottom"/>
            <w:hideMark/>
          </w:tcPr>
          <w:p w14:paraId="69EA03D7"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30-39%*</w:t>
            </w:r>
            <w:r w:rsidRPr="00D01B7F">
              <w:rPr>
                <w:rFonts w:ascii="Georgia" w:eastAsia="Times New Roman" w:hAnsi="Georgia" w:cs="Arial"/>
                <w:lang w:eastAsia="en-GB"/>
              </w:rPr>
              <w:t> </w:t>
            </w:r>
          </w:p>
        </w:tc>
        <w:tc>
          <w:tcPr>
            <w:tcW w:w="1842" w:type="dxa"/>
            <w:tcBorders>
              <w:top w:val="nil"/>
              <w:left w:val="nil"/>
              <w:bottom w:val="single" w:sz="6" w:space="0" w:color="auto"/>
              <w:right w:val="single" w:sz="6" w:space="0" w:color="auto"/>
            </w:tcBorders>
            <w:shd w:val="clear" w:color="auto" w:fill="FABF8F"/>
            <w:vAlign w:val="bottom"/>
            <w:hideMark/>
          </w:tcPr>
          <w:p w14:paraId="51A24C4F"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40-49%</w:t>
            </w:r>
            <w:r w:rsidRPr="00D01B7F">
              <w:rPr>
                <w:rFonts w:ascii="Georgia" w:eastAsia="Times New Roman" w:hAnsi="Georgia" w:cs="Arial"/>
                <w:lang w:eastAsia="en-GB"/>
              </w:rPr>
              <w:t> </w:t>
            </w:r>
          </w:p>
        </w:tc>
        <w:tc>
          <w:tcPr>
            <w:tcW w:w="1841" w:type="dxa"/>
            <w:tcBorders>
              <w:top w:val="nil"/>
              <w:left w:val="nil"/>
              <w:bottom w:val="single" w:sz="6" w:space="0" w:color="auto"/>
              <w:right w:val="single" w:sz="6" w:space="0" w:color="auto"/>
            </w:tcBorders>
            <w:shd w:val="clear" w:color="auto" w:fill="FABF8F"/>
            <w:vAlign w:val="bottom"/>
            <w:hideMark/>
          </w:tcPr>
          <w:p w14:paraId="5A56608B"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50-59%</w:t>
            </w:r>
            <w:r w:rsidRPr="00D01B7F">
              <w:rPr>
                <w:rFonts w:ascii="Georgia" w:eastAsia="Times New Roman" w:hAnsi="Georgia" w:cs="Arial"/>
                <w:lang w:eastAsia="en-GB"/>
              </w:rPr>
              <w:t> </w:t>
            </w:r>
          </w:p>
        </w:tc>
        <w:tc>
          <w:tcPr>
            <w:tcW w:w="1842" w:type="dxa"/>
            <w:tcBorders>
              <w:top w:val="nil"/>
              <w:left w:val="nil"/>
              <w:bottom w:val="single" w:sz="6" w:space="0" w:color="auto"/>
              <w:right w:val="single" w:sz="6" w:space="0" w:color="auto"/>
            </w:tcBorders>
            <w:shd w:val="clear" w:color="auto" w:fill="FABF8F"/>
            <w:vAlign w:val="bottom"/>
            <w:hideMark/>
          </w:tcPr>
          <w:p w14:paraId="3EC29946"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60-69%</w:t>
            </w:r>
            <w:r w:rsidRPr="00D01B7F">
              <w:rPr>
                <w:rFonts w:ascii="Georgia" w:eastAsia="Times New Roman" w:hAnsi="Georgia" w:cs="Arial"/>
                <w:lang w:eastAsia="en-GB"/>
              </w:rPr>
              <w:t> </w:t>
            </w:r>
          </w:p>
        </w:tc>
        <w:tc>
          <w:tcPr>
            <w:tcW w:w="1842" w:type="dxa"/>
            <w:tcBorders>
              <w:top w:val="nil"/>
              <w:left w:val="nil"/>
              <w:bottom w:val="single" w:sz="6" w:space="0" w:color="auto"/>
              <w:right w:val="single" w:sz="6" w:space="0" w:color="auto"/>
            </w:tcBorders>
            <w:shd w:val="clear" w:color="auto" w:fill="FABF8F"/>
            <w:vAlign w:val="bottom"/>
            <w:hideMark/>
          </w:tcPr>
          <w:p w14:paraId="4A7EF808"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70-84%</w:t>
            </w:r>
            <w:r w:rsidRPr="00D01B7F">
              <w:rPr>
                <w:rFonts w:ascii="Georgia" w:eastAsia="Times New Roman" w:hAnsi="Georgia" w:cs="Arial"/>
                <w:lang w:eastAsia="en-GB"/>
              </w:rPr>
              <w:t> </w:t>
            </w:r>
          </w:p>
        </w:tc>
        <w:tc>
          <w:tcPr>
            <w:tcW w:w="1842" w:type="dxa"/>
            <w:tcBorders>
              <w:top w:val="nil"/>
              <w:left w:val="nil"/>
              <w:bottom w:val="single" w:sz="6" w:space="0" w:color="auto"/>
              <w:right w:val="single" w:sz="6" w:space="0" w:color="auto"/>
            </w:tcBorders>
            <w:shd w:val="clear" w:color="auto" w:fill="FABF8F"/>
            <w:hideMark/>
          </w:tcPr>
          <w:p w14:paraId="03FE3070" w14:textId="77777777" w:rsidR="009A6116" w:rsidRPr="00D01B7F" w:rsidRDefault="009A6116" w:rsidP="005E6610">
            <w:pPr>
              <w:spacing w:after="0" w:line="240" w:lineRule="auto"/>
              <w:jc w:val="center"/>
              <w:textAlignment w:val="baseline"/>
              <w:rPr>
                <w:rFonts w:ascii="Georgia" w:eastAsia="Times New Roman" w:hAnsi="Georgia" w:cs="Times New Roman"/>
                <w:lang w:eastAsia="en-GB"/>
              </w:rPr>
            </w:pPr>
            <w:r w:rsidRPr="00D01B7F">
              <w:rPr>
                <w:rFonts w:ascii="Georgia" w:eastAsia="Times New Roman" w:hAnsi="Georgia" w:cs="Arial"/>
                <w:b/>
                <w:bCs/>
                <w:lang w:eastAsia="en-GB"/>
              </w:rPr>
              <w:t>85-100%</w:t>
            </w:r>
            <w:r w:rsidRPr="00D01B7F">
              <w:rPr>
                <w:rFonts w:ascii="Georgia" w:eastAsia="Times New Roman" w:hAnsi="Georgia" w:cs="Arial"/>
                <w:lang w:eastAsia="en-GB"/>
              </w:rPr>
              <w:t> </w:t>
            </w:r>
          </w:p>
        </w:tc>
      </w:tr>
      <w:tr w:rsidR="009A6116" w:rsidRPr="00D01B7F" w14:paraId="4DB4279F" w14:textId="77777777" w:rsidTr="009A6116">
        <w:tc>
          <w:tcPr>
            <w:tcW w:w="1841" w:type="dxa"/>
            <w:tcBorders>
              <w:top w:val="nil"/>
              <w:left w:val="single" w:sz="6" w:space="0" w:color="auto"/>
              <w:bottom w:val="single" w:sz="6" w:space="0" w:color="auto"/>
              <w:right w:val="single" w:sz="6" w:space="0" w:color="auto"/>
            </w:tcBorders>
            <w:shd w:val="clear" w:color="auto" w:fill="FABF8F"/>
            <w:hideMark/>
          </w:tcPr>
          <w:p w14:paraId="71E9F0C8" w14:textId="77777777" w:rsidR="009A6116" w:rsidRPr="00D01B7F" w:rsidRDefault="009A6116" w:rsidP="005E6610">
            <w:pPr>
              <w:spacing w:after="0" w:line="240" w:lineRule="auto"/>
              <w:ind w:left="105" w:right="-60"/>
              <w:textAlignment w:val="baseline"/>
              <w:rPr>
                <w:rFonts w:ascii="Georgia" w:eastAsia="Times New Roman" w:hAnsi="Georgia" w:cs="Arial"/>
                <w:b/>
                <w:bCs/>
                <w:sz w:val="20"/>
                <w:szCs w:val="20"/>
                <w:lang w:eastAsia="en-GB"/>
              </w:rPr>
            </w:pPr>
            <w:r w:rsidRPr="00D01B7F">
              <w:rPr>
                <w:rFonts w:ascii="Georgia" w:eastAsia="Times New Roman" w:hAnsi="Georgia" w:cs="Arial"/>
                <w:b/>
                <w:bCs/>
                <w:sz w:val="20"/>
                <w:szCs w:val="20"/>
                <w:lang w:eastAsia="en-GB"/>
              </w:rPr>
              <w:t>Engagement with literature </w:t>
            </w:r>
          </w:p>
          <w:p w14:paraId="36C70AF7"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(including referencing, </w:t>
            </w:r>
          </w:p>
          <w:p w14:paraId="0CFC6533"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academic conventions and </w:t>
            </w:r>
          </w:p>
          <w:p w14:paraId="49C3033C"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academic honesty)</w:t>
            </w:r>
            <w:r w:rsidRPr="00D01B7F">
              <w:rPr>
                <w:rFonts w:ascii="Georgia" w:eastAsia="Times New Roman" w:hAnsi="Georgia" w:cs="Arial"/>
                <w:b/>
                <w:bCs/>
                <w:sz w:val="20"/>
                <w:szCs w:val="20"/>
                <w:lang w:eastAsia="en-GB"/>
              </w:rPr>
              <w:t> </w:t>
            </w:r>
            <w:r w:rsidRPr="00D01B7F">
              <w:rPr>
                <w:rFonts w:ascii="Georgia" w:eastAsia="Times New Roman" w:hAnsi="Georgia" w:cs="Arial"/>
                <w:sz w:val="20"/>
                <w:szCs w:val="20"/>
                <w:lang w:eastAsia="en-GB"/>
              </w:rPr>
              <w:t> </w:t>
            </w:r>
          </w:p>
        </w:tc>
        <w:tc>
          <w:tcPr>
            <w:tcW w:w="1842" w:type="dxa"/>
            <w:tcBorders>
              <w:top w:val="nil"/>
              <w:left w:val="nil"/>
              <w:bottom w:val="single" w:sz="6" w:space="0" w:color="auto"/>
              <w:right w:val="single" w:sz="6" w:space="0" w:color="auto"/>
            </w:tcBorders>
            <w:shd w:val="clear" w:color="auto" w:fill="auto"/>
            <w:hideMark/>
          </w:tcPr>
          <w:p w14:paraId="595FE6FE"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Limited evidence of reading and/or there is reliance on inappropriate sources. Limited engagement with information gained through class contact. Very poor use of referencing. </w:t>
            </w:r>
          </w:p>
        </w:tc>
        <w:tc>
          <w:tcPr>
            <w:tcW w:w="1842" w:type="dxa"/>
            <w:tcBorders>
              <w:top w:val="nil"/>
              <w:left w:val="nil"/>
              <w:bottom w:val="single" w:sz="6" w:space="0" w:color="auto"/>
              <w:right w:val="single" w:sz="6" w:space="0" w:color="auto"/>
            </w:tcBorders>
            <w:shd w:val="clear" w:color="auto" w:fill="auto"/>
            <w:hideMark/>
          </w:tcPr>
          <w:p w14:paraId="4F2D8214"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Poor engagement with literature and little or no evidence of wider reading. Heavily reliant on information gained through class contact. Inconsistent and weak use of referencing. </w:t>
            </w:r>
          </w:p>
        </w:tc>
        <w:tc>
          <w:tcPr>
            <w:tcW w:w="1842" w:type="dxa"/>
            <w:tcBorders>
              <w:top w:val="nil"/>
              <w:left w:val="nil"/>
              <w:bottom w:val="single" w:sz="6" w:space="0" w:color="auto"/>
              <w:right w:val="single" w:sz="6" w:space="0" w:color="auto"/>
            </w:tcBorders>
            <w:shd w:val="clear" w:color="auto" w:fill="auto"/>
            <w:hideMark/>
          </w:tcPr>
          <w:p w14:paraId="1FE41102"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Evidence of reading, but largely confined to information gained through class contact. Referencing may show inaccuracies and/or inconsistencies. </w:t>
            </w:r>
          </w:p>
        </w:tc>
        <w:tc>
          <w:tcPr>
            <w:tcW w:w="1841" w:type="dxa"/>
            <w:tcBorders>
              <w:top w:val="nil"/>
              <w:left w:val="nil"/>
              <w:bottom w:val="single" w:sz="6" w:space="0" w:color="auto"/>
              <w:right w:val="single" w:sz="6" w:space="0" w:color="auto"/>
            </w:tcBorders>
            <w:shd w:val="clear" w:color="auto" w:fill="auto"/>
            <w:hideMark/>
          </w:tcPr>
          <w:p w14:paraId="0B6D481B"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Engagement with an appropriate range of reading beyond information gained through class contact. Referencing may show minor inaccuracies or inconsistencies </w:t>
            </w:r>
          </w:p>
        </w:tc>
        <w:tc>
          <w:tcPr>
            <w:tcW w:w="1842" w:type="dxa"/>
            <w:tcBorders>
              <w:top w:val="nil"/>
              <w:left w:val="nil"/>
              <w:bottom w:val="single" w:sz="6" w:space="0" w:color="auto"/>
              <w:right w:val="single" w:sz="6" w:space="0" w:color="auto"/>
            </w:tcBorders>
            <w:shd w:val="clear" w:color="auto" w:fill="auto"/>
            <w:hideMark/>
          </w:tcPr>
          <w:p w14:paraId="7A73E722"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Engagement with a wide range of relevant reading. Sound application of referencing, with no inaccuracies or inconsistencies. </w:t>
            </w:r>
          </w:p>
        </w:tc>
        <w:tc>
          <w:tcPr>
            <w:tcW w:w="1842" w:type="dxa"/>
            <w:tcBorders>
              <w:top w:val="nil"/>
              <w:left w:val="nil"/>
              <w:bottom w:val="single" w:sz="6" w:space="0" w:color="auto"/>
              <w:right w:val="single" w:sz="6" w:space="0" w:color="auto"/>
            </w:tcBorders>
            <w:shd w:val="clear" w:color="auto" w:fill="auto"/>
            <w:hideMark/>
          </w:tcPr>
          <w:p w14:paraId="4B76ED73"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Critical engagement with a wide range of relevant reading. Consistently accurate application of referencing. </w:t>
            </w:r>
          </w:p>
        </w:tc>
        <w:tc>
          <w:tcPr>
            <w:tcW w:w="1842" w:type="dxa"/>
            <w:tcBorders>
              <w:top w:val="nil"/>
              <w:left w:val="nil"/>
              <w:bottom w:val="single" w:sz="6" w:space="0" w:color="auto"/>
              <w:right w:val="single" w:sz="6" w:space="0" w:color="auto"/>
            </w:tcBorders>
            <w:shd w:val="clear" w:color="auto" w:fill="auto"/>
            <w:hideMark/>
          </w:tcPr>
          <w:p w14:paraId="2C803669"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Exceptional critical engagement with a very wide range of relevant reading. Consistently accurate application of referencing. </w:t>
            </w:r>
          </w:p>
        </w:tc>
      </w:tr>
      <w:tr w:rsidR="009A6116" w:rsidRPr="00D01B7F" w14:paraId="4CBC93C9" w14:textId="77777777" w:rsidTr="009A6116">
        <w:tc>
          <w:tcPr>
            <w:tcW w:w="1841" w:type="dxa"/>
            <w:tcBorders>
              <w:top w:val="nil"/>
              <w:left w:val="single" w:sz="6" w:space="0" w:color="auto"/>
              <w:bottom w:val="single" w:sz="6" w:space="0" w:color="auto"/>
              <w:right w:val="single" w:sz="6" w:space="0" w:color="auto"/>
            </w:tcBorders>
            <w:shd w:val="clear" w:color="auto" w:fill="FABF8F"/>
            <w:hideMark/>
          </w:tcPr>
          <w:p w14:paraId="1360D18F" w14:textId="77777777" w:rsidR="009A6116" w:rsidRPr="00D01B7F" w:rsidRDefault="009A6116" w:rsidP="005E6610">
            <w:pPr>
              <w:spacing w:after="0" w:line="240" w:lineRule="auto"/>
              <w:ind w:left="105" w:right="-60"/>
              <w:textAlignment w:val="baseline"/>
              <w:rPr>
                <w:rFonts w:ascii="Georgia" w:eastAsia="Times New Roman" w:hAnsi="Georgia" w:cs="Arial"/>
                <w:b/>
                <w:bCs/>
                <w:sz w:val="20"/>
                <w:szCs w:val="20"/>
                <w:lang w:eastAsia="en-GB"/>
              </w:rPr>
            </w:pPr>
            <w:r w:rsidRPr="00D01B7F">
              <w:rPr>
                <w:rFonts w:ascii="Georgia" w:eastAsia="Times New Roman" w:hAnsi="Georgia" w:cs="Arial"/>
                <w:b/>
                <w:bCs/>
                <w:sz w:val="20"/>
                <w:szCs w:val="20"/>
                <w:lang w:eastAsia="en-GB"/>
              </w:rPr>
              <w:t>Knowledge and understanding </w:t>
            </w:r>
          </w:p>
          <w:p w14:paraId="045429C7"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 xml:space="preserve">(introductory factual, procedural and theoretical knowledge and understanding of the basic underlying concepts and principles of the subject; some appreciation of the breadth of the field of study </w:t>
            </w:r>
            <w:r w:rsidRPr="00D01B7F">
              <w:rPr>
                <w:rFonts w:ascii="Georgia" w:eastAsia="Times New Roman" w:hAnsi="Georgia" w:cs="Arial"/>
                <w:sz w:val="20"/>
                <w:szCs w:val="20"/>
                <w:lang w:eastAsia="en-GB"/>
              </w:rPr>
              <w:lastRenderedPageBreak/>
              <w:t>and the relevant terminology) </w:t>
            </w:r>
          </w:p>
          <w:p w14:paraId="2BD36E11"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 </w:t>
            </w:r>
          </w:p>
          <w:p w14:paraId="6932538C"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 </w:t>
            </w:r>
          </w:p>
        </w:tc>
        <w:tc>
          <w:tcPr>
            <w:tcW w:w="1842" w:type="dxa"/>
            <w:tcBorders>
              <w:top w:val="nil"/>
              <w:left w:val="nil"/>
              <w:bottom w:val="single" w:sz="6" w:space="0" w:color="auto"/>
              <w:right w:val="single" w:sz="6" w:space="0" w:color="auto"/>
            </w:tcBorders>
            <w:shd w:val="clear" w:color="auto" w:fill="auto"/>
            <w:hideMark/>
          </w:tcPr>
          <w:p w14:paraId="4ABC05BD"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 xml:space="preserve">Weak and flawed introductory knowledge and understanding of the basic underlying concepts and principles of the subject(s), for example with significant inaccuracies, the inclusion of a substantial amount of irrelevant material and/or absence of </w:t>
            </w:r>
            <w:r w:rsidRPr="00D01B7F">
              <w:rPr>
                <w:rFonts w:ascii="Georgia" w:eastAsia="Times New Roman" w:hAnsi="Georgia" w:cs="Arial"/>
                <w:sz w:val="20"/>
                <w:szCs w:val="20"/>
                <w:lang w:eastAsia="en-GB"/>
              </w:rPr>
              <w:lastRenderedPageBreak/>
              <w:t>appropriate information / material. </w:t>
            </w:r>
          </w:p>
        </w:tc>
        <w:tc>
          <w:tcPr>
            <w:tcW w:w="1842" w:type="dxa"/>
            <w:tcBorders>
              <w:top w:val="nil"/>
              <w:left w:val="nil"/>
              <w:bottom w:val="single" w:sz="6" w:space="0" w:color="auto"/>
              <w:right w:val="single" w:sz="6" w:space="0" w:color="auto"/>
            </w:tcBorders>
            <w:shd w:val="clear" w:color="auto" w:fill="auto"/>
            <w:hideMark/>
          </w:tcPr>
          <w:p w14:paraId="2A35025F"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Work shows limited but fragmentary understanding of the basic underlying concepts and principles of the subject(s).  There are inaccuracies, the inclusion of irrelevant material and/or absence of appropriate information / material. </w:t>
            </w:r>
          </w:p>
        </w:tc>
        <w:tc>
          <w:tcPr>
            <w:tcW w:w="1842" w:type="dxa"/>
            <w:tcBorders>
              <w:top w:val="nil"/>
              <w:left w:val="nil"/>
              <w:bottom w:val="single" w:sz="6" w:space="0" w:color="auto"/>
              <w:right w:val="single" w:sz="6" w:space="0" w:color="auto"/>
            </w:tcBorders>
            <w:shd w:val="clear" w:color="auto" w:fill="auto"/>
            <w:hideMark/>
          </w:tcPr>
          <w:p w14:paraId="4EA8C0C4"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 xml:space="preserve">Factual approach showing understanding of the basic underlying concepts and principles of the subject(s), resulting in students being largely prepared for study at Level 4. Narrow or misguided selection of some material, with </w:t>
            </w:r>
            <w:r w:rsidRPr="00D01B7F">
              <w:rPr>
                <w:rFonts w:ascii="Georgia" w:eastAsia="Times New Roman" w:hAnsi="Georgia" w:cs="Arial"/>
                <w:sz w:val="20"/>
                <w:szCs w:val="20"/>
                <w:lang w:eastAsia="en-GB"/>
              </w:rPr>
              <w:lastRenderedPageBreak/>
              <w:t>elements missing or inaccurate. </w:t>
            </w:r>
          </w:p>
        </w:tc>
        <w:tc>
          <w:tcPr>
            <w:tcW w:w="1841" w:type="dxa"/>
            <w:tcBorders>
              <w:top w:val="nil"/>
              <w:left w:val="nil"/>
              <w:bottom w:val="single" w:sz="6" w:space="0" w:color="auto"/>
              <w:right w:val="single" w:sz="6" w:space="0" w:color="auto"/>
            </w:tcBorders>
            <w:shd w:val="clear" w:color="auto" w:fill="auto"/>
            <w:hideMark/>
          </w:tcPr>
          <w:p w14:paraId="3AF7F944"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Good work showing understanding of the basic underlying concepts and principles of the subject(s), resulting in students being prepared for study at Level 4, but lacking depth and breadth. </w:t>
            </w:r>
          </w:p>
        </w:tc>
        <w:tc>
          <w:tcPr>
            <w:tcW w:w="1842" w:type="dxa"/>
            <w:tcBorders>
              <w:top w:val="nil"/>
              <w:left w:val="nil"/>
              <w:bottom w:val="single" w:sz="6" w:space="0" w:color="auto"/>
              <w:right w:val="single" w:sz="6" w:space="0" w:color="auto"/>
            </w:tcBorders>
            <w:shd w:val="clear" w:color="auto" w:fill="auto"/>
            <w:hideMark/>
          </w:tcPr>
          <w:p w14:paraId="56228C47"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Work of solid quality showing competent and consistent understanding of the basic underlying concepts and principles of the subject(s), resulting in students being well prepared for study at Level 4. </w:t>
            </w:r>
          </w:p>
        </w:tc>
        <w:tc>
          <w:tcPr>
            <w:tcW w:w="1842" w:type="dxa"/>
            <w:tcBorders>
              <w:top w:val="nil"/>
              <w:left w:val="nil"/>
              <w:bottom w:val="single" w:sz="6" w:space="0" w:color="auto"/>
              <w:right w:val="single" w:sz="6" w:space="0" w:color="auto"/>
            </w:tcBorders>
            <w:shd w:val="clear" w:color="auto" w:fill="auto"/>
            <w:hideMark/>
          </w:tcPr>
          <w:p w14:paraId="066C7330"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High quality work showing detailed understanding of the basic underlying concepts and principles of the subject(s), resulting in students being highly prepared for study at Level 4. </w:t>
            </w:r>
          </w:p>
        </w:tc>
        <w:tc>
          <w:tcPr>
            <w:tcW w:w="1842" w:type="dxa"/>
            <w:tcBorders>
              <w:top w:val="nil"/>
              <w:left w:val="nil"/>
              <w:bottom w:val="single" w:sz="6" w:space="0" w:color="auto"/>
              <w:right w:val="single" w:sz="6" w:space="0" w:color="auto"/>
            </w:tcBorders>
            <w:shd w:val="clear" w:color="auto" w:fill="auto"/>
            <w:hideMark/>
          </w:tcPr>
          <w:p w14:paraId="098BA16D"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Exceptionally high quality work showing very detailed understanding of the basic underlying concepts and principles of the subject(s), resulting in students being most highly prepared for study at Level 4. </w:t>
            </w:r>
          </w:p>
        </w:tc>
      </w:tr>
      <w:tr w:rsidR="009A6116" w:rsidRPr="00D01B7F" w14:paraId="105779C4" w14:textId="77777777" w:rsidTr="009A6116">
        <w:tc>
          <w:tcPr>
            <w:tcW w:w="1841" w:type="dxa"/>
            <w:tcBorders>
              <w:top w:val="nil"/>
              <w:left w:val="single" w:sz="6" w:space="0" w:color="auto"/>
              <w:bottom w:val="single" w:sz="6" w:space="0" w:color="auto"/>
              <w:right w:val="single" w:sz="6" w:space="0" w:color="auto"/>
            </w:tcBorders>
            <w:shd w:val="clear" w:color="auto" w:fill="FABF8F"/>
            <w:hideMark/>
          </w:tcPr>
          <w:p w14:paraId="797E60E8"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b/>
                <w:bCs/>
                <w:sz w:val="20"/>
                <w:szCs w:val="20"/>
                <w:lang w:eastAsia="en-GB"/>
              </w:rPr>
              <w:t>Cognitive and intellectual skills </w:t>
            </w:r>
            <w:r w:rsidRPr="00D01B7F">
              <w:rPr>
                <w:rFonts w:ascii="Georgia" w:eastAsia="Times New Roman" w:hAnsi="Georgia" w:cs="Arial"/>
                <w:sz w:val="20"/>
                <w:szCs w:val="20"/>
                <w:lang w:eastAsia="en-GB"/>
              </w:rPr>
              <w:t> </w:t>
            </w:r>
          </w:p>
          <w:p w14:paraId="00588ACA"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(Introductory evaluation; logic, argument and judgement within limited parameters; organisation of ideas and evidence; manage information and collect data from a range of straightforward sources; awareness of different perspectives or approaches within an area of study.) </w:t>
            </w:r>
          </w:p>
        </w:tc>
        <w:tc>
          <w:tcPr>
            <w:tcW w:w="1842" w:type="dxa"/>
            <w:tcBorders>
              <w:top w:val="nil"/>
              <w:left w:val="nil"/>
              <w:bottom w:val="single" w:sz="6" w:space="0" w:color="auto"/>
              <w:right w:val="single" w:sz="6" w:space="0" w:color="auto"/>
            </w:tcBorders>
            <w:shd w:val="clear" w:color="auto" w:fill="auto"/>
            <w:hideMark/>
          </w:tcPr>
          <w:p w14:paraId="5FD10713" w14:textId="77777777" w:rsidR="009A6116" w:rsidRPr="00D01B7F" w:rsidRDefault="009A6116" w:rsidP="005E6610">
            <w:pPr>
              <w:spacing w:after="0" w:line="240" w:lineRule="auto"/>
              <w:ind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Very weak interpretation and evaluation of information and ideas, resulting in descriptive work that is often illogical, invalid or irrelevant. No attempt to manage/link information and ideas from straightforward sources. Fails to develop an argument or judgement within limited parameters. Little awareness of the different perspectives or approaches within the subject. </w:t>
            </w:r>
          </w:p>
        </w:tc>
        <w:tc>
          <w:tcPr>
            <w:tcW w:w="1842" w:type="dxa"/>
            <w:tcBorders>
              <w:top w:val="nil"/>
              <w:left w:val="nil"/>
              <w:bottom w:val="single" w:sz="6" w:space="0" w:color="auto"/>
              <w:right w:val="single" w:sz="6" w:space="0" w:color="auto"/>
            </w:tcBorders>
            <w:shd w:val="clear" w:color="auto" w:fill="auto"/>
            <w:hideMark/>
          </w:tcPr>
          <w:p w14:paraId="71095DBC"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Weak and at times flawed interpretation and evaluation of information and ideas. Limited attempt to manage/link information and ideas from very few straightforward sources resulting in descriptive work that develops a weak argument and/or judgement within limited parameters. Shows lack of awareness of the different perspectives or approaches within the subject </w:t>
            </w:r>
          </w:p>
        </w:tc>
        <w:tc>
          <w:tcPr>
            <w:tcW w:w="1842" w:type="dxa"/>
            <w:tcBorders>
              <w:top w:val="nil"/>
              <w:left w:val="nil"/>
              <w:bottom w:val="single" w:sz="6" w:space="0" w:color="auto"/>
              <w:right w:val="single" w:sz="6" w:space="0" w:color="auto"/>
            </w:tcBorders>
            <w:shd w:val="clear" w:color="auto" w:fill="auto"/>
            <w:hideMark/>
          </w:tcPr>
          <w:p w14:paraId="0F5DEADD"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 xml:space="preserve">A limited but adequate interpretation and evaluation of information and ideas. Some attempt to manage/link information and ideas from a few straightforward sources.  Some attempt to develop an argument and judgement within limited parameters but work is largely descriptive with an uncritical acceptance of information/data. Shows emerging awareness of the different perspectives or approaches within the subject.  Illogical arguments and judgements in places </w:t>
            </w:r>
            <w:r w:rsidRPr="00D01B7F">
              <w:rPr>
                <w:rFonts w:ascii="Georgia" w:eastAsia="Times New Roman" w:hAnsi="Georgia" w:cs="Arial"/>
                <w:sz w:val="20"/>
                <w:szCs w:val="20"/>
                <w:lang w:eastAsia="en-GB"/>
              </w:rPr>
              <w:lastRenderedPageBreak/>
              <w:t>and with some inaccuracies.  </w:t>
            </w:r>
          </w:p>
        </w:tc>
        <w:tc>
          <w:tcPr>
            <w:tcW w:w="1841" w:type="dxa"/>
            <w:tcBorders>
              <w:top w:val="nil"/>
              <w:left w:val="nil"/>
              <w:bottom w:val="single" w:sz="6" w:space="0" w:color="auto"/>
              <w:right w:val="single" w:sz="6" w:space="0" w:color="auto"/>
            </w:tcBorders>
            <w:shd w:val="clear" w:color="auto" w:fill="auto"/>
            <w:hideMark/>
          </w:tcPr>
          <w:p w14:paraId="2107D39D" w14:textId="77777777" w:rsidR="009A6116" w:rsidRPr="00D01B7F" w:rsidRDefault="009A6116" w:rsidP="005E6610">
            <w:pPr>
              <w:spacing w:after="0" w:line="240" w:lineRule="auto"/>
              <w:ind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Good interpretation and evaluation of information and ideas. Identifies links in information and ideas from a few straightforward sources to develop a mostly logical argument and judgement within limited parameters, though underdeveloped in places. Shows awareness of the different perspectives or approaches within the subject. Minor inaccuracies </w:t>
            </w:r>
          </w:p>
          <w:p w14:paraId="444DF1C5"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 </w:t>
            </w:r>
          </w:p>
        </w:tc>
        <w:tc>
          <w:tcPr>
            <w:tcW w:w="1842" w:type="dxa"/>
            <w:tcBorders>
              <w:top w:val="nil"/>
              <w:left w:val="nil"/>
              <w:bottom w:val="single" w:sz="6" w:space="0" w:color="auto"/>
              <w:right w:val="single" w:sz="6" w:space="0" w:color="auto"/>
            </w:tcBorders>
            <w:shd w:val="clear" w:color="auto" w:fill="auto"/>
            <w:hideMark/>
          </w:tcPr>
          <w:p w14:paraId="7D40F432"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Very good interpretation and evaluation of information and ideas.  Identifies links in information and ideas from a variety of straightforward sources to develop a mostly coherent and logical argument and judgement within limited parameters. Work shows sound awareness of the different perspectives or approaches within the subject.  </w:t>
            </w:r>
          </w:p>
        </w:tc>
        <w:tc>
          <w:tcPr>
            <w:tcW w:w="1842" w:type="dxa"/>
            <w:tcBorders>
              <w:top w:val="nil"/>
              <w:left w:val="nil"/>
              <w:bottom w:val="single" w:sz="6" w:space="0" w:color="auto"/>
              <w:right w:val="single" w:sz="6" w:space="0" w:color="auto"/>
            </w:tcBorders>
            <w:shd w:val="clear" w:color="auto" w:fill="auto"/>
            <w:hideMark/>
          </w:tcPr>
          <w:p w14:paraId="3FE51601"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Excellent interpretation and evaluation of information and ideas. Can identify, link and collate well information and ideas from a variety of straightforward sources.  Capable of developing a very coherent, logical argument and judgement within limited parameters. Work shows strong awareness of the different perspectives or approaches within the subject. </w:t>
            </w:r>
          </w:p>
        </w:tc>
        <w:tc>
          <w:tcPr>
            <w:tcW w:w="1842" w:type="dxa"/>
            <w:tcBorders>
              <w:top w:val="nil"/>
              <w:left w:val="nil"/>
              <w:bottom w:val="single" w:sz="6" w:space="0" w:color="auto"/>
              <w:right w:val="single" w:sz="6" w:space="0" w:color="auto"/>
            </w:tcBorders>
            <w:shd w:val="clear" w:color="auto" w:fill="auto"/>
            <w:hideMark/>
          </w:tcPr>
          <w:p w14:paraId="5289F74F"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Has developed a highly critical and evaluative approach to information and ideas for this level. Able to collate and categorise ideas and information with insight. Capable of developing a most coherent argument and judgement within limited parameters that is exceptional for this level of development. Work shows very strong awareness of the different perspectives or approaches within the subject.   </w:t>
            </w:r>
          </w:p>
          <w:p w14:paraId="11E16E77"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 </w:t>
            </w:r>
          </w:p>
        </w:tc>
      </w:tr>
      <w:tr w:rsidR="009A6116" w:rsidRPr="00D01B7F" w14:paraId="1A327BFF" w14:textId="77777777" w:rsidTr="009A6116">
        <w:tc>
          <w:tcPr>
            <w:tcW w:w="1841" w:type="dxa"/>
            <w:tcBorders>
              <w:top w:val="nil"/>
              <w:left w:val="single" w:sz="6" w:space="0" w:color="auto"/>
              <w:bottom w:val="single" w:sz="6" w:space="0" w:color="auto"/>
              <w:right w:val="single" w:sz="6" w:space="0" w:color="auto"/>
            </w:tcBorders>
            <w:shd w:val="clear" w:color="auto" w:fill="FABF8F"/>
            <w:hideMark/>
          </w:tcPr>
          <w:p w14:paraId="06E6FFF7"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b/>
                <w:bCs/>
                <w:sz w:val="20"/>
                <w:szCs w:val="20"/>
                <w:lang w:eastAsia="en-GB"/>
              </w:rPr>
              <w:t>Practical skills</w:t>
            </w:r>
            <w:r w:rsidRPr="00D01B7F">
              <w:rPr>
                <w:rFonts w:ascii="Georgia" w:eastAsia="Times New Roman" w:hAnsi="Georgia" w:cs="Arial"/>
                <w:sz w:val="20"/>
                <w:szCs w:val="20"/>
                <w:lang w:eastAsia="en-GB"/>
              </w:rPr>
              <w:t> </w:t>
            </w:r>
          </w:p>
          <w:p w14:paraId="66F65D34"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(Identify, select and use </w:t>
            </w:r>
          </w:p>
          <w:p w14:paraId="14626FC1"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appropriate skills, </w:t>
            </w:r>
          </w:p>
          <w:p w14:paraId="1F660D1E"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methods and procedures to a well-defined problem and show emerging recognition of the complexity of associated issues; formulation of solutions to solve well-defined problems;</w:t>
            </w:r>
            <w:r w:rsidRPr="00D01B7F">
              <w:rPr>
                <w:rFonts w:ascii="Georgia" w:eastAsia="Times New Roman" w:hAnsi="Georgia" w:cs="Times New Roman"/>
                <w:sz w:val="20"/>
                <w:szCs w:val="20"/>
                <w:lang w:eastAsia="en-GB"/>
              </w:rPr>
              <w:t> </w:t>
            </w:r>
            <w:r w:rsidRPr="00D01B7F">
              <w:rPr>
                <w:rFonts w:ascii="Georgia" w:eastAsia="Times New Roman" w:hAnsi="Georgia" w:cs="Arial"/>
                <w:sz w:val="20"/>
                <w:szCs w:val="20"/>
                <w:lang w:eastAsia="en-GB"/>
              </w:rPr>
              <w:t>use appropriate </w:t>
            </w:r>
          </w:p>
          <w:p w14:paraId="2911EEBF"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investigation to inform </w:t>
            </w:r>
          </w:p>
          <w:p w14:paraId="3000EDBA"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actions; review how effectiveness </w:t>
            </w:r>
          </w:p>
          <w:p w14:paraId="2EACD854"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proofErr w:type="gramStart"/>
            <w:r w:rsidRPr="00D01B7F">
              <w:rPr>
                <w:rFonts w:ascii="Georgia" w:eastAsia="Times New Roman" w:hAnsi="Georgia" w:cs="Arial"/>
                <w:sz w:val="20"/>
                <w:szCs w:val="20"/>
                <w:lang w:eastAsia="en-GB"/>
              </w:rPr>
              <w:t>of</w:t>
            </w:r>
            <w:proofErr w:type="gramEnd"/>
            <w:r w:rsidRPr="00D01B7F">
              <w:rPr>
                <w:rFonts w:ascii="Georgia" w:eastAsia="Times New Roman" w:hAnsi="Georgia" w:cs="Arial"/>
                <w:sz w:val="20"/>
                <w:szCs w:val="20"/>
                <w:lang w:eastAsia="en-GB"/>
              </w:rPr>
              <w:t xml:space="preserve"> methods and actions). </w:t>
            </w:r>
          </w:p>
        </w:tc>
        <w:tc>
          <w:tcPr>
            <w:tcW w:w="1842" w:type="dxa"/>
            <w:tcBorders>
              <w:top w:val="nil"/>
              <w:left w:val="nil"/>
              <w:bottom w:val="single" w:sz="6" w:space="0" w:color="auto"/>
              <w:right w:val="single" w:sz="6" w:space="0" w:color="auto"/>
            </w:tcBorders>
            <w:shd w:val="clear" w:color="auto" w:fill="auto"/>
            <w:hideMark/>
          </w:tcPr>
          <w:p w14:paraId="37F3ED9A" w14:textId="77777777" w:rsidR="009A6116" w:rsidRPr="00D01B7F" w:rsidRDefault="009A6116" w:rsidP="005E6610">
            <w:pPr>
              <w:spacing w:after="0" w:line="240" w:lineRule="auto"/>
              <w:ind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No evidence of ability to relate theory to practice. Tools, methods or techniques misapplied.</w:t>
            </w:r>
            <w:r w:rsidRPr="00D01B7F">
              <w:rPr>
                <w:rFonts w:ascii="Georgia" w:eastAsia="Times New Roman" w:hAnsi="Georgia" w:cs="Times New Roman"/>
                <w:sz w:val="20"/>
                <w:szCs w:val="20"/>
                <w:lang w:eastAsia="en-GB"/>
              </w:rPr>
              <w:t> </w:t>
            </w:r>
            <w:r w:rsidRPr="00D01B7F">
              <w:rPr>
                <w:rFonts w:ascii="Georgia" w:eastAsia="Times New Roman" w:hAnsi="Georgia" w:cs="Arial"/>
                <w:sz w:val="20"/>
                <w:szCs w:val="20"/>
                <w:lang w:eastAsia="en-GB"/>
              </w:rPr>
              <w:t>Very weak skills in solving well-defined problems.  </w:t>
            </w:r>
          </w:p>
        </w:tc>
        <w:tc>
          <w:tcPr>
            <w:tcW w:w="1842" w:type="dxa"/>
            <w:tcBorders>
              <w:top w:val="nil"/>
              <w:left w:val="nil"/>
              <w:bottom w:val="single" w:sz="6" w:space="0" w:color="auto"/>
              <w:right w:val="single" w:sz="6" w:space="0" w:color="auto"/>
            </w:tcBorders>
            <w:shd w:val="clear" w:color="auto" w:fill="auto"/>
            <w:hideMark/>
          </w:tcPr>
          <w:p w14:paraId="23EEF3AE"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Little evidence of ability to relate theory to practice. Tools, methods or techniques mainly misapplied.</w:t>
            </w:r>
            <w:r w:rsidRPr="00D01B7F">
              <w:rPr>
                <w:rFonts w:ascii="Georgia" w:eastAsia="Times New Roman" w:hAnsi="Georgia" w:cs="Times New Roman"/>
                <w:sz w:val="20"/>
                <w:szCs w:val="20"/>
                <w:lang w:eastAsia="en-GB"/>
              </w:rPr>
              <w:t> </w:t>
            </w:r>
            <w:r w:rsidRPr="00D01B7F">
              <w:rPr>
                <w:rFonts w:ascii="Georgia" w:eastAsia="Times New Roman" w:hAnsi="Georgia" w:cs="Arial"/>
                <w:sz w:val="20"/>
                <w:szCs w:val="20"/>
                <w:lang w:eastAsia="en-GB"/>
              </w:rPr>
              <w:t> Weak skills in solving well-defined problems. </w:t>
            </w:r>
          </w:p>
        </w:tc>
        <w:tc>
          <w:tcPr>
            <w:tcW w:w="1842" w:type="dxa"/>
            <w:tcBorders>
              <w:top w:val="nil"/>
              <w:left w:val="nil"/>
              <w:bottom w:val="single" w:sz="6" w:space="0" w:color="auto"/>
              <w:right w:val="single" w:sz="6" w:space="0" w:color="auto"/>
            </w:tcBorders>
            <w:shd w:val="clear" w:color="auto" w:fill="auto"/>
            <w:hideMark/>
          </w:tcPr>
          <w:p w14:paraId="21071FAC"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Demonstrates a limited understanding of the application of knowledge in practice. Responses may not be fully appropriate and/or meaningful.</w:t>
            </w:r>
            <w:r w:rsidRPr="00D01B7F">
              <w:rPr>
                <w:rFonts w:ascii="Georgia" w:eastAsia="Times New Roman" w:hAnsi="Georgia" w:cs="Times New Roman"/>
                <w:sz w:val="20"/>
                <w:szCs w:val="20"/>
                <w:lang w:eastAsia="en-GB"/>
              </w:rPr>
              <w:t> </w:t>
            </w:r>
            <w:r w:rsidRPr="00D01B7F">
              <w:rPr>
                <w:rFonts w:ascii="Georgia" w:eastAsia="Times New Roman" w:hAnsi="Georgia" w:cs="Arial"/>
                <w:sz w:val="20"/>
                <w:szCs w:val="20"/>
                <w:lang w:eastAsia="en-GB"/>
              </w:rPr>
              <w:t>Uses tools, methods or techniques to a limited extent or with some misapplication. </w:t>
            </w:r>
          </w:p>
          <w:p w14:paraId="2956CB93"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Can propose basic solutions to well-defined problems without emergent recognition of the complexity. </w:t>
            </w:r>
          </w:p>
        </w:tc>
        <w:tc>
          <w:tcPr>
            <w:tcW w:w="1841" w:type="dxa"/>
            <w:tcBorders>
              <w:top w:val="nil"/>
              <w:left w:val="nil"/>
              <w:bottom w:val="single" w:sz="6" w:space="0" w:color="auto"/>
              <w:right w:val="single" w:sz="6" w:space="0" w:color="auto"/>
            </w:tcBorders>
            <w:shd w:val="clear" w:color="auto" w:fill="auto"/>
            <w:hideMark/>
          </w:tcPr>
          <w:p w14:paraId="01CC81D3"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Reasonable attempt to apply theory in practical contexts. Responses are mostly appropriate and/or meaningful. </w:t>
            </w:r>
          </w:p>
          <w:p w14:paraId="1D9D30B4"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Tools, methods or techniques used appropriately. </w:t>
            </w:r>
          </w:p>
          <w:p w14:paraId="326233F3"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Can propose mostly appropriate basic solutions to well-defined problems with some emergent recognition of the complexity. </w:t>
            </w:r>
          </w:p>
        </w:tc>
        <w:tc>
          <w:tcPr>
            <w:tcW w:w="1842" w:type="dxa"/>
            <w:tcBorders>
              <w:top w:val="nil"/>
              <w:left w:val="nil"/>
              <w:bottom w:val="single" w:sz="6" w:space="0" w:color="auto"/>
              <w:right w:val="single" w:sz="6" w:space="0" w:color="auto"/>
            </w:tcBorders>
            <w:shd w:val="clear" w:color="auto" w:fill="auto"/>
            <w:hideMark/>
          </w:tcPr>
          <w:p w14:paraId="7C6FB17D"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Is able to apply knowledge of theory to practical contexts and generate a range of responses to given situations. Tools, methods or techniques used very well. </w:t>
            </w:r>
          </w:p>
          <w:p w14:paraId="63F8FBCC"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Can propose appropriate solutions to well-defined problems with emergent recognition of the complexity. </w:t>
            </w:r>
          </w:p>
        </w:tc>
        <w:tc>
          <w:tcPr>
            <w:tcW w:w="1842" w:type="dxa"/>
            <w:tcBorders>
              <w:top w:val="nil"/>
              <w:left w:val="nil"/>
              <w:bottom w:val="single" w:sz="6" w:space="0" w:color="auto"/>
              <w:right w:val="single" w:sz="6" w:space="0" w:color="auto"/>
            </w:tcBorders>
            <w:shd w:val="clear" w:color="auto" w:fill="auto"/>
            <w:hideMark/>
          </w:tcPr>
          <w:p w14:paraId="61E0B6D2"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Can generate a range of appropriate responses to given problems, some of which may be quite innovative for the level; good links between theory and practice. Excellent application of tools, methods or techniques. Can propose excellent solutions to well-defined problems with emergent recognition of the complexity. </w:t>
            </w:r>
          </w:p>
        </w:tc>
        <w:tc>
          <w:tcPr>
            <w:tcW w:w="1842" w:type="dxa"/>
            <w:tcBorders>
              <w:top w:val="nil"/>
              <w:left w:val="nil"/>
              <w:bottom w:val="single" w:sz="6" w:space="0" w:color="auto"/>
              <w:right w:val="single" w:sz="6" w:space="0" w:color="auto"/>
            </w:tcBorders>
            <w:shd w:val="clear" w:color="auto" w:fill="auto"/>
            <w:hideMark/>
          </w:tcPr>
          <w:p w14:paraId="04D27DD8"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t>Can generate a range of effective responses to given problems, some of which may demonstrate innovation and considerable insight that are unusual at this level; exceptionally good links between theory and practice.</w:t>
            </w:r>
            <w:r w:rsidRPr="00D01B7F">
              <w:rPr>
                <w:rFonts w:ascii="Georgia" w:eastAsia="Times New Roman" w:hAnsi="Georgia" w:cs="Times New Roman"/>
                <w:sz w:val="20"/>
                <w:szCs w:val="20"/>
                <w:lang w:eastAsia="en-GB"/>
              </w:rPr>
              <w:t> </w:t>
            </w:r>
            <w:r w:rsidRPr="00D01B7F">
              <w:rPr>
                <w:rFonts w:ascii="Georgia" w:eastAsia="Times New Roman" w:hAnsi="Georgia" w:cs="Arial"/>
                <w:sz w:val="20"/>
                <w:szCs w:val="20"/>
                <w:lang w:eastAsia="en-GB"/>
              </w:rPr>
              <w:t>Exceptional application of tools, methods or techniques. Can propose exceptional solutions to well-defined problems with emergent recognition of the complexity. </w:t>
            </w:r>
          </w:p>
        </w:tc>
      </w:tr>
      <w:tr w:rsidR="009A6116" w:rsidRPr="00D01B7F" w14:paraId="288A4C2F" w14:textId="77777777" w:rsidTr="009A6116">
        <w:tc>
          <w:tcPr>
            <w:tcW w:w="1841" w:type="dxa"/>
            <w:tcBorders>
              <w:top w:val="nil"/>
              <w:left w:val="single" w:sz="6" w:space="0" w:color="auto"/>
              <w:bottom w:val="single" w:sz="6" w:space="0" w:color="auto"/>
              <w:right w:val="single" w:sz="6" w:space="0" w:color="auto"/>
            </w:tcBorders>
            <w:shd w:val="clear" w:color="auto" w:fill="FABF8F"/>
            <w:hideMark/>
          </w:tcPr>
          <w:p w14:paraId="1DCBA5C7"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b/>
                <w:bCs/>
                <w:sz w:val="20"/>
                <w:szCs w:val="20"/>
                <w:lang w:eastAsia="en-GB"/>
              </w:rPr>
              <w:t>Transferable skills for life and professional practice</w:t>
            </w:r>
            <w:r w:rsidRPr="00D01B7F">
              <w:rPr>
                <w:rFonts w:ascii="Georgia" w:eastAsia="Times New Roman" w:hAnsi="Georgia" w:cs="Arial"/>
                <w:sz w:val="20"/>
                <w:szCs w:val="20"/>
                <w:lang w:eastAsia="en-GB"/>
              </w:rPr>
              <w:t> </w:t>
            </w:r>
          </w:p>
          <w:p w14:paraId="28A3895A" w14:textId="77777777" w:rsidR="009A6116" w:rsidRPr="00D01B7F" w:rsidRDefault="009A6116" w:rsidP="005E6610">
            <w:pPr>
              <w:spacing w:after="0" w:line="240" w:lineRule="auto"/>
              <w:ind w:left="105" w:right="-60"/>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(Complete tasks and procedures: individually and/or collaboratively; use appropriate media to communicate; clarity and effectiveness in presentation and organisation.) </w:t>
            </w:r>
          </w:p>
        </w:tc>
        <w:tc>
          <w:tcPr>
            <w:tcW w:w="1842" w:type="dxa"/>
            <w:tcBorders>
              <w:top w:val="nil"/>
              <w:left w:val="nil"/>
              <w:bottom w:val="single" w:sz="6" w:space="0" w:color="auto"/>
              <w:right w:val="single" w:sz="6" w:space="0" w:color="auto"/>
            </w:tcBorders>
            <w:shd w:val="clear" w:color="auto" w:fill="auto"/>
            <w:hideMark/>
          </w:tcPr>
          <w:p w14:paraId="24D9152B"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 xml:space="preserve">Work is poorly structured, disorganised, inaccurate, incoherent, </w:t>
            </w:r>
            <w:r w:rsidRPr="00D01B7F">
              <w:rPr>
                <w:rFonts w:ascii="Georgia" w:eastAsia="Times New Roman" w:hAnsi="Georgia" w:cs="Arial"/>
                <w:sz w:val="20"/>
                <w:szCs w:val="20"/>
                <w:lang w:eastAsia="en-GB"/>
              </w:rPr>
              <w:lastRenderedPageBreak/>
              <w:t>incomplete and/or confusingly expressed. Markedly poor use of language and/or medium of communication.</w:t>
            </w:r>
            <w:r w:rsidRPr="00D01B7F">
              <w:rPr>
                <w:rFonts w:ascii="Georgia" w:eastAsia="Times New Roman" w:hAnsi="Georgia" w:cs="Times New Roman"/>
                <w:sz w:val="20"/>
                <w:szCs w:val="20"/>
                <w:lang w:eastAsia="en-GB"/>
              </w:rPr>
              <w:t> </w:t>
            </w:r>
            <w:r w:rsidRPr="00D01B7F">
              <w:rPr>
                <w:rFonts w:ascii="Georgia" w:eastAsia="Times New Roman" w:hAnsi="Georgia" w:cs="Arial"/>
                <w:sz w:val="20"/>
                <w:szCs w:val="20"/>
                <w:lang w:eastAsia="en-GB"/>
              </w:rPr>
              <w:t>Failure to work effectively as part of a group. No/few qualities and transferable skills required for employment are demonstrated. </w:t>
            </w:r>
          </w:p>
        </w:tc>
        <w:tc>
          <w:tcPr>
            <w:tcW w:w="1842" w:type="dxa"/>
            <w:tcBorders>
              <w:top w:val="nil"/>
              <w:left w:val="nil"/>
              <w:bottom w:val="single" w:sz="6" w:space="0" w:color="auto"/>
              <w:right w:val="single" w:sz="6" w:space="0" w:color="auto"/>
            </w:tcBorders>
            <w:shd w:val="clear" w:color="auto" w:fill="auto"/>
            <w:hideMark/>
          </w:tcPr>
          <w:p w14:paraId="370DD36F"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 xml:space="preserve">Weak, disjointed structure. Material is incoherent or poorly expressed </w:t>
            </w:r>
            <w:r w:rsidRPr="00D01B7F">
              <w:rPr>
                <w:rFonts w:ascii="Georgia" w:eastAsia="Times New Roman" w:hAnsi="Georgia" w:cs="Arial"/>
                <w:sz w:val="20"/>
                <w:szCs w:val="20"/>
                <w:lang w:eastAsia="en-GB"/>
              </w:rPr>
              <w:lastRenderedPageBreak/>
              <w:t>in places. Serious or extensive spelling and grammatical mistakes, very inappropriate style and/or weak use of the medium. Flawed approach to group work, meeting only partial obligations to others. Demonstrates limited qualities and transferable skills required for employment. </w:t>
            </w:r>
          </w:p>
        </w:tc>
        <w:tc>
          <w:tcPr>
            <w:tcW w:w="1842" w:type="dxa"/>
            <w:tcBorders>
              <w:top w:val="nil"/>
              <w:left w:val="nil"/>
              <w:bottom w:val="single" w:sz="6" w:space="0" w:color="auto"/>
              <w:right w:val="single" w:sz="6" w:space="0" w:color="auto"/>
            </w:tcBorders>
            <w:shd w:val="clear" w:color="auto" w:fill="auto"/>
            <w:hideMark/>
          </w:tcPr>
          <w:p w14:paraId="287527BC"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 xml:space="preserve">Mostly ordered presentation and structure though it may be weak and/or </w:t>
            </w:r>
            <w:r w:rsidRPr="00D01B7F">
              <w:rPr>
                <w:rFonts w:ascii="Georgia" w:eastAsia="Times New Roman" w:hAnsi="Georgia" w:cs="Arial"/>
                <w:sz w:val="20"/>
                <w:szCs w:val="20"/>
                <w:lang w:eastAsia="en-GB"/>
              </w:rPr>
              <w:lastRenderedPageBreak/>
              <w:t>inconsistent in places and lacking in sequential development. Ideas / concepts are adequately expressed but with spelling / grammatical mistake. Mostly suitable use of the communication medium, though with room for improvement.  Can work as part of a group, meeting most obligations to others but perhaps with limited involvement in group activities. Demonstrates a few qualities and transferable skills required for employment. </w:t>
            </w:r>
          </w:p>
        </w:tc>
        <w:tc>
          <w:tcPr>
            <w:tcW w:w="1841" w:type="dxa"/>
            <w:tcBorders>
              <w:top w:val="nil"/>
              <w:left w:val="nil"/>
              <w:bottom w:val="single" w:sz="6" w:space="0" w:color="auto"/>
              <w:right w:val="single" w:sz="6" w:space="0" w:color="auto"/>
            </w:tcBorders>
            <w:shd w:val="clear" w:color="auto" w:fill="auto"/>
            <w:hideMark/>
          </w:tcPr>
          <w:p w14:paraId="31822C0B"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 xml:space="preserve">Mostly coherent, and organised work though structure may lack coherence in </w:t>
            </w:r>
            <w:r w:rsidRPr="00D01B7F">
              <w:rPr>
                <w:rFonts w:ascii="Georgia" w:eastAsia="Times New Roman" w:hAnsi="Georgia" w:cs="Arial"/>
                <w:sz w:val="20"/>
                <w:szCs w:val="20"/>
                <w:lang w:eastAsia="en-GB"/>
              </w:rPr>
              <w:lastRenderedPageBreak/>
              <w:t>places and minor mistakes in the work may be evident. Ideas / concepts are clearly expressed using media appropriately. Can work effectively independently and/or as part of a team, with clear contribution to group activities. Demonstrates good qualities and transferable skills required for employment. </w:t>
            </w:r>
          </w:p>
        </w:tc>
        <w:tc>
          <w:tcPr>
            <w:tcW w:w="1842" w:type="dxa"/>
            <w:tcBorders>
              <w:top w:val="nil"/>
              <w:left w:val="nil"/>
              <w:bottom w:val="single" w:sz="6" w:space="0" w:color="auto"/>
              <w:right w:val="single" w:sz="6" w:space="0" w:color="auto"/>
            </w:tcBorders>
            <w:shd w:val="clear" w:color="auto" w:fill="auto"/>
            <w:hideMark/>
          </w:tcPr>
          <w:p w14:paraId="69E0662E"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 xml:space="preserve">Structure is coherent, organised and logical showing progression and </w:t>
            </w:r>
            <w:r w:rsidRPr="00D01B7F">
              <w:rPr>
                <w:rFonts w:ascii="Georgia" w:eastAsia="Times New Roman" w:hAnsi="Georgia" w:cs="Arial"/>
                <w:sz w:val="20"/>
                <w:szCs w:val="20"/>
                <w:lang w:eastAsia="en-GB"/>
              </w:rPr>
              <w:lastRenderedPageBreak/>
              <w:t>flow. Ideas / concepts are very clearly expressed using media appropriately. Can work effectively independently and/or as part of a team, with very good contribution to group activities. Demonstrates well the qualities and transferable skills required for employment. </w:t>
            </w:r>
          </w:p>
        </w:tc>
        <w:tc>
          <w:tcPr>
            <w:tcW w:w="1842" w:type="dxa"/>
            <w:tcBorders>
              <w:top w:val="nil"/>
              <w:left w:val="nil"/>
              <w:bottom w:val="single" w:sz="6" w:space="0" w:color="auto"/>
              <w:right w:val="single" w:sz="6" w:space="0" w:color="auto"/>
            </w:tcBorders>
            <w:shd w:val="clear" w:color="auto" w:fill="auto"/>
            <w:hideMark/>
          </w:tcPr>
          <w:p w14:paraId="60BCD7CA"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 xml:space="preserve">Very well-organised work which develops flow and progression in a </w:t>
            </w:r>
            <w:r w:rsidRPr="00D01B7F">
              <w:rPr>
                <w:rFonts w:ascii="Georgia" w:eastAsia="Times New Roman" w:hAnsi="Georgia" w:cs="Arial"/>
                <w:sz w:val="20"/>
                <w:szCs w:val="20"/>
                <w:lang w:eastAsia="en-GB"/>
              </w:rPr>
              <w:lastRenderedPageBreak/>
              <w:t>well-structured manner. Ideas / concepts are fluently expressed, using media very appropriately. Academic style indicates an appropriate level of academic maturity. Can work effectively independently and/or as part of a team, with an excellent contribution to group activities. Demonstrates a broad range of qualities and transferable skills required for employment. </w:t>
            </w:r>
          </w:p>
        </w:tc>
        <w:tc>
          <w:tcPr>
            <w:tcW w:w="1842" w:type="dxa"/>
            <w:tcBorders>
              <w:top w:val="nil"/>
              <w:left w:val="nil"/>
              <w:bottom w:val="single" w:sz="6" w:space="0" w:color="auto"/>
              <w:right w:val="single" w:sz="6" w:space="0" w:color="auto"/>
            </w:tcBorders>
            <w:shd w:val="clear" w:color="auto" w:fill="auto"/>
            <w:hideMark/>
          </w:tcPr>
          <w:p w14:paraId="47AF3B7F" w14:textId="77777777" w:rsidR="009A6116" w:rsidRPr="00D01B7F" w:rsidRDefault="009A6116" w:rsidP="005E6610">
            <w:pPr>
              <w:spacing w:after="0" w:line="240" w:lineRule="auto"/>
              <w:textAlignment w:val="baseline"/>
              <w:rPr>
                <w:rFonts w:ascii="Georgia" w:eastAsia="Times New Roman" w:hAnsi="Georgia" w:cs="Times New Roman"/>
                <w:sz w:val="20"/>
                <w:szCs w:val="20"/>
                <w:lang w:eastAsia="en-GB"/>
              </w:rPr>
            </w:pPr>
            <w:r w:rsidRPr="00D01B7F">
              <w:rPr>
                <w:rFonts w:ascii="Georgia" w:eastAsia="Times New Roman" w:hAnsi="Georgia" w:cs="Arial"/>
                <w:sz w:val="20"/>
                <w:szCs w:val="20"/>
                <w:lang w:eastAsia="en-GB"/>
              </w:rPr>
              <w:lastRenderedPageBreak/>
              <w:t xml:space="preserve">Exceptionally well-organised work which develops flow and progression </w:t>
            </w:r>
            <w:r w:rsidRPr="00D01B7F">
              <w:rPr>
                <w:rFonts w:ascii="Georgia" w:eastAsia="Times New Roman" w:hAnsi="Georgia" w:cs="Arial"/>
                <w:sz w:val="20"/>
                <w:szCs w:val="20"/>
                <w:lang w:eastAsia="en-GB"/>
              </w:rPr>
              <w:lastRenderedPageBreak/>
              <w:t>in a well-structured manner. High level of fluency of expression throughout, using media well to enhance the work. Can work effectively independently and/or as part of a team, with an exceptional contribution to group activities. Demonstrates an excellent range of qualities and transferable skills required for employment. </w:t>
            </w:r>
          </w:p>
        </w:tc>
      </w:tr>
    </w:tbl>
    <w:p w14:paraId="5C9960C5" w14:textId="77777777" w:rsidR="007961B2" w:rsidRDefault="007961B2"/>
    <w:sectPr w:rsidR="007961B2" w:rsidSect="009A611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116"/>
    <w:rsid w:val="0002730B"/>
    <w:rsid w:val="000443E7"/>
    <w:rsid w:val="000636CD"/>
    <w:rsid w:val="0006742A"/>
    <w:rsid w:val="00082B80"/>
    <w:rsid w:val="00085DC3"/>
    <w:rsid w:val="00091256"/>
    <w:rsid w:val="00091ECD"/>
    <w:rsid w:val="00096949"/>
    <w:rsid w:val="000A5533"/>
    <w:rsid w:val="000A6A10"/>
    <w:rsid w:val="000B52DD"/>
    <w:rsid w:val="000C1229"/>
    <w:rsid w:val="000D7190"/>
    <w:rsid w:val="000E4188"/>
    <w:rsid w:val="00100F45"/>
    <w:rsid w:val="00121491"/>
    <w:rsid w:val="0013658C"/>
    <w:rsid w:val="00141568"/>
    <w:rsid w:val="00162DAA"/>
    <w:rsid w:val="00181D39"/>
    <w:rsid w:val="001A1422"/>
    <w:rsid w:val="001C1CE2"/>
    <w:rsid w:val="001C50EB"/>
    <w:rsid w:val="001D19F4"/>
    <w:rsid w:val="001D3350"/>
    <w:rsid w:val="0020066F"/>
    <w:rsid w:val="00207141"/>
    <w:rsid w:val="00210C90"/>
    <w:rsid w:val="002175CC"/>
    <w:rsid w:val="0023094A"/>
    <w:rsid w:val="00246AB3"/>
    <w:rsid w:val="002506DE"/>
    <w:rsid w:val="002938D4"/>
    <w:rsid w:val="002A1126"/>
    <w:rsid w:val="002B1799"/>
    <w:rsid w:val="002B3809"/>
    <w:rsid w:val="002D05C6"/>
    <w:rsid w:val="002D63E2"/>
    <w:rsid w:val="002E4010"/>
    <w:rsid w:val="00314972"/>
    <w:rsid w:val="003151F9"/>
    <w:rsid w:val="00343105"/>
    <w:rsid w:val="00350A62"/>
    <w:rsid w:val="003750D3"/>
    <w:rsid w:val="003865AD"/>
    <w:rsid w:val="003920F6"/>
    <w:rsid w:val="003C4A0F"/>
    <w:rsid w:val="003C6BF1"/>
    <w:rsid w:val="003D65AE"/>
    <w:rsid w:val="003E1BE5"/>
    <w:rsid w:val="003E5A7C"/>
    <w:rsid w:val="003E5D9A"/>
    <w:rsid w:val="004020B6"/>
    <w:rsid w:val="00402E8E"/>
    <w:rsid w:val="00440610"/>
    <w:rsid w:val="004479A2"/>
    <w:rsid w:val="0048059B"/>
    <w:rsid w:val="004A3D9B"/>
    <w:rsid w:val="004B7F1D"/>
    <w:rsid w:val="004C2D60"/>
    <w:rsid w:val="004E7EE6"/>
    <w:rsid w:val="004F164D"/>
    <w:rsid w:val="004F5A04"/>
    <w:rsid w:val="0050442A"/>
    <w:rsid w:val="00531DD1"/>
    <w:rsid w:val="005422BB"/>
    <w:rsid w:val="005453BF"/>
    <w:rsid w:val="0057062A"/>
    <w:rsid w:val="00571E82"/>
    <w:rsid w:val="00575389"/>
    <w:rsid w:val="005C49A5"/>
    <w:rsid w:val="005E567B"/>
    <w:rsid w:val="005E7701"/>
    <w:rsid w:val="005F0C50"/>
    <w:rsid w:val="005F2C99"/>
    <w:rsid w:val="006164A1"/>
    <w:rsid w:val="006206B3"/>
    <w:rsid w:val="00625394"/>
    <w:rsid w:val="00630AC1"/>
    <w:rsid w:val="00633E0D"/>
    <w:rsid w:val="00650B16"/>
    <w:rsid w:val="00663485"/>
    <w:rsid w:val="0067440B"/>
    <w:rsid w:val="00685095"/>
    <w:rsid w:val="006B1EF8"/>
    <w:rsid w:val="006B22DD"/>
    <w:rsid w:val="006B38C2"/>
    <w:rsid w:val="006B43E7"/>
    <w:rsid w:val="006F5742"/>
    <w:rsid w:val="00701E38"/>
    <w:rsid w:val="007026D7"/>
    <w:rsid w:val="007110FE"/>
    <w:rsid w:val="007120EE"/>
    <w:rsid w:val="0071478B"/>
    <w:rsid w:val="00721CCE"/>
    <w:rsid w:val="007302EF"/>
    <w:rsid w:val="00734DC8"/>
    <w:rsid w:val="0075116E"/>
    <w:rsid w:val="0076090C"/>
    <w:rsid w:val="007652BA"/>
    <w:rsid w:val="00770243"/>
    <w:rsid w:val="00786043"/>
    <w:rsid w:val="00792F5A"/>
    <w:rsid w:val="007961B2"/>
    <w:rsid w:val="00796CC8"/>
    <w:rsid w:val="007A2402"/>
    <w:rsid w:val="007C7281"/>
    <w:rsid w:val="007D22E7"/>
    <w:rsid w:val="007D5D70"/>
    <w:rsid w:val="007F1085"/>
    <w:rsid w:val="007F4CA6"/>
    <w:rsid w:val="007F4E31"/>
    <w:rsid w:val="00801260"/>
    <w:rsid w:val="00810521"/>
    <w:rsid w:val="00816944"/>
    <w:rsid w:val="00825E95"/>
    <w:rsid w:val="00852456"/>
    <w:rsid w:val="00857003"/>
    <w:rsid w:val="00883921"/>
    <w:rsid w:val="00890EE6"/>
    <w:rsid w:val="008A0ED1"/>
    <w:rsid w:val="008C2DD8"/>
    <w:rsid w:val="008D352E"/>
    <w:rsid w:val="008D3C6C"/>
    <w:rsid w:val="008D4FA7"/>
    <w:rsid w:val="008F7019"/>
    <w:rsid w:val="0090342B"/>
    <w:rsid w:val="00904486"/>
    <w:rsid w:val="0090561E"/>
    <w:rsid w:val="0090620B"/>
    <w:rsid w:val="009156FA"/>
    <w:rsid w:val="009360BF"/>
    <w:rsid w:val="009405E8"/>
    <w:rsid w:val="00940E85"/>
    <w:rsid w:val="009528CD"/>
    <w:rsid w:val="009827F6"/>
    <w:rsid w:val="009A6116"/>
    <w:rsid w:val="009B7416"/>
    <w:rsid w:val="009C034C"/>
    <w:rsid w:val="009E4C12"/>
    <w:rsid w:val="009F4487"/>
    <w:rsid w:val="009F7FA2"/>
    <w:rsid w:val="00A42AFB"/>
    <w:rsid w:val="00A53F56"/>
    <w:rsid w:val="00A645E4"/>
    <w:rsid w:val="00A75091"/>
    <w:rsid w:val="00A90F08"/>
    <w:rsid w:val="00A96E2E"/>
    <w:rsid w:val="00AB2E34"/>
    <w:rsid w:val="00AB357C"/>
    <w:rsid w:val="00AB5401"/>
    <w:rsid w:val="00AC1302"/>
    <w:rsid w:val="00AC4D35"/>
    <w:rsid w:val="00B20050"/>
    <w:rsid w:val="00B25AC1"/>
    <w:rsid w:val="00B5737D"/>
    <w:rsid w:val="00B65390"/>
    <w:rsid w:val="00B673AF"/>
    <w:rsid w:val="00B73E3E"/>
    <w:rsid w:val="00B80C72"/>
    <w:rsid w:val="00B958BF"/>
    <w:rsid w:val="00B95DDB"/>
    <w:rsid w:val="00BB4A54"/>
    <w:rsid w:val="00BC6971"/>
    <w:rsid w:val="00BF7739"/>
    <w:rsid w:val="00C00BDD"/>
    <w:rsid w:val="00C01473"/>
    <w:rsid w:val="00C209C8"/>
    <w:rsid w:val="00C30D1A"/>
    <w:rsid w:val="00C334BF"/>
    <w:rsid w:val="00C34231"/>
    <w:rsid w:val="00C570A1"/>
    <w:rsid w:val="00C608E7"/>
    <w:rsid w:val="00CA0233"/>
    <w:rsid w:val="00CB0A84"/>
    <w:rsid w:val="00CB3B89"/>
    <w:rsid w:val="00CC32F3"/>
    <w:rsid w:val="00CC6647"/>
    <w:rsid w:val="00CD3159"/>
    <w:rsid w:val="00CE06B9"/>
    <w:rsid w:val="00D11DA3"/>
    <w:rsid w:val="00D51463"/>
    <w:rsid w:val="00D53A57"/>
    <w:rsid w:val="00D54558"/>
    <w:rsid w:val="00D620D5"/>
    <w:rsid w:val="00D7023D"/>
    <w:rsid w:val="00D76624"/>
    <w:rsid w:val="00DE7271"/>
    <w:rsid w:val="00DF217C"/>
    <w:rsid w:val="00E140A3"/>
    <w:rsid w:val="00E61366"/>
    <w:rsid w:val="00E64611"/>
    <w:rsid w:val="00E64987"/>
    <w:rsid w:val="00E671FD"/>
    <w:rsid w:val="00E70552"/>
    <w:rsid w:val="00E91C03"/>
    <w:rsid w:val="00EB6A91"/>
    <w:rsid w:val="00EC31CA"/>
    <w:rsid w:val="00F01625"/>
    <w:rsid w:val="00F02C65"/>
    <w:rsid w:val="00F251C8"/>
    <w:rsid w:val="00F33049"/>
    <w:rsid w:val="00F34DF3"/>
    <w:rsid w:val="00F37BFA"/>
    <w:rsid w:val="00F54883"/>
    <w:rsid w:val="00F6433F"/>
    <w:rsid w:val="00F6465C"/>
    <w:rsid w:val="00F7255F"/>
    <w:rsid w:val="00F9260F"/>
    <w:rsid w:val="00F92FE5"/>
    <w:rsid w:val="00F94E9C"/>
    <w:rsid w:val="00FA4398"/>
    <w:rsid w:val="00FA7759"/>
    <w:rsid w:val="00FB2505"/>
    <w:rsid w:val="00FC10D6"/>
    <w:rsid w:val="00FC4B27"/>
    <w:rsid w:val="00FD487D"/>
    <w:rsid w:val="00FE6B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016C"/>
  <w15:chartTrackingRefBased/>
  <w15:docId w15:val="{3976BA67-130C-446C-AFEA-156530915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7A323828CAF9489EB735D269CCCC9E" ma:contentTypeVersion="13" ma:contentTypeDescription="Create a new document." ma:contentTypeScope="" ma:versionID="7f11b34a410671f2f6a5ab58227bc3f0">
  <xsd:schema xmlns:xsd="http://www.w3.org/2001/XMLSchema" xmlns:xs="http://www.w3.org/2001/XMLSchema" xmlns:p="http://schemas.microsoft.com/office/2006/metadata/properties" xmlns:ns3="18e00798-69c8-4d73-a841-5247a1895ee0" xmlns:ns4="53eb33a0-f383-4069-9f53-0e79fd56955c" targetNamespace="http://schemas.microsoft.com/office/2006/metadata/properties" ma:root="true" ma:fieldsID="c27b843f18229e56049d961bc9af308b" ns3:_="" ns4:_="">
    <xsd:import namespace="18e00798-69c8-4d73-a841-5247a1895ee0"/>
    <xsd:import namespace="53eb33a0-f383-4069-9f53-0e79fd56955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e00798-69c8-4d73-a841-5247a1895ee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eb33a0-f383-4069-9f53-0e79fd56955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CEFEB1-35EA-4A52-A9B5-A46869AC3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e00798-69c8-4d73-a841-5247a1895ee0"/>
    <ds:schemaRef ds:uri="53eb33a0-f383-4069-9f53-0e79fd5695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80F3D1-2722-4F23-A949-66C50BD6ADB7}">
  <ds:schemaRefs>
    <ds:schemaRef ds:uri="http://schemas.microsoft.com/sharepoint/v3/contenttype/forms"/>
  </ds:schemaRefs>
</ds:datastoreItem>
</file>

<file path=customXml/itemProps3.xml><?xml version="1.0" encoding="utf-8"?>
<ds:datastoreItem xmlns:ds="http://schemas.openxmlformats.org/officeDocument/2006/customXml" ds:itemID="{A68F2F16-23B6-4529-8B1C-A606ECFA5D75}">
  <ds:schemaRefs>
    <ds:schemaRef ds:uri="18e00798-69c8-4d73-a841-5247a1895ee0"/>
    <ds:schemaRef ds:uri="http://purl.org/dc/terms/"/>
    <ds:schemaRef ds:uri="http://schemas.openxmlformats.org/package/2006/metadata/core-properties"/>
    <ds:schemaRef ds:uri="53eb33a0-f383-4069-9f53-0e79fd56955c"/>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1675</Words>
  <Characters>9554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1</cp:revision>
  <dcterms:created xsi:type="dcterms:W3CDTF">2020-10-28T11:26:00Z</dcterms:created>
  <dcterms:modified xsi:type="dcterms:W3CDTF">2020-10-28T11:28:00Z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0x0101000F7A323828CAF9489EB735D269CCCC9E</vt:lpwstr>
  </property>
</Properties>
</file>