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275DC5" w14:textId="77777777" w:rsidR="00C20393" w:rsidRPr="003F68A6" w:rsidRDefault="00C20393" w:rsidP="003F68A6">
      <w:pPr>
        <w:spacing w:line="360" w:lineRule="auto"/>
        <w:jc w:val="both"/>
        <w:rPr>
          <w:rFonts w:ascii="Arial" w:hAnsi="Arial" w:cs="Arial"/>
          <w:b/>
          <w:color w:val="000000" w:themeColor="text1"/>
          <w:sz w:val="22"/>
          <w:szCs w:val="22"/>
          <w:vertAlign w:val="subscript"/>
        </w:rPr>
      </w:pPr>
    </w:p>
    <w:p w14:paraId="27453E36" w14:textId="77777777" w:rsidR="00C20393" w:rsidRPr="003F68A6" w:rsidRDefault="00C20393" w:rsidP="003F68A6">
      <w:pPr>
        <w:spacing w:line="360" w:lineRule="auto"/>
        <w:jc w:val="both"/>
        <w:rPr>
          <w:rFonts w:ascii="Arial" w:hAnsi="Arial" w:cs="Arial"/>
          <w:b/>
          <w:color w:val="000000" w:themeColor="text1"/>
          <w:sz w:val="22"/>
          <w:szCs w:val="22"/>
          <w:vertAlign w:val="subscript"/>
        </w:rPr>
      </w:pPr>
    </w:p>
    <w:p w14:paraId="267069D2" w14:textId="77777777" w:rsidR="00C20393" w:rsidRPr="003F68A6" w:rsidRDefault="00C20393" w:rsidP="003F68A6">
      <w:pPr>
        <w:spacing w:line="360" w:lineRule="auto"/>
        <w:jc w:val="both"/>
        <w:rPr>
          <w:rFonts w:ascii="Arial" w:hAnsi="Arial" w:cs="Arial"/>
          <w:b/>
          <w:color w:val="000000" w:themeColor="text1"/>
          <w:sz w:val="22"/>
          <w:szCs w:val="22"/>
          <w:vertAlign w:val="subscript"/>
        </w:rPr>
      </w:pPr>
    </w:p>
    <w:p w14:paraId="41986CB7" w14:textId="77777777" w:rsidR="00C20393" w:rsidRPr="003F68A6" w:rsidRDefault="00C20393" w:rsidP="003F68A6">
      <w:pPr>
        <w:spacing w:line="360" w:lineRule="auto"/>
        <w:jc w:val="both"/>
        <w:rPr>
          <w:rFonts w:ascii="Arial" w:hAnsi="Arial" w:cs="Arial"/>
          <w:b/>
          <w:color w:val="000000" w:themeColor="text1"/>
          <w:sz w:val="22"/>
          <w:szCs w:val="22"/>
          <w:vertAlign w:val="subscript"/>
        </w:rPr>
      </w:pPr>
    </w:p>
    <w:p w14:paraId="0F8F70A4" w14:textId="77777777" w:rsidR="00C20393" w:rsidRPr="003F68A6" w:rsidRDefault="00C20393" w:rsidP="003F68A6">
      <w:pPr>
        <w:spacing w:line="360" w:lineRule="auto"/>
        <w:jc w:val="both"/>
        <w:rPr>
          <w:rFonts w:ascii="Arial" w:hAnsi="Arial" w:cs="Arial"/>
          <w:b/>
          <w:color w:val="000000" w:themeColor="text1"/>
          <w:sz w:val="22"/>
          <w:szCs w:val="22"/>
          <w:vertAlign w:val="subscript"/>
        </w:rPr>
      </w:pPr>
    </w:p>
    <w:p w14:paraId="0CE0F3FC" w14:textId="77777777" w:rsidR="00C20393" w:rsidRPr="003F68A6" w:rsidRDefault="00C20393" w:rsidP="003F68A6">
      <w:pPr>
        <w:spacing w:line="360" w:lineRule="auto"/>
        <w:jc w:val="both"/>
        <w:rPr>
          <w:rFonts w:ascii="Arial" w:hAnsi="Arial" w:cs="Arial"/>
          <w:b/>
          <w:color w:val="000000" w:themeColor="text1"/>
          <w:sz w:val="22"/>
          <w:szCs w:val="22"/>
          <w:vertAlign w:val="subscript"/>
        </w:rPr>
      </w:pPr>
    </w:p>
    <w:p w14:paraId="2CFCCB10" w14:textId="77777777" w:rsidR="00C20393" w:rsidRPr="003F68A6" w:rsidRDefault="00C20393" w:rsidP="003F68A6">
      <w:pPr>
        <w:spacing w:line="360" w:lineRule="auto"/>
        <w:jc w:val="both"/>
        <w:rPr>
          <w:rFonts w:ascii="Arial" w:hAnsi="Arial" w:cs="Arial"/>
          <w:b/>
          <w:color w:val="000000" w:themeColor="text1"/>
          <w:sz w:val="22"/>
          <w:szCs w:val="22"/>
          <w:vertAlign w:val="subscript"/>
        </w:rPr>
      </w:pPr>
    </w:p>
    <w:p w14:paraId="7906E758" w14:textId="77777777" w:rsidR="00C20393" w:rsidRPr="003F68A6" w:rsidRDefault="00C20393" w:rsidP="003F68A6">
      <w:pPr>
        <w:spacing w:line="360" w:lineRule="auto"/>
        <w:jc w:val="both"/>
        <w:rPr>
          <w:rFonts w:ascii="Arial" w:hAnsi="Arial" w:cs="Arial"/>
          <w:b/>
          <w:color w:val="000000" w:themeColor="text1"/>
          <w:sz w:val="22"/>
          <w:szCs w:val="22"/>
          <w:vertAlign w:val="subscript"/>
        </w:rPr>
      </w:pPr>
    </w:p>
    <w:p w14:paraId="18E62690" w14:textId="77777777" w:rsidR="00C20393" w:rsidRPr="003F68A6" w:rsidRDefault="00C20393" w:rsidP="003F68A6">
      <w:pPr>
        <w:spacing w:line="360" w:lineRule="auto"/>
        <w:jc w:val="both"/>
        <w:rPr>
          <w:rFonts w:ascii="Arial" w:hAnsi="Arial" w:cs="Arial"/>
          <w:b/>
          <w:color w:val="000000" w:themeColor="text1"/>
          <w:sz w:val="22"/>
          <w:szCs w:val="22"/>
          <w:vertAlign w:val="subscript"/>
        </w:rPr>
      </w:pPr>
    </w:p>
    <w:p w14:paraId="50622513" w14:textId="77777777" w:rsidR="00C20393" w:rsidRPr="003F68A6" w:rsidRDefault="00C20393" w:rsidP="003F68A6">
      <w:pPr>
        <w:spacing w:line="360" w:lineRule="auto"/>
        <w:jc w:val="both"/>
        <w:rPr>
          <w:rFonts w:ascii="Arial" w:hAnsi="Arial" w:cs="Arial"/>
          <w:b/>
          <w:color w:val="000000" w:themeColor="text1"/>
          <w:sz w:val="22"/>
          <w:szCs w:val="22"/>
          <w:vertAlign w:val="subscript"/>
        </w:rPr>
      </w:pPr>
    </w:p>
    <w:p w14:paraId="60351DAC" w14:textId="77777777" w:rsidR="00C20393" w:rsidRPr="003F68A6" w:rsidRDefault="00C20393" w:rsidP="003F68A6">
      <w:pPr>
        <w:spacing w:line="360" w:lineRule="auto"/>
        <w:jc w:val="both"/>
        <w:rPr>
          <w:rFonts w:ascii="Arial" w:hAnsi="Arial" w:cs="Arial"/>
          <w:b/>
          <w:color w:val="000000" w:themeColor="text1"/>
          <w:sz w:val="22"/>
          <w:szCs w:val="22"/>
          <w:vertAlign w:val="subscript"/>
        </w:rPr>
      </w:pPr>
    </w:p>
    <w:p w14:paraId="70C02C2B" w14:textId="77777777" w:rsidR="00C20393" w:rsidRPr="003F68A6" w:rsidRDefault="00C20393" w:rsidP="003F68A6">
      <w:pPr>
        <w:spacing w:line="360" w:lineRule="auto"/>
        <w:jc w:val="both"/>
        <w:rPr>
          <w:rFonts w:ascii="Arial" w:hAnsi="Arial" w:cs="Arial"/>
          <w:b/>
          <w:color w:val="000000" w:themeColor="text1"/>
          <w:sz w:val="22"/>
          <w:szCs w:val="22"/>
          <w:vertAlign w:val="subscript"/>
        </w:rPr>
      </w:pPr>
    </w:p>
    <w:p w14:paraId="176B61EA" w14:textId="77777777" w:rsidR="00C20393" w:rsidRPr="003F68A6" w:rsidRDefault="00C20393" w:rsidP="003F68A6">
      <w:pPr>
        <w:spacing w:line="360" w:lineRule="auto"/>
        <w:jc w:val="both"/>
        <w:rPr>
          <w:rFonts w:ascii="Arial" w:hAnsi="Arial" w:cs="Arial"/>
          <w:b/>
          <w:color w:val="000000" w:themeColor="text1"/>
          <w:sz w:val="22"/>
          <w:szCs w:val="22"/>
          <w:vertAlign w:val="subscript"/>
        </w:rPr>
      </w:pPr>
    </w:p>
    <w:p w14:paraId="0D97FDE4" w14:textId="77777777" w:rsidR="00C20393" w:rsidRPr="007755E5" w:rsidRDefault="000E2331" w:rsidP="007755E5">
      <w:pPr>
        <w:spacing w:line="360" w:lineRule="auto"/>
        <w:jc w:val="center"/>
        <w:rPr>
          <w:rFonts w:ascii="Arial" w:hAnsi="Arial" w:cs="Arial"/>
          <w:b/>
          <w:i/>
          <w:color w:val="000000" w:themeColor="text1"/>
          <w:sz w:val="56"/>
          <w:szCs w:val="72"/>
          <w:vertAlign w:val="subscript"/>
        </w:rPr>
      </w:pPr>
      <w:r w:rsidRPr="007755E5">
        <w:rPr>
          <w:rFonts w:ascii="Arial" w:hAnsi="Arial" w:cs="Arial"/>
          <w:b/>
          <w:i/>
          <w:color w:val="000000" w:themeColor="text1"/>
          <w:sz w:val="56"/>
          <w:szCs w:val="72"/>
          <w:shd w:val="clear" w:color="auto" w:fill="FFFFFF"/>
        </w:rPr>
        <w:t>BMHP5016 Principles of Health and Social Care Practice</w:t>
      </w:r>
    </w:p>
    <w:p w14:paraId="1AF3C9EE" w14:textId="77777777" w:rsidR="00C20393" w:rsidRPr="003F68A6" w:rsidRDefault="00C20393" w:rsidP="003F68A6">
      <w:pPr>
        <w:spacing w:line="360" w:lineRule="auto"/>
        <w:jc w:val="both"/>
        <w:rPr>
          <w:rFonts w:ascii="Arial" w:hAnsi="Arial" w:cs="Arial"/>
          <w:b/>
          <w:color w:val="000000" w:themeColor="text1"/>
          <w:sz w:val="22"/>
          <w:szCs w:val="22"/>
          <w:vertAlign w:val="subscript"/>
        </w:rPr>
      </w:pPr>
    </w:p>
    <w:p w14:paraId="1596687C" w14:textId="77777777" w:rsidR="00C20393" w:rsidRPr="003F68A6" w:rsidRDefault="00C20393" w:rsidP="003F68A6">
      <w:pPr>
        <w:spacing w:line="360" w:lineRule="auto"/>
        <w:jc w:val="both"/>
        <w:rPr>
          <w:rFonts w:ascii="Arial" w:hAnsi="Arial" w:cs="Arial"/>
          <w:b/>
          <w:color w:val="000000" w:themeColor="text1"/>
          <w:sz w:val="22"/>
          <w:szCs w:val="22"/>
          <w:vertAlign w:val="subscript"/>
        </w:rPr>
      </w:pPr>
    </w:p>
    <w:p w14:paraId="4633194A" w14:textId="77777777" w:rsidR="00C20393" w:rsidRPr="003F68A6" w:rsidRDefault="00C20393" w:rsidP="003F68A6">
      <w:pPr>
        <w:spacing w:line="360" w:lineRule="auto"/>
        <w:jc w:val="both"/>
        <w:rPr>
          <w:rFonts w:ascii="Arial" w:hAnsi="Arial" w:cs="Arial"/>
          <w:b/>
          <w:color w:val="000000" w:themeColor="text1"/>
          <w:sz w:val="22"/>
          <w:szCs w:val="22"/>
          <w:vertAlign w:val="subscript"/>
        </w:rPr>
      </w:pPr>
    </w:p>
    <w:p w14:paraId="315E0739" w14:textId="77777777" w:rsidR="00C20393" w:rsidRPr="003F68A6" w:rsidRDefault="00C20393" w:rsidP="003F68A6">
      <w:pPr>
        <w:spacing w:line="360" w:lineRule="auto"/>
        <w:jc w:val="both"/>
        <w:rPr>
          <w:rFonts w:ascii="Arial" w:hAnsi="Arial" w:cs="Arial"/>
          <w:b/>
          <w:color w:val="000000" w:themeColor="text1"/>
          <w:sz w:val="22"/>
          <w:szCs w:val="22"/>
          <w:vertAlign w:val="subscript"/>
        </w:rPr>
      </w:pPr>
    </w:p>
    <w:p w14:paraId="7F47D94A" w14:textId="77777777" w:rsidR="00C20393" w:rsidRPr="003F68A6" w:rsidRDefault="00C20393" w:rsidP="003F68A6">
      <w:pPr>
        <w:spacing w:line="360" w:lineRule="auto"/>
        <w:jc w:val="both"/>
        <w:rPr>
          <w:rFonts w:ascii="Arial" w:hAnsi="Arial" w:cs="Arial"/>
          <w:b/>
          <w:color w:val="000000" w:themeColor="text1"/>
          <w:sz w:val="22"/>
          <w:szCs w:val="22"/>
          <w:vertAlign w:val="subscript"/>
        </w:rPr>
      </w:pPr>
    </w:p>
    <w:p w14:paraId="0267E5F2" w14:textId="77777777" w:rsidR="00C20393" w:rsidRPr="003F68A6" w:rsidRDefault="00C20393" w:rsidP="003F68A6">
      <w:pPr>
        <w:spacing w:line="360" w:lineRule="auto"/>
        <w:jc w:val="both"/>
        <w:rPr>
          <w:rFonts w:ascii="Arial" w:hAnsi="Arial" w:cs="Arial"/>
          <w:b/>
          <w:color w:val="000000" w:themeColor="text1"/>
          <w:sz w:val="22"/>
          <w:szCs w:val="22"/>
          <w:vertAlign w:val="subscript"/>
        </w:rPr>
      </w:pPr>
    </w:p>
    <w:p w14:paraId="66ED2457" w14:textId="77777777" w:rsidR="00C20393" w:rsidRPr="003F68A6" w:rsidRDefault="00C20393" w:rsidP="003F68A6">
      <w:pPr>
        <w:spacing w:line="360" w:lineRule="auto"/>
        <w:jc w:val="both"/>
        <w:rPr>
          <w:rFonts w:ascii="Arial" w:hAnsi="Arial" w:cs="Arial"/>
          <w:b/>
          <w:color w:val="000000" w:themeColor="text1"/>
          <w:sz w:val="22"/>
          <w:szCs w:val="22"/>
          <w:vertAlign w:val="subscript"/>
        </w:rPr>
      </w:pPr>
    </w:p>
    <w:p w14:paraId="32981CFD" w14:textId="77777777" w:rsidR="00C20393" w:rsidRPr="003F68A6" w:rsidRDefault="00C20393" w:rsidP="003F68A6">
      <w:pPr>
        <w:spacing w:line="360" w:lineRule="auto"/>
        <w:jc w:val="both"/>
        <w:rPr>
          <w:rFonts w:ascii="Arial" w:hAnsi="Arial" w:cs="Arial"/>
          <w:b/>
          <w:color w:val="000000" w:themeColor="text1"/>
          <w:sz w:val="22"/>
          <w:szCs w:val="22"/>
          <w:vertAlign w:val="subscript"/>
        </w:rPr>
      </w:pPr>
    </w:p>
    <w:p w14:paraId="109CD84D" w14:textId="77777777" w:rsidR="00C20393" w:rsidRPr="003F68A6" w:rsidRDefault="00C20393" w:rsidP="003F68A6">
      <w:pPr>
        <w:spacing w:line="360" w:lineRule="auto"/>
        <w:jc w:val="both"/>
        <w:rPr>
          <w:rFonts w:ascii="Arial" w:hAnsi="Arial" w:cs="Arial"/>
          <w:b/>
          <w:color w:val="000000" w:themeColor="text1"/>
          <w:sz w:val="22"/>
          <w:szCs w:val="22"/>
          <w:vertAlign w:val="subscript"/>
        </w:rPr>
      </w:pPr>
    </w:p>
    <w:p w14:paraId="6C22B2E6" w14:textId="77777777" w:rsidR="00C20393" w:rsidRPr="003F68A6" w:rsidRDefault="00C20393" w:rsidP="003F68A6">
      <w:pPr>
        <w:spacing w:line="360" w:lineRule="auto"/>
        <w:jc w:val="both"/>
        <w:rPr>
          <w:rFonts w:ascii="Arial" w:hAnsi="Arial" w:cs="Arial"/>
          <w:b/>
          <w:color w:val="000000" w:themeColor="text1"/>
          <w:sz w:val="22"/>
          <w:szCs w:val="22"/>
          <w:vertAlign w:val="subscript"/>
        </w:rPr>
      </w:pPr>
    </w:p>
    <w:p w14:paraId="0A3612DA" w14:textId="77777777" w:rsidR="00757D29" w:rsidRDefault="00757D29">
      <w:pPr>
        <w:spacing w:after="160" w:line="259" w:lineRule="auto"/>
        <w:rPr>
          <w:rFonts w:ascii="Arial" w:hAnsi="Arial" w:cs="Arial"/>
          <w:b/>
          <w:color w:val="000000" w:themeColor="text1"/>
          <w:sz w:val="22"/>
          <w:szCs w:val="22"/>
          <w:vertAlign w:val="subscript"/>
        </w:rPr>
      </w:pPr>
      <w:r>
        <w:rPr>
          <w:rFonts w:ascii="Arial" w:hAnsi="Arial" w:cs="Arial"/>
          <w:b/>
          <w:color w:val="000000" w:themeColor="text1"/>
          <w:sz w:val="22"/>
          <w:szCs w:val="22"/>
          <w:vertAlign w:val="subscript"/>
        </w:rPr>
        <w:br w:type="page"/>
      </w:r>
    </w:p>
    <w:sdt>
      <w:sdtPr>
        <w:rPr>
          <w:rFonts w:ascii="Times New Roman" w:eastAsia="Times New Roman" w:hAnsi="Times New Roman" w:cs="Arial"/>
          <w:b w:val="0"/>
          <w:color w:val="000000" w:themeColor="text1"/>
          <w:sz w:val="22"/>
          <w:szCs w:val="22"/>
          <w:lang w:val="en-GB" w:eastAsia="en-GB"/>
        </w:rPr>
        <w:id w:val="-739871581"/>
        <w:docPartObj>
          <w:docPartGallery w:val="Table of Contents"/>
          <w:docPartUnique/>
        </w:docPartObj>
      </w:sdtPr>
      <w:sdtEndPr>
        <w:rPr>
          <w:bCs/>
          <w:noProof/>
        </w:rPr>
      </w:sdtEndPr>
      <w:sdtContent>
        <w:p w14:paraId="577DDAE2" w14:textId="77777777" w:rsidR="000E2331" w:rsidRPr="003F68A6" w:rsidRDefault="000E2331" w:rsidP="003F68A6">
          <w:pPr>
            <w:pStyle w:val="Nadpisobsahu"/>
            <w:spacing w:line="360" w:lineRule="auto"/>
            <w:rPr>
              <w:rFonts w:cs="Arial"/>
              <w:color w:val="000000" w:themeColor="text1"/>
              <w:sz w:val="22"/>
              <w:szCs w:val="22"/>
            </w:rPr>
          </w:pPr>
          <w:r w:rsidRPr="003F68A6">
            <w:rPr>
              <w:rFonts w:cs="Arial"/>
              <w:color w:val="000000" w:themeColor="text1"/>
              <w:sz w:val="22"/>
              <w:szCs w:val="22"/>
            </w:rPr>
            <w:t>Table of Contents</w:t>
          </w:r>
        </w:p>
        <w:p w14:paraId="1242F7F5" w14:textId="77777777" w:rsidR="00757D29" w:rsidRDefault="000E2331">
          <w:pPr>
            <w:pStyle w:val="Obsah1"/>
            <w:tabs>
              <w:tab w:val="right" w:leader="dot" w:pos="9016"/>
            </w:tabs>
            <w:rPr>
              <w:rFonts w:asciiTheme="minorHAnsi" w:eastAsiaTheme="minorEastAsia" w:hAnsiTheme="minorHAnsi" w:cstheme="minorBidi"/>
              <w:noProof/>
              <w:sz w:val="22"/>
              <w:szCs w:val="22"/>
            </w:rPr>
          </w:pPr>
          <w:r w:rsidRPr="003F68A6">
            <w:rPr>
              <w:rFonts w:ascii="Arial" w:hAnsi="Arial" w:cs="Arial"/>
              <w:color w:val="000000" w:themeColor="text1"/>
              <w:sz w:val="22"/>
              <w:szCs w:val="22"/>
            </w:rPr>
            <w:fldChar w:fldCharType="begin"/>
          </w:r>
          <w:r w:rsidRPr="003F68A6">
            <w:rPr>
              <w:rFonts w:ascii="Arial" w:hAnsi="Arial" w:cs="Arial"/>
              <w:color w:val="000000" w:themeColor="text1"/>
              <w:sz w:val="22"/>
              <w:szCs w:val="22"/>
            </w:rPr>
            <w:instrText xml:space="preserve"> TOC \o "1-3" \h \z \u </w:instrText>
          </w:r>
          <w:r w:rsidRPr="003F68A6">
            <w:rPr>
              <w:rFonts w:ascii="Arial" w:hAnsi="Arial" w:cs="Arial"/>
              <w:color w:val="000000" w:themeColor="text1"/>
              <w:sz w:val="22"/>
              <w:szCs w:val="22"/>
            </w:rPr>
            <w:fldChar w:fldCharType="separate"/>
          </w:r>
          <w:hyperlink w:anchor="_Toc230613019" w:history="1">
            <w:r w:rsidR="00757D29" w:rsidRPr="004B71C2">
              <w:rPr>
                <w:rStyle w:val="Hypertextovodkaz"/>
                <w:noProof/>
              </w:rPr>
              <w:t>Introduction</w:t>
            </w:r>
            <w:r w:rsidR="00757D29">
              <w:rPr>
                <w:noProof/>
                <w:webHidden/>
              </w:rPr>
              <w:tab/>
            </w:r>
            <w:r w:rsidR="00757D29">
              <w:rPr>
                <w:noProof/>
                <w:webHidden/>
              </w:rPr>
              <w:fldChar w:fldCharType="begin"/>
            </w:r>
            <w:r w:rsidR="00757D29">
              <w:rPr>
                <w:noProof/>
                <w:webHidden/>
              </w:rPr>
              <w:instrText xml:space="preserve"> PAGEREF _Toc230613019 \h </w:instrText>
            </w:r>
            <w:r w:rsidR="00757D29">
              <w:rPr>
                <w:noProof/>
                <w:webHidden/>
              </w:rPr>
            </w:r>
            <w:r w:rsidR="00757D29">
              <w:rPr>
                <w:noProof/>
                <w:webHidden/>
              </w:rPr>
              <w:fldChar w:fldCharType="separate"/>
            </w:r>
            <w:r w:rsidR="00757D29">
              <w:rPr>
                <w:noProof/>
                <w:webHidden/>
              </w:rPr>
              <w:t>3</w:t>
            </w:r>
            <w:r w:rsidR="00757D29">
              <w:rPr>
                <w:noProof/>
                <w:webHidden/>
              </w:rPr>
              <w:fldChar w:fldCharType="end"/>
            </w:r>
          </w:hyperlink>
        </w:p>
        <w:p w14:paraId="2E2F1C0A" w14:textId="77777777" w:rsidR="00757D29" w:rsidRDefault="00757D29">
          <w:pPr>
            <w:pStyle w:val="Obsah1"/>
            <w:tabs>
              <w:tab w:val="right" w:leader="dot" w:pos="9016"/>
            </w:tabs>
            <w:rPr>
              <w:rFonts w:asciiTheme="minorHAnsi" w:eastAsiaTheme="minorEastAsia" w:hAnsiTheme="minorHAnsi" w:cstheme="minorBidi"/>
              <w:noProof/>
              <w:sz w:val="22"/>
              <w:szCs w:val="22"/>
            </w:rPr>
          </w:pPr>
          <w:hyperlink w:anchor="_Toc230613020" w:history="1">
            <w:r w:rsidRPr="004B71C2">
              <w:rPr>
                <w:rStyle w:val="Hypertextovodkaz"/>
                <w:noProof/>
              </w:rPr>
              <w:t>Person-Centred In Theory</w:t>
            </w:r>
            <w:r>
              <w:rPr>
                <w:noProof/>
                <w:webHidden/>
              </w:rPr>
              <w:tab/>
            </w:r>
            <w:r>
              <w:rPr>
                <w:noProof/>
                <w:webHidden/>
              </w:rPr>
              <w:fldChar w:fldCharType="begin"/>
            </w:r>
            <w:r>
              <w:rPr>
                <w:noProof/>
                <w:webHidden/>
              </w:rPr>
              <w:instrText xml:space="preserve"> PAGEREF _Toc230613020 \h </w:instrText>
            </w:r>
            <w:r>
              <w:rPr>
                <w:noProof/>
                <w:webHidden/>
              </w:rPr>
            </w:r>
            <w:r>
              <w:rPr>
                <w:noProof/>
                <w:webHidden/>
              </w:rPr>
              <w:fldChar w:fldCharType="separate"/>
            </w:r>
            <w:r>
              <w:rPr>
                <w:noProof/>
                <w:webHidden/>
              </w:rPr>
              <w:t>3</w:t>
            </w:r>
            <w:r>
              <w:rPr>
                <w:noProof/>
                <w:webHidden/>
              </w:rPr>
              <w:fldChar w:fldCharType="end"/>
            </w:r>
          </w:hyperlink>
        </w:p>
        <w:p w14:paraId="605381A6" w14:textId="77777777" w:rsidR="00757D29" w:rsidRDefault="00757D29">
          <w:pPr>
            <w:pStyle w:val="Obsah1"/>
            <w:tabs>
              <w:tab w:val="right" w:leader="dot" w:pos="9016"/>
            </w:tabs>
            <w:rPr>
              <w:rFonts w:asciiTheme="minorHAnsi" w:eastAsiaTheme="minorEastAsia" w:hAnsiTheme="minorHAnsi" w:cstheme="minorBidi"/>
              <w:noProof/>
              <w:sz w:val="22"/>
              <w:szCs w:val="22"/>
            </w:rPr>
          </w:pPr>
          <w:hyperlink w:anchor="_Toc230613021" w:history="1">
            <w:r w:rsidRPr="004B71C2">
              <w:rPr>
                <w:rStyle w:val="Hypertextovodkaz"/>
                <w:noProof/>
              </w:rPr>
              <w:t>Ethical Basics in Health and Social Care</w:t>
            </w:r>
            <w:r>
              <w:rPr>
                <w:noProof/>
                <w:webHidden/>
              </w:rPr>
              <w:tab/>
            </w:r>
            <w:r>
              <w:rPr>
                <w:noProof/>
                <w:webHidden/>
              </w:rPr>
              <w:fldChar w:fldCharType="begin"/>
            </w:r>
            <w:r>
              <w:rPr>
                <w:noProof/>
                <w:webHidden/>
              </w:rPr>
              <w:instrText xml:space="preserve"> PAGEREF _Toc230613021 \h </w:instrText>
            </w:r>
            <w:r>
              <w:rPr>
                <w:noProof/>
                <w:webHidden/>
              </w:rPr>
            </w:r>
            <w:r>
              <w:rPr>
                <w:noProof/>
                <w:webHidden/>
              </w:rPr>
              <w:fldChar w:fldCharType="separate"/>
            </w:r>
            <w:r>
              <w:rPr>
                <w:noProof/>
                <w:webHidden/>
              </w:rPr>
              <w:t>4</w:t>
            </w:r>
            <w:r>
              <w:rPr>
                <w:noProof/>
                <w:webHidden/>
              </w:rPr>
              <w:fldChar w:fldCharType="end"/>
            </w:r>
          </w:hyperlink>
        </w:p>
        <w:p w14:paraId="7EA1AB39" w14:textId="77777777" w:rsidR="00757D29" w:rsidRDefault="00757D29">
          <w:pPr>
            <w:pStyle w:val="Obsah1"/>
            <w:tabs>
              <w:tab w:val="right" w:leader="dot" w:pos="9016"/>
            </w:tabs>
            <w:rPr>
              <w:rFonts w:asciiTheme="minorHAnsi" w:eastAsiaTheme="minorEastAsia" w:hAnsiTheme="minorHAnsi" w:cstheme="minorBidi"/>
              <w:noProof/>
              <w:sz w:val="22"/>
              <w:szCs w:val="22"/>
            </w:rPr>
          </w:pPr>
          <w:hyperlink w:anchor="_Toc230613022" w:history="1">
            <w:r w:rsidRPr="004B71C2">
              <w:rPr>
                <w:rStyle w:val="Hypertextovodkaz"/>
                <w:noProof/>
              </w:rPr>
              <w:t>Partnership Working Evaluation</w:t>
            </w:r>
            <w:r>
              <w:rPr>
                <w:noProof/>
                <w:webHidden/>
              </w:rPr>
              <w:tab/>
            </w:r>
            <w:r>
              <w:rPr>
                <w:noProof/>
                <w:webHidden/>
              </w:rPr>
              <w:fldChar w:fldCharType="begin"/>
            </w:r>
            <w:r>
              <w:rPr>
                <w:noProof/>
                <w:webHidden/>
              </w:rPr>
              <w:instrText xml:space="preserve"> PAGEREF _Toc230613022 \h </w:instrText>
            </w:r>
            <w:r>
              <w:rPr>
                <w:noProof/>
                <w:webHidden/>
              </w:rPr>
            </w:r>
            <w:r>
              <w:rPr>
                <w:noProof/>
                <w:webHidden/>
              </w:rPr>
              <w:fldChar w:fldCharType="separate"/>
            </w:r>
            <w:r>
              <w:rPr>
                <w:noProof/>
                <w:webHidden/>
              </w:rPr>
              <w:t>5</w:t>
            </w:r>
            <w:r>
              <w:rPr>
                <w:noProof/>
                <w:webHidden/>
              </w:rPr>
              <w:fldChar w:fldCharType="end"/>
            </w:r>
          </w:hyperlink>
        </w:p>
        <w:p w14:paraId="1B329575" w14:textId="77777777" w:rsidR="00757D29" w:rsidRDefault="00757D29">
          <w:pPr>
            <w:pStyle w:val="Obsah1"/>
            <w:tabs>
              <w:tab w:val="right" w:leader="dot" w:pos="9016"/>
            </w:tabs>
            <w:rPr>
              <w:rFonts w:asciiTheme="minorHAnsi" w:eastAsiaTheme="minorEastAsia" w:hAnsiTheme="minorHAnsi" w:cstheme="minorBidi"/>
              <w:noProof/>
              <w:sz w:val="22"/>
              <w:szCs w:val="22"/>
            </w:rPr>
          </w:pPr>
          <w:hyperlink w:anchor="_Toc230613023" w:history="1">
            <w:r w:rsidRPr="004B71C2">
              <w:rPr>
                <w:rStyle w:val="Hypertextovodkaz"/>
                <w:noProof/>
              </w:rPr>
              <w:t>Partnership Working In Practical Setting</w:t>
            </w:r>
            <w:r>
              <w:rPr>
                <w:noProof/>
                <w:webHidden/>
              </w:rPr>
              <w:tab/>
            </w:r>
            <w:r>
              <w:rPr>
                <w:noProof/>
                <w:webHidden/>
              </w:rPr>
              <w:fldChar w:fldCharType="begin"/>
            </w:r>
            <w:r>
              <w:rPr>
                <w:noProof/>
                <w:webHidden/>
              </w:rPr>
              <w:instrText xml:space="preserve"> PAGEREF _Toc230613023 \h </w:instrText>
            </w:r>
            <w:r>
              <w:rPr>
                <w:noProof/>
                <w:webHidden/>
              </w:rPr>
            </w:r>
            <w:r>
              <w:rPr>
                <w:noProof/>
                <w:webHidden/>
              </w:rPr>
              <w:fldChar w:fldCharType="separate"/>
            </w:r>
            <w:r>
              <w:rPr>
                <w:noProof/>
                <w:webHidden/>
              </w:rPr>
              <w:t>6</w:t>
            </w:r>
            <w:r>
              <w:rPr>
                <w:noProof/>
                <w:webHidden/>
              </w:rPr>
              <w:fldChar w:fldCharType="end"/>
            </w:r>
          </w:hyperlink>
        </w:p>
        <w:p w14:paraId="7E9C649E" w14:textId="77777777" w:rsidR="00757D29" w:rsidRDefault="00757D29">
          <w:pPr>
            <w:pStyle w:val="Obsah1"/>
            <w:tabs>
              <w:tab w:val="right" w:leader="dot" w:pos="9016"/>
            </w:tabs>
            <w:rPr>
              <w:rFonts w:asciiTheme="minorHAnsi" w:eastAsiaTheme="minorEastAsia" w:hAnsiTheme="minorHAnsi" w:cstheme="minorBidi"/>
              <w:noProof/>
              <w:sz w:val="22"/>
              <w:szCs w:val="22"/>
            </w:rPr>
          </w:pPr>
          <w:hyperlink w:anchor="_Toc230613024" w:history="1">
            <w:r w:rsidRPr="004B71C2">
              <w:rPr>
                <w:rStyle w:val="Hypertextovodkaz"/>
                <w:noProof/>
              </w:rPr>
              <w:t>PCC and PW Policy and Legislation Support</w:t>
            </w:r>
            <w:r>
              <w:rPr>
                <w:noProof/>
                <w:webHidden/>
              </w:rPr>
              <w:tab/>
            </w:r>
            <w:r>
              <w:rPr>
                <w:noProof/>
                <w:webHidden/>
              </w:rPr>
              <w:fldChar w:fldCharType="begin"/>
            </w:r>
            <w:r>
              <w:rPr>
                <w:noProof/>
                <w:webHidden/>
              </w:rPr>
              <w:instrText xml:space="preserve"> PAGEREF _Toc230613024 \h </w:instrText>
            </w:r>
            <w:r>
              <w:rPr>
                <w:noProof/>
                <w:webHidden/>
              </w:rPr>
            </w:r>
            <w:r>
              <w:rPr>
                <w:noProof/>
                <w:webHidden/>
              </w:rPr>
              <w:fldChar w:fldCharType="separate"/>
            </w:r>
            <w:r>
              <w:rPr>
                <w:noProof/>
                <w:webHidden/>
              </w:rPr>
              <w:t>7</w:t>
            </w:r>
            <w:r>
              <w:rPr>
                <w:noProof/>
                <w:webHidden/>
              </w:rPr>
              <w:fldChar w:fldCharType="end"/>
            </w:r>
          </w:hyperlink>
        </w:p>
        <w:p w14:paraId="50CD0DAA" w14:textId="77777777" w:rsidR="00757D29" w:rsidRDefault="00757D29">
          <w:pPr>
            <w:pStyle w:val="Obsah1"/>
            <w:tabs>
              <w:tab w:val="right" w:leader="dot" w:pos="9016"/>
            </w:tabs>
            <w:rPr>
              <w:rFonts w:asciiTheme="minorHAnsi" w:eastAsiaTheme="minorEastAsia" w:hAnsiTheme="minorHAnsi" w:cstheme="minorBidi"/>
              <w:noProof/>
              <w:sz w:val="22"/>
              <w:szCs w:val="22"/>
            </w:rPr>
          </w:pPr>
          <w:hyperlink w:anchor="_Toc230613025" w:history="1">
            <w:r w:rsidRPr="004B71C2">
              <w:rPr>
                <w:rStyle w:val="Hypertextovodkaz"/>
                <w:noProof/>
              </w:rPr>
              <w:t>Recommendations for Future Development</w:t>
            </w:r>
            <w:r>
              <w:rPr>
                <w:noProof/>
                <w:webHidden/>
              </w:rPr>
              <w:tab/>
            </w:r>
            <w:r>
              <w:rPr>
                <w:noProof/>
                <w:webHidden/>
              </w:rPr>
              <w:fldChar w:fldCharType="begin"/>
            </w:r>
            <w:r>
              <w:rPr>
                <w:noProof/>
                <w:webHidden/>
              </w:rPr>
              <w:instrText xml:space="preserve"> PAGEREF _Toc230613025 \h </w:instrText>
            </w:r>
            <w:r>
              <w:rPr>
                <w:noProof/>
                <w:webHidden/>
              </w:rPr>
            </w:r>
            <w:r>
              <w:rPr>
                <w:noProof/>
                <w:webHidden/>
              </w:rPr>
              <w:fldChar w:fldCharType="separate"/>
            </w:r>
            <w:r>
              <w:rPr>
                <w:noProof/>
                <w:webHidden/>
              </w:rPr>
              <w:t>7</w:t>
            </w:r>
            <w:r>
              <w:rPr>
                <w:noProof/>
                <w:webHidden/>
              </w:rPr>
              <w:fldChar w:fldCharType="end"/>
            </w:r>
          </w:hyperlink>
        </w:p>
        <w:p w14:paraId="65920DCB" w14:textId="77777777" w:rsidR="00757D29" w:rsidRDefault="00757D29">
          <w:pPr>
            <w:pStyle w:val="Obsah1"/>
            <w:tabs>
              <w:tab w:val="right" w:leader="dot" w:pos="9016"/>
            </w:tabs>
            <w:rPr>
              <w:rFonts w:asciiTheme="minorHAnsi" w:eastAsiaTheme="minorEastAsia" w:hAnsiTheme="minorHAnsi" w:cstheme="minorBidi"/>
              <w:noProof/>
              <w:sz w:val="22"/>
              <w:szCs w:val="22"/>
            </w:rPr>
          </w:pPr>
          <w:hyperlink w:anchor="_Toc230613026" w:history="1">
            <w:r w:rsidRPr="004B71C2">
              <w:rPr>
                <w:rStyle w:val="Hypertextovodkaz"/>
                <w:noProof/>
              </w:rPr>
              <w:t>Conclusion</w:t>
            </w:r>
            <w:r>
              <w:rPr>
                <w:noProof/>
                <w:webHidden/>
              </w:rPr>
              <w:tab/>
            </w:r>
            <w:r>
              <w:rPr>
                <w:noProof/>
                <w:webHidden/>
              </w:rPr>
              <w:fldChar w:fldCharType="begin"/>
            </w:r>
            <w:r>
              <w:rPr>
                <w:noProof/>
                <w:webHidden/>
              </w:rPr>
              <w:instrText xml:space="preserve"> PAGEREF _Toc230613026 \h </w:instrText>
            </w:r>
            <w:r>
              <w:rPr>
                <w:noProof/>
                <w:webHidden/>
              </w:rPr>
            </w:r>
            <w:r>
              <w:rPr>
                <w:noProof/>
                <w:webHidden/>
              </w:rPr>
              <w:fldChar w:fldCharType="separate"/>
            </w:r>
            <w:r>
              <w:rPr>
                <w:noProof/>
                <w:webHidden/>
              </w:rPr>
              <w:t>8</w:t>
            </w:r>
            <w:r>
              <w:rPr>
                <w:noProof/>
                <w:webHidden/>
              </w:rPr>
              <w:fldChar w:fldCharType="end"/>
            </w:r>
          </w:hyperlink>
        </w:p>
        <w:p w14:paraId="2F281930" w14:textId="77777777" w:rsidR="00757D29" w:rsidRDefault="00757D29">
          <w:pPr>
            <w:pStyle w:val="Obsah1"/>
            <w:tabs>
              <w:tab w:val="right" w:leader="dot" w:pos="9016"/>
            </w:tabs>
            <w:rPr>
              <w:rFonts w:asciiTheme="minorHAnsi" w:eastAsiaTheme="minorEastAsia" w:hAnsiTheme="minorHAnsi" w:cstheme="minorBidi"/>
              <w:noProof/>
              <w:sz w:val="22"/>
              <w:szCs w:val="22"/>
            </w:rPr>
          </w:pPr>
          <w:hyperlink w:anchor="_Toc230613027" w:history="1">
            <w:r w:rsidRPr="004B71C2">
              <w:rPr>
                <w:rStyle w:val="Hypertextovodkaz"/>
                <w:noProof/>
              </w:rPr>
              <w:t>References</w:t>
            </w:r>
            <w:r>
              <w:rPr>
                <w:noProof/>
                <w:webHidden/>
              </w:rPr>
              <w:tab/>
            </w:r>
            <w:r>
              <w:rPr>
                <w:noProof/>
                <w:webHidden/>
              </w:rPr>
              <w:fldChar w:fldCharType="begin"/>
            </w:r>
            <w:r>
              <w:rPr>
                <w:noProof/>
                <w:webHidden/>
              </w:rPr>
              <w:instrText xml:space="preserve"> PAGEREF _Toc230613027 \h </w:instrText>
            </w:r>
            <w:r>
              <w:rPr>
                <w:noProof/>
                <w:webHidden/>
              </w:rPr>
            </w:r>
            <w:r>
              <w:rPr>
                <w:noProof/>
                <w:webHidden/>
              </w:rPr>
              <w:fldChar w:fldCharType="separate"/>
            </w:r>
            <w:r>
              <w:rPr>
                <w:noProof/>
                <w:webHidden/>
              </w:rPr>
              <w:t>9</w:t>
            </w:r>
            <w:r>
              <w:rPr>
                <w:noProof/>
                <w:webHidden/>
              </w:rPr>
              <w:fldChar w:fldCharType="end"/>
            </w:r>
          </w:hyperlink>
        </w:p>
        <w:p w14:paraId="305B0441" w14:textId="77777777" w:rsidR="000E2331" w:rsidRPr="003F68A6" w:rsidRDefault="000E2331" w:rsidP="003F68A6">
          <w:pPr>
            <w:spacing w:line="360" w:lineRule="auto"/>
            <w:jc w:val="both"/>
            <w:rPr>
              <w:rFonts w:ascii="Arial" w:hAnsi="Arial" w:cs="Arial"/>
              <w:color w:val="000000" w:themeColor="text1"/>
              <w:sz w:val="22"/>
              <w:szCs w:val="22"/>
            </w:rPr>
          </w:pPr>
          <w:r w:rsidRPr="003F68A6">
            <w:rPr>
              <w:rFonts w:ascii="Arial" w:hAnsi="Arial" w:cs="Arial"/>
              <w:b/>
              <w:bCs/>
              <w:noProof/>
              <w:color w:val="000000" w:themeColor="text1"/>
              <w:sz w:val="22"/>
              <w:szCs w:val="22"/>
            </w:rPr>
            <w:fldChar w:fldCharType="end"/>
          </w:r>
        </w:p>
      </w:sdtContent>
    </w:sdt>
    <w:p w14:paraId="2EBF05D6" w14:textId="77777777" w:rsidR="000E2331" w:rsidRPr="003F68A6" w:rsidRDefault="000E2331" w:rsidP="003F68A6">
      <w:pPr>
        <w:spacing w:line="360" w:lineRule="auto"/>
        <w:jc w:val="both"/>
        <w:rPr>
          <w:rFonts w:ascii="Arial" w:hAnsi="Arial" w:cs="Arial"/>
          <w:b/>
          <w:color w:val="000000" w:themeColor="text1"/>
          <w:sz w:val="22"/>
          <w:szCs w:val="22"/>
        </w:rPr>
      </w:pPr>
    </w:p>
    <w:p w14:paraId="714F9C82" w14:textId="77777777" w:rsidR="000E2331" w:rsidRPr="003F68A6" w:rsidRDefault="000E2331" w:rsidP="003F68A6">
      <w:pPr>
        <w:spacing w:line="360" w:lineRule="auto"/>
        <w:jc w:val="both"/>
        <w:rPr>
          <w:rFonts w:ascii="Arial" w:hAnsi="Arial" w:cs="Arial"/>
          <w:b/>
          <w:color w:val="000000" w:themeColor="text1"/>
          <w:sz w:val="22"/>
          <w:szCs w:val="22"/>
        </w:rPr>
      </w:pPr>
    </w:p>
    <w:p w14:paraId="16342928" w14:textId="77777777" w:rsidR="000E2331" w:rsidRPr="003F68A6" w:rsidRDefault="000E2331" w:rsidP="003F68A6">
      <w:pPr>
        <w:spacing w:line="360" w:lineRule="auto"/>
        <w:jc w:val="both"/>
        <w:rPr>
          <w:rFonts w:ascii="Arial" w:hAnsi="Arial" w:cs="Arial"/>
          <w:b/>
          <w:color w:val="000000" w:themeColor="text1"/>
          <w:sz w:val="22"/>
          <w:szCs w:val="22"/>
        </w:rPr>
      </w:pPr>
    </w:p>
    <w:p w14:paraId="6A1B95A8" w14:textId="77777777" w:rsidR="000E2331" w:rsidRPr="003F68A6" w:rsidRDefault="000E2331" w:rsidP="003F68A6">
      <w:pPr>
        <w:spacing w:line="360" w:lineRule="auto"/>
        <w:jc w:val="both"/>
        <w:rPr>
          <w:rFonts w:ascii="Arial" w:hAnsi="Arial" w:cs="Arial"/>
          <w:b/>
          <w:color w:val="000000" w:themeColor="text1"/>
          <w:sz w:val="22"/>
          <w:szCs w:val="22"/>
        </w:rPr>
      </w:pPr>
    </w:p>
    <w:p w14:paraId="3F493BBA" w14:textId="77777777" w:rsidR="000E2331" w:rsidRPr="003F68A6" w:rsidRDefault="000E2331" w:rsidP="003F68A6">
      <w:pPr>
        <w:spacing w:line="360" w:lineRule="auto"/>
        <w:jc w:val="both"/>
        <w:rPr>
          <w:rFonts w:ascii="Arial" w:hAnsi="Arial" w:cs="Arial"/>
          <w:b/>
          <w:color w:val="000000" w:themeColor="text1"/>
          <w:sz w:val="22"/>
          <w:szCs w:val="22"/>
        </w:rPr>
      </w:pPr>
    </w:p>
    <w:p w14:paraId="77852569" w14:textId="77777777" w:rsidR="000E2331" w:rsidRPr="003F68A6" w:rsidRDefault="000E2331" w:rsidP="003F68A6">
      <w:pPr>
        <w:spacing w:line="360" w:lineRule="auto"/>
        <w:jc w:val="both"/>
        <w:rPr>
          <w:rFonts w:ascii="Arial" w:hAnsi="Arial" w:cs="Arial"/>
          <w:b/>
          <w:color w:val="000000" w:themeColor="text1"/>
          <w:sz w:val="22"/>
          <w:szCs w:val="22"/>
        </w:rPr>
      </w:pPr>
    </w:p>
    <w:p w14:paraId="49F91AFD" w14:textId="77777777" w:rsidR="000E2331" w:rsidRPr="003F68A6" w:rsidRDefault="000E2331" w:rsidP="003F68A6">
      <w:pPr>
        <w:spacing w:line="360" w:lineRule="auto"/>
        <w:jc w:val="both"/>
        <w:rPr>
          <w:rFonts w:ascii="Arial" w:hAnsi="Arial" w:cs="Arial"/>
          <w:b/>
          <w:color w:val="000000" w:themeColor="text1"/>
          <w:sz w:val="22"/>
          <w:szCs w:val="22"/>
        </w:rPr>
      </w:pPr>
    </w:p>
    <w:p w14:paraId="748D40B0" w14:textId="77777777" w:rsidR="000E2331" w:rsidRPr="003F68A6" w:rsidRDefault="000E2331" w:rsidP="003F68A6">
      <w:pPr>
        <w:spacing w:line="360" w:lineRule="auto"/>
        <w:jc w:val="both"/>
        <w:rPr>
          <w:rFonts w:ascii="Arial" w:hAnsi="Arial" w:cs="Arial"/>
          <w:b/>
          <w:color w:val="000000" w:themeColor="text1"/>
          <w:sz w:val="22"/>
          <w:szCs w:val="22"/>
        </w:rPr>
      </w:pPr>
    </w:p>
    <w:p w14:paraId="69F7858A" w14:textId="77777777" w:rsidR="000E2331" w:rsidRPr="003F68A6" w:rsidRDefault="000E2331" w:rsidP="003F68A6">
      <w:pPr>
        <w:spacing w:line="360" w:lineRule="auto"/>
        <w:jc w:val="both"/>
        <w:rPr>
          <w:rFonts w:ascii="Arial" w:hAnsi="Arial" w:cs="Arial"/>
          <w:b/>
          <w:color w:val="000000" w:themeColor="text1"/>
          <w:sz w:val="22"/>
          <w:szCs w:val="22"/>
        </w:rPr>
      </w:pPr>
    </w:p>
    <w:p w14:paraId="57CAE4A9" w14:textId="77777777" w:rsidR="000E2331" w:rsidRPr="003F68A6" w:rsidRDefault="000E2331" w:rsidP="003F68A6">
      <w:pPr>
        <w:spacing w:line="360" w:lineRule="auto"/>
        <w:jc w:val="both"/>
        <w:rPr>
          <w:rFonts w:ascii="Arial" w:hAnsi="Arial" w:cs="Arial"/>
          <w:b/>
          <w:color w:val="000000" w:themeColor="text1"/>
          <w:sz w:val="22"/>
          <w:szCs w:val="22"/>
        </w:rPr>
      </w:pPr>
    </w:p>
    <w:p w14:paraId="1DB305F5" w14:textId="77777777" w:rsidR="000E2331" w:rsidRPr="003F68A6" w:rsidRDefault="000E2331" w:rsidP="003F68A6">
      <w:pPr>
        <w:spacing w:line="360" w:lineRule="auto"/>
        <w:jc w:val="both"/>
        <w:rPr>
          <w:rFonts w:ascii="Arial" w:hAnsi="Arial" w:cs="Arial"/>
          <w:b/>
          <w:color w:val="000000" w:themeColor="text1"/>
          <w:sz w:val="22"/>
          <w:szCs w:val="22"/>
        </w:rPr>
      </w:pPr>
    </w:p>
    <w:p w14:paraId="77F84451" w14:textId="77777777" w:rsidR="000E2331" w:rsidRPr="003F68A6" w:rsidRDefault="000E2331" w:rsidP="003F68A6">
      <w:pPr>
        <w:spacing w:line="360" w:lineRule="auto"/>
        <w:jc w:val="both"/>
        <w:rPr>
          <w:rFonts w:ascii="Arial" w:hAnsi="Arial" w:cs="Arial"/>
          <w:b/>
          <w:color w:val="000000" w:themeColor="text1"/>
          <w:sz w:val="22"/>
          <w:szCs w:val="22"/>
        </w:rPr>
      </w:pPr>
    </w:p>
    <w:p w14:paraId="0A61E019" w14:textId="77777777" w:rsidR="000E2331" w:rsidRPr="003F68A6" w:rsidRDefault="000E2331" w:rsidP="003F68A6">
      <w:pPr>
        <w:spacing w:line="360" w:lineRule="auto"/>
        <w:jc w:val="both"/>
        <w:rPr>
          <w:rFonts w:ascii="Arial" w:hAnsi="Arial" w:cs="Arial"/>
          <w:color w:val="000000" w:themeColor="text1"/>
          <w:sz w:val="22"/>
          <w:szCs w:val="22"/>
        </w:rPr>
      </w:pPr>
    </w:p>
    <w:p w14:paraId="67DEDE8B" w14:textId="77777777" w:rsidR="000E2331" w:rsidRPr="003F68A6" w:rsidRDefault="000E2331" w:rsidP="003F68A6">
      <w:pPr>
        <w:spacing w:line="360" w:lineRule="auto"/>
        <w:jc w:val="both"/>
        <w:rPr>
          <w:rFonts w:ascii="Arial" w:hAnsi="Arial" w:cs="Arial"/>
          <w:b/>
          <w:color w:val="000000" w:themeColor="text1"/>
          <w:sz w:val="22"/>
          <w:szCs w:val="22"/>
        </w:rPr>
      </w:pPr>
    </w:p>
    <w:p w14:paraId="6C0C74ED" w14:textId="77777777" w:rsidR="000E2331" w:rsidRPr="003F68A6" w:rsidRDefault="000E2331" w:rsidP="003F68A6">
      <w:pPr>
        <w:spacing w:line="360" w:lineRule="auto"/>
        <w:jc w:val="both"/>
        <w:rPr>
          <w:rFonts w:ascii="Arial" w:hAnsi="Arial" w:cs="Arial"/>
          <w:b/>
          <w:color w:val="000000" w:themeColor="text1"/>
          <w:sz w:val="22"/>
          <w:szCs w:val="22"/>
        </w:rPr>
      </w:pPr>
    </w:p>
    <w:p w14:paraId="34EEA0A9" w14:textId="77777777" w:rsidR="00C20393" w:rsidRPr="003F68A6" w:rsidRDefault="00C20393" w:rsidP="003F68A6">
      <w:pPr>
        <w:spacing w:line="360" w:lineRule="auto"/>
        <w:jc w:val="both"/>
        <w:rPr>
          <w:rFonts w:ascii="Arial" w:hAnsi="Arial" w:cs="Arial"/>
          <w:b/>
          <w:color w:val="000000" w:themeColor="text1"/>
          <w:sz w:val="22"/>
          <w:szCs w:val="22"/>
        </w:rPr>
      </w:pPr>
    </w:p>
    <w:p w14:paraId="419630E9" w14:textId="77777777" w:rsidR="00C20393" w:rsidRPr="003F68A6" w:rsidRDefault="00C20393" w:rsidP="003F68A6">
      <w:pPr>
        <w:spacing w:line="360" w:lineRule="auto"/>
        <w:jc w:val="both"/>
        <w:rPr>
          <w:rFonts w:ascii="Arial" w:hAnsi="Arial" w:cs="Arial"/>
          <w:b/>
          <w:color w:val="000000" w:themeColor="text1"/>
          <w:sz w:val="22"/>
          <w:szCs w:val="22"/>
        </w:rPr>
      </w:pPr>
    </w:p>
    <w:p w14:paraId="39DF395B" w14:textId="77777777" w:rsidR="00C20393" w:rsidRPr="003F68A6" w:rsidRDefault="00C20393" w:rsidP="003F68A6">
      <w:pPr>
        <w:spacing w:line="360" w:lineRule="auto"/>
        <w:jc w:val="both"/>
        <w:rPr>
          <w:rFonts w:ascii="Arial" w:hAnsi="Arial" w:cs="Arial"/>
          <w:b/>
          <w:color w:val="000000" w:themeColor="text1"/>
          <w:sz w:val="22"/>
          <w:szCs w:val="22"/>
        </w:rPr>
      </w:pPr>
    </w:p>
    <w:p w14:paraId="43A82250" w14:textId="77777777" w:rsidR="00C20393" w:rsidRPr="003F68A6" w:rsidRDefault="00C20393" w:rsidP="003F68A6">
      <w:pPr>
        <w:spacing w:line="360" w:lineRule="auto"/>
        <w:jc w:val="both"/>
        <w:rPr>
          <w:rFonts w:ascii="Arial" w:hAnsi="Arial" w:cs="Arial"/>
          <w:b/>
          <w:color w:val="000000" w:themeColor="text1"/>
          <w:sz w:val="22"/>
          <w:szCs w:val="22"/>
        </w:rPr>
      </w:pPr>
    </w:p>
    <w:p w14:paraId="24393121" w14:textId="77777777" w:rsidR="003F68A6" w:rsidRDefault="003F68A6" w:rsidP="003F68A6">
      <w:pPr>
        <w:spacing w:line="360" w:lineRule="auto"/>
        <w:jc w:val="both"/>
        <w:rPr>
          <w:rFonts w:ascii="Arial" w:hAnsi="Arial" w:cs="Arial"/>
          <w:sz w:val="22"/>
          <w:szCs w:val="22"/>
        </w:rPr>
      </w:pPr>
    </w:p>
    <w:p w14:paraId="411E7F34" w14:textId="77777777" w:rsidR="004D04FA" w:rsidRPr="003F68A6" w:rsidRDefault="004D04FA" w:rsidP="003F68A6">
      <w:pPr>
        <w:spacing w:line="360" w:lineRule="auto"/>
        <w:jc w:val="both"/>
        <w:rPr>
          <w:rFonts w:ascii="Arial" w:hAnsi="Arial" w:cs="Arial"/>
          <w:sz w:val="22"/>
          <w:szCs w:val="22"/>
        </w:rPr>
      </w:pPr>
    </w:p>
    <w:p w14:paraId="4A02BAEB" w14:textId="77777777" w:rsidR="003F68A6" w:rsidRPr="003F68A6" w:rsidRDefault="003F68A6" w:rsidP="003F68A6">
      <w:pPr>
        <w:spacing w:line="360" w:lineRule="auto"/>
        <w:jc w:val="both"/>
        <w:rPr>
          <w:rFonts w:ascii="Arial" w:hAnsi="Arial" w:cs="Arial"/>
          <w:sz w:val="22"/>
          <w:szCs w:val="22"/>
        </w:rPr>
      </w:pPr>
    </w:p>
    <w:p w14:paraId="65C998B8" w14:textId="77777777" w:rsidR="003F68A6" w:rsidRPr="003F68A6" w:rsidRDefault="003F68A6" w:rsidP="003F68A6">
      <w:pPr>
        <w:spacing w:line="360" w:lineRule="auto"/>
        <w:jc w:val="both"/>
        <w:rPr>
          <w:rFonts w:ascii="Arial" w:hAnsi="Arial" w:cs="Arial"/>
          <w:sz w:val="22"/>
          <w:szCs w:val="22"/>
        </w:rPr>
      </w:pPr>
    </w:p>
    <w:p w14:paraId="01F4B266" w14:textId="77777777" w:rsidR="003F68A6" w:rsidRPr="003F68A6" w:rsidRDefault="003F68A6" w:rsidP="003F68A6">
      <w:pPr>
        <w:spacing w:line="360" w:lineRule="auto"/>
        <w:jc w:val="both"/>
        <w:rPr>
          <w:rFonts w:ascii="Arial" w:hAnsi="Arial" w:cs="Arial"/>
          <w:sz w:val="22"/>
          <w:szCs w:val="22"/>
        </w:rPr>
      </w:pPr>
    </w:p>
    <w:p w14:paraId="236CA795" w14:textId="77777777" w:rsidR="00D56A0E" w:rsidRPr="004D04FA" w:rsidRDefault="00D56A0E" w:rsidP="00156EEE">
      <w:pPr>
        <w:pStyle w:val="Nadpis1"/>
      </w:pPr>
      <w:bookmarkStart w:id="0" w:name="_Toc230613019"/>
      <w:r w:rsidRPr="004D04FA">
        <w:t>I</w:t>
      </w:r>
      <w:r w:rsidR="00C20393" w:rsidRPr="004D04FA">
        <w:t>ntroduction</w:t>
      </w:r>
      <w:bookmarkEnd w:id="0"/>
    </w:p>
    <w:p w14:paraId="1A65BF46" w14:textId="77777777" w:rsidR="00D56A0E" w:rsidRPr="003F68A6" w:rsidRDefault="00D56A0E" w:rsidP="003F68A6">
      <w:pPr>
        <w:spacing w:line="360" w:lineRule="auto"/>
        <w:ind w:firstLine="576"/>
        <w:jc w:val="both"/>
        <w:rPr>
          <w:rFonts w:ascii="Arial" w:hAnsi="Arial" w:cs="Arial"/>
          <w:color w:val="000000" w:themeColor="text1"/>
          <w:sz w:val="22"/>
          <w:szCs w:val="22"/>
          <w:lang w:val="en-IN"/>
        </w:rPr>
      </w:pPr>
      <w:r w:rsidRPr="003F68A6">
        <w:rPr>
          <w:rFonts w:ascii="Arial" w:hAnsi="Arial" w:cs="Arial"/>
          <w:color w:val="000000" w:themeColor="text1"/>
          <w:sz w:val="22"/>
          <w:szCs w:val="22"/>
        </w:rPr>
        <w:t xml:space="preserve">The key ideas of the modern health and social care practice are </w:t>
      </w:r>
      <w:r w:rsidRPr="003F68A6">
        <w:rPr>
          <w:rFonts w:ascii="Arial" w:hAnsi="Arial" w:cs="Arial"/>
          <w:b/>
          <w:color w:val="000000" w:themeColor="text1"/>
          <w:sz w:val="22"/>
          <w:szCs w:val="22"/>
        </w:rPr>
        <w:t>person-centred care (PCC)</w:t>
      </w:r>
      <w:r w:rsidRPr="003F68A6">
        <w:rPr>
          <w:rFonts w:ascii="Arial" w:hAnsi="Arial" w:cs="Arial"/>
          <w:color w:val="000000" w:themeColor="text1"/>
          <w:sz w:val="22"/>
          <w:szCs w:val="22"/>
        </w:rPr>
        <w:t xml:space="preserve"> and </w:t>
      </w:r>
      <w:r w:rsidRPr="003F68A6">
        <w:rPr>
          <w:rFonts w:ascii="Arial" w:hAnsi="Arial" w:cs="Arial"/>
          <w:b/>
          <w:color w:val="000000" w:themeColor="text1"/>
          <w:sz w:val="22"/>
          <w:szCs w:val="22"/>
        </w:rPr>
        <w:t>partnership working (PW)</w:t>
      </w:r>
      <w:r w:rsidRPr="003F68A6">
        <w:rPr>
          <w:rFonts w:ascii="Arial" w:hAnsi="Arial" w:cs="Arial"/>
          <w:color w:val="000000" w:themeColor="text1"/>
          <w:sz w:val="22"/>
          <w:szCs w:val="22"/>
        </w:rPr>
        <w:t xml:space="preserve"> as they represent the national agenda to enhance the quality, safety, and empowerment of individuals</w:t>
      </w:r>
      <w:r w:rsidR="00403816">
        <w:rPr>
          <w:rFonts w:ascii="Arial" w:hAnsi="Arial" w:cs="Arial"/>
          <w:color w:val="000000" w:themeColor="text1"/>
          <w:sz w:val="22"/>
          <w:szCs w:val="22"/>
        </w:rPr>
        <w:t xml:space="preserve"> </w:t>
      </w:r>
      <w:r w:rsidR="00AC05AF" w:rsidRPr="00AC05AF">
        <w:rPr>
          <w:rFonts w:ascii="Arial" w:hAnsi="Arial" w:cs="Arial"/>
          <w:color w:val="FF0000"/>
          <w:sz w:val="22"/>
          <w:szCs w:val="22"/>
        </w:rPr>
        <w:t>Since they are the representations of the national agenda, but in practicality, the implementation is normally hampered by resource constrain</w:t>
      </w:r>
      <w:r w:rsidR="00AC05AF">
        <w:rPr>
          <w:rFonts w:ascii="Arial" w:hAnsi="Arial" w:cs="Arial"/>
          <w:color w:val="FF0000"/>
          <w:sz w:val="22"/>
          <w:szCs w:val="22"/>
        </w:rPr>
        <w:t xml:space="preserve">ts, and organisational barriers </w:t>
      </w:r>
      <w:r w:rsidR="00403816" w:rsidRPr="00403816">
        <w:rPr>
          <w:rFonts w:ascii="Arial" w:hAnsi="Arial" w:cs="Arial"/>
          <w:color w:val="FF0000"/>
          <w:sz w:val="22"/>
          <w:szCs w:val="22"/>
        </w:rPr>
        <w:t>(Moore et al., 2021)</w:t>
      </w:r>
      <w:r w:rsidRPr="00403816">
        <w:rPr>
          <w:rFonts w:ascii="Arial" w:hAnsi="Arial" w:cs="Arial"/>
          <w:b/>
          <w:color w:val="FF0000"/>
          <w:sz w:val="22"/>
          <w:szCs w:val="22"/>
        </w:rPr>
        <w:t>.</w:t>
      </w:r>
      <w:r w:rsidRPr="003F68A6">
        <w:rPr>
          <w:rFonts w:ascii="Arial" w:hAnsi="Arial" w:cs="Arial"/>
          <w:color w:val="000000" w:themeColor="text1"/>
          <w:sz w:val="22"/>
          <w:szCs w:val="22"/>
        </w:rPr>
        <w:t xml:space="preserve"> PCC also focuses on the role of people as active contributors to their care, who appreciate their preferences, past experiences, and autonomy. Instead of using a standardised method, PCC aims to personalise the support by meeting the needs of a person individually and providing them with dignity, respect, and mutual decision-making</w:t>
      </w:r>
      <w:r w:rsidR="008E1425" w:rsidRPr="003F68A6">
        <w:rPr>
          <w:rFonts w:ascii="Arial" w:hAnsi="Arial" w:cs="Arial"/>
          <w:color w:val="000000" w:themeColor="text1"/>
          <w:sz w:val="22"/>
          <w:szCs w:val="22"/>
        </w:rPr>
        <w:t xml:space="preserve"> </w:t>
      </w:r>
      <w:r w:rsidRPr="003F68A6">
        <w:rPr>
          <w:rFonts w:ascii="Arial" w:hAnsi="Arial" w:cs="Arial"/>
          <w:color w:val="000000" w:themeColor="text1"/>
          <w:sz w:val="22"/>
          <w:szCs w:val="22"/>
        </w:rPr>
        <w:t xml:space="preserve">Simultaneously, PW advises the multidisciplinary professionals, organisations, individuals, families, and communities to work together in providing integrated and coordinated care. These combined strategies can deal with increasing complexity of health and social requirements of the UK population, as more people are getting older and more chronically ill, and more are facing varying social </w:t>
      </w:r>
      <w:r w:rsidR="00C20393" w:rsidRPr="003F68A6">
        <w:rPr>
          <w:rFonts w:ascii="Arial" w:hAnsi="Arial" w:cs="Arial"/>
          <w:color w:val="000000" w:themeColor="text1"/>
          <w:sz w:val="22"/>
          <w:szCs w:val="22"/>
        </w:rPr>
        <w:t>conditions. The</w:t>
      </w:r>
      <w:r w:rsidRPr="003F68A6">
        <w:rPr>
          <w:rFonts w:ascii="Arial" w:hAnsi="Arial" w:cs="Arial"/>
          <w:color w:val="000000" w:themeColor="text1"/>
          <w:sz w:val="22"/>
          <w:szCs w:val="22"/>
        </w:rPr>
        <w:t xml:space="preserve"> requirement of integrated care systems and personalised care, which form part of the UK policy frameworks, such as the </w:t>
      </w:r>
      <w:r w:rsidRPr="003F68A6">
        <w:rPr>
          <w:rFonts w:ascii="Arial" w:hAnsi="Arial" w:cs="Arial"/>
          <w:b/>
          <w:color w:val="000000" w:themeColor="text1"/>
          <w:sz w:val="22"/>
          <w:szCs w:val="22"/>
        </w:rPr>
        <w:t>NHS Long Term Plan</w:t>
      </w:r>
      <w:r w:rsidRPr="003F68A6">
        <w:rPr>
          <w:rFonts w:ascii="Arial" w:hAnsi="Arial" w:cs="Arial"/>
          <w:color w:val="000000" w:themeColor="text1"/>
          <w:sz w:val="22"/>
          <w:szCs w:val="22"/>
        </w:rPr>
        <w:t xml:space="preserve"> and the </w:t>
      </w:r>
      <w:r w:rsidRPr="003F68A6">
        <w:rPr>
          <w:rFonts w:ascii="Arial" w:hAnsi="Arial" w:cs="Arial"/>
          <w:b/>
          <w:color w:val="000000" w:themeColor="text1"/>
          <w:sz w:val="22"/>
          <w:szCs w:val="22"/>
        </w:rPr>
        <w:t>Care Act 2014</w:t>
      </w:r>
      <w:r w:rsidRPr="003F68A6">
        <w:rPr>
          <w:rFonts w:ascii="Arial" w:hAnsi="Arial" w:cs="Arial"/>
          <w:color w:val="000000" w:themeColor="text1"/>
          <w:sz w:val="22"/>
          <w:szCs w:val="22"/>
        </w:rPr>
        <w:t>, make PCC and PW central to high-quality service delivery. Nevertheless, though both principles have a strong positive side, they are characterized by difficulties in their application because of the lack of resources, communication issues, and the ethical considerations. This report is a critical analysis of the theory of PCC, ethical underpinnings, analysis of PW, and discussion of PCC in a practical care environment. It ends by determining major policies and giving recommendations on the future.</w:t>
      </w:r>
    </w:p>
    <w:p w14:paraId="4C679720" w14:textId="77777777" w:rsidR="00D56A0E" w:rsidRPr="003F68A6" w:rsidRDefault="000E2331" w:rsidP="00156EEE">
      <w:pPr>
        <w:pStyle w:val="Nadpis1"/>
      </w:pPr>
      <w:bookmarkStart w:id="1" w:name="_Toc230613020"/>
      <w:r w:rsidRPr="003F68A6">
        <w:t>Person-Centred In T</w:t>
      </w:r>
      <w:r w:rsidR="00D56A0E" w:rsidRPr="003F68A6">
        <w:t>heory</w:t>
      </w:r>
      <w:bookmarkEnd w:id="1"/>
      <w:r w:rsidR="00D56A0E" w:rsidRPr="003F68A6">
        <w:t xml:space="preserve"> </w:t>
      </w:r>
    </w:p>
    <w:p w14:paraId="3D1D9765" w14:textId="77777777" w:rsidR="00D56A0E" w:rsidRPr="003F68A6" w:rsidRDefault="00D56A0E" w:rsidP="003F68A6">
      <w:pPr>
        <w:spacing w:line="360" w:lineRule="auto"/>
        <w:ind w:firstLine="576"/>
        <w:jc w:val="both"/>
        <w:rPr>
          <w:rFonts w:ascii="Arial" w:hAnsi="Arial" w:cs="Arial"/>
          <w:color w:val="000000" w:themeColor="text1"/>
          <w:sz w:val="22"/>
          <w:szCs w:val="22"/>
          <w:lang w:val="en-IN"/>
        </w:rPr>
      </w:pPr>
      <w:r w:rsidRPr="00403816">
        <w:rPr>
          <w:rFonts w:ascii="Arial" w:hAnsi="Arial" w:cs="Arial"/>
          <w:color w:val="000000" w:themeColor="text1"/>
          <w:sz w:val="22"/>
          <w:szCs w:val="22"/>
        </w:rPr>
        <w:t>The Person-Centred Theory formulated by Carl Rogers offers one of the most significant pillars of person-centred care (PCC), which focuses on the role of empathy, unconditional positive regard, and authenticity in helping relationships.</w:t>
      </w:r>
      <w:r w:rsidR="00403816">
        <w:rPr>
          <w:rFonts w:ascii="Arial" w:hAnsi="Arial" w:cs="Arial"/>
          <w:color w:val="000000" w:themeColor="text1"/>
          <w:sz w:val="22"/>
          <w:szCs w:val="22"/>
        </w:rPr>
        <w:t xml:space="preserve"> </w:t>
      </w:r>
      <w:r w:rsidR="00403816" w:rsidRPr="00403816">
        <w:rPr>
          <w:rFonts w:ascii="Arial" w:hAnsi="Arial" w:cs="Arial"/>
          <w:color w:val="FF0000"/>
          <w:sz w:val="22"/>
          <w:szCs w:val="22"/>
        </w:rPr>
        <w:t xml:space="preserve">Person-Centred Nursing Framework, published by McCormack and </w:t>
      </w:r>
      <w:proofErr w:type="spellStart"/>
      <w:r w:rsidR="00403816" w:rsidRPr="00403816">
        <w:rPr>
          <w:rFonts w:ascii="Arial" w:hAnsi="Arial" w:cs="Arial"/>
          <w:color w:val="FF0000"/>
          <w:sz w:val="22"/>
          <w:szCs w:val="22"/>
        </w:rPr>
        <w:t>McCance</w:t>
      </w:r>
      <w:proofErr w:type="spellEnd"/>
      <w:r w:rsidR="00403816" w:rsidRPr="00403816">
        <w:rPr>
          <w:rFonts w:ascii="Arial" w:hAnsi="Arial" w:cs="Arial"/>
          <w:color w:val="FF0000"/>
          <w:sz w:val="22"/>
          <w:szCs w:val="22"/>
        </w:rPr>
        <w:t xml:space="preserve"> along with Rogers, offers a more applicable framework of practice, context, and outcomes and can be implemented within clinical settings (McCormack and </w:t>
      </w:r>
      <w:proofErr w:type="spellStart"/>
      <w:r w:rsidR="00403816" w:rsidRPr="00403816">
        <w:rPr>
          <w:rFonts w:ascii="Arial" w:hAnsi="Arial" w:cs="Arial"/>
          <w:color w:val="FF0000"/>
          <w:sz w:val="22"/>
          <w:szCs w:val="22"/>
        </w:rPr>
        <w:t>McCance</w:t>
      </w:r>
      <w:proofErr w:type="spellEnd"/>
      <w:r w:rsidR="00403816" w:rsidRPr="00403816">
        <w:rPr>
          <w:rFonts w:ascii="Arial" w:hAnsi="Arial" w:cs="Arial"/>
          <w:color w:val="FF0000"/>
          <w:sz w:val="22"/>
          <w:szCs w:val="22"/>
        </w:rPr>
        <w:t>, 2025).</w:t>
      </w:r>
      <w:r w:rsidR="00403816">
        <w:rPr>
          <w:rFonts w:ascii="Arial" w:hAnsi="Arial" w:cs="Arial"/>
          <w:color w:val="FF0000"/>
          <w:sz w:val="22"/>
          <w:szCs w:val="22"/>
        </w:rPr>
        <w:t xml:space="preserve"> </w:t>
      </w:r>
      <w:r w:rsidR="00403816" w:rsidRPr="00403816">
        <w:rPr>
          <w:rFonts w:ascii="Arial" w:hAnsi="Arial" w:cs="Arial"/>
          <w:color w:val="FF0000"/>
          <w:sz w:val="22"/>
          <w:szCs w:val="22"/>
        </w:rPr>
        <w:t>Nevertheless, these models presuppose that patients are able to clearly express their needs, which is not always possible when impaired in cognition or in a state of acute distress, which underlines problems with real-life implementation.</w:t>
      </w:r>
      <w:r w:rsidRPr="00403816">
        <w:rPr>
          <w:rFonts w:ascii="Arial" w:hAnsi="Arial" w:cs="Arial"/>
          <w:color w:val="FF0000"/>
          <w:sz w:val="22"/>
          <w:szCs w:val="22"/>
        </w:rPr>
        <w:t xml:space="preserve"> </w:t>
      </w:r>
      <w:r w:rsidRPr="003F68A6">
        <w:rPr>
          <w:rFonts w:ascii="Arial" w:hAnsi="Arial" w:cs="Arial"/>
          <w:color w:val="000000" w:themeColor="text1"/>
          <w:sz w:val="22"/>
          <w:szCs w:val="22"/>
        </w:rPr>
        <w:t>Rogers insists that people have a natural potential to develop and self-determine under the condition of helping them feel safe and respected within a particular environment. These principles are directly transferable to contemporary PCC, in which practitioners seek to learn the lived experience of each individual, meet people without judgement, and form trusting and collaborative relationships where they shar</w:t>
      </w:r>
      <w:r w:rsidR="000E2331" w:rsidRPr="003F68A6">
        <w:rPr>
          <w:rFonts w:ascii="Arial" w:hAnsi="Arial" w:cs="Arial"/>
          <w:color w:val="000000" w:themeColor="text1"/>
          <w:sz w:val="22"/>
          <w:szCs w:val="22"/>
        </w:rPr>
        <w:t xml:space="preserve">e the decision-making </w:t>
      </w:r>
      <w:r w:rsidR="00C615ED" w:rsidRPr="003F68A6">
        <w:rPr>
          <w:rFonts w:ascii="Arial" w:hAnsi="Arial" w:cs="Arial"/>
          <w:color w:val="000000" w:themeColor="text1"/>
          <w:sz w:val="22"/>
          <w:szCs w:val="22"/>
        </w:rPr>
        <w:t>exercise</w:t>
      </w:r>
      <w:r w:rsidR="00C615ED" w:rsidRPr="003F68A6">
        <w:rPr>
          <w:rFonts w:ascii="Arial" w:hAnsi="Arial" w:cs="Arial"/>
          <w:color w:val="000000" w:themeColor="text1"/>
          <w:sz w:val="22"/>
          <w:szCs w:val="22"/>
          <w:lang w:val="en-IN"/>
        </w:rPr>
        <w:t xml:space="preserve"> (</w:t>
      </w:r>
      <w:proofErr w:type="spellStart"/>
      <w:r w:rsidR="00C615ED" w:rsidRPr="003F68A6">
        <w:rPr>
          <w:rFonts w:ascii="Arial" w:hAnsi="Arial" w:cs="Arial"/>
          <w:color w:val="000000" w:themeColor="text1"/>
          <w:sz w:val="22"/>
          <w:szCs w:val="22"/>
          <w:lang w:val="en-IN"/>
        </w:rPr>
        <w:t>Pilnick</w:t>
      </w:r>
      <w:proofErr w:type="spellEnd"/>
      <w:r w:rsidR="00C615ED" w:rsidRPr="003F68A6">
        <w:rPr>
          <w:rFonts w:ascii="Arial" w:hAnsi="Arial" w:cs="Arial"/>
          <w:color w:val="000000" w:themeColor="text1"/>
          <w:sz w:val="22"/>
          <w:szCs w:val="22"/>
          <w:lang w:val="en-IN"/>
        </w:rPr>
        <w:t>, 2022)</w:t>
      </w:r>
      <w:r w:rsidR="000E2331" w:rsidRPr="003F68A6">
        <w:rPr>
          <w:rFonts w:ascii="Arial" w:hAnsi="Arial" w:cs="Arial"/>
          <w:color w:val="000000" w:themeColor="text1"/>
          <w:sz w:val="22"/>
          <w:szCs w:val="22"/>
        </w:rPr>
        <w:t>.</w:t>
      </w:r>
    </w:p>
    <w:p w14:paraId="3345BF54" w14:textId="77777777" w:rsidR="00814343" w:rsidRPr="003F68A6" w:rsidRDefault="00D56A0E" w:rsidP="003F68A6">
      <w:pPr>
        <w:spacing w:line="360" w:lineRule="auto"/>
        <w:ind w:firstLine="720"/>
        <w:jc w:val="both"/>
        <w:rPr>
          <w:rFonts w:ascii="Arial" w:hAnsi="Arial" w:cs="Arial"/>
          <w:color w:val="000000" w:themeColor="text1"/>
          <w:sz w:val="22"/>
          <w:szCs w:val="22"/>
        </w:rPr>
      </w:pPr>
      <w:r w:rsidRPr="003F68A6">
        <w:rPr>
          <w:rFonts w:ascii="Arial" w:hAnsi="Arial" w:cs="Arial"/>
          <w:color w:val="000000" w:themeColor="text1"/>
          <w:sz w:val="22"/>
          <w:szCs w:val="22"/>
        </w:rPr>
        <w:t>The advantages of the Rogers theory are reflected in the fact that it is correlated with the holistic and caring care. The interest in the subjective experience of the individual justifies the interventions which are customized and are especially helpful when dealing with mental health, dementia, and long-term conditions. The empathetic focus helps practitioners to appreciate personal definitions, cultural affiliations, and emotional requirements which otherwise would be neglected in task-focused care. Moreover, the unconditional positive regard supports the anti-discriminatory practice and encourages respect regardless of background and behaviour.</w:t>
      </w:r>
      <w:r w:rsidR="00B322AA" w:rsidRPr="003F68A6">
        <w:rPr>
          <w:rFonts w:ascii="Arial" w:hAnsi="Arial" w:cs="Arial"/>
          <w:color w:val="000000" w:themeColor="text1"/>
          <w:sz w:val="22"/>
          <w:szCs w:val="22"/>
        </w:rPr>
        <w:t xml:space="preserve"> </w:t>
      </w:r>
      <w:r w:rsidRPr="003F68A6">
        <w:rPr>
          <w:rFonts w:ascii="Arial" w:hAnsi="Arial" w:cs="Arial"/>
          <w:color w:val="000000" w:themeColor="text1"/>
          <w:sz w:val="22"/>
          <w:szCs w:val="22"/>
        </w:rPr>
        <w:t>Nevertheless, the theory also has its shortcomings when it is used in the modern health and social care contexts. The model created by Rogers presupposes that the needs of the individual can be properly stated, and it is not always possible with persons with communication disorders, severe cognitive disorders, or acute distress. Although autonomy is the key element of the theory, practitioners have to balance self-determination and the responsibilities, as well as clinical risk management, which leads to ethical tensions. Besides, organisational factors, including limited staffing, large caseload, and institutional demands, might diminish the time and place needed to develop the richness of relationship collegiality of the kind championed by Rogers. Regardless of these issues, the theory is still an important conceptual framework that drives PCC practices and professional values throughout the industry.</w:t>
      </w:r>
    </w:p>
    <w:p w14:paraId="15C9D7DA" w14:textId="77777777" w:rsidR="00C20393" w:rsidRPr="003F68A6" w:rsidRDefault="000E2331" w:rsidP="00156EEE">
      <w:pPr>
        <w:pStyle w:val="Nadpis1"/>
      </w:pPr>
      <w:bookmarkStart w:id="2" w:name="_Toc230613021"/>
      <w:r w:rsidRPr="003F68A6">
        <w:t xml:space="preserve">Ethical Basics </w:t>
      </w:r>
      <w:r w:rsidR="000D0948" w:rsidRPr="003F68A6">
        <w:t>in</w:t>
      </w:r>
      <w:r w:rsidRPr="003F68A6">
        <w:t xml:space="preserve"> Health </w:t>
      </w:r>
      <w:r w:rsidR="000D0948" w:rsidRPr="003F68A6">
        <w:t>and</w:t>
      </w:r>
      <w:r w:rsidRPr="003F68A6">
        <w:t xml:space="preserve"> Social C</w:t>
      </w:r>
      <w:r w:rsidR="00814343" w:rsidRPr="003F68A6">
        <w:t>are</w:t>
      </w:r>
      <w:bookmarkEnd w:id="2"/>
      <w:r w:rsidR="00814343" w:rsidRPr="003F68A6">
        <w:t xml:space="preserve"> </w:t>
      </w:r>
    </w:p>
    <w:p w14:paraId="7B6A93F8" w14:textId="77777777" w:rsidR="00814343" w:rsidRPr="003F68A6" w:rsidRDefault="000D0948" w:rsidP="003F68A6">
      <w:pPr>
        <w:spacing w:line="360" w:lineRule="auto"/>
        <w:ind w:firstLine="576"/>
        <w:jc w:val="both"/>
        <w:rPr>
          <w:rFonts w:ascii="Arial" w:hAnsi="Arial" w:cs="Arial"/>
          <w:color w:val="000000" w:themeColor="text1"/>
          <w:sz w:val="22"/>
          <w:szCs w:val="22"/>
          <w:lang w:val="en-IN"/>
        </w:rPr>
      </w:pPr>
      <w:r w:rsidRPr="003F68A6">
        <w:rPr>
          <w:rFonts w:ascii="Arial" w:hAnsi="Arial" w:cs="Arial"/>
          <w:color w:val="000000" w:themeColor="text1"/>
          <w:sz w:val="22"/>
          <w:szCs w:val="22"/>
        </w:rPr>
        <w:t xml:space="preserve">The person-centred practice is founded on ethical principles that guide the decision making process to ensure the care given is in a fair, respectful and accountable manner. </w:t>
      </w:r>
      <w:r w:rsidRPr="00403816">
        <w:rPr>
          <w:rFonts w:ascii="Arial" w:hAnsi="Arial" w:cs="Arial"/>
          <w:color w:val="000000" w:themeColor="text1"/>
          <w:sz w:val="22"/>
          <w:szCs w:val="22"/>
        </w:rPr>
        <w:t>The ethical concerns that are of importance in the health and social care are autonomy and recognition of the right of each individual to make an informed decision on his or her life and support</w:t>
      </w:r>
      <w:r w:rsidR="00403816">
        <w:rPr>
          <w:rFonts w:ascii="Arial" w:hAnsi="Arial" w:cs="Arial"/>
          <w:color w:val="000000" w:themeColor="text1"/>
          <w:sz w:val="22"/>
          <w:szCs w:val="22"/>
        </w:rPr>
        <w:t xml:space="preserve"> </w:t>
      </w:r>
      <w:r w:rsidR="00403816" w:rsidRPr="00403816">
        <w:rPr>
          <w:rFonts w:ascii="Arial" w:hAnsi="Arial" w:cs="Arial"/>
          <w:color w:val="FF0000"/>
          <w:sz w:val="22"/>
          <w:szCs w:val="22"/>
        </w:rPr>
        <w:t>autonomy and informed decision-making; however, in most cases, the conflict emerges when a decision by service users contradicts the responsibility of protecting duty or the organisational policies (</w:t>
      </w:r>
      <w:proofErr w:type="spellStart"/>
      <w:r w:rsidR="00403816" w:rsidRPr="00403816">
        <w:rPr>
          <w:rFonts w:ascii="Arial" w:hAnsi="Arial" w:cs="Arial"/>
          <w:color w:val="FF0000"/>
          <w:sz w:val="22"/>
          <w:szCs w:val="22"/>
        </w:rPr>
        <w:t>Hertzberg</w:t>
      </w:r>
      <w:proofErr w:type="spellEnd"/>
      <w:r w:rsidR="00403816" w:rsidRPr="00403816">
        <w:rPr>
          <w:rFonts w:ascii="Arial" w:hAnsi="Arial" w:cs="Arial"/>
          <w:color w:val="FF0000"/>
          <w:sz w:val="22"/>
          <w:szCs w:val="22"/>
        </w:rPr>
        <w:t xml:space="preserve">, Kari and </w:t>
      </w:r>
      <w:proofErr w:type="spellStart"/>
      <w:r w:rsidR="00403816" w:rsidRPr="00403816">
        <w:rPr>
          <w:rFonts w:ascii="Arial" w:hAnsi="Arial" w:cs="Arial"/>
          <w:color w:val="FF0000"/>
          <w:sz w:val="22"/>
          <w:szCs w:val="22"/>
        </w:rPr>
        <w:t>Magelssen</w:t>
      </w:r>
      <w:proofErr w:type="spellEnd"/>
      <w:r w:rsidR="00403816" w:rsidRPr="00403816">
        <w:rPr>
          <w:rFonts w:ascii="Arial" w:hAnsi="Arial" w:cs="Arial"/>
          <w:color w:val="FF0000"/>
          <w:sz w:val="22"/>
          <w:szCs w:val="22"/>
        </w:rPr>
        <w:t>, 2023)</w:t>
      </w:r>
      <w:r w:rsidRPr="00403816">
        <w:rPr>
          <w:rFonts w:ascii="Arial" w:hAnsi="Arial" w:cs="Arial"/>
          <w:color w:val="FF0000"/>
          <w:sz w:val="22"/>
          <w:szCs w:val="22"/>
        </w:rPr>
        <w:t>.</w:t>
      </w:r>
      <w:r w:rsidR="00814343" w:rsidRPr="00403816">
        <w:rPr>
          <w:rFonts w:ascii="Arial" w:hAnsi="Arial" w:cs="Arial"/>
          <w:color w:val="FF0000"/>
          <w:sz w:val="22"/>
          <w:szCs w:val="22"/>
        </w:rPr>
        <w:t xml:space="preserve"> </w:t>
      </w:r>
      <w:r w:rsidR="00814343" w:rsidRPr="003F68A6">
        <w:rPr>
          <w:rFonts w:ascii="Arial" w:hAnsi="Arial" w:cs="Arial"/>
          <w:color w:val="000000" w:themeColor="text1"/>
          <w:sz w:val="22"/>
          <w:szCs w:val="22"/>
        </w:rPr>
        <w:t xml:space="preserve">In PCC, autonomy is not limited on the consent, but it mandates the practitioners to present available information, encourage interpretation, and </w:t>
      </w:r>
      <w:r w:rsidR="008E1425" w:rsidRPr="003F68A6">
        <w:rPr>
          <w:rFonts w:ascii="Arial" w:hAnsi="Arial" w:cs="Arial"/>
          <w:color w:val="000000" w:themeColor="text1"/>
          <w:sz w:val="22"/>
          <w:szCs w:val="22"/>
        </w:rPr>
        <w:t>honour</w:t>
      </w:r>
      <w:r w:rsidR="00814343" w:rsidRPr="003F68A6">
        <w:rPr>
          <w:rFonts w:ascii="Arial" w:hAnsi="Arial" w:cs="Arial"/>
          <w:color w:val="000000" w:themeColor="text1"/>
          <w:sz w:val="22"/>
          <w:szCs w:val="22"/>
        </w:rPr>
        <w:t xml:space="preserve"> culturally informed preferences. Thi</w:t>
      </w:r>
      <w:r w:rsidR="00B335BB" w:rsidRPr="003F68A6">
        <w:rPr>
          <w:rFonts w:ascii="Arial" w:hAnsi="Arial" w:cs="Arial"/>
          <w:color w:val="000000" w:themeColor="text1"/>
          <w:sz w:val="22"/>
          <w:szCs w:val="22"/>
        </w:rPr>
        <w:t>s enhances personal empowerment</w:t>
      </w:r>
      <w:r w:rsidR="00B335BB" w:rsidRPr="003F68A6">
        <w:rPr>
          <w:rFonts w:ascii="Arial" w:hAnsi="Arial" w:cs="Arial"/>
          <w:sz w:val="22"/>
          <w:szCs w:val="22"/>
          <w:lang w:val="en-IN" w:eastAsia="en-IN"/>
        </w:rPr>
        <w:t xml:space="preserve"> </w:t>
      </w:r>
      <w:r w:rsidR="00B335BB" w:rsidRPr="003F68A6">
        <w:rPr>
          <w:rFonts w:ascii="Arial" w:hAnsi="Arial" w:cs="Arial"/>
          <w:color w:val="000000" w:themeColor="text1"/>
          <w:sz w:val="22"/>
          <w:szCs w:val="22"/>
          <w:lang w:val="en-IN"/>
        </w:rPr>
        <w:t>(</w:t>
      </w:r>
      <w:proofErr w:type="spellStart"/>
      <w:r w:rsidR="00B335BB" w:rsidRPr="003F68A6">
        <w:rPr>
          <w:rFonts w:ascii="Arial" w:hAnsi="Arial" w:cs="Arial"/>
          <w:color w:val="000000" w:themeColor="text1"/>
          <w:sz w:val="22"/>
          <w:szCs w:val="22"/>
          <w:lang w:val="en-IN"/>
        </w:rPr>
        <w:t>Moriña</w:t>
      </w:r>
      <w:proofErr w:type="spellEnd"/>
      <w:r w:rsidR="00B335BB" w:rsidRPr="003F68A6">
        <w:rPr>
          <w:rFonts w:ascii="Arial" w:hAnsi="Arial" w:cs="Arial"/>
          <w:color w:val="000000" w:themeColor="text1"/>
          <w:sz w:val="22"/>
          <w:szCs w:val="22"/>
          <w:lang w:val="en-IN"/>
        </w:rPr>
        <w:t>, 2020).</w:t>
      </w:r>
      <w:r w:rsidR="00403816">
        <w:rPr>
          <w:rFonts w:ascii="Arial" w:hAnsi="Arial" w:cs="Arial"/>
          <w:color w:val="000000" w:themeColor="text1"/>
          <w:sz w:val="22"/>
          <w:szCs w:val="22"/>
          <w:lang w:val="en-IN"/>
        </w:rPr>
        <w:t xml:space="preserve"> </w:t>
      </w:r>
      <w:r w:rsidR="00403816" w:rsidRPr="00403816">
        <w:rPr>
          <w:rFonts w:ascii="Arial" w:hAnsi="Arial" w:cs="Arial"/>
          <w:color w:val="FF0000"/>
          <w:sz w:val="22"/>
          <w:szCs w:val="22"/>
          <w:lang w:val="en-IN"/>
        </w:rPr>
        <w:t>An example of this case is a patient who declines medication due to chronic illness that poses an ethical dilemma that must be dealt with through negotiation and shared decision-making.</w:t>
      </w:r>
    </w:p>
    <w:p w14:paraId="42BB7FC3" w14:textId="77777777" w:rsidR="00814343" w:rsidRPr="003F68A6" w:rsidRDefault="000D0948" w:rsidP="003F68A6">
      <w:pPr>
        <w:spacing w:line="360" w:lineRule="auto"/>
        <w:ind w:firstLine="720"/>
        <w:jc w:val="both"/>
        <w:rPr>
          <w:rFonts w:ascii="Arial" w:hAnsi="Arial" w:cs="Arial"/>
          <w:color w:val="000000" w:themeColor="text1"/>
          <w:sz w:val="22"/>
          <w:szCs w:val="22"/>
          <w:lang w:val="en-IN"/>
        </w:rPr>
      </w:pPr>
      <w:r w:rsidRPr="003F68A6">
        <w:rPr>
          <w:rFonts w:ascii="Arial" w:hAnsi="Arial" w:cs="Arial"/>
          <w:color w:val="000000" w:themeColor="text1"/>
          <w:sz w:val="22"/>
          <w:szCs w:val="22"/>
        </w:rPr>
        <w:t>This can also be applied to beneficence and non-maleficence, in which the practitioners will be required to offer their acts in the best interest of the person without engaging in acts that can cause harm.</w:t>
      </w:r>
      <w:r w:rsidR="00814343" w:rsidRPr="003F68A6">
        <w:rPr>
          <w:rFonts w:ascii="Arial" w:hAnsi="Arial" w:cs="Arial"/>
          <w:color w:val="000000" w:themeColor="text1"/>
          <w:sz w:val="22"/>
          <w:szCs w:val="22"/>
        </w:rPr>
        <w:t xml:space="preserve"> PCC realizes these principles through ensuring that the interventions that are promoted are not only clinically appropriate but also meaningful and acceptable to the individual. Nonetheless, ethical issues usually arise when service users communicate decisions that are incompatible with safety measures or professional beliefs. The practitioners are then faced with the challenge of balancing between autonomy an</w:t>
      </w:r>
      <w:r w:rsidR="00883A2A" w:rsidRPr="003F68A6">
        <w:rPr>
          <w:rFonts w:ascii="Arial" w:hAnsi="Arial" w:cs="Arial"/>
          <w:color w:val="000000" w:themeColor="text1"/>
          <w:sz w:val="22"/>
          <w:szCs w:val="22"/>
        </w:rPr>
        <w:t xml:space="preserve">d safeguarding duties </w:t>
      </w:r>
      <w:r w:rsidR="00C615ED" w:rsidRPr="003F68A6">
        <w:rPr>
          <w:rFonts w:ascii="Arial" w:hAnsi="Arial" w:cs="Arial"/>
          <w:color w:val="000000" w:themeColor="text1"/>
          <w:sz w:val="22"/>
          <w:szCs w:val="22"/>
          <w:lang w:val="en-IN"/>
        </w:rPr>
        <w:t>(Masterson et al., 2022).</w:t>
      </w:r>
      <w:r w:rsidR="00C20393" w:rsidRPr="003F68A6">
        <w:rPr>
          <w:rFonts w:ascii="Arial" w:hAnsi="Arial" w:cs="Arial"/>
          <w:color w:val="000000" w:themeColor="text1"/>
          <w:sz w:val="22"/>
          <w:szCs w:val="22"/>
        </w:rPr>
        <w:t xml:space="preserve"> J</w:t>
      </w:r>
      <w:r w:rsidR="00814343" w:rsidRPr="003F68A6">
        <w:rPr>
          <w:rFonts w:ascii="Arial" w:hAnsi="Arial" w:cs="Arial"/>
          <w:color w:val="000000" w:themeColor="text1"/>
          <w:sz w:val="22"/>
          <w:szCs w:val="22"/>
        </w:rPr>
        <w:t>ustice is the moral imperative to fairly treat everyone and even enable equal access to care. PCC promotes justice by encouraging individualised solutions that can meet variations of social, cultural and economic conditions. However, across the board inequalities, including differences in local funding, staffing, and hindrances to marginalised groups, can res</w:t>
      </w:r>
      <w:r w:rsidR="008E1425" w:rsidRPr="003F68A6">
        <w:rPr>
          <w:rFonts w:ascii="Arial" w:hAnsi="Arial" w:cs="Arial"/>
          <w:color w:val="000000" w:themeColor="text1"/>
          <w:sz w:val="22"/>
          <w:szCs w:val="22"/>
        </w:rPr>
        <w:t>train uniform ethical pract</w:t>
      </w:r>
      <w:r w:rsidR="00B335BB" w:rsidRPr="003F68A6">
        <w:rPr>
          <w:rFonts w:ascii="Arial" w:hAnsi="Arial" w:cs="Arial"/>
          <w:color w:val="000000" w:themeColor="text1"/>
          <w:sz w:val="22"/>
          <w:szCs w:val="22"/>
        </w:rPr>
        <w:t>ice</w:t>
      </w:r>
      <w:r w:rsidR="00B335BB" w:rsidRPr="003F68A6">
        <w:rPr>
          <w:rFonts w:ascii="Arial" w:hAnsi="Arial" w:cs="Arial"/>
          <w:sz w:val="22"/>
          <w:szCs w:val="22"/>
          <w:lang w:val="en-IN" w:eastAsia="en-IN"/>
        </w:rPr>
        <w:t xml:space="preserve"> </w:t>
      </w:r>
      <w:r w:rsidR="00B335BB" w:rsidRPr="003F68A6">
        <w:rPr>
          <w:rFonts w:ascii="Arial" w:hAnsi="Arial" w:cs="Arial"/>
          <w:color w:val="000000" w:themeColor="text1"/>
          <w:sz w:val="22"/>
          <w:szCs w:val="22"/>
          <w:lang w:val="en-IN"/>
        </w:rPr>
        <w:t>(</w:t>
      </w:r>
      <w:proofErr w:type="spellStart"/>
      <w:r w:rsidR="00B335BB" w:rsidRPr="003F68A6">
        <w:rPr>
          <w:rFonts w:ascii="Arial" w:hAnsi="Arial" w:cs="Arial"/>
          <w:color w:val="000000" w:themeColor="text1"/>
          <w:sz w:val="22"/>
          <w:szCs w:val="22"/>
          <w:lang w:val="en-IN"/>
        </w:rPr>
        <w:t>Liwanag</w:t>
      </w:r>
      <w:proofErr w:type="spellEnd"/>
      <w:r w:rsidR="00B335BB" w:rsidRPr="003F68A6">
        <w:rPr>
          <w:rFonts w:ascii="Arial" w:hAnsi="Arial" w:cs="Arial"/>
          <w:color w:val="000000" w:themeColor="text1"/>
          <w:sz w:val="22"/>
          <w:szCs w:val="22"/>
          <w:lang w:val="en-IN"/>
        </w:rPr>
        <w:t xml:space="preserve">, James and </w:t>
      </w:r>
      <w:proofErr w:type="spellStart"/>
      <w:r w:rsidR="00B335BB" w:rsidRPr="003F68A6">
        <w:rPr>
          <w:rFonts w:ascii="Arial" w:hAnsi="Arial" w:cs="Arial"/>
          <w:color w:val="000000" w:themeColor="text1"/>
          <w:sz w:val="22"/>
          <w:szCs w:val="22"/>
          <w:lang w:val="en-IN"/>
        </w:rPr>
        <w:t>Frahsa</w:t>
      </w:r>
      <w:proofErr w:type="spellEnd"/>
      <w:r w:rsidR="00B335BB" w:rsidRPr="003F68A6">
        <w:rPr>
          <w:rFonts w:ascii="Arial" w:hAnsi="Arial" w:cs="Arial"/>
          <w:color w:val="000000" w:themeColor="text1"/>
          <w:sz w:val="22"/>
          <w:szCs w:val="22"/>
          <w:lang w:val="en-IN"/>
        </w:rPr>
        <w:t>, 2023).</w:t>
      </w:r>
    </w:p>
    <w:p w14:paraId="2E21409F" w14:textId="77777777" w:rsidR="00C3515F" w:rsidRPr="003F68A6" w:rsidRDefault="00814343" w:rsidP="003F68A6">
      <w:pPr>
        <w:spacing w:line="360" w:lineRule="auto"/>
        <w:ind w:firstLine="720"/>
        <w:jc w:val="both"/>
        <w:rPr>
          <w:rFonts w:ascii="Arial" w:hAnsi="Arial" w:cs="Arial"/>
          <w:color w:val="000000" w:themeColor="text1"/>
          <w:sz w:val="22"/>
          <w:szCs w:val="22"/>
        </w:rPr>
      </w:pPr>
      <w:r w:rsidRPr="003F68A6">
        <w:rPr>
          <w:rFonts w:ascii="Arial" w:hAnsi="Arial" w:cs="Arial"/>
          <w:color w:val="000000" w:themeColor="text1"/>
          <w:sz w:val="22"/>
          <w:szCs w:val="22"/>
        </w:rPr>
        <w:t>There are also fundamental ethical requirements of confidentiality and privacy. With integrated and partnership-based settings, practitioners should exercise great caution when sharing information to avoid infringing privacy and offer safe care that is coordinated. Altogether, ethical principles can guarantee responsible practice of PCC, individual right protection, and promote high levels of professionalism.</w:t>
      </w:r>
    </w:p>
    <w:p w14:paraId="4CB8D300" w14:textId="77777777" w:rsidR="00C3515F" w:rsidRPr="003F68A6" w:rsidRDefault="00C3515F" w:rsidP="00156EEE">
      <w:pPr>
        <w:pStyle w:val="Nadpis1"/>
      </w:pPr>
      <w:bookmarkStart w:id="3" w:name="_Toc230613022"/>
      <w:r w:rsidRPr="003F68A6">
        <w:t xml:space="preserve">Partnership Working </w:t>
      </w:r>
      <w:r w:rsidR="00C20393" w:rsidRPr="003F68A6">
        <w:t>Evaluation</w:t>
      </w:r>
      <w:bookmarkEnd w:id="3"/>
    </w:p>
    <w:p w14:paraId="69838C87" w14:textId="77777777" w:rsidR="00C3515F" w:rsidRPr="003F68A6" w:rsidRDefault="00C3515F" w:rsidP="003F68A6">
      <w:pPr>
        <w:spacing w:line="360" w:lineRule="auto"/>
        <w:ind w:firstLine="576"/>
        <w:jc w:val="both"/>
        <w:rPr>
          <w:rFonts w:ascii="Arial" w:hAnsi="Arial" w:cs="Arial"/>
          <w:color w:val="000000" w:themeColor="text1"/>
          <w:sz w:val="22"/>
          <w:szCs w:val="22"/>
          <w:lang w:val="en-IN"/>
        </w:rPr>
      </w:pPr>
      <w:r w:rsidRPr="003F68A6">
        <w:rPr>
          <w:rFonts w:ascii="Arial" w:hAnsi="Arial" w:cs="Arial"/>
          <w:color w:val="000000" w:themeColor="text1"/>
          <w:sz w:val="22"/>
          <w:szCs w:val="22"/>
        </w:rPr>
        <w:t>Partnership working (PW) can be described as the integrated and effective coordination of professionals, agencies, service users and informal carers aimed at delivering integrated care. It is indicative of the realisation that the multidimensional health and social requirements cannot be addressed by one organisation or discipline. PW demands the existence of common objectives, clear communication, respect to each other, and a common commitment to produce holistic support</w:t>
      </w:r>
      <w:r w:rsidRPr="00403816">
        <w:rPr>
          <w:rFonts w:ascii="Arial" w:hAnsi="Arial" w:cs="Arial"/>
          <w:color w:val="000000" w:themeColor="text1"/>
          <w:sz w:val="22"/>
          <w:szCs w:val="22"/>
        </w:rPr>
        <w:t>. PW, when appropriately adopted, improves the quality and continuity of care, decreases fragmentation of service, and improves coordinated responses especially with individuals having chron</w:t>
      </w:r>
      <w:r w:rsidR="00B335BB" w:rsidRPr="00403816">
        <w:rPr>
          <w:rFonts w:ascii="Arial" w:hAnsi="Arial" w:cs="Arial"/>
          <w:color w:val="000000" w:themeColor="text1"/>
          <w:sz w:val="22"/>
          <w:szCs w:val="22"/>
        </w:rPr>
        <w:t>ic, complex, or multiple needs</w:t>
      </w:r>
      <w:r w:rsidR="00B335BB" w:rsidRPr="00403816">
        <w:rPr>
          <w:rFonts w:ascii="Arial" w:hAnsi="Arial" w:cs="Arial"/>
          <w:sz w:val="22"/>
          <w:szCs w:val="22"/>
          <w:lang w:val="en-IN" w:eastAsia="en-IN"/>
        </w:rPr>
        <w:t xml:space="preserve"> </w:t>
      </w:r>
      <w:r w:rsidR="00B335BB" w:rsidRPr="00403816">
        <w:rPr>
          <w:rFonts w:ascii="Arial" w:hAnsi="Arial" w:cs="Arial"/>
          <w:color w:val="000000" w:themeColor="text1"/>
          <w:sz w:val="22"/>
          <w:szCs w:val="22"/>
          <w:lang w:val="en-IN"/>
        </w:rPr>
        <w:t xml:space="preserve">(Durand, </w:t>
      </w:r>
      <w:proofErr w:type="spellStart"/>
      <w:r w:rsidR="00B335BB" w:rsidRPr="00403816">
        <w:rPr>
          <w:rFonts w:ascii="Arial" w:hAnsi="Arial" w:cs="Arial"/>
          <w:color w:val="000000" w:themeColor="text1"/>
          <w:sz w:val="22"/>
          <w:szCs w:val="22"/>
          <w:lang w:val="en-IN"/>
        </w:rPr>
        <w:t>Wistow</w:t>
      </w:r>
      <w:proofErr w:type="spellEnd"/>
      <w:r w:rsidR="00B335BB" w:rsidRPr="00403816">
        <w:rPr>
          <w:rFonts w:ascii="Arial" w:hAnsi="Arial" w:cs="Arial"/>
          <w:color w:val="000000" w:themeColor="text1"/>
          <w:sz w:val="22"/>
          <w:szCs w:val="22"/>
          <w:lang w:val="en-IN"/>
        </w:rPr>
        <w:t xml:space="preserve"> and Mays, 2025).</w:t>
      </w:r>
      <w:r w:rsidR="00403816">
        <w:rPr>
          <w:rFonts w:ascii="Arial" w:hAnsi="Arial" w:cs="Arial"/>
          <w:color w:val="000000" w:themeColor="text1"/>
          <w:sz w:val="22"/>
          <w:szCs w:val="22"/>
          <w:lang w:val="en-IN"/>
        </w:rPr>
        <w:t xml:space="preserve"> </w:t>
      </w:r>
      <w:r w:rsidR="00403816" w:rsidRPr="00403816">
        <w:rPr>
          <w:rFonts w:ascii="Arial" w:hAnsi="Arial" w:cs="Arial"/>
          <w:color w:val="FF0000"/>
          <w:sz w:val="22"/>
          <w:szCs w:val="22"/>
          <w:lang w:val="en-IN"/>
        </w:rPr>
        <w:t xml:space="preserve">Nevertheless, the lack of effectiveness can be caused by the imbalances of professional power, dissimilar organisational priorities, and the uneven communication, which proves the necessity of the robust leadership and collaboration (Baștea, </w:t>
      </w:r>
      <w:proofErr w:type="spellStart"/>
      <w:r w:rsidR="00403816" w:rsidRPr="00403816">
        <w:rPr>
          <w:rFonts w:ascii="Arial" w:hAnsi="Arial" w:cs="Arial"/>
          <w:color w:val="FF0000"/>
          <w:sz w:val="22"/>
          <w:szCs w:val="22"/>
          <w:lang w:val="en-IN"/>
        </w:rPr>
        <w:t>Catalano</w:t>
      </w:r>
      <w:proofErr w:type="spellEnd"/>
      <w:r w:rsidR="00403816" w:rsidRPr="00403816">
        <w:rPr>
          <w:rFonts w:ascii="Arial" w:hAnsi="Arial" w:cs="Arial"/>
          <w:color w:val="FF0000"/>
          <w:sz w:val="22"/>
          <w:szCs w:val="22"/>
          <w:lang w:val="en-IN"/>
        </w:rPr>
        <w:t xml:space="preserve"> and </w:t>
      </w:r>
      <w:proofErr w:type="spellStart"/>
      <w:r w:rsidR="00403816" w:rsidRPr="00403816">
        <w:rPr>
          <w:rFonts w:ascii="Arial" w:hAnsi="Arial" w:cs="Arial"/>
          <w:color w:val="FF0000"/>
          <w:sz w:val="22"/>
          <w:szCs w:val="22"/>
          <w:lang w:val="en-IN"/>
        </w:rPr>
        <w:t>Dohotaru</w:t>
      </w:r>
      <w:proofErr w:type="spellEnd"/>
      <w:r w:rsidR="00403816" w:rsidRPr="00403816">
        <w:rPr>
          <w:rFonts w:ascii="Arial" w:hAnsi="Arial" w:cs="Arial"/>
          <w:color w:val="FF0000"/>
          <w:sz w:val="22"/>
          <w:szCs w:val="22"/>
          <w:lang w:val="en-IN"/>
        </w:rPr>
        <w:t>, 2023).</w:t>
      </w:r>
      <w:r w:rsidR="000D0948" w:rsidRPr="003F68A6">
        <w:rPr>
          <w:rFonts w:ascii="Arial" w:hAnsi="Arial" w:cs="Arial"/>
          <w:color w:val="000000" w:themeColor="text1"/>
          <w:sz w:val="22"/>
          <w:szCs w:val="22"/>
        </w:rPr>
        <w:t xml:space="preserve">PW is very beneficial in health and social care environment. Jurisdiction between the agencies can provide more comprehensive assessment, as the different expertise can collaborate, and the duplication of efforts and facilitation of the transition between the services will reduce. PW establishes a perception of security, empowerment and expanded care planning to service users. It also </w:t>
      </w:r>
      <w:r w:rsidRPr="003F68A6">
        <w:rPr>
          <w:rFonts w:ascii="Arial" w:hAnsi="Arial" w:cs="Arial"/>
          <w:color w:val="000000" w:themeColor="text1"/>
          <w:sz w:val="22"/>
          <w:szCs w:val="22"/>
        </w:rPr>
        <w:t>promotes shared learning, innovation, and better professional relationships within the workforce that enhances more efficient and responsive services.</w:t>
      </w:r>
      <w:r w:rsidR="00C20393" w:rsidRPr="003F68A6">
        <w:rPr>
          <w:rFonts w:ascii="Arial" w:hAnsi="Arial" w:cs="Arial"/>
          <w:color w:val="000000" w:themeColor="text1"/>
          <w:sz w:val="22"/>
          <w:szCs w:val="22"/>
        </w:rPr>
        <w:t xml:space="preserve"> </w:t>
      </w:r>
      <w:r w:rsidRPr="003F68A6">
        <w:rPr>
          <w:rFonts w:ascii="Arial" w:hAnsi="Arial" w:cs="Arial"/>
          <w:color w:val="000000" w:themeColor="text1"/>
          <w:sz w:val="22"/>
          <w:szCs w:val="22"/>
        </w:rPr>
        <w:t>In</w:t>
      </w:r>
      <w:r w:rsidR="00C20393" w:rsidRPr="003F68A6">
        <w:rPr>
          <w:rFonts w:ascii="Arial" w:hAnsi="Arial" w:cs="Arial"/>
          <w:color w:val="000000" w:themeColor="text1"/>
          <w:sz w:val="22"/>
          <w:szCs w:val="22"/>
        </w:rPr>
        <w:t xml:space="preserve"> </w:t>
      </w:r>
      <w:r w:rsidRPr="003F68A6">
        <w:rPr>
          <w:rFonts w:ascii="Arial" w:hAnsi="Arial" w:cs="Arial"/>
          <w:color w:val="000000" w:themeColor="text1"/>
          <w:sz w:val="22"/>
          <w:szCs w:val="22"/>
        </w:rPr>
        <w:t>as</w:t>
      </w:r>
      <w:r w:rsidR="00C20393" w:rsidRPr="003F68A6">
        <w:rPr>
          <w:rFonts w:ascii="Arial" w:hAnsi="Arial" w:cs="Arial"/>
          <w:color w:val="000000" w:themeColor="text1"/>
          <w:sz w:val="22"/>
          <w:szCs w:val="22"/>
        </w:rPr>
        <w:t xml:space="preserve"> </w:t>
      </w:r>
      <w:r w:rsidRPr="003F68A6">
        <w:rPr>
          <w:rFonts w:ascii="Arial" w:hAnsi="Arial" w:cs="Arial"/>
          <w:color w:val="000000" w:themeColor="text1"/>
          <w:sz w:val="22"/>
          <w:szCs w:val="22"/>
        </w:rPr>
        <w:t xml:space="preserve">much as these benefits exist, there are practical and organisational challenges associated with PW. The lack of mutual understanding or power inequality may occur due to the dissimilarity in professional cultures, priorities, and terminologies, which will cause ineffective collaboration. Lack of information sharing- due to the inability of the systems to interact or a need of secrecy or a slow response time- may result in clinical care gaps. Lack of time and growing cases workloads minimise the chances of team meetings or joint decision-making. Also, structural limitations like inequitable financing, absence of collective leadership and inconsistency of policy execution may limit the performance of PW. These issues indicate that though PW is critical in contemporary care, it needs effective leadership, commitment to team building, and enabling organisational frameworks </w:t>
      </w:r>
      <w:r w:rsidR="00C615ED" w:rsidRPr="003F68A6">
        <w:rPr>
          <w:rFonts w:ascii="Arial" w:hAnsi="Arial" w:cs="Arial"/>
          <w:color w:val="000000" w:themeColor="text1"/>
          <w:sz w:val="22"/>
          <w:szCs w:val="22"/>
        </w:rPr>
        <w:t>to be sustainable and efficient</w:t>
      </w:r>
      <w:r w:rsidR="00C615ED" w:rsidRPr="003F68A6">
        <w:rPr>
          <w:rFonts w:ascii="Arial" w:hAnsi="Arial" w:cs="Arial"/>
          <w:sz w:val="22"/>
          <w:szCs w:val="22"/>
          <w:lang w:val="en-IN" w:eastAsia="en-IN"/>
        </w:rPr>
        <w:t xml:space="preserve"> </w:t>
      </w:r>
      <w:r w:rsidR="00C615ED" w:rsidRPr="003F68A6">
        <w:rPr>
          <w:rFonts w:ascii="Arial" w:hAnsi="Arial" w:cs="Arial"/>
          <w:color w:val="000000" w:themeColor="text1"/>
          <w:sz w:val="22"/>
          <w:szCs w:val="22"/>
          <w:lang w:val="en-IN"/>
        </w:rPr>
        <w:t>(</w:t>
      </w:r>
      <w:proofErr w:type="spellStart"/>
      <w:r w:rsidR="00C615ED" w:rsidRPr="003F68A6">
        <w:rPr>
          <w:rFonts w:ascii="Arial" w:hAnsi="Arial" w:cs="Arial"/>
          <w:color w:val="000000" w:themeColor="text1"/>
          <w:sz w:val="22"/>
          <w:szCs w:val="22"/>
          <w:lang w:val="en-IN"/>
        </w:rPr>
        <w:t>Fynn</w:t>
      </w:r>
      <w:proofErr w:type="spellEnd"/>
      <w:r w:rsidR="00C615ED" w:rsidRPr="003F68A6">
        <w:rPr>
          <w:rFonts w:ascii="Arial" w:hAnsi="Arial" w:cs="Arial"/>
          <w:color w:val="000000" w:themeColor="text1"/>
          <w:sz w:val="22"/>
          <w:szCs w:val="22"/>
          <w:lang w:val="en-IN"/>
        </w:rPr>
        <w:t xml:space="preserve"> et al., 2022).</w:t>
      </w:r>
    </w:p>
    <w:p w14:paraId="76B2F599" w14:textId="77777777" w:rsidR="000E2331" w:rsidRPr="003F68A6" w:rsidRDefault="000E2331" w:rsidP="00156EEE">
      <w:pPr>
        <w:pStyle w:val="Nadpis1"/>
      </w:pPr>
      <w:bookmarkStart w:id="4" w:name="_Toc230613023"/>
      <w:r w:rsidRPr="003F68A6">
        <w:t>Partnership Working In Practical Setting</w:t>
      </w:r>
      <w:bookmarkEnd w:id="4"/>
    </w:p>
    <w:p w14:paraId="4A84F7A0" w14:textId="77777777" w:rsidR="00C3515F" w:rsidRPr="003F68A6" w:rsidRDefault="00C3515F" w:rsidP="003F68A6">
      <w:pPr>
        <w:spacing w:line="360" w:lineRule="auto"/>
        <w:ind w:firstLine="576"/>
        <w:jc w:val="both"/>
        <w:rPr>
          <w:rFonts w:ascii="Arial" w:hAnsi="Arial" w:cs="Arial"/>
          <w:color w:val="000000" w:themeColor="text1"/>
          <w:sz w:val="22"/>
          <w:szCs w:val="22"/>
          <w:lang w:val="en-IN"/>
        </w:rPr>
      </w:pPr>
      <w:r w:rsidRPr="00B7604F">
        <w:rPr>
          <w:rFonts w:ascii="Arial" w:hAnsi="Arial" w:cs="Arial"/>
          <w:color w:val="000000" w:themeColor="text1"/>
          <w:sz w:val="22"/>
          <w:szCs w:val="22"/>
        </w:rPr>
        <w:t>Hospital discharge setting provides a vivid illustration of how the partnership working (PW) works in practice and why it is necessary to provide effective person-centred care</w:t>
      </w:r>
      <w:r w:rsidR="00B7604F" w:rsidRPr="00B7604F">
        <w:rPr>
          <w:rFonts w:ascii="Arial" w:hAnsi="Arial" w:cs="Arial"/>
          <w:color w:val="000000" w:themeColor="text1"/>
          <w:sz w:val="22"/>
          <w:szCs w:val="22"/>
        </w:rPr>
        <w:t xml:space="preserve"> </w:t>
      </w:r>
      <w:r w:rsidR="00B7604F" w:rsidRPr="00B7604F">
        <w:rPr>
          <w:rFonts w:ascii="Arial" w:hAnsi="Arial" w:cs="Arial"/>
          <w:color w:val="FF0000"/>
          <w:sz w:val="22"/>
          <w:szCs w:val="22"/>
        </w:rPr>
        <w:t>comprising a multi-agency planning on home adaptations, drug management, and patient education, which provide comprehensive results (Kuntz et al., 2014).</w:t>
      </w:r>
      <w:r w:rsidRPr="00B7604F">
        <w:rPr>
          <w:rFonts w:ascii="Arial" w:hAnsi="Arial" w:cs="Arial"/>
          <w:color w:val="FF0000"/>
          <w:sz w:val="22"/>
          <w:szCs w:val="22"/>
        </w:rPr>
        <w:t xml:space="preserve"> </w:t>
      </w:r>
      <w:r w:rsidR="00B7604F" w:rsidRPr="00B7604F">
        <w:rPr>
          <w:rFonts w:ascii="Arial" w:hAnsi="Arial" w:cs="Arial"/>
          <w:color w:val="FF0000"/>
          <w:sz w:val="22"/>
          <w:szCs w:val="22"/>
        </w:rPr>
        <w:t>However, due to high turnover and unreliable IT solutions, multi-disciplinary coordination is likely to be hi</w:t>
      </w:r>
      <w:r w:rsidR="00B7604F">
        <w:rPr>
          <w:rFonts w:ascii="Arial" w:hAnsi="Arial" w:cs="Arial"/>
          <w:color w:val="FF0000"/>
          <w:sz w:val="22"/>
          <w:szCs w:val="22"/>
        </w:rPr>
        <w:t>ndered (</w:t>
      </w:r>
      <w:proofErr w:type="spellStart"/>
      <w:r w:rsidR="00B7604F">
        <w:rPr>
          <w:rFonts w:ascii="Arial" w:hAnsi="Arial" w:cs="Arial"/>
          <w:color w:val="FF0000"/>
          <w:sz w:val="22"/>
          <w:szCs w:val="22"/>
        </w:rPr>
        <w:t>Pradelli</w:t>
      </w:r>
      <w:proofErr w:type="spellEnd"/>
      <w:r w:rsidR="00B7604F">
        <w:rPr>
          <w:rFonts w:ascii="Arial" w:hAnsi="Arial" w:cs="Arial"/>
          <w:color w:val="FF0000"/>
          <w:sz w:val="22"/>
          <w:szCs w:val="22"/>
        </w:rPr>
        <w:t xml:space="preserve"> et al., 2025). </w:t>
      </w:r>
      <w:r w:rsidRPr="003F68A6">
        <w:rPr>
          <w:rFonts w:ascii="Arial" w:hAnsi="Arial" w:cs="Arial"/>
          <w:color w:val="000000" w:themeColor="text1"/>
          <w:sz w:val="22"/>
          <w:szCs w:val="22"/>
        </w:rPr>
        <w:t>There needs to be involvement of several professionals to make discharge safe, involving nurses, doctors, physiotherapists, occupational therapists, social workers, discharge coordinators, and community or voluntary-sector services. All professionals bring specialised knowledge that could assist in making a holistic evaluation of the health of the individual, their functional capabilities, social environment and support needs of the individual. PW is able to make sure that such varied points of view are combined in a way that will allow a comprehensive approach to the planning of safe transition between hospital and home or o</w:t>
      </w:r>
      <w:r w:rsidR="00B335BB" w:rsidRPr="003F68A6">
        <w:rPr>
          <w:rFonts w:ascii="Arial" w:hAnsi="Arial" w:cs="Arial"/>
          <w:color w:val="000000" w:themeColor="text1"/>
          <w:sz w:val="22"/>
          <w:szCs w:val="22"/>
        </w:rPr>
        <w:t>ther type of caring environment</w:t>
      </w:r>
      <w:r w:rsidR="00B335BB" w:rsidRPr="003F68A6">
        <w:rPr>
          <w:rFonts w:ascii="Arial" w:hAnsi="Arial" w:cs="Arial"/>
          <w:sz w:val="22"/>
          <w:szCs w:val="22"/>
          <w:lang w:val="en-IN" w:eastAsia="en-IN"/>
        </w:rPr>
        <w:t xml:space="preserve"> </w:t>
      </w:r>
      <w:r w:rsidR="00B335BB" w:rsidRPr="003F68A6">
        <w:rPr>
          <w:rFonts w:ascii="Arial" w:hAnsi="Arial" w:cs="Arial"/>
          <w:color w:val="000000" w:themeColor="text1"/>
          <w:sz w:val="22"/>
          <w:szCs w:val="22"/>
          <w:lang w:val="en-IN"/>
        </w:rPr>
        <w:t>(Eaton et al., 2021)</w:t>
      </w:r>
    </w:p>
    <w:p w14:paraId="6A1C9781" w14:textId="77777777" w:rsidR="00C3515F" w:rsidRPr="003F68A6" w:rsidRDefault="00C3515F" w:rsidP="003F68A6">
      <w:pPr>
        <w:spacing w:line="360" w:lineRule="auto"/>
        <w:ind w:firstLine="720"/>
        <w:jc w:val="both"/>
        <w:rPr>
          <w:rFonts w:ascii="Arial" w:hAnsi="Arial" w:cs="Arial"/>
          <w:color w:val="000000" w:themeColor="text1"/>
          <w:sz w:val="22"/>
          <w:szCs w:val="22"/>
        </w:rPr>
      </w:pPr>
      <w:r w:rsidRPr="003F68A6">
        <w:rPr>
          <w:rFonts w:ascii="Arial" w:hAnsi="Arial" w:cs="Arial"/>
          <w:color w:val="000000" w:themeColor="text1"/>
          <w:sz w:val="22"/>
          <w:szCs w:val="22"/>
        </w:rPr>
        <w:t>PW and discharge planning will encourage shortening of delays, avoiding unnecessary readmissions, and continuity of care. Inter-disciplinary negotiations allow the teams to make coordination of treatment plans, find equipment or home modifications, plan community support or include families or those in charge to make decisions. This interdisciplinary method is also similar to person-centred philosophy because the choices, interests, and situations of the individual are the ones that inform the discharge plan.</w:t>
      </w:r>
    </w:p>
    <w:p w14:paraId="65ED1CA8" w14:textId="77777777" w:rsidR="00C20393" w:rsidRPr="003F68A6" w:rsidRDefault="00C3515F" w:rsidP="003F68A6">
      <w:pPr>
        <w:spacing w:line="360" w:lineRule="auto"/>
        <w:ind w:firstLine="720"/>
        <w:jc w:val="both"/>
        <w:rPr>
          <w:rFonts w:ascii="Arial" w:hAnsi="Arial" w:cs="Arial"/>
          <w:color w:val="000000" w:themeColor="text1"/>
          <w:sz w:val="22"/>
          <w:szCs w:val="22"/>
          <w:lang w:val="en-IN"/>
        </w:rPr>
      </w:pPr>
      <w:r w:rsidRPr="003F68A6">
        <w:rPr>
          <w:rFonts w:ascii="Arial" w:hAnsi="Arial" w:cs="Arial"/>
          <w:color w:val="000000" w:themeColor="text1"/>
          <w:sz w:val="22"/>
          <w:szCs w:val="22"/>
        </w:rPr>
        <w:t>Nevertheless, there are major obstacles that may be encountered in partnership in the discharge environment. The staffing pressure and high patient turnover may not provide time to conduct meaningf</w:t>
      </w:r>
      <w:r w:rsidR="00C615ED" w:rsidRPr="003F68A6">
        <w:rPr>
          <w:rFonts w:ascii="Arial" w:hAnsi="Arial" w:cs="Arial"/>
          <w:color w:val="000000" w:themeColor="text1"/>
          <w:sz w:val="22"/>
          <w:szCs w:val="22"/>
        </w:rPr>
        <w:t>ul multi-disciplinary meetings</w:t>
      </w:r>
      <w:r w:rsidR="00C615ED" w:rsidRPr="003F68A6">
        <w:rPr>
          <w:rFonts w:ascii="Arial" w:hAnsi="Arial" w:cs="Arial"/>
          <w:sz w:val="22"/>
          <w:szCs w:val="22"/>
          <w:lang w:val="en-IN" w:eastAsia="en-IN"/>
        </w:rPr>
        <w:t xml:space="preserve"> </w:t>
      </w:r>
      <w:r w:rsidR="00C615ED" w:rsidRPr="003F68A6">
        <w:rPr>
          <w:rFonts w:ascii="Arial" w:hAnsi="Arial" w:cs="Arial"/>
          <w:color w:val="000000" w:themeColor="text1"/>
          <w:sz w:val="22"/>
          <w:szCs w:val="22"/>
          <w:lang w:val="en-IN"/>
        </w:rPr>
        <w:t>(Usc.edu.au, 2025).</w:t>
      </w:r>
      <w:r w:rsidR="00C615ED" w:rsidRPr="003F68A6">
        <w:rPr>
          <w:rFonts w:ascii="Arial" w:hAnsi="Arial" w:cs="Arial"/>
          <w:color w:val="000000" w:themeColor="text1"/>
          <w:sz w:val="22"/>
          <w:szCs w:val="22"/>
        </w:rPr>
        <w:t xml:space="preserve"> </w:t>
      </w:r>
      <w:r w:rsidRPr="003F68A6">
        <w:rPr>
          <w:rFonts w:ascii="Arial" w:hAnsi="Arial" w:cs="Arial"/>
          <w:color w:val="000000" w:themeColor="text1"/>
          <w:sz w:val="22"/>
          <w:szCs w:val="22"/>
        </w:rPr>
        <w:t>The gaps or duplication in assessments may be caused by information-sharing issues, including inconsistent documentation or IT systems incompatibility. The variation in professional priorities can also bring unwanted tension, e.g. clinical teams can have medical preparedness to leave care as a priority, whereas social care teams can have long-term safety and support needs as their priority. Besides, the lack of community services can slow down the discharge even after the rigorous collaboration of teams. These issues show that as much as PW is key to safe discharge, good communication systems, shared leadership, and sufficient resources are required to make the practice regular.</w:t>
      </w:r>
    </w:p>
    <w:p w14:paraId="54714F58" w14:textId="77777777" w:rsidR="00C20393" w:rsidRPr="003F68A6" w:rsidRDefault="00C20393" w:rsidP="00156EEE">
      <w:pPr>
        <w:pStyle w:val="Nadpis1"/>
      </w:pPr>
      <w:bookmarkStart w:id="5" w:name="_Toc230613024"/>
      <w:r w:rsidRPr="003F68A6">
        <w:t>PCC and PW P</w:t>
      </w:r>
      <w:r w:rsidR="000E2331" w:rsidRPr="003F68A6">
        <w:t>olicy and</w:t>
      </w:r>
      <w:r w:rsidRPr="003F68A6">
        <w:t xml:space="preserve"> Legislation Support</w:t>
      </w:r>
      <w:bookmarkEnd w:id="5"/>
    </w:p>
    <w:p w14:paraId="19FDB58B" w14:textId="77777777" w:rsidR="00C20393" w:rsidRPr="003F68A6" w:rsidRDefault="00C20393" w:rsidP="003F68A6">
      <w:pPr>
        <w:spacing w:line="360" w:lineRule="auto"/>
        <w:jc w:val="both"/>
        <w:rPr>
          <w:rFonts w:ascii="Arial" w:hAnsi="Arial" w:cs="Arial"/>
          <w:color w:val="000000" w:themeColor="text1"/>
          <w:sz w:val="22"/>
          <w:szCs w:val="22"/>
        </w:rPr>
      </w:pPr>
      <w:r w:rsidRPr="003F68A6">
        <w:rPr>
          <w:rFonts w:ascii="Arial" w:hAnsi="Arial" w:cs="Arial"/>
          <w:color w:val="000000" w:themeColor="text1"/>
          <w:sz w:val="22"/>
          <w:szCs w:val="22"/>
        </w:rPr>
        <w:t xml:space="preserve">The UK policy and legislation are very favourable to the introduction of person-centred care (PCC) and partnership working (PW), making these two concepts the fundamental expectations of the modern health and social care. </w:t>
      </w:r>
      <w:r w:rsidRPr="00B7604F">
        <w:rPr>
          <w:rFonts w:ascii="Arial" w:hAnsi="Arial" w:cs="Arial"/>
          <w:color w:val="000000" w:themeColor="text1"/>
          <w:sz w:val="22"/>
          <w:szCs w:val="22"/>
        </w:rPr>
        <w:t xml:space="preserve">The Health and Social Care Act 2012 provided a common law foundation to the concept of integrated working </w:t>
      </w:r>
      <w:r w:rsidR="00077CB7" w:rsidRPr="007E493E">
        <w:rPr>
          <w:rFonts w:ascii="Arial" w:hAnsi="Arial" w:cs="Arial"/>
          <w:color w:val="FF0000"/>
          <w:sz w:val="22"/>
          <w:szCs w:val="22"/>
        </w:rPr>
        <w:t xml:space="preserve">introducing a model of communal working, but again, due to regional differences in resources and human resources, implementation will be </w:t>
      </w:r>
      <w:r w:rsidR="007E493E" w:rsidRPr="007E493E">
        <w:rPr>
          <w:rFonts w:ascii="Arial" w:hAnsi="Arial" w:cs="Arial"/>
          <w:color w:val="FF0000"/>
          <w:sz w:val="22"/>
          <w:szCs w:val="22"/>
        </w:rPr>
        <w:t>inhomogeneous</w:t>
      </w:r>
      <w:r w:rsidR="00077CB7" w:rsidRPr="007E493E">
        <w:rPr>
          <w:rFonts w:ascii="Arial" w:hAnsi="Arial" w:cs="Arial"/>
          <w:color w:val="FF0000"/>
          <w:sz w:val="22"/>
          <w:szCs w:val="22"/>
        </w:rPr>
        <w:t xml:space="preserve"> (Moore et al., 2021).</w:t>
      </w:r>
      <w:r w:rsidRPr="007E493E">
        <w:rPr>
          <w:rFonts w:ascii="Arial" w:hAnsi="Arial" w:cs="Arial"/>
          <w:color w:val="FF0000"/>
          <w:sz w:val="22"/>
          <w:szCs w:val="22"/>
        </w:rPr>
        <w:t xml:space="preserve"> </w:t>
      </w:r>
      <w:r w:rsidRPr="003F68A6">
        <w:rPr>
          <w:rFonts w:ascii="Arial" w:hAnsi="Arial" w:cs="Arial"/>
          <w:color w:val="000000" w:themeColor="text1"/>
          <w:sz w:val="22"/>
          <w:szCs w:val="22"/>
        </w:rPr>
        <w:t>The Act helps to encourage patient choice and accountability and services coordination with a goal to lessen fragmentation and enhance outcomes</w:t>
      </w:r>
      <w:r w:rsidR="008E1425" w:rsidRPr="003F68A6">
        <w:rPr>
          <w:rFonts w:ascii="Arial" w:hAnsi="Arial" w:cs="Arial"/>
          <w:color w:val="000000" w:themeColor="text1"/>
          <w:sz w:val="22"/>
          <w:szCs w:val="22"/>
        </w:rPr>
        <w:t xml:space="preserve"> </w:t>
      </w:r>
      <w:r w:rsidRPr="003F68A6">
        <w:rPr>
          <w:rFonts w:ascii="Arial" w:hAnsi="Arial" w:cs="Arial"/>
          <w:color w:val="000000" w:themeColor="text1"/>
          <w:sz w:val="22"/>
          <w:szCs w:val="22"/>
        </w:rPr>
        <w:t>.PCC is further strengthened by the Care Act 2014 which makes wellbeing, choice, and personalisation at the heart of adult social care. It describes the role of local authorities in collaborating with individuals, carers, families and external agencies, which is a clear indication of multi-agency collaboration, prevention and empowerment</w:t>
      </w:r>
      <w:r w:rsidR="006953FA" w:rsidRPr="003F68A6">
        <w:rPr>
          <w:rFonts w:ascii="Arial" w:hAnsi="Arial" w:cs="Arial"/>
          <w:color w:val="000000" w:themeColor="text1"/>
          <w:sz w:val="22"/>
          <w:szCs w:val="22"/>
        </w:rPr>
        <w:t>. The NHS Long Term Plan,</w:t>
      </w:r>
      <w:r w:rsidRPr="003F68A6">
        <w:rPr>
          <w:rFonts w:ascii="Arial" w:hAnsi="Arial" w:cs="Arial"/>
          <w:color w:val="000000" w:themeColor="text1"/>
          <w:sz w:val="22"/>
          <w:szCs w:val="22"/>
        </w:rPr>
        <w:t xml:space="preserve"> in its turn, reinforces the move toward the focus on personalised care by providing support to such initiatives as shared decision-making, personalised care budgets, or the creation of Integrated Care Systems (ICS) that will elim</w:t>
      </w:r>
      <w:r w:rsidR="008E1425" w:rsidRPr="003F68A6">
        <w:rPr>
          <w:rFonts w:ascii="Arial" w:hAnsi="Arial" w:cs="Arial"/>
          <w:color w:val="000000" w:themeColor="text1"/>
          <w:sz w:val="22"/>
          <w:szCs w:val="22"/>
        </w:rPr>
        <w:t>inate the organisational silos.</w:t>
      </w:r>
    </w:p>
    <w:p w14:paraId="352A4F6B" w14:textId="77777777" w:rsidR="00C20393" w:rsidRPr="003F68A6" w:rsidRDefault="00C20393" w:rsidP="003F68A6">
      <w:pPr>
        <w:spacing w:line="360" w:lineRule="auto"/>
        <w:ind w:firstLine="720"/>
        <w:jc w:val="both"/>
        <w:rPr>
          <w:rFonts w:ascii="Arial" w:hAnsi="Arial" w:cs="Arial"/>
          <w:color w:val="000000" w:themeColor="text1"/>
          <w:sz w:val="22"/>
          <w:szCs w:val="22"/>
          <w:lang w:val="en-IN"/>
        </w:rPr>
      </w:pPr>
      <w:r w:rsidRPr="003F68A6">
        <w:rPr>
          <w:rFonts w:ascii="Arial" w:hAnsi="Arial" w:cs="Arial"/>
          <w:color w:val="000000" w:themeColor="text1"/>
          <w:sz w:val="22"/>
          <w:szCs w:val="22"/>
        </w:rPr>
        <w:t xml:space="preserve">Other frameworks: safeguarding legislation, equality and human rights norms, data-sharing policies are the additional frameworks that influence ethical and lawful practice so that PCC and PW can be provided with fairness, transparency, and </w:t>
      </w:r>
      <w:r w:rsidR="006953FA" w:rsidRPr="003F68A6">
        <w:rPr>
          <w:rFonts w:ascii="Arial" w:hAnsi="Arial" w:cs="Arial"/>
          <w:color w:val="000000" w:themeColor="text1"/>
          <w:sz w:val="22"/>
          <w:szCs w:val="22"/>
        </w:rPr>
        <w:t>accountability</w:t>
      </w:r>
      <w:r w:rsidR="006953FA" w:rsidRPr="003F68A6">
        <w:rPr>
          <w:rFonts w:ascii="Arial" w:hAnsi="Arial" w:cs="Arial"/>
          <w:color w:val="000000" w:themeColor="text1"/>
          <w:sz w:val="22"/>
          <w:szCs w:val="22"/>
          <w:lang w:val="en-IN"/>
        </w:rPr>
        <w:t xml:space="preserve"> (Moore et al., 2021)</w:t>
      </w:r>
      <w:r w:rsidRPr="003F68A6">
        <w:rPr>
          <w:rFonts w:ascii="Arial" w:hAnsi="Arial" w:cs="Arial"/>
          <w:color w:val="000000" w:themeColor="text1"/>
          <w:sz w:val="22"/>
          <w:szCs w:val="22"/>
        </w:rPr>
        <w:t>. Taken together, these policies present a solid base on which PCC and PW are based; nonetheless, the implementation may vary depending on resource availability, as well as structural variations across regions.</w:t>
      </w:r>
    </w:p>
    <w:p w14:paraId="33357F02" w14:textId="77777777" w:rsidR="00C20393" w:rsidRPr="003F68A6" w:rsidRDefault="00C20393" w:rsidP="00156EEE">
      <w:pPr>
        <w:pStyle w:val="Nadpis1"/>
      </w:pPr>
      <w:bookmarkStart w:id="6" w:name="_Toc230613025"/>
      <w:r w:rsidRPr="003F68A6">
        <w:t>Recommendations for Future Development</w:t>
      </w:r>
      <w:bookmarkEnd w:id="6"/>
    </w:p>
    <w:p w14:paraId="26563FFA" w14:textId="77777777" w:rsidR="00B7604F" w:rsidRDefault="00C20393" w:rsidP="003F68A6">
      <w:pPr>
        <w:spacing w:line="360" w:lineRule="auto"/>
        <w:jc w:val="both"/>
        <w:rPr>
          <w:rFonts w:ascii="Arial" w:hAnsi="Arial" w:cs="Arial"/>
          <w:color w:val="000000" w:themeColor="text1"/>
          <w:sz w:val="22"/>
          <w:szCs w:val="22"/>
        </w:rPr>
      </w:pPr>
      <w:r w:rsidRPr="00077CB7">
        <w:rPr>
          <w:rFonts w:ascii="Arial" w:hAnsi="Arial" w:cs="Arial"/>
          <w:color w:val="000000" w:themeColor="text1"/>
          <w:sz w:val="22"/>
          <w:szCs w:val="22"/>
        </w:rPr>
        <w:t>There are some practice, workforce, and organisational systems improvements that are necessary to enhance the adoption of person-centred care (PCC) and partnership working (PW).</w:t>
      </w:r>
      <w:r w:rsidRPr="003F68A6">
        <w:rPr>
          <w:rFonts w:ascii="Arial" w:hAnsi="Arial" w:cs="Arial"/>
          <w:color w:val="000000" w:themeColor="text1"/>
          <w:sz w:val="22"/>
          <w:szCs w:val="22"/>
        </w:rPr>
        <w:t xml:space="preserve"> </w:t>
      </w:r>
    </w:p>
    <w:p w14:paraId="55E121E6" w14:textId="77777777" w:rsidR="00B7604F" w:rsidRPr="00BC42AF" w:rsidRDefault="00B7604F" w:rsidP="00B7604F">
      <w:pPr>
        <w:pStyle w:val="Odstavecseseznamem"/>
        <w:numPr>
          <w:ilvl w:val="0"/>
          <w:numId w:val="2"/>
        </w:numPr>
        <w:spacing w:line="360" w:lineRule="auto"/>
        <w:jc w:val="both"/>
        <w:rPr>
          <w:rFonts w:ascii="Arial" w:hAnsi="Arial" w:cs="Arial"/>
          <w:color w:val="FF0000"/>
          <w:sz w:val="22"/>
          <w:szCs w:val="22"/>
        </w:rPr>
      </w:pPr>
      <w:r w:rsidRPr="00BC42AF">
        <w:rPr>
          <w:rFonts w:ascii="Arial" w:hAnsi="Arial" w:cs="Arial"/>
          <w:color w:val="FF0000"/>
          <w:sz w:val="22"/>
          <w:szCs w:val="22"/>
        </w:rPr>
        <w:t>Use interagency electronic patient records in order to minimize delays and duplication.</w:t>
      </w:r>
    </w:p>
    <w:p w14:paraId="38DE6AB8" w14:textId="77777777" w:rsidR="00B7604F" w:rsidRPr="00BC42AF" w:rsidRDefault="00B7604F" w:rsidP="00B7604F">
      <w:pPr>
        <w:pStyle w:val="Odstavecseseznamem"/>
        <w:numPr>
          <w:ilvl w:val="0"/>
          <w:numId w:val="2"/>
        </w:numPr>
        <w:spacing w:line="360" w:lineRule="auto"/>
        <w:jc w:val="both"/>
        <w:rPr>
          <w:rFonts w:ascii="Arial" w:hAnsi="Arial" w:cs="Arial"/>
          <w:color w:val="FF0000"/>
          <w:sz w:val="22"/>
          <w:szCs w:val="22"/>
        </w:rPr>
      </w:pPr>
      <w:r w:rsidRPr="00BC42AF">
        <w:rPr>
          <w:rFonts w:ascii="Arial" w:hAnsi="Arial" w:cs="Arial"/>
          <w:color w:val="FF0000"/>
          <w:sz w:val="22"/>
          <w:szCs w:val="22"/>
        </w:rPr>
        <w:t>Have a system of inter-professional training, structured training in PCC, and in ethical decision-making, which may be gauged by assessing the competency of the staff.</w:t>
      </w:r>
    </w:p>
    <w:p w14:paraId="47B0D97A" w14:textId="77777777" w:rsidR="00B7604F" w:rsidRPr="00BC42AF" w:rsidRDefault="00B7604F" w:rsidP="007E165A">
      <w:pPr>
        <w:pStyle w:val="Odstavecseseznamem"/>
        <w:numPr>
          <w:ilvl w:val="0"/>
          <w:numId w:val="2"/>
        </w:numPr>
        <w:spacing w:line="360" w:lineRule="auto"/>
        <w:jc w:val="both"/>
        <w:rPr>
          <w:rFonts w:ascii="Arial" w:hAnsi="Arial" w:cs="Arial"/>
          <w:color w:val="FF0000"/>
          <w:sz w:val="22"/>
          <w:szCs w:val="22"/>
        </w:rPr>
      </w:pPr>
      <w:r w:rsidRPr="00BC42AF">
        <w:rPr>
          <w:rFonts w:ascii="Arial" w:hAnsi="Arial" w:cs="Arial"/>
          <w:color w:val="FF0000"/>
          <w:sz w:val="22"/>
          <w:szCs w:val="22"/>
        </w:rPr>
        <w:t xml:space="preserve">Involve patients and carers in co-production, which is evaluated by use of feedback surveys and service audit </w:t>
      </w:r>
      <w:r w:rsidR="007E165A" w:rsidRPr="00BC42AF">
        <w:rPr>
          <w:rFonts w:ascii="Arial" w:hAnsi="Arial" w:cs="Arial"/>
          <w:color w:val="FF0000"/>
          <w:sz w:val="22"/>
          <w:szCs w:val="22"/>
        </w:rPr>
        <w:t>(Butler et al., 2020)</w:t>
      </w:r>
      <w:r w:rsidRPr="00BC42AF">
        <w:rPr>
          <w:rFonts w:ascii="Arial" w:hAnsi="Arial" w:cs="Arial"/>
          <w:color w:val="FF0000"/>
          <w:sz w:val="22"/>
          <w:szCs w:val="22"/>
        </w:rPr>
        <w:t>.</w:t>
      </w:r>
    </w:p>
    <w:p w14:paraId="669405D8" w14:textId="77777777" w:rsidR="00B7604F" w:rsidRDefault="00C20393" w:rsidP="003F68A6">
      <w:pPr>
        <w:spacing w:line="360" w:lineRule="auto"/>
        <w:jc w:val="both"/>
        <w:rPr>
          <w:rFonts w:ascii="Arial" w:hAnsi="Arial" w:cs="Arial"/>
          <w:color w:val="000000" w:themeColor="text1"/>
          <w:sz w:val="22"/>
          <w:szCs w:val="22"/>
        </w:rPr>
      </w:pPr>
      <w:r w:rsidRPr="003F68A6">
        <w:rPr>
          <w:rFonts w:ascii="Arial" w:hAnsi="Arial" w:cs="Arial"/>
          <w:color w:val="000000" w:themeColor="text1"/>
          <w:sz w:val="22"/>
          <w:szCs w:val="22"/>
        </w:rPr>
        <w:t>To begin with, it is vital to invest in the continual professional growth in order to become more competent in communication, cultural competence, shared decision-making, and ethical reasoning. Systematic education would help the practitioners to manage more complicated care cases and r</w:t>
      </w:r>
      <w:r w:rsidR="006953FA" w:rsidRPr="003F68A6">
        <w:rPr>
          <w:rFonts w:ascii="Arial" w:hAnsi="Arial" w:cs="Arial"/>
          <w:color w:val="000000" w:themeColor="text1"/>
          <w:sz w:val="22"/>
          <w:szCs w:val="22"/>
        </w:rPr>
        <w:t>eact more to the specific needs</w:t>
      </w:r>
      <w:r w:rsidRPr="003F68A6">
        <w:rPr>
          <w:rFonts w:ascii="Arial" w:hAnsi="Arial" w:cs="Arial"/>
          <w:color w:val="000000" w:themeColor="text1"/>
          <w:sz w:val="22"/>
          <w:szCs w:val="22"/>
        </w:rPr>
        <w:t xml:space="preserve"> </w:t>
      </w:r>
      <w:r w:rsidR="006953FA" w:rsidRPr="003F68A6">
        <w:rPr>
          <w:rFonts w:ascii="Arial" w:hAnsi="Arial" w:cs="Arial"/>
          <w:color w:val="000000" w:themeColor="text1"/>
          <w:sz w:val="22"/>
          <w:szCs w:val="22"/>
          <w:lang w:val="en-IN"/>
        </w:rPr>
        <w:t xml:space="preserve">(Docherty and Richard, 2022). </w:t>
      </w:r>
      <w:r w:rsidRPr="003F68A6">
        <w:rPr>
          <w:rFonts w:ascii="Arial" w:hAnsi="Arial" w:cs="Arial"/>
          <w:color w:val="000000" w:themeColor="text1"/>
          <w:sz w:val="22"/>
          <w:szCs w:val="22"/>
        </w:rPr>
        <w:t>Secondly, the increase in the level and decreased caseloads would open the opportunity to engage meaningfully with service users and focus on their personalisation.</w:t>
      </w:r>
      <w:r w:rsidRPr="003F68A6">
        <w:rPr>
          <w:rFonts w:ascii="Arial" w:hAnsi="Arial" w:cs="Arial"/>
          <w:b/>
          <w:color w:val="000000" w:themeColor="text1"/>
          <w:sz w:val="22"/>
          <w:szCs w:val="22"/>
        </w:rPr>
        <w:t xml:space="preserve"> </w:t>
      </w:r>
      <w:r w:rsidRPr="003F68A6">
        <w:rPr>
          <w:rFonts w:ascii="Arial" w:hAnsi="Arial" w:cs="Arial"/>
          <w:color w:val="000000" w:themeColor="text1"/>
          <w:sz w:val="22"/>
          <w:szCs w:val="22"/>
        </w:rPr>
        <w:t xml:space="preserve"> Digital integration is also to be considered. The adoption of common electronic record systems would improve inter-agency share of information, minimize delays and enhance continuity of care. </w:t>
      </w:r>
    </w:p>
    <w:p w14:paraId="57B11838" w14:textId="77777777" w:rsidR="000E2331" w:rsidRPr="00B7604F" w:rsidRDefault="00C20393" w:rsidP="00B7604F">
      <w:pPr>
        <w:spacing w:line="360" w:lineRule="auto"/>
        <w:ind w:firstLine="720"/>
        <w:jc w:val="both"/>
        <w:rPr>
          <w:rFonts w:ascii="Arial" w:hAnsi="Arial" w:cs="Arial"/>
          <w:color w:val="000000" w:themeColor="text1"/>
          <w:sz w:val="22"/>
          <w:szCs w:val="22"/>
        </w:rPr>
      </w:pPr>
      <w:r w:rsidRPr="003F68A6">
        <w:rPr>
          <w:rFonts w:ascii="Arial" w:hAnsi="Arial" w:cs="Arial"/>
          <w:color w:val="000000" w:themeColor="text1"/>
          <w:sz w:val="22"/>
          <w:szCs w:val="22"/>
        </w:rPr>
        <w:t>The further facilitation of partnership between statutory services, community organisations and the voluntary sector would same enhance holistic locally responsive care. Lastly, engaging service users and carers in service co-production and assessment of care models would mean that development in the future would be based on lived experience and be authentic in enabling the carer.</w:t>
      </w:r>
    </w:p>
    <w:p w14:paraId="3FFAF3A3" w14:textId="77777777" w:rsidR="00C20393" w:rsidRPr="003F68A6" w:rsidRDefault="00C20393" w:rsidP="00156EEE">
      <w:pPr>
        <w:pStyle w:val="Nadpis1"/>
      </w:pPr>
      <w:bookmarkStart w:id="7" w:name="_Toc230613026"/>
      <w:r w:rsidRPr="003F68A6">
        <w:t>Conclusion</w:t>
      </w:r>
      <w:bookmarkEnd w:id="7"/>
      <w:r w:rsidRPr="003F68A6">
        <w:t xml:space="preserve"> </w:t>
      </w:r>
    </w:p>
    <w:p w14:paraId="19617F25" w14:textId="77777777" w:rsidR="00C20393" w:rsidRPr="003F68A6" w:rsidRDefault="00C20393" w:rsidP="003F68A6">
      <w:pPr>
        <w:spacing w:line="360" w:lineRule="auto"/>
        <w:jc w:val="both"/>
        <w:rPr>
          <w:rFonts w:ascii="Arial" w:hAnsi="Arial" w:cs="Arial"/>
          <w:color w:val="000000" w:themeColor="text1"/>
          <w:sz w:val="22"/>
          <w:szCs w:val="22"/>
        </w:rPr>
      </w:pPr>
      <w:r w:rsidRPr="00B7604F">
        <w:rPr>
          <w:rFonts w:ascii="Arial" w:hAnsi="Arial" w:cs="Arial"/>
          <w:color w:val="000000" w:themeColor="text1"/>
          <w:sz w:val="22"/>
          <w:szCs w:val="22"/>
        </w:rPr>
        <w:t>The two key concepts include person-centred care (PCC) and partnership working (PW), which are essential to the provision of quality, ethical, and coordinated health and social services</w:t>
      </w:r>
      <w:r w:rsidR="00B7604F" w:rsidRPr="00B7604F">
        <w:rPr>
          <w:rFonts w:ascii="Arial" w:hAnsi="Arial" w:cs="Arial"/>
          <w:color w:val="000000" w:themeColor="text1"/>
          <w:sz w:val="22"/>
          <w:szCs w:val="22"/>
        </w:rPr>
        <w:t xml:space="preserve"> </w:t>
      </w:r>
      <w:r w:rsidR="00B7604F" w:rsidRPr="00B7604F">
        <w:rPr>
          <w:rFonts w:ascii="Arial" w:hAnsi="Arial" w:cs="Arial"/>
          <w:color w:val="FF0000"/>
          <w:sz w:val="22"/>
          <w:szCs w:val="22"/>
        </w:rPr>
        <w:t>which are fundamental to high-quality services; however, successful realisation is reliant on organisational barriers; training of the workforce and coordination at the system level, and continuous evaluation and adjustments are necessary.</w:t>
      </w:r>
      <w:r w:rsidRPr="00B7604F">
        <w:rPr>
          <w:rFonts w:ascii="Arial" w:hAnsi="Arial" w:cs="Arial"/>
          <w:color w:val="FF0000"/>
          <w:sz w:val="22"/>
          <w:szCs w:val="22"/>
        </w:rPr>
        <w:t xml:space="preserve"> </w:t>
      </w:r>
      <w:r w:rsidRPr="003F68A6">
        <w:rPr>
          <w:rFonts w:ascii="Arial" w:hAnsi="Arial" w:cs="Arial"/>
          <w:color w:val="000000" w:themeColor="text1"/>
          <w:sz w:val="22"/>
          <w:szCs w:val="22"/>
        </w:rPr>
        <w:t xml:space="preserve">PCC facilitates dignity, autonomy and personalised support, whereas PW facilitates holistic and integrated responses to more and more complex needs. </w:t>
      </w:r>
      <w:r w:rsidR="00CC1284" w:rsidRPr="004C11DA">
        <w:rPr>
          <w:rFonts w:ascii="Arial" w:hAnsi="Arial" w:cs="Arial"/>
          <w:color w:val="FF0000"/>
          <w:sz w:val="22"/>
          <w:szCs w:val="22"/>
        </w:rPr>
        <w:t>Despite all the superior benefits of both strategies, the implementation has often faced the pressure of workforce, issues with communication and the lack of structure. The policy framework in the UK is an excellent promoter of PCC and PW, but additional funding, training and organisational dedication is needed to solidify the same in a uniform style. Enhanced collaboration, enhanced digital systems, and co-production with service users will be essential to better the care provision in the future.</w:t>
      </w:r>
    </w:p>
    <w:p w14:paraId="4C577A7E" w14:textId="77777777" w:rsidR="006953FA" w:rsidRPr="003F68A6" w:rsidRDefault="006953FA" w:rsidP="003F68A6">
      <w:pPr>
        <w:spacing w:line="360" w:lineRule="auto"/>
        <w:jc w:val="both"/>
        <w:rPr>
          <w:rFonts w:ascii="Arial" w:hAnsi="Arial" w:cs="Arial"/>
          <w:color w:val="000000" w:themeColor="text1"/>
          <w:sz w:val="22"/>
          <w:szCs w:val="22"/>
        </w:rPr>
      </w:pPr>
    </w:p>
    <w:p w14:paraId="53031BA0" w14:textId="77777777" w:rsidR="006953FA" w:rsidRPr="003F68A6" w:rsidRDefault="006953FA" w:rsidP="003F68A6">
      <w:pPr>
        <w:spacing w:line="360" w:lineRule="auto"/>
        <w:jc w:val="both"/>
        <w:rPr>
          <w:rFonts w:ascii="Arial" w:hAnsi="Arial" w:cs="Arial"/>
          <w:color w:val="000000" w:themeColor="text1"/>
          <w:sz w:val="22"/>
          <w:szCs w:val="22"/>
        </w:rPr>
      </w:pPr>
    </w:p>
    <w:p w14:paraId="39479986" w14:textId="77777777" w:rsidR="006953FA" w:rsidRPr="003F68A6" w:rsidRDefault="006953FA" w:rsidP="003F68A6">
      <w:pPr>
        <w:spacing w:line="360" w:lineRule="auto"/>
        <w:jc w:val="both"/>
        <w:rPr>
          <w:rFonts w:ascii="Arial" w:hAnsi="Arial" w:cs="Arial"/>
          <w:color w:val="000000" w:themeColor="text1"/>
          <w:sz w:val="22"/>
          <w:szCs w:val="22"/>
        </w:rPr>
      </w:pPr>
    </w:p>
    <w:p w14:paraId="0AD97FB3" w14:textId="77777777" w:rsidR="007E165A" w:rsidRDefault="007E165A">
      <w:pPr>
        <w:spacing w:after="160" w:line="259" w:lineRule="auto"/>
        <w:rPr>
          <w:rFonts w:ascii="Arial" w:eastAsiaTheme="majorEastAsia" w:hAnsi="Arial" w:cs="Arial"/>
          <w:b/>
          <w:color w:val="000000" w:themeColor="text1"/>
          <w:sz w:val="22"/>
          <w:szCs w:val="22"/>
        </w:rPr>
      </w:pPr>
      <w:r>
        <w:rPr>
          <w:rFonts w:ascii="Arial" w:hAnsi="Arial" w:cs="Arial"/>
          <w:b/>
          <w:color w:val="000000" w:themeColor="text1"/>
          <w:sz w:val="22"/>
          <w:szCs w:val="22"/>
        </w:rPr>
        <w:br w:type="page"/>
      </w:r>
    </w:p>
    <w:p w14:paraId="5504BD95" w14:textId="77777777" w:rsidR="006953FA" w:rsidRPr="00403816" w:rsidRDefault="006953FA" w:rsidP="00156EEE">
      <w:pPr>
        <w:pStyle w:val="Nadpis1"/>
      </w:pPr>
      <w:bookmarkStart w:id="8" w:name="_Toc230613027"/>
      <w:r w:rsidRPr="003F68A6">
        <w:t>References</w:t>
      </w:r>
      <w:bookmarkEnd w:id="8"/>
    </w:p>
    <w:p w14:paraId="31E9E8E1" w14:textId="77777777" w:rsidR="00465DD3" w:rsidRPr="00465DD3" w:rsidRDefault="00465DD3" w:rsidP="00465DD3">
      <w:pPr>
        <w:pStyle w:val="Normlnweb"/>
        <w:spacing w:before="0" w:beforeAutospacing="0" w:after="240" w:afterAutospacing="0"/>
        <w:ind w:left="720" w:hanging="720"/>
        <w:jc w:val="both"/>
        <w:rPr>
          <w:rFonts w:ascii="Arial" w:hAnsi="Arial" w:cs="Arial"/>
          <w:sz w:val="22"/>
        </w:rPr>
      </w:pPr>
      <w:r w:rsidRPr="00465DD3">
        <w:rPr>
          <w:rFonts w:ascii="Arial" w:hAnsi="Arial" w:cs="Arial"/>
          <w:sz w:val="22"/>
        </w:rPr>
        <w:t xml:space="preserve">Baștea, A.-R., Catalano, H. and </w:t>
      </w:r>
      <w:proofErr w:type="spellStart"/>
      <w:r w:rsidRPr="00465DD3">
        <w:rPr>
          <w:rFonts w:ascii="Arial" w:hAnsi="Arial" w:cs="Arial"/>
          <w:sz w:val="22"/>
        </w:rPr>
        <w:t>Dohotaru</w:t>
      </w:r>
      <w:proofErr w:type="spellEnd"/>
      <w:r w:rsidRPr="00465DD3">
        <w:rPr>
          <w:rFonts w:ascii="Arial" w:hAnsi="Arial" w:cs="Arial"/>
          <w:sz w:val="22"/>
        </w:rPr>
        <w:t xml:space="preserve">, A.I. (2023). An Overview of Distributed Leadership and its Shortcomings in Educational Settings. </w:t>
      </w:r>
      <w:proofErr w:type="spellStart"/>
      <w:r w:rsidRPr="00465DD3">
        <w:rPr>
          <w:rFonts w:ascii="Arial" w:hAnsi="Arial" w:cs="Arial"/>
          <w:i/>
          <w:iCs/>
          <w:sz w:val="22"/>
        </w:rPr>
        <w:t>Educaţia</w:t>
      </w:r>
      <w:proofErr w:type="spellEnd"/>
      <w:r w:rsidRPr="00465DD3">
        <w:rPr>
          <w:rFonts w:ascii="Arial" w:hAnsi="Arial" w:cs="Arial"/>
          <w:i/>
          <w:iCs/>
          <w:sz w:val="22"/>
        </w:rPr>
        <w:t xml:space="preserve"> 21</w:t>
      </w:r>
      <w:r w:rsidRPr="00465DD3">
        <w:rPr>
          <w:rFonts w:ascii="Arial" w:hAnsi="Arial" w:cs="Arial"/>
          <w:sz w:val="22"/>
        </w:rPr>
        <w:t xml:space="preserve">, 21(25), pp.114–126. </w:t>
      </w:r>
      <w:proofErr w:type="spellStart"/>
      <w:r w:rsidRPr="00465DD3">
        <w:rPr>
          <w:rFonts w:ascii="Arial" w:hAnsi="Arial" w:cs="Arial"/>
          <w:sz w:val="22"/>
        </w:rPr>
        <w:t>doi</w:t>
      </w:r>
      <w:proofErr w:type="spellEnd"/>
      <w:r w:rsidRPr="00465DD3">
        <w:rPr>
          <w:rFonts w:ascii="Arial" w:hAnsi="Arial" w:cs="Arial"/>
          <w:sz w:val="22"/>
        </w:rPr>
        <w:t>:</w:t>
      </w:r>
      <w:r>
        <w:rPr>
          <w:rFonts w:ascii="Arial" w:hAnsi="Arial" w:cs="Arial"/>
          <w:sz w:val="22"/>
        </w:rPr>
        <w:t xml:space="preserve"> https</w:t>
      </w:r>
      <w:r w:rsidRPr="00465DD3">
        <w:rPr>
          <w:rFonts w:ascii="Arial" w:hAnsi="Arial" w:cs="Arial"/>
          <w:sz w:val="22"/>
        </w:rPr>
        <w:t>://doi.org/10.24193/ed21.2023.25.12.</w:t>
      </w:r>
    </w:p>
    <w:p w14:paraId="7597BADB" w14:textId="77777777" w:rsidR="00465DD3" w:rsidRPr="00465DD3" w:rsidRDefault="00465DD3" w:rsidP="00465DD3">
      <w:pPr>
        <w:pStyle w:val="Normlnweb"/>
        <w:spacing w:before="0" w:beforeAutospacing="0" w:after="240" w:afterAutospacing="0"/>
        <w:ind w:left="720" w:hanging="720"/>
        <w:jc w:val="both"/>
        <w:rPr>
          <w:rFonts w:ascii="Arial" w:hAnsi="Arial" w:cs="Arial"/>
          <w:sz w:val="22"/>
        </w:rPr>
      </w:pPr>
      <w:r w:rsidRPr="00465DD3">
        <w:rPr>
          <w:rFonts w:ascii="Arial" w:hAnsi="Arial" w:cs="Arial"/>
          <w:sz w:val="22"/>
        </w:rPr>
        <w:t xml:space="preserve">Butler, J.M., Gibson, B., Lewis, L., </w:t>
      </w:r>
      <w:proofErr w:type="spellStart"/>
      <w:r w:rsidRPr="00465DD3">
        <w:rPr>
          <w:rFonts w:ascii="Arial" w:hAnsi="Arial" w:cs="Arial"/>
          <w:sz w:val="22"/>
        </w:rPr>
        <w:t>Reiber</w:t>
      </w:r>
      <w:proofErr w:type="spellEnd"/>
      <w:r w:rsidRPr="00465DD3">
        <w:rPr>
          <w:rFonts w:ascii="Arial" w:hAnsi="Arial" w:cs="Arial"/>
          <w:sz w:val="22"/>
        </w:rPr>
        <w:t xml:space="preserve">, G., Kramer, H., </w:t>
      </w:r>
      <w:proofErr w:type="spellStart"/>
      <w:r w:rsidRPr="00465DD3">
        <w:rPr>
          <w:rFonts w:ascii="Arial" w:hAnsi="Arial" w:cs="Arial"/>
          <w:sz w:val="22"/>
        </w:rPr>
        <w:t>Rupper</w:t>
      </w:r>
      <w:proofErr w:type="spellEnd"/>
      <w:r w:rsidRPr="00465DD3">
        <w:rPr>
          <w:rFonts w:ascii="Arial" w:hAnsi="Arial" w:cs="Arial"/>
          <w:sz w:val="22"/>
        </w:rPr>
        <w:t xml:space="preserve">, R., </w:t>
      </w:r>
      <w:proofErr w:type="spellStart"/>
      <w:r w:rsidRPr="00465DD3">
        <w:rPr>
          <w:rFonts w:ascii="Arial" w:hAnsi="Arial" w:cs="Arial"/>
          <w:sz w:val="22"/>
        </w:rPr>
        <w:t>Herout</w:t>
      </w:r>
      <w:proofErr w:type="spellEnd"/>
      <w:r w:rsidRPr="00465DD3">
        <w:rPr>
          <w:rFonts w:ascii="Arial" w:hAnsi="Arial" w:cs="Arial"/>
          <w:sz w:val="22"/>
        </w:rPr>
        <w:t xml:space="preserve">, J., Long, B., Massaro, D. and </w:t>
      </w:r>
      <w:proofErr w:type="spellStart"/>
      <w:r w:rsidRPr="00465DD3">
        <w:rPr>
          <w:rFonts w:ascii="Arial" w:hAnsi="Arial" w:cs="Arial"/>
          <w:sz w:val="22"/>
        </w:rPr>
        <w:t>Nebeker</w:t>
      </w:r>
      <w:proofErr w:type="spellEnd"/>
      <w:r w:rsidRPr="00465DD3">
        <w:rPr>
          <w:rFonts w:ascii="Arial" w:hAnsi="Arial" w:cs="Arial"/>
          <w:sz w:val="22"/>
        </w:rPr>
        <w:t xml:space="preserve">, J. (2020). </w:t>
      </w:r>
      <w:proofErr w:type="spellStart"/>
      <w:r w:rsidRPr="00465DD3">
        <w:rPr>
          <w:rFonts w:ascii="Arial" w:hAnsi="Arial" w:cs="Arial"/>
          <w:sz w:val="22"/>
        </w:rPr>
        <w:t>Patient-centered</w:t>
      </w:r>
      <w:proofErr w:type="spellEnd"/>
      <w:r w:rsidRPr="00465DD3">
        <w:rPr>
          <w:rFonts w:ascii="Arial" w:hAnsi="Arial" w:cs="Arial"/>
          <w:sz w:val="22"/>
        </w:rPr>
        <w:t xml:space="preserve"> care and the electronic health record: Exploring functionality and gaps. </w:t>
      </w:r>
      <w:r w:rsidRPr="00465DD3">
        <w:rPr>
          <w:rFonts w:ascii="Arial" w:hAnsi="Arial" w:cs="Arial"/>
          <w:i/>
          <w:iCs/>
          <w:sz w:val="22"/>
        </w:rPr>
        <w:t>Journal of the American Medical Informatics Association Open</w:t>
      </w:r>
      <w:r w:rsidRPr="00465DD3">
        <w:rPr>
          <w:rFonts w:ascii="Arial" w:hAnsi="Arial" w:cs="Arial"/>
          <w:sz w:val="22"/>
        </w:rPr>
        <w:t xml:space="preserve">, 3(3), pp.360–368. </w:t>
      </w:r>
      <w:proofErr w:type="spellStart"/>
      <w:r w:rsidRPr="00465DD3">
        <w:rPr>
          <w:rFonts w:ascii="Arial" w:hAnsi="Arial" w:cs="Arial"/>
          <w:sz w:val="22"/>
        </w:rPr>
        <w:t>doi</w:t>
      </w:r>
      <w:proofErr w:type="spellEnd"/>
      <w:r w:rsidRPr="00465DD3">
        <w:rPr>
          <w:rFonts w:ascii="Arial" w:hAnsi="Arial" w:cs="Arial"/>
          <w:sz w:val="22"/>
        </w:rPr>
        <w:t>:</w:t>
      </w:r>
      <w:r>
        <w:rPr>
          <w:rFonts w:ascii="Arial" w:hAnsi="Arial" w:cs="Arial"/>
          <w:sz w:val="22"/>
        </w:rPr>
        <w:t xml:space="preserve"> </w:t>
      </w:r>
      <w:hyperlink r:id="rId8" w:history="1">
        <w:r w:rsidRPr="00F94190">
          <w:rPr>
            <w:rStyle w:val="Hypertextovodkaz"/>
            <w:rFonts w:ascii="Arial" w:hAnsi="Arial" w:cs="Arial"/>
            <w:sz w:val="22"/>
          </w:rPr>
          <w:t>https://doi.org/10.1093/jamiaopen/ooaa044</w:t>
        </w:r>
      </w:hyperlink>
      <w:r w:rsidRPr="00465DD3">
        <w:rPr>
          <w:rFonts w:ascii="Arial" w:hAnsi="Arial" w:cs="Arial"/>
          <w:sz w:val="22"/>
        </w:rPr>
        <w:t>.</w:t>
      </w:r>
      <w:r>
        <w:rPr>
          <w:rFonts w:ascii="Arial" w:hAnsi="Arial" w:cs="Arial"/>
          <w:sz w:val="22"/>
        </w:rPr>
        <w:t xml:space="preserve"> </w:t>
      </w:r>
    </w:p>
    <w:p w14:paraId="58E84976" w14:textId="77777777" w:rsidR="00465DD3" w:rsidRPr="003F68A6" w:rsidRDefault="00465DD3" w:rsidP="00403816">
      <w:pPr>
        <w:ind w:left="720" w:hanging="720"/>
        <w:jc w:val="both"/>
        <w:rPr>
          <w:rFonts w:ascii="Arial" w:hAnsi="Arial" w:cs="Arial"/>
          <w:sz w:val="22"/>
          <w:szCs w:val="22"/>
          <w:lang w:val="en-IN"/>
        </w:rPr>
      </w:pPr>
      <w:r w:rsidRPr="003F68A6">
        <w:rPr>
          <w:rFonts w:ascii="Arial" w:hAnsi="Arial" w:cs="Arial"/>
          <w:sz w:val="22"/>
          <w:szCs w:val="22"/>
          <w:lang w:val="en-IN"/>
        </w:rPr>
        <w:t xml:space="preserve">Docherty, M.A. and Richard, M.P. (2022). Achieving person-centred care through a team-based care ecosystem approach. </w:t>
      </w:r>
      <w:r w:rsidRPr="003F68A6">
        <w:rPr>
          <w:rFonts w:ascii="Arial" w:hAnsi="Arial" w:cs="Arial"/>
          <w:i/>
          <w:iCs/>
          <w:sz w:val="22"/>
          <w:szCs w:val="22"/>
          <w:lang w:val="en-IN"/>
        </w:rPr>
        <w:t>Healthcare Management Forum</w:t>
      </w:r>
      <w:r w:rsidRPr="003F68A6">
        <w:rPr>
          <w:rFonts w:ascii="Arial" w:hAnsi="Arial" w:cs="Arial"/>
          <w:sz w:val="22"/>
          <w:szCs w:val="22"/>
          <w:lang w:val="en-IN"/>
        </w:rPr>
        <w:t xml:space="preserve">, p.084047042210789. </w:t>
      </w:r>
      <w:proofErr w:type="spellStart"/>
      <w:r w:rsidRPr="003F68A6">
        <w:rPr>
          <w:rFonts w:ascii="Arial" w:hAnsi="Arial" w:cs="Arial"/>
          <w:sz w:val="22"/>
          <w:szCs w:val="22"/>
          <w:lang w:val="en-IN"/>
        </w:rPr>
        <w:t>doi</w:t>
      </w:r>
      <w:proofErr w:type="spellEnd"/>
      <w:r w:rsidRPr="003F68A6">
        <w:rPr>
          <w:rFonts w:ascii="Arial" w:hAnsi="Arial" w:cs="Arial"/>
          <w:sz w:val="22"/>
          <w:szCs w:val="22"/>
          <w:lang w:val="en-IN"/>
        </w:rPr>
        <w:t>:</w:t>
      </w:r>
      <w:hyperlink r:id="rId9" w:history="1">
        <w:r>
          <w:rPr>
            <w:rStyle w:val="Hypertextovodkaz"/>
            <w:rFonts w:ascii="Arial" w:hAnsi="Arial" w:cs="Arial"/>
            <w:b/>
            <w:sz w:val="22"/>
            <w:szCs w:val="22"/>
            <w:lang w:val="en-IN"/>
          </w:rPr>
          <w:t xml:space="preserve"> https</w:t>
        </w:r>
        <w:r w:rsidRPr="003F68A6">
          <w:rPr>
            <w:rStyle w:val="Hypertextovodkaz"/>
            <w:rFonts w:ascii="Arial" w:hAnsi="Arial" w:cs="Arial"/>
            <w:b/>
            <w:sz w:val="22"/>
            <w:szCs w:val="22"/>
            <w:lang w:val="en-IN"/>
          </w:rPr>
          <w:t>://doi.org/10.1177/08404704221078975</w:t>
        </w:r>
      </w:hyperlink>
      <w:r w:rsidRPr="003F68A6">
        <w:rPr>
          <w:rFonts w:ascii="Arial" w:hAnsi="Arial" w:cs="Arial"/>
          <w:sz w:val="22"/>
          <w:szCs w:val="22"/>
          <w:lang w:val="en-IN"/>
        </w:rPr>
        <w:t xml:space="preserve"> .</w:t>
      </w:r>
    </w:p>
    <w:p w14:paraId="62570EE7" w14:textId="77777777" w:rsidR="00465DD3" w:rsidRPr="003F68A6" w:rsidRDefault="00465DD3" w:rsidP="00403816">
      <w:pPr>
        <w:ind w:left="720" w:hanging="720"/>
        <w:jc w:val="both"/>
        <w:rPr>
          <w:rFonts w:ascii="Arial" w:hAnsi="Arial" w:cs="Arial"/>
          <w:sz w:val="22"/>
          <w:szCs w:val="22"/>
          <w:lang w:val="en-IN"/>
        </w:rPr>
      </w:pPr>
      <w:r w:rsidRPr="003F68A6">
        <w:rPr>
          <w:rFonts w:ascii="Arial" w:hAnsi="Arial" w:cs="Arial"/>
          <w:sz w:val="22"/>
          <w:szCs w:val="22"/>
          <w:lang w:val="en-IN"/>
        </w:rPr>
        <w:t xml:space="preserve">Durand, M.A., </w:t>
      </w:r>
      <w:proofErr w:type="spellStart"/>
      <w:r w:rsidRPr="003F68A6">
        <w:rPr>
          <w:rFonts w:ascii="Arial" w:hAnsi="Arial" w:cs="Arial"/>
          <w:sz w:val="22"/>
          <w:szCs w:val="22"/>
          <w:lang w:val="en-IN"/>
        </w:rPr>
        <w:t>Wistow</w:t>
      </w:r>
      <w:proofErr w:type="spellEnd"/>
      <w:r w:rsidRPr="003F68A6">
        <w:rPr>
          <w:rFonts w:ascii="Arial" w:hAnsi="Arial" w:cs="Arial"/>
          <w:sz w:val="22"/>
          <w:szCs w:val="22"/>
          <w:lang w:val="en-IN"/>
        </w:rPr>
        <w:t xml:space="preserve">, G. and Mays, N. (2025). Evaluating the role of community-based multi-disciplinary teams in England’s Pioneer integrated health and social care programme: Setting the scene. </w:t>
      </w:r>
      <w:r w:rsidRPr="003F68A6">
        <w:rPr>
          <w:rFonts w:ascii="Arial" w:hAnsi="Arial" w:cs="Arial"/>
          <w:i/>
          <w:iCs/>
          <w:sz w:val="22"/>
          <w:szCs w:val="22"/>
          <w:lang w:val="en-IN"/>
        </w:rPr>
        <w:t>PubMed</w:t>
      </w:r>
      <w:r w:rsidRPr="003F68A6">
        <w:rPr>
          <w:rFonts w:ascii="Arial" w:hAnsi="Arial" w:cs="Arial"/>
          <w:sz w:val="22"/>
          <w:szCs w:val="22"/>
          <w:lang w:val="en-IN"/>
        </w:rPr>
        <w:t xml:space="preserve">, 30(1_suppl), pp.1S10S. </w:t>
      </w:r>
      <w:proofErr w:type="spellStart"/>
      <w:r w:rsidRPr="003F68A6">
        <w:rPr>
          <w:rFonts w:ascii="Arial" w:hAnsi="Arial" w:cs="Arial"/>
          <w:sz w:val="22"/>
          <w:szCs w:val="22"/>
          <w:lang w:val="en-IN"/>
        </w:rPr>
        <w:t>doi</w:t>
      </w:r>
      <w:proofErr w:type="spellEnd"/>
      <w:r w:rsidRPr="003F68A6">
        <w:rPr>
          <w:rFonts w:ascii="Arial" w:hAnsi="Arial" w:cs="Arial"/>
          <w:sz w:val="22"/>
          <w:szCs w:val="22"/>
          <w:lang w:val="en-IN"/>
        </w:rPr>
        <w:t>:</w:t>
      </w:r>
      <w:hyperlink r:id="rId10" w:history="1">
        <w:r>
          <w:rPr>
            <w:rStyle w:val="Hypertextovodkaz"/>
            <w:rFonts w:ascii="Arial" w:hAnsi="Arial" w:cs="Arial"/>
            <w:b/>
            <w:sz w:val="22"/>
            <w:szCs w:val="22"/>
            <w:lang w:val="en-IN"/>
          </w:rPr>
          <w:t xml:space="preserve"> https</w:t>
        </w:r>
        <w:r w:rsidRPr="003F68A6">
          <w:rPr>
            <w:rStyle w:val="Hypertextovodkaz"/>
            <w:rFonts w:ascii="Arial" w:hAnsi="Arial" w:cs="Arial"/>
            <w:b/>
            <w:sz w:val="22"/>
            <w:szCs w:val="22"/>
            <w:lang w:val="en-IN"/>
          </w:rPr>
          <w:t>://doi.org/10.1177/13558196251349363</w:t>
        </w:r>
      </w:hyperlink>
      <w:r w:rsidRPr="003F68A6">
        <w:rPr>
          <w:rFonts w:ascii="Arial" w:hAnsi="Arial" w:cs="Arial"/>
          <w:sz w:val="22"/>
          <w:szCs w:val="22"/>
          <w:lang w:val="en-IN"/>
        </w:rPr>
        <w:t xml:space="preserve"> .</w:t>
      </w:r>
    </w:p>
    <w:p w14:paraId="40E3A85B" w14:textId="77777777" w:rsidR="00465DD3" w:rsidRPr="003F68A6" w:rsidRDefault="00465DD3" w:rsidP="00403816">
      <w:pPr>
        <w:ind w:left="720" w:hanging="720"/>
        <w:jc w:val="both"/>
        <w:rPr>
          <w:rFonts w:ascii="Arial" w:hAnsi="Arial" w:cs="Arial"/>
          <w:sz w:val="22"/>
          <w:szCs w:val="22"/>
          <w:lang w:val="en-IN"/>
        </w:rPr>
      </w:pPr>
      <w:r w:rsidRPr="003F68A6">
        <w:rPr>
          <w:rFonts w:ascii="Arial" w:hAnsi="Arial" w:cs="Arial"/>
          <w:sz w:val="22"/>
          <w:szCs w:val="22"/>
          <w:lang w:val="en-IN"/>
        </w:rPr>
        <w:t xml:space="preserve">Eaton, A.D., </w:t>
      </w:r>
      <w:proofErr w:type="spellStart"/>
      <w:r w:rsidRPr="003F68A6">
        <w:rPr>
          <w:rFonts w:ascii="Arial" w:hAnsi="Arial" w:cs="Arial"/>
          <w:sz w:val="22"/>
          <w:szCs w:val="22"/>
          <w:lang w:val="en-IN"/>
        </w:rPr>
        <w:t>Carusone</w:t>
      </w:r>
      <w:proofErr w:type="spellEnd"/>
      <w:r w:rsidRPr="003F68A6">
        <w:rPr>
          <w:rFonts w:ascii="Arial" w:hAnsi="Arial" w:cs="Arial"/>
          <w:sz w:val="22"/>
          <w:szCs w:val="22"/>
          <w:lang w:val="en-IN"/>
        </w:rPr>
        <w:t xml:space="preserve">, S.C., </w:t>
      </w:r>
      <w:proofErr w:type="spellStart"/>
      <w:r w:rsidRPr="003F68A6">
        <w:rPr>
          <w:rFonts w:ascii="Arial" w:hAnsi="Arial" w:cs="Arial"/>
          <w:sz w:val="22"/>
          <w:szCs w:val="22"/>
          <w:lang w:val="en-IN"/>
        </w:rPr>
        <w:t>Ceranto</w:t>
      </w:r>
      <w:proofErr w:type="spellEnd"/>
      <w:r w:rsidRPr="003F68A6">
        <w:rPr>
          <w:rFonts w:ascii="Arial" w:hAnsi="Arial" w:cs="Arial"/>
          <w:sz w:val="22"/>
          <w:szCs w:val="22"/>
          <w:lang w:val="en-IN"/>
        </w:rPr>
        <w:t xml:space="preserve">, A., Craig, S.L., Busch, A. and </w:t>
      </w:r>
      <w:proofErr w:type="spellStart"/>
      <w:r w:rsidRPr="003F68A6">
        <w:rPr>
          <w:rFonts w:ascii="Arial" w:hAnsi="Arial" w:cs="Arial"/>
          <w:sz w:val="22"/>
          <w:szCs w:val="22"/>
          <w:lang w:val="en-IN"/>
        </w:rPr>
        <w:t>McCullagh</w:t>
      </w:r>
      <w:proofErr w:type="spellEnd"/>
      <w:r w:rsidRPr="003F68A6">
        <w:rPr>
          <w:rFonts w:ascii="Arial" w:hAnsi="Arial" w:cs="Arial"/>
          <w:sz w:val="22"/>
          <w:szCs w:val="22"/>
          <w:lang w:val="en-IN"/>
        </w:rPr>
        <w:t xml:space="preserve">, J.W. (2021). Training Peers to Ease Hospital Discharge: A Community–Clinical Partnership in Complex HIV Care. </w:t>
      </w:r>
      <w:r w:rsidRPr="003F68A6">
        <w:rPr>
          <w:rFonts w:ascii="Arial" w:hAnsi="Arial" w:cs="Arial"/>
          <w:i/>
          <w:iCs/>
          <w:sz w:val="22"/>
          <w:szCs w:val="22"/>
          <w:lang w:val="en-IN"/>
        </w:rPr>
        <w:t>Progress in community health partnerships</w:t>
      </w:r>
      <w:r w:rsidRPr="003F68A6">
        <w:rPr>
          <w:rFonts w:ascii="Arial" w:hAnsi="Arial" w:cs="Arial"/>
          <w:sz w:val="22"/>
          <w:szCs w:val="22"/>
          <w:lang w:val="en-IN"/>
        </w:rPr>
        <w:t xml:space="preserve">, 15(2), pp.225–60. </w:t>
      </w:r>
      <w:proofErr w:type="spellStart"/>
      <w:r w:rsidRPr="003F68A6">
        <w:rPr>
          <w:rFonts w:ascii="Arial" w:hAnsi="Arial" w:cs="Arial"/>
          <w:sz w:val="22"/>
          <w:szCs w:val="22"/>
          <w:lang w:val="en-IN"/>
        </w:rPr>
        <w:t>doi</w:t>
      </w:r>
      <w:proofErr w:type="spellEnd"/>
      <w:r w:rsidRPr="003F68A6">
        <w:rPr>
          <w:rFonts w:ascii="Arial" w:hAnsi="Arial" w:cs="Arial"/>
          <w:sz w:val="22"/>
          <w:szCs w:val="22"/>
          <w:lang w:val="en-IN"/>
        </w:rPr>
        <w:t xml:space="preserve">: </w:t>
      </w:r>
      <w:hyperlink r:id="rId11" w:history="1">
        <w:r>
          <w:rPr>
            <w:rStyle w:val="Hypertextovodkaz"/>
            <w:rFonts w:ascii="Arial" w:hAnsi="Arial" w:cs="Arial"/>
            <w:b/>
            <w:sz w:val="22"/>
            <w:szCs w:val="22"/>
            <w:lang w:val="en-IN"/>
          </w:rPr>
          <w:t xml:space="preserve"> https</w:t>
        </w:r>
        <w:r w:rsidRPr="003F68A6">
          <w:rPr>
            <w:rStyle w:val="Hypertextovodkaz"/>
            <w:rFonts w:ascii="Arial" w:hAnsi="Arial" w:cs="Arial"/>
            <w:b/>
            <w:sz w:val="22"/>
            <w:szCs w:val="22"/>
            <w:lang w:val="en-IN"/>
          </w:rPr>
          <w:t>://doi.org/10.1353/cpr.2021.0024</w:t>
        </w:r>
      </w:hyperlink>
      <w:r w:rsidRPr="003F68A6">
        <w:rPr>
          <w:rFonts w:ascii="Arial" w:hAnsi="Arial" w:cs="Arial"/>
          <w:sz w:val="22"/>
          <w:szCs w:val="22"/>
          <w:lang w:val="en-IN"/>
        </w:rPr>
        <w:t xml:space="preserve"> .</w:t>
      </w:r>
    </w:p>
    <w:p w14:paraId="78BE8F3C" w14:textId="77777777" w:rsidR="00465DD3" w:rsidRPr="003F68A6" w:rsidRDefault="00465DD3" w:rsidP="00403816">
      <w:pPr>
        <w:ind w:left="720" w:hanging="720"/>
        <w:jc w:val="both"/>
        <w:rPr>
          <w:rFonts w:ascii="Arial" w:hAnsi="Arial" w:cs="Arial"/>
          <w:sz w:val="22"/>
          <w:szCs w:val="22"/>
          <w:lang w:val="en-IN"/>
        </w:rPr>
      </w:pPr>
      <w:proofErr w:type="spellStart"/>
      <w:r w:rsidRPr="003F68A6">
        <w:rPr>
          <w:rFonts w:ascii="Arial" w:hAnsi="Arial" w:cs="Arial"/>
          <w:sz w:val="22"/>
          <w:szCs w:val="22"/>
          <w:lang w:val="en-IN"/>
        </w:rPr>
        <w:t>Fynn</w:t>
      </w:r>
      <w:proofErr w:type="spellEnd"/>
      <w:r w:rsidRPr="003F68A6">
        <w:rPr>
          <w:rFonts w:ascii="Arial" w:hAnsi="Arial" w:cs="Arial"/>
          <w:sz w:val="22"/>
          <w:szCs w:val="22"/>
          <w:lang w:val="en-IN"/>
        </w:rPr>
        <w:t xml:space="preserve">, J.F., Milton, K., </w:t>
      </w:r>
      <w:proofErr w:type="spellStart"/>
      <w:r w:rsidRPr="003F68A6">
        <w:rPr>
          <w:rFonts w:ascii="Arial" w:hAnsi="Arial" w:cs="Arial"/>
          <w:sz w:val="22"/>
          <w:szCs w:val="22"/>
          <w:lang w:val="en-IN"/>
        </w:rPr>
        <w:t>Hardeman</w:t>
      </w:r>
      <w:proofErr w:type="spellEnd"/>
      <w:r w:rsidRPr="003F68A6">
        <w:rPr>
          <w:rFonts w:ascii="Arial" w:hAnsi="Arial" w:cs="Arial"/>
          <w:sz w:val="22"/>
          <w:szCs w:val="22"/>
          <w:lang w:val="en-IN"/>
        </w:rPr>
        <w:t xml:space="preserve">, W. and Jones, A.P. (2022). A model for effective partnership working to support programme evaluation. </w:t>
      </w:r>
      <w:r w:rsidRPr="003F68A6">
        <w:rPr>
          <w:rFonts w:ascii="Arial" w:hAnsi="Arial" w:cs="Arial"/>
          <w:i/>
          <w:iCs/>
          <w:sz w:val="22"/>
          <w:szCs w:val="22"/>
          <w:lang w:val="en-IN"/>
        </w:rPr>
        <w:t>Evaluation</w:t>
      </w:r>
      <w:r w:rsidRPr="003F68A6">
        <w:rPr>
          <w:rFonts w:ascii="Arial" w:hAnsi="Arial" w:cs="Arial"/>
          <w:sz w:val="22"/>
          <w:szCs w:val="22"/>
          <w:lang w:val="en-IN"/>
        </w:rPr>
        <w:t xml:space="preserve">, 28(3), p.135638902210961. </w:t>
      </w:r>
      <w:proofErr w:type="spellStart"/>
      <w:r w:rsidRPr="003F68A6">
        <w:rPr>
          <w:rFonts w:ascii="Arial" w:hAnsi="Arial" w:cs="Arial"/>
          <w:sz w:val="22"/>
          <w:szCs w:val="22"/>
          <w:lang w:val="en-IN"/>
        </w:rPr>
        <w:t>doi</w:t>
      </w:r>
      <w:proofErr w:type="spellEnd"/>
      <w:r w:rsidRPr="003F68A6">
        <w:rPr>
          <w:rFonts w:ascii="Arial" w:hAnsi="Arial" w:cs="Arial"/>
          <w:sz w:val="22"/>
          <w:szCs w:val="22"/>
          <w:lang w:val="en-IN"/>
        </w:rPr>
        <w:t>:</w:t>
      </w:r>
      <w:hyperlink r:id="rId12" w:history="1">
        <w:r>
          <w:rPr>
            <w:rStyle w:val="Hypertextovodkaz"/>
            <w:rFonts w:ascii="Arial" w:hAnsi="Arial" w:cs="Arial"/>
            <w:b/>
            <w:sz w:val="22"/>
            <w:szCs w:val="22"/>
            <w:lang w:val="en-IN"/>
          </w:rPr>
          <w:t xml:space="preserve"> https</w:t>
        </w:r>
        <w:r w:rsidRPr="003F68A6">
          <w:rPr>
            <w:rStyle w:val="Hypertextovodkaz"/>
            <w:rFonts w:ascii="Arial" w:hAnsi="Arial" w:cs="Arial"/>
            <w:b/>
            <w:sz w:val="22"/>
            <w:szCs w:val="22"/>
            <w:lang w:val="en-IN"/>
          </w:rPr>
          <w:t>://doi.org/10.1177/13563890221096178</w:t>
        </w:r>
      </w:hyperlink>
      <w:r w:rsidRPr="003F68A6">
        <w:rPr>
          <w:rFonts w:ascii="Arial" w:hAnsi="Arial" w:cs="Arial"/>
          <w:sz w:val="22"/>
          <w:szCs w:val="22"/>
          <w:lang w:val="en-IN"/>
        </w:rPr>
        <w:t xml:space="preserve"> .</w:t>
      </w:r>
    </w:p>
    <w:p w14:paraId="4189EB61" w14:textId="77777777" w:rsidR="00465DD3" w:rsidRPr="00465DD3" w:rsidRDefault="00465DD3" w:rsidP="00465DD3">
      <w:pPr>
        <w:pStyle w:val="Normlnweb"/>
        <w:spacing w:before="0" w:beforeAutospacing="0" w:after="240" w:afterAutospacing="0"/>
        <w:ind w:left="720" w:hanging="720"/>
        <w:jc w:val="both"/>
        <w:rPr>
          <w:rFonts w:ascii="Arial" w:hAnsi="Arial" w:cs="Arial"/>
          <w:sz w:val="22"/>
        </w:rPr>
      </w:pPr>
      <w:r w:rsidRPr="00465DD3">
        <w:rPr>
          <w:rFonts w:ascii="Arial" w:hAnsi="Arial" w:cs="Arial"/>
          <w:sz w:val="22"/>
        </w:rPr>
        <w:t xml:space="preserve">Hertzberg, C.K., Kari, A. and </w:t>
      </w:r>
      <w:proofErr w:type="spellStart"/>
      <w:r w:rsidRPr="00465DD3">
        <w:rPr>
          <w:rFonts w:ascii="Arial" w:hAnsi="Arial" w:cs="Arial"/>
          <w:sz w:val="22"/>
        </w:rPr>
        <w:t>Magelssen</w:t>
      </w:r>
      <w:proofErr w:type="spellEnd"/>
      <w:r w:rsidRPr="00465DD3">
        <w:rPr>
          <w:rFonts w:ascii="Arial" w:hAnsi="Arial" w:cs="Arial"/>
          <w:sz w:val="22"/>
        </w:rPr>
        <w:t xml:space="preserve">, M. (2023). Blurred lines: Ethical challenges related to autonomy in home-based care. </w:t>
      </w:r>
      <w:r w:rsidRPr="00465DD3">
        <w:rPr>
          <w:rFonts w:ascii="Arial" w:hAnsi="Arial" w:cs="Arial"/>
          <w:i/>
          <w:iCs/>
          <w:sz w:val="22"/>
        </w:rPr>
        <w:t>Nursing Ethics</w:t>
      </w:r>
      <w:r w:rsidRPr="00465DD3">
        <w:rPr>
          <w:rFonts w:ascii="Arial" w:hAnsi="Arial" w:cs="Arial"/>
          <w:sz w:val="22"/>
        </w:rPr>
        <w:t xml:space="preserve">, 31(6). </w:t>
      </w:r>
      <w:proofErr w:type="spellStart"/>
      <w:r w:rsidRPr="00465DD3">
        <w:rPr>
          <w:rFonts w:ascii="Arial" w:hAnsi="Arial" w:cs="Arial"/>
          <w:sz w:val="22"/>
        </w:rPr>
        <w:t>doi</w:t>
      </w:r>
      <w:proofErr w:type="spellEnd"/>
      <w:r w:rsidRPr="00465DD3">
        <w:rPr>
          <w:rFonts w:ascii="Arial" w:hAnsi="Arial" w:cs="Arial"/>
          <w:sz w:val="22"/>
        </w:rPr>
        <w:t>:</w:t>
      </w:r>
      <w:r>
        <w:rPr>
          <w:rFonts w:ascii="Arial" w:hAnsi="Arial" w:cs="Arial"/>
          <w:sz w:val="22"/>
        </w:rPr>
        <w:t xml:space="preserve"> </w:t>
      </w:r>
      <w:hyperlink r:id="rId13" w:history="1">
        <w:r w:rsidRPr="00F94190">
          <w:rPr>
            <w:rStyle w:val="Hypertextovodkaz"/>
            <w:rFonts w:ascii="Arial" w:hAnsi="Arial" w:cs="Arial"/>
            <w:sz w:val="22"/>
          </w:rPr>
          <w:t>https://doi.org/10.1177/09697330231215951</w:t>
        </w:r>
      </w:hyperlink>
      <w:r w:rsidRPr="00465DD3">
        <w:rPr>
          <w:rFonts w:ascii="Arial" w:hAnsi="Arial" w:cs="Arial"/>
          <w:sz w:val="22"/>
        </w:rPr>
        <w:t>.</w:t>
      </w:r>
      <w:r>
        <w:rPr>
          <w:rFonts w:ascii="Arial" w:hAnsi="Arial" w:cs="Arial"/>
          <w:sz w:val="22"/>
        </w:rPr>
        <w:t xml:space="preserve"> </w:t>
      </w:r>
    </w:p>
    <w:p w14:paraId="6317C85F" w14:textId="77777777" w:rsidR="00465DD3" w:rsidRPr="00465DD3" w:rsidRDefault="00465DD3" w:rsidP="00465DD3">
      <w:pPr>
        <w:pStyle w:val="Normlnweb"/>
        <w:spacing w:before="0" w:beforeAutospacing="0" w:after="240" w:afterAutospacing="0"/>
        <w:ind w:left="720" w:hanging="720"/>
        <w:jc w:val="both"/>
        <w:rPr>
          <w:rFonts w:ascii="Arial" w:hAnsi="Arial" w:cs="Arial"/>
          <w:sz w:val="22"/>
        </w:rPr>
      </w:pPr>
      <w:r w:rsidRPr="00465DD3">
        <w:rPr>
          <w:rFonts w:ascii="Arial" w:hAnsi="Arial" w:cs="Arial"/>
          <w:sz w:val="22"/>
        </w:rPr>
        <w:t xml:space="preserve">Kuntz, J.L., Safford, M.M., Singh, J.A., </w:t>
      </w:r>
      <w:proofErr w:type="spellStart"/>
      <w:r w:rsidRPr="00465DD3">
        <w:rPr>
          <w:rFonts w:ascii="Arial" w:hAnsi="Arial" w:cs="Arial"/>
          <w:sz w:val="22"/>
        </w:rPr>
        <w:t>Phansalkar</w:t>
      </w:r>
      <w:proofErr w:type="spellEnd"/>
      <w:r w:rsidRPr="00465DD3">
        <w:rPr>
          <w:rFonts w:ascii="Arial" w:hAnsi="Arial" w:cs="Arial"/>
          <w:sz w:val="22"/>
        </w:rPr>
        <w:t xml:space="preserve">, S., Slight, S.P., Her, Q.L., Lapointe, N.A., Mathews, R., O’Brien, E., </w:t>
      </w:r>
      <w:proofErr w:type="spellStart"/>
      <w:r w:rsidRPr="00465DD3">
        <w:rPr>
          <w:rFonts w:ascii="Arial" w:hAnsi="Arial" w:cs="Arial"/>
          <w:sz w:val="22"/>
        </w:rPr>
        <w:t>Brinkman</w:t>
      </w:r>
      <w:proofErr w:type="spellEnd"/>
      <w:r w:rsidRPr="00465DD3">
        <w:rPr>
          <w:rFonts w:ascii="Arial" w:hAnsi="Arial" w:cs="Arial"/>
          <w:sz w:val="22"/>
        </w:rPr>
        <w:t xml:space="preserve">, W.B., </w:t>
      </w:r>
      <w:proofErr w:type="spellStart"/>
      <w:r w:rsidRPr="00465DD3">
        <w:rPr>
          <w:rFonts w:ascii="Arial" w:hAnsi="Arial" w:cs="Arial"/>
          <w:sz w:val="22"/>
        </w:rPr>
        <w:t>Hommel</w:t>
      </w:r>
      <w:proofErr w:type="spellEnd"/>
      <w:r w:rsidRPr="00465DD3">
        <w:rPr>
          <w:rFonts w:ascii="Arial" w:hAnsi="Arial" w:cs="Arial"/>
          <w:sz w:val="22"/>
        </w:rPr>
        <w:t xml:space="preserve">, K., Farmer, K.C., Klinger, E., Maniam, N., </w:t>
      </w:r>
      <w:proofErr w:type="spellStart"/>
      <w:r w:rsidRPr="00465DD3">
        <w:rPr>
          <w:rFonts w:ascii="Arial" w:hAnsi="Arial" w:cs="Arial"/>
          <w:sz w:val="22"/>
        </w:rPr>
        <w:t>Sobko</w:t>
      </w:r>
      <w:proofErr w:type="spellEnd"/>
      <w:r w:rsidRPr="00465DD3">
        <w:rPr>
          <w:rFonts w:ascii="Arial" w:hAnsi="Arial" w:cs="Arial"/>
          <w:sz w:val="22"/>
        </w:rPr>
        <w:t xml:space="preserve">, H.J., Bailey, S.C., Cho, I., </w:t>
      </w:r>
      <w:proofErr w:type="spellStart"/>
      <w:r w:rsidRPr="00465DD3">
        <w:rPr>
          <w:rFonts w:ascii="Arial" w:hAnsi="Arial" w:cs="Arial"/>
          <w:sz w:val="22"/>
        </w:rPr>
        <w:t>Rumptz</w:t>
      </w:r>
      <w:proofErr w:type="spellEnd"/>
      <w:r w:rsidRPr="00465DD3">
        <w:rPr>
          <w:rFonts w:ascii="Arial" w:hAnsi="Arial" w:cs="Arial"/>
          <w:sz w:val="22"/>
        </w:rPr>
        <w:t xml:space="preserve">, M.H., </w:t>
      </w:r>
      <w:proofErr w:type="spellStart"/>
      <w:r w:rsidRPr="00465DD3">
        <w:rPr>
          <w:rFonts w:ascii="Arial" w:hAnsi="Arial" w:cs="Arial"/>
          <w:sz w:val="22"/>
        </w:rPr>
        <w:t>Vandermeer</w:t>
      </w:r>
      <w:proofErr w:type="spellEnd"/>
      <w:r w:rsidRPr="00465DD3">
        <w:rPr>
          <w:rFonts w:ascii="Arial" w:hAnsi="Arial" w:cs="Arial"/>
          <w:sz w:val="22"/>
        </w:rPr>
        <w:t xml:space="preserve">, M.L. and </w:t>
      </w:r>
      <w:proofErr w:type="spellStart"/>
      <w:r w:rsidRPr="00465DD3">
        <w:rPr>
          <w:rFonts w:ascii="Arial" w:hAnsi="Arial" w:cs="Arial"/>
          <w:sz w:val="22"/>
        </w:rPr>
        <w:t>Hornbrook</w:t>
      </w:r>
      <w:proofErr w:type="spellEnd"/>
      <w:r w:rsidRPr="00465DD3">
        <w:rPr>
          <w:rFonts w:ascii="Arial" w:hAnsi="Arial" w:cs="Arial"/>
          <w:sz w:val="22"/>
        </w:rPr>
        <w:t xml:space="preserve">, M.C. (2014). </w:t>
      </w:r>
      <w:proofErr w:type="spellStart"/>
      <w:r w:rsidRPr="00465DD3">
        <w:rPr>
          <w:rFonts w:ascii="Arial" w:hAnsi="Arial" w:cs="Arial"/>
          <w:sz w:val="22"/>
        </w:rPr>
        <w:t>Patient-centered</w:t>
      </w:r>
      <w:proofErr w:type="spellEnd"/>
      <w:r w:rsidRPr="00465DD3">
        <w:rPr>
          <w:rFonts w:ascii="Arial" w:hAnsi="Arial" w:cs="Arial"/>
          <w:sz w:val="22"/>
        </w:rPr>
        <w:t xml:space="preserve"> interventions to improve medication management and adherence: A qualitative review of research findings. </w:t>
      </w:r>
      <w:r w:rsidRPr="00465DD3">
        <w:rPr>
          <w:rFonts w:ascii="Arial" w:hAnsi="Arial" w:cs="Arial"/>
          <w:i/>
          <w:iCs/>
          <w:sz w:val="22"/>
        </w:rPr>
        <w:t xml:space="preserve">Patient Education and </w:t>
      </w:r>
      <w:proofErr w:type="spellStart"/>
      <w:r w:rsidRPr="00465DD3">
        <w:rPr>
          <w:rFonts w:ascii="Arial" w:hAnsi="Arial" w:cs="Arial"/>
          <w:i/>
          <w:iCs/>
          <w:sz w:val="22"/>
        </w:rPr>
        <w:t>Counseling</w:t>
      </w:r>
      <w:proofErr w:type="spellEnd"/>
      <w:r w:rsidRPr="00465DD3">
        <w:rPr>
          <w:rFonts w:ascii="Arial" w:hAnsi="Arial" w:cs="Arial"/>
          <w:sz w:val="22"/>
        </w:rPr>
        <w:t xml:space="preserve">, 97(3), pp.310–326. </w:t>
      </w:r>
      <w:proofErr w:type="spellStart"/>
      <w:r w:rsidRPr="00465DD3">
        <w:rPr>
          <w:rFonts w:ascii="Arial" w:hAnsi="Arial" w:cs="Arial"/>
          <w:sz w:val="22"/>
        </w:rPr>
        <w:t>doi</w:t>
      </w:r>
      <w:proofErr w:type="spellEnd"/>
      <w:r w:rsidRPr="00465DD3">
        <w:rPr>
          <w:rFonts w:ascii="Arial" w:hAnsi="Arial" w:cs="Arial"/>
          <w:sz w:val="22"/>
        </w:rPr>
        <w:t>:</w:t>
      </w:r>
      <w:r>
        <w:rPr>
          <w:rFonts w:ascii="Arial" w:hAnsi="Arial" w:cs="Arial"/>
          <w:sz w:val="22"/>
        </w:rPr>
        <w:t xml:space="preserve"> </w:t>
      </w:r>
      <w:hyperlink r:id="rId14" w:history="1">
        <w:r w:rsidRPr="00F94190">
          <w:rPr>
            <w:rStyle w:val="Hypertextovodkaz"/>
            <w:rFonts w:ascii="Arial" w:hAnsi="Arial" w:cs="Arial"/>
            <w:sz w:val="22"/>
          </w:rPr>
          <w:t>https://doi.org/10.1016/j.pec.2014.08.021</w:t>
        </w:r>
      </w:hyperlink>
      <w:r w:rsidRPr="00465DD3">
        <w:rPr>
          <w:rFonts w:ascii="Arial" w:hAnsi="Arial" w:cs="Arial"/>
          <w:sz w:val="22"/>
        </w:rPr>
        <w:t>.</w:t>
      </w:r>
      <w:r>
        <w:rPr>
          <w:rFonts w:ascii="Arial" w:hAnsi="Arial" w:cs="Arial"/>
          <w:sz w:val="22"/>
        </w:rPr>
        <w:t xml:space="preserve"> </w:t>
      </w:r>
    </w:p>
    <w:p w14:paraId="226EC014" w14:textId="77777777" w:rsidR="00465DD3" w:rsidRPr="003F68A6" w:rsidRDefault="00465DD3" w:rsidP="00403816">
      <w:pPr>
        <w:ind w:left="720" w:hanging="720"/>
        <w:jc w:val="both"/>
        <w:rPr>
          <w:rFonts w:ascii="Arial" w:hAnsi="Arial" w:cs="Arial"/>
          <w:sz w:val="22"/>
          <w:szCs w:val="22"/>
          <w:lang w:val="en-IN"/>
        </w:rPr>
      </w:pPr>
      <w:proofErr w:type="spellStart"/>
      <w:r w:rsidRPr="003F68A6">
        <w:rPr>
          <w:rFonts w:ascii="Arial" w:hAnsi="Arial" w:cs="Arial"/>
          <w:sz w:val="22"/>
          <w:szCs w:val="22"/>
          <w:lang w:val="en-IN"/>
        </w:rPr>
        <w:t>Liwanag</w:t>
      </w:r>
      <w:proofErr w:type="spellEnd"/>
      <w:r w:rsidRPr="003F68A6">
        <w:rPr>
          <w:rFonts w:ascii="Arial" w:hAnsi="Arial" w:cs="Arial"/>
          <w:sz w:val="22"/>
          <w:szCs w:val="22"/>
          <w:lang w:val="en-IN"/>
        </w:rPr>
        <w:t xml:space="preserve">, H.J., James, O. and </w:t>
      </w:r>
      <w:proofErr w:type="spellStart"/>
      <w:r w:rsidRPr="003F68A6">
        <w:rPr>
          <w:rFonts w:ascii="Arial" w:hAnsi="Arial" w:cs="Arial"/>
          <w:sz w:val="22"/>
          <w:szCs w:val="22"/>
          <w:lang w:val="en-IN"/>
        </w:rPr>
        <w:t>Frahsa</w:t>
      </w:r>
      <w:proofErr w:type="spellEnd"/>
      <w:r w:rsidRPr="003F68A6">
        <w:rPr>
          <w:rFonts w:ascii="Arial" w:hAnsi="Arial" w:cs="Arial"/>
          <w:sz w:val="22"/>
          <w:szCs w:val="22"/>
          <w:lang w:val="en-IN"/>
        </w:rPr>
        <w:t xml:space="preserve">, A. (2023). A review and analysis of accountability in global health funding, research collaborations and training: towards conceptual clarity and better practice. </w:t>
      </w:r>
      <w:r w:rsidRPr="003F68A6">
        <w:rPr>
          <w:rFonts w:ascii="Arial" w:hAnsi="Arial" w:cs="Arial"/>
          <w:i/>
          <w:iCs/>
          <w:sz w:val="22"/>
          <w:szCs w:val="22"/>
          <w:lang w:val="en-IN"/>
        </w:rPr>
        <w:t>BMJ Global Health</w:t>
      </w:r>
      <w:r w:rsidRPr="003F68A6">
        <w:rPr>
          <w:rFonts w:ascii="Arial" w:hAnsi="Arial" w:cs="Arial"/>
          <w:sz w:val="22"/>
          <w:szCs w:val="22"/>
          <w:lang w:val="en-IN"/>
        </w:rPr>
        <w:t xml:space="preserve">, 8(12), pp.e012906–e012906. </w:t>
      </w:r>
      <w:proofErr w:type="spellStart"/>
      <w:r w:rsidRPr="003F68A6">
        <w:rPr>
          <w:rFonts w:ascii="Arial" w:hAnsi="Arial" w:cs="Arial"/>
          <w:sz w:val="22"/>
          <w:szCs w:val="22"/>
          <w:lang w:val="en-IN"/>
        </w:rPr>
        <w:t>doi</w:t>
      </w:r>
      <w:proofErr w:type="spellEnd"/>
      <w:r w:rsidRPr="003F68A6">
        <w:rPr>
          <w:rFonts w:ascii="Arial" w:hAnsi="Arial" w:cs="Arial"/>
          <w:sz w:val="22"/>
          <w:szCs w:val="22"/>
          <w:lang w:val="en-IN"/>
        </w:rPr>
        <w:t>:</w:t>
      </w:r>
      <w:hyperlink r:id="rId15" w:history="1">
        <w:r>
          <w:rPr>
            <w:rStyle w:val="Hypertextovodkaz"/>
            <w:rFonts w:ascii="Arial" w:hAnsi="Arial" w:cs="Arial"/>
            <w:b/>
            <w:sz w:val="22"/>
            <w:szCs w:val="22"/>
            <w:lang w:val="en-IN"/>
          </w:rPr>
          <w:t xml:space="preserve"> https</w:t>
        </w:r>
        <w:r w:rsidRPr="003F68A6">
          <w:rPr>
            <w:rStyle w:val="Hypertextovodkaz"/>
            <w:rFonts w:ascii="Arial" w:hAnsi="Arial" w:cs="Arial"/>
            <w:b/>
            <w:sz w:val="22"/>
            <w:szCs w:val="22"/>
            <w:lang w:val="en-IN"/>
          </w:rPr>
          <w:t>://doi.org/10.1136/bmjgh-2023-012906</w:t>
        </w:r>
      </w:hyperlink>
      <w:r w:rsidRPr="003F68A6">
        <w:rPr>
          <w:rFonts w:ascii="Arial" w:hAnsi="Arial" w:cs="Arial"/>
          <w:sz w:val="22"/>
          <w:szCs w:val="22"/>
          <w:lang w:val="en-IN"/>
        </w:rPr>
        <w:t xml:space="preserve"> .</w:t>
      </w:r>
    </w:p>
    <w:p w14:paraId="0DCB7165" w14:textId="77777777" w:rsidR="00465DD3" w:rsidRPr="003F68A6" w:rsidRDefault="00465DD3" w:rsidP="00403816">
      <w:pPr>
        <w:ind w:left="720" w:hanging="720"/>
        <w:jc w:val="both"/>
        <w:rPr>
          <w:rFonts w:ascii="Arial" w:hAnsi="Arial" w:cs="Arial"/>
          <w:sz w:val="22"/>
          <w:szCs w:val="22"/>
          <w:lang w:val="en-IN"/>
        </w:rPr>
      </w:pPr>
      <w:r w:rsidRPr="003F68A6">
        <w:rPr>
          <w:rFonts w:ascii="Arial" w:hAnsi="Arial" w:cs="Arial"/>
          <w:sz w:val="22"/>
          <w:szCs w:val="22"/>
          <w:lang w:val="en-IN"/>
        </w:rPr>
        <w:t xml:space="preserve">Masterson, D., </w:t>
      </w:r>
      <w:proofErr w:type="spellStart"/>
      <w:r w:rsidRPr="003F68A6">
        <w:rPr>
          <w:rFonts w:ascii="Arial" w:hAnsi="Arial" w:cs="Arial"/>
          <w:sz w:val="22"/>
          <w:szCs w:val="22"/>
          <w:lang w:val="en-IN"/>
        </w:rPr>
        <w:t>Areskoug</w:t>
      </w:r>
      <w:proofErr w:type="spellEnd"/>
      <w:r w:rsidRPr="003F68A6">
        <w:rPr>
          <w:rFonts w:ascii="Arial" w:hAnsi="Arial" w:cs="Arial"/>
          <w:sz w:val="22"/>
          <w:szCs w:val="22"/>
          <w:lang w:val="en-IN"/>
        </w:rPr>
        <w:t xml:space="preserve"> </w:t>
      </w:r>
      <w:proofErr w:type="spellStart"/>
      <w:r w:rsidRPr="003F68A6">
        <w:rPr>
          <w:rFonts w:ascii="Arial" w:hAnsi="Arial" w:cs="Arial"/>
          <w:sz w:val="22"/>
          <w:szCs w:val="22"/>
          <w:lang w:val="en-IN"/>
        </w:rPr>
        <w:t>Josefsson</w:t>
      </w:r>
      <w:proofErr w:type="spellEnd"/>
      <w:r w:rsidRPr="003F68A6">
        <w:rPr>
          <w:rFonts w:ascii="Arial" w:hAnsi="Arial" w:cs="Arial"/>
          <w:sz w:val="22"/>
          <w:szCs w:val="22"/>
          <w:lang w:val="en-IN"/>
        </w:rPr>
        <w:t xml:space="preserve">, K., Robert, G., Nylander, E. and </w:t>
      </w:r>
      <w:proofErr w:type="spellStart"/>
      <w:r w:rsidRPr="003F68A6">
        <w:rPr>
          <w:rFonts w:ascii="Arial" w:hAnsi="Arial" w:cs="Arial"/>
          <w:sz w:val="22"/>
          <w:szCs w:val="22"/>
          <w:lang w:val="en-IN"/>
        </w:rPr>
        <w:t>Kjellström</w:t>
      </w:r>
      <w:proofErr w:type="spellEnd"/>
      <w:r w:rsidRPr="003F68A6">
        <w:rPr>
          <w:rFonts w:ascii="Arial" w:hAnsi="Arial" w:cs="Arial"/>
          <w:sz w:val="22"/>
          <w:szCs w:val="22"/>
          <w:lang w:val="en-IN"/>
        </w:rPr>
        <w:t>, S. (2022). Mapping definitions of co</w:t>
      </w:r>
      <w:r w:rsidRPr="003F68A6">
        <w:rPr>
          <w:rFonts w:ascii="Cambria Math" w:hAnsi="Cambria Math" w:cs="Cambria Math"/>
          <w:sz w:val="22"/>
          <w:szCs w:val="22"/>
          <w:lang w:val="en-IN"/>
        </w:rPr>
        <w:t>‐</w:t>
      </w:r>
      <w:r w:rsidRPr="003F68A6">
        <w:rPr>
          <w:rFonts w:ascii="Arial" w:hAnsi="Arial" w:cs="Arial"/>
          <w:sz w:val="22"/>
          <w:szCs w:val="22"/>
          <w:lang w:val="en-IN"/>
        </w:rPr>
        <w:t>production and co</w:t>
      </w:r>
      <w:r w:rsidRPr="003F68A6">
        <w:rPr>
          <w:rFonts w:ascii="Cambria Math" w:hAnsi="Cambria Math" w:cs="Cambria Math"/>
          <w:sz w:val="22"/>
          <w:szCs w:val="22"/>
          <w:lang w:val="en-IN"/>
        </w:rPr>
        <w:t>‐</w:t>
      </w:r>
      <w:r w:rsidRPr="003F68A6">
        <w:rPr>
          <w:rFonts w:ascii="Arial" w:hAnsi="Arial" w:cs="Arial"/>
          <w:sz w:val="22"/>
          <w:szCs w:val="22"/>
          <w:lang w:val="en-IN"/>
        </w:rPr>
        <w:t xml:space="preserve">design in health and social care: A systematic scoping review providing lessons for the future. </w:t>
      </w:r>
      <w:r w:rsidRPr="003F68A6">
        <w:rPr>
          <w:rFonts w:ascii="Arial" w:hAnsi="Arial" w:cs="Arial"/>
          <w:i/>
          <w:iCs/>
          <w:sz w:val="22"/>
          <w:szCs w:val="22"/>
          <w:lang w:val="en-IN"/>
        </w:rPr>
        <w:t>Health Expectations</w:t>
      </w:r>
      <w:r w:rsidRPr="003F68A6">
        <w:rPr>
          <w:rFonts w:ascii="Arial" w:hAnsi="Arial" w:cs="Arial"/>
          <w:sz w:val="22"/>
          <w:szCs w:val="22"/>
          <w:lang w:val="en-IN"/>
        </w:rPr>
        <w:t xml:space="preserve">, 25(3), pp.902–913. </w:t>
      </w:r>
      <w:proofErr w:type="spellStart"/>
      <w:r w:rsidRPr="003F68A6">
        <w:rPr>
          <w:rFonts w:ascii="Arial" w:hAnsi="Arial" w:cs="Arial"/>
          <w:sz w:val="22"/>
          <w:szCs w:val="22"/>
          <w:lang w:val="en-IN"/>
        </w:rPr>
        <w:t>doi</w:t>
      </w:r>
      <w:proofErr w:type="spellEnd"/>
      <w:r w:rsidRPr="003F68A6">
        <w:rPr>
          <w:rFonts w:ascii="Arial" w:hAnsi="Arial" w:cs="Arial"/>
          <w:sz w:val="22"/>
          <w:szCs w:val="22"/>
          <w:lang w:val="en-IN"/>
        </w:rPr>
        <w:t xml:space="preserve">: </w:t>
      </w:r>
      <w:hyperlink r:id="rId16" w:history="1">
        <w:r>
          <w:rPr>
            <w:rStyle w:val="Hypertextovodkaz"/>
            <w:rFonts w:ascii="Arial" w:hAnsi="Arial" w:cs="Arial"/>
            <w:b/>
            <w:sz w:val="22"/>
            <w:szCs w:val="22"/>
            <w:lang w:val="en-IN"/>
          </w:rPr>
          <w:t xml:space="preserve"> https</w:t>
        </w:r>
        <w:r w:rsidRPr="003F68A6">
          <w:rPr>
            <w:rStyle w:val="Hypertextovodkaz"/>
            <w:rFonts w:ascii="Arial" w:hAnsi="Arial" w:cs="Arial"/>
            <w:b/>
            <w:sz w:val="22"/>
            <w:szCs w:val="22"/>
            <w:lang w:val="en-IN"/>
          </w:rPr>
          <w:t>://doi.org/10.1111/hex.13470</w:t>
        </w:r>
      </w:hyperlink>
      <w:r w:rsidRPr="003F68A6">
        <w:rPr>
          <w:rFonts w:ascii="Arial" w:hAnsi="Arial" w:cs="Arial"/>
          <w:sz w:val="22"/>
          <w:szCs w:val="22"/>
          <w:lang w:val="en-IN"/>
        </w:rPr>
        <w:t xml:space="preserve"> .</w:t>
      </w:r>
    </w:p>
    <w:p w14:paraId="50C9F706" w14:textId="77777777" w:rsidR="00465DD3" w:rsidRPr="00465DD3" w:rsidRDefault="00465DD3" w:rsidP="00465DD3">
      <w:pPr>
        <w:pStyle w:val="Normlnweb"/>
        <w:spacing w:before="0" w:beforeAutospacing="0" w:after="240" w:afterAutospacing="0"/>
        <w:ind w:left="720" w:hanging="720"/>
        <w:jc w:val="both"/>
        <w:rPr>
          <w:rFonts w:ascii="Arial" w:hAnsi="Arial" w:cs="Arial"/>
          <w:sz w:val="22"/>
        </w:rPr>
      </w:pPr>
      <w:proofErr w:type="spellStart"/>
      <w:r w:rsidRPr="00465DD3">
        <w:rPr>
          <w:rFonts w:ascii="Arial" w:hAnsi="Arial" w:cs="Arial"/>
          <w:sz w:val="22"/>
        </w:rPr>
        <w:t>McCance</w:t>
      </w:r>
      <w:proofErr w:type="spellEnd"/>
      <w:r w:rsidRPr="00465DD3">
        <w:rPr>
          <w:rFonts w:ascii="Arial" w:hAnsi="Arial" w:cs="Arial"/>
          <w:sz w:val="22"/>
        </w:rPr>
        <w:t xml:space="preserve">, T. and McCormack, B. (2025). The person-centred nursing framework: A mid-range theory for nursing practice. </w:t>
      </w:r>
      <w:r w:rsidRPr="00465DD3">
        <w:rPr>
          <w:rFonts w:ascii="Arial" w:hAnsi="Arial" w:cs="Arial"/>
          <w:i/>
          <w:iCs/>
          <w:sz w:val="22"/>
        </w:rPr>
        <w:t>Journal of Research in Nursing</w:t>
      </w:r>
      <w:r w:rsidRPr="00465DD3">
        <w:rPr>
          <w:rFonts w:ascii="Arial" w:hAnsi="Arial" w:cs="Arial"/>
          <w:sz w:val="22"/>
        </w:rPr>
        <w:t xml:space="preserve">, 30(1), pp.47–60. </w:t>
      </w:r>
      <w:proofErr w:type="spellStart"/>
      <w:r w:rsidRPr="00465DD3">
        <w:rPr>
          <w:rFonts w:ascii="Arial" w:hAnsi="Arial" w:cs="Arial"/>
          <w:sz w:val="22"/>
        </w:rPr>
        <w:t>doi</w:t>
      </w:r>
      <w:proofErr w:type="spellEnd"/>
      <w:r w:rsidRPr="00465DD3">
        <w:rPr>
          <w:rFonts w:ascii="Arial" w:hAnsi="Arial" w:cs="Arial"/>
          <w:sz w:val="22"/>
        </w:rPr>
        <w:t>:</w:t>
      </w:r>
      <w:r>
        <w:rPr>
          <w:rFonts w:ascii="Arial" w:hAnsi="Arial" w:cs="Arial"/>
          <w:sz w:val="22"/>
        </w:rPr>
        <w:t xml:space="preserve"> </w:t>
      </w:r>
      <w:hyperlink r:id="rId17" w:history="1">
        <w:r w:rsidRPr="00F94190">
          <w:rPr>
            <w:rStyle w:val="Hypertextovodkaz"/>
            <w:rFonts w:ascii="Arial" w:hAnsi="Arial" w:cs="Arial"/>
            <w:sz w:val="22"/>
          </w:rPr>
          <w:t>https://doi.org/10.1177/17449871241281428</w:t>
        </w:r>
      </w:hyperlink>
      <w:r w:rsidRPr="00465DD3">
        <w:rPr>
          <w:rFonts w:ascii="Arial" w:hAnsi="Arial" w:cs="Arial"/>
          <w:sz w:val="22"/>
        </w:rPr>
        <w:t>.</w:t>
      </w:r>
      <w:r>
        <w:rPr>
          <w:rFonts w:ascii="Arial" w:hAnsi="Arial" w:cs="Arial"/>
          <w:sz w:val="22"/>
        </w:rPr>
        <w:t xml:space="preserve"> </w:t>
      </w:r>
    </w:p>
    <w:p w14:paraId="6F167805" w14:textId="77777777" w:rsidR="00465DD3" w:rsidRPr="003F68A6" w:rsidRDefault="00465DD3" w:rsidP="00403816">
      <w:pPr>
        <w:ind w:left="720" w:hanging="720"/>
        <w:jc w:val="both"/>
        <w:rPr>
          <w:rFonts w:ascii="Arial" w:hAnsi="Arial" w:cs="Arial"/>
          <w:sz w:val="22"/>
          <w:szCs w:val="22"/>
          <w:lang w:val="en-IN"/>
        </w:rPr>
      </w:pPr>
      <w:r w:rsidRPr="003F68A6">
        <w:rPr>
          <w:rFonts w:ascii="Arial" w:hAnsi="Arial" w:cs="Arial"/>
          <w:sz w:val="22"/>
          <w:szCs w:val="22"/>
          <w:lang w:val="en-IN"/>
        </w:rPr>
        <w:t xml:space="preserve">Moore, H.L., Farnworth, A., Watson, R., Giles, K., Tomson, D. and Thomson, R.G. (2021). Inclusion of person-centred care in medical and nursing undergraduate curricula in the UK: Interviews and documentary analysis. </w:t>
      </w:r>
      <w:r w:rsidRPr="003F68A6">
        <w:rPr>
          <w:rFonts w:ascii="Arial" w:hAnsi="Arial" w:cs="Arial"/>
          <w:i/>
          <w:iCs/>
          <w:sz w:val="22"/>
          <w:szCs w:val="22"/>
          <w:lang w:val="en-IN"/>
        </w:rPr>
        <w:t xml:space="preserve">Patient Education and </w:t>
      </w:r>
      <w:proofErr w:type="spellStart"/>
      <w:r w:rsidRPr="003F68A6">
        <w:rPr>
          <w:rFonts w:ascii="Arial" w:hAnsi="Arial" w:cs="Arial"/>
          <w:i/>
          <w:iCs/>
          <w:sz w:val="22"/>
          <w:szCs w:val="22"/>
          <w:lang w:val="en-IN"/>
        </w:rPr>
        <w:t>Counseling</w:t>
      </w:r>
      <w:proofErr w:type="spellEnd"/>
      <w:r w:rsidRPr="003F68A6">
        <w:rPr>
          <w:rFonts w:ascii="Arial" w:hAnsi="Arial" w:cs="Arial"/>
          <w:sz w:val="22"/>
          <w:szCs w:val="22"/>
          <w:lang w:val="en-IN"/>
        </w:rPr>
        <w:t xml:space="preserve">, 104(4), pp.877–886. </w:t>
      </w:r>
      <w:proofErr w:type="spellStart"/>
      <w:r w:rsidRPr="003F68A6">
        <w:rPr>
          <w:rFonts w:ascii="Arial" w:hAnsi="Arial" w:cs="Arial"/>
          <w:sz w:val="22"/>
          <w:szCs w:val="22"/>
          <w:lang w:val="en-IN"/>
        </w:rPr>
        <w:t>doi</w:t>
      </w:r>
      <w:proofErr w:type="spellEnd"/>
      <w:r w:rsidRPr="003F68A6">
        <w:rPr>
          <w:rFonts w:ascii="Arial" w:hAnsi="Arial" w:cs="Arial"/>
          <w:sz w:val="22"/>
          <w:szCs w:val="22"/>
          <w:lang w:val="en-IN"/>
        </w:rPr>
        <w:t xml:space="preserve">: </w:t>
      </w:r>
      <w:hyperlink r:id="rId18" w:history="1">
        <w:r>
          <w:rPr>
            <w:rStyle w:val="Hypertextovodkaz"/>
            <w:rFonts w:ascii="Arial" w:hAnsi="Arial" w:cs="Arial"/>
            <w:b/>
            <w:sz w:val="22"/>
            <w:szCs w:val="22"/>
            <w:lang w:val="en-IN"/>
          </w:rPr>
          <w:t xml:space="preserve"> https</w:t>
        </w:r>
        <w:r w:rsidRPr="003F68A6">
          <w:rPr>
            <w:rStyle w:val="Hypertextovodkaz"/>
            <w:rFonts w:ascii="Arial" w:hAnsi="Arial" w:cs="Arial"/>
            <w:b/>
            <w:sz w:val="22"/>
            <w:szCs w:val="22"/>
            <w:lang w:val="en-IN"/>
          </w:rPr>
          <w:t>://doi.org/10.1016/j.pec.2020.09.030</w:t>
        </w:r>
      </w:hyperlink>
      <w:r w:rsidRPr="003F68A6">
        <w:rPr>
          <w:rFonts w:ascii="Arial" w:hAnsi="Arial" w:cs="Arial"/>
          <w:sz w:val="22"/>
          <w:szCs w:val="22"/>
          <w:lang w:val="en-IN"/>
        </w:rPr>
        <w:t xml:space="preserve">. </w:t>
      </w:r>
    </w:p>
    <w:p w14:paraId="4C0745A9" w14:textId="77777777" w:rsidR="00465DD3" w:rsidRPr="003F68A6" w:rsidRDefault="00465DD3" w:rsidP="00403816">
      <w:pPr>
        <w:ind w:left="720" w:hanging="720"/>
        <w:jc w:val="both"/>
        <w:rPr>
          <w:rFonts w:ascii="Arial" w:hAnsi="Arial" w:cs="Arial"/>
          <w:sz w:val="22"/>
          <w:szCs w:val="22"/>
          <w:lang w:val="en-IN"/>
        </w:rPr>
      </w:pPr>
      <w:proofErr w:type="spellStart"/>
      <w:r w:rsidRPr="003F68A6">
        <w:rPr>
          <w:rFonts w:ascii="Arial" w:hAnsi="Arial" w:cs="Arial"/>
          <w:sz w:val="22"/>
          <w:szCs w:val="22"/>
          <w:lang w:val="en-IN"/>
        </w:rPr>
        <w:t>Moriña</w:t>
      </w:r>
      <w:proofErr w:type="spellEnd"/>
      <w:r w:rsidRPr="003F68A6">
        <w:rPr>
          <w:rFonts w:ascii="Arial" w:hAnsi="Arial" w:cs="Arial"/>
          <w:sz w:val="22"/>
          <w:szCs w:val="22"/>
          <w:lang w:val="en-IN"/>
        </w:rPr>
        <w:t xml:space="preserve">, A. (2020). When people matter: The ethics of qualitative research in the health and social sciences. </w:t>
      </w:r>
      <w:r w:rsidRPr="003F68A6">
        <w:rPr>
          <w:rFonts w:ascii="Arial" w:hAnsi="Arial" w:cs="Arial"/>
          <w:i/>
          <w:iCs/>
          <w:sz w:val="22"/>
          <w:szCs w:val="22"/>
          <w:lang w:val="en-IN"/>
        </w:rPr>
        <w:t>Health &amp; Social Care in the Community</w:t>
      </w:r>
      <w:r w:rsidRPr="003F68A6">
        <w:rPr>
          <w:rFonts w:ascii="Arial" w:hAnsi="Arial" w:cs="Arial"/>
          <w:sz w:val="22"/>
          <w:szCs w:val="22"/>
          <w:lang w:val="en-IN"/>
        </w:rPr>
        <w:t xml:space="preserve">, 29(5), pp.1559–1565. </w:t>
      </w:r>
      <w:proofErr w:type="spellStart"/>
      <w:r w:rsidRPr="003F68A6">
        <w:rPr>
          <w:rFonts w:ascii="Arial" w:hAnsi="Arial" w:cs="Arial"/>
          <w:sz w:val="22"/>
          <w:szCs w:val="22"/>
          <w:lang w:val="en-IN"/>
        </w:rPr>
        <w:t>doi</w:t>
      </w:r>
      <w:proofErr w:type="spellEnd"/>
      <w:r w:rsidRPr="003F68A6">
        <w:rPr>
          <w:rFonts w:ascii="Arial" w:hAnsi="Arial" w:cs="Arial"/>
          <w:sz w:val="22"/>
          <w:szCs w:val="22"/>
          <w:lang w:val="en-IN"/>
        </w:rPr>
        <w:t>:</w:t>
      </w:r>
      <w:hyperlink r:id="rId19" w:history="1">
        <w:r>
          <w:rPr>
            <w:rStyle w:val="Hypertextovodkaz"/>
            <w:rFonts w:ascii="Arial" w:hAnsi="Arial" w:cs="Arial"/>
            <w:b/>
            <w:sz w:val="22"/>
            <w:szCs w:val="22"/>
            <w:lang w:val="en-IN"/>
          </w:rPr>
          <w:t xml:space="preserve"> https</w:t>
        </w:r>
        <w:r w:rsidRPr="003F68A6">
          <w:rPr>
            <w:rStyle w:val="Hypertextovodkaz"/>
            <w:rFonts w:ascii="Arial" w:hAnsi="Arial" w:cs="Arial"/>
            <w:b/>
            <w:sz w:val="22"/>
            <w:szCs w:val="22"/>
            <w:lang w:val="en-IN"/>
          </w:rPr>
          <w:t>://doi.org/10.1111/hsc.13221</w:t>
        </w:r>
      </w:hyperlink>
      <w:r w:rsidRPr="003F68A6">
        <w:rPr>
          <w:rFonts w:ascii="Arial" w:hAnsi="Arial" w:cs="Arial"/>
          <w:sz w:val="22"/>
          <w:szCs w:val="22"/>
          <w:lang w:val="en-IN"/>
        </w:rPr>
        <w:t xml:space="preserve"> </w:t>
      </w:r>
    </w:p>
    <w:p w14:paraId="4E08492C" w14:textId="77777777" w:rsidR="00465DD3" w:rsidRPr="003F68A6" w:rsidRDefault="00465DD3" w:rsidP="00403816">
      <w:pPr>
        <w:ind w:left="720" w:hanging="720"/>
        <w:jc w:val="both"/>
        <w:rPr>
          <w:rFonts w:ascii="Arial" w:hAnsi="Arial" w:cs="Arial"/>
          <w:sz w:val="22"/>
          <w:szCs w:val="22"/>
          <w:lang w:val="en-IN"/>
        </w:rPr>
      </w:pPr>
      <w:proofErr w:type="spellStart"/>
      <w:r w:rsidRPr="003F68A6">
        <w:rPr>
          <w:rFonts w:ascii="Arial" w:hAnsi="Arial" w:cs="Arial"/>
          <w:sz w:val="22"/>
          <w:szCs w:val="22"/>
          <w:lang w:val="en-IN"/>
        </w:rPr>
        <w:t>Pilnick</w:t>
      </w:r>
      <w:proofErr w:type="spellEnd"/>
      <w:r w:rsidRPr="003F68A6">
        <w:rPr>
          <w:rFonts w:ascii="Arial" w:hAnsi="Arial" w:cs="Arial"/>
          <w:sz w:val="22"/>
          <w:szCs w:val="22"/>
          <w:lang w:val="en-IN"/>
        </w:rPr>
        <w:t xml:space="preserve">, A. (2022). What Is Patient Centred Care? </w:t>
      </w:r>
      <w:r w:rsidRPr="003F68A6">
        <w:rPr>
          <w:rFonts w:ascii="Arial" w:hAnsi="Arial" w:cs="Arial"/>
          <w:i/>
          <w:iCs/>
          <w:sz w:val="22"/>
          <w:szCs w:val="22"/>
          <w:lang w:val="en-IN"/>
        </w:rPr>
        <w:t>Emerald Publishing Limited eBooks</w:t>
      </w:r>
      <w:r w:rsidRPr="003F68A6">
        <w:rPr>
          <w:rFonts w:ascii="Arial" w:hAnsi="Arial" w:cs="Arial"/>
          <w:sz w:val="22"/>
          <w:szCs w:val="22"/>
          <w:lang w:val="en-IN"/>
        </w:rPr>
        <w:t xml:space="preserve">, pp.7–26. </w:t>
      </w:r>
      <w:proofErr w:type="spellStart"/>
      <w:r w:rsidRPr="003F68A6">
        <w:rPr>
          <w:rFonts w:ascii="Arial" w:hAnsi="Arial" w:cs="Arial"/>
          <w:sz w:val="22"/>
          <w:szCs w:val="22"/>
          <w:lang w:val="en-IN"/>
        </w:rPr>
        <w:t>doi</w:t>
      </w:r>
      <w:proofErr w:type="spellEnd"/>
      <w:r w:rsidRPr="003F68A6">
        <w:rPr>
          <w:rFonts w:ascii="Arial" w:hAnsi="Arial" w:cs="Arial"/>
          <w:sz w:val="22"/>
          <w:szCs w:val="22"/>
          <w:lang w:val="en-IN"/>
        </w:rPr>
        <w:t xml:space="preserve">: </w:t>
      </w:r>
      <w:hyperlink r:id="rId20" w:history="1">
        <w:r>
          <w:rPr>
            <w:rStyle w:val="Hypertextovodkaz"/>
            <w:rFonts w:ascii="Arial" w:hAnsi="Arial" w:cs="Arial"/>
            <w:b/>
            <w:sz w:val="22"/>
            <w:szCs w:val="22"/>
            <w:lang w:val="en-IN"/>
          </w:rPr>
          <w:t xml:space="preserve"> https</w:t>
        </w:r>
        <w:r w:rsidRPr="003F68A6">
          <w:rPr>
            <w:rStyle w:val="Hypertextovodkaz"/>
            <w:rFonts w:ascii="Arial" w:hAnsi="Arial" w:cs="Arial"/>
            <w:b/>
            <w:sz w:val="22"/>
            <w:szCs w:val="22"/>
            <w:lang w:val="en-IN"/>
          </w:rPr>
          <w:t>://doi.org/10.1108/978-1-80071-743-520221002</w:t>
        </w:r>
      </w:hyperlink>
      <w:r w:rsidRPr="003F68A6">
        <w:rPr>
          <w:rFonts w:ascii="Arial" w:hAnsi="Arial" w:cs="Arial"/>
          <w:sz w:val="22"/>
          <w:szCs w:val="22"/>
          <w:lang w:val="en-IN"/>
        </w:rPr>
        <w:t xml:space="preserve">. </w:t>
      </w:r>
    </w:p>
    <w:p w14:paraId="2EEC0297" w14:textId="77777777" w:rsidR="00465DD3" w:rsidRPr="00465DD3" w:rsidRDefault="00465DD3" w:rsidP="00465DD3">
      <w:pPr>
        <w:pStyle w:val="Normlnweb"/>
        <w:spacing w:before="0" w:beforeAutospacing="0" w:after="240" w:afterAutospacing="0"/>
        <w:ind w:left="720" w:hanging="720"/>
        <w:jc w:val="both"/>
        <w:rPr>
          <w:rFonts w:ascii="Arial" w:hAnsi="Arial" w:cs="Arial"/>
          <w:sz w:val="22"/>
        </w:rPr>
      </w:pPr>
      <w:proofErr w:type="spellStart"/>
      <w:r w:rsidRPr="00465DD3">
        <w:rPr>
          <w:rFonts w:ascii="Arial" w:hAnsi="Arial" w:cs="Arial"/>
          <w:sz w:val="22"/>
        </w:rPr>
        <w:t>Pradelli</w:t>
      </w:r>
      <w:proofErr w:type="spellEnd"/>
      <w:r w:rsidRPr="00465DD3">
        <w:rPr>
          <w:rFonts w:ascii="Arial" w:hAnsi="Arial" w:cs="Arial"/>
          <w:sz w:val="22"/>
        </w:rPr>
        <w:t xml:space="preserve">, L., </w:t>
      </w:r>
      <w:proofErr w:type="spellStart"/>
      <w:r w:rsidRPr="00465DD3">
        <w:rPr>
          <w:rFonts w:ascii="Arial" w:hAnsi="Arial" w:cs="Arial"/>
          <w:sz w:val="22"/>
        </w:rPr>
        <w:t>Risoli</w:t>
      </w:r>
      <w:proofErr w:type="spellEnd"/>
      <w:r w:rsidRPr="00465DD3">
        <w:rPr>
          <w:rFonts w:ascii="Arial" w:hAnsi="Arial" w:cs="Arial"/>
          <w:sz w:val="22"/>
        </w:rPr>
        <w:t xml:space="preserve">, C., Summer, E., Bellini, G., </w:t>
      </w:r>
      <w:proofErr w:type="spellStart"/>
      <w:r w:rsidRPr="00465DD3">
        <w:rPr>
          <w:rFonts w:ascii="Arial" w:hAnsi="Arial" w:cs="Arial"/>
          <w:sz w:val="22"/>
        </w:rPr>
        <w:t>Mozzarelli</w:t>
      </w:r>
      <w:proofErr w:type="spellEnd"/>
      <w:r w:rsidRPr="00465DD3">
        <w:rPr>
          <w:rFonts w:ascii="Arial" w:hAnsi="Arial" w:cs="Arial"/>
          <w:sz w:val="22"/>
        </w:rPr>
        <w:t xml:space="preserve">, F., Anderson, G., </w:t>
      </w:r>
      <w:proofErr w:type="spellStart"/>
      <w:r w:rsidRPr="00465DD3">
        <w:rPr>
          <w:rFonts w:ascii="Arial" w:hAnsi="Arial" w:cs="Arial"/>
          <w:sz w:val="22"/>
        </w:rPr>
        <w:t>Guasconi</w:t>
      </w:r>
      <w:proofErr w:type="spellEnd"/>
      <w:r w:rsidRPr="00465DD3">
        <w:rPr>
          <w:rFonts w:ascii="Arial" w:hAnsi="Arial" w:cs="Arial"/>
          <w:sz w:val="22"/>
        </w:rPr>
        <w:t xml:space="preserve">, M., </w:t>
      </w:r>
      <w:proofErr w:type="spellStart"/>
      <w:r w:rsidRPr="00465DD3">
        <w:rPr>
          <w:rFonts w:ascii="Arial" w:hAnsi="Arial" w:cs="Arial"/>
          <w:sz w:val="22"/>
        </w:rPr>
        <w:t>Artioli</w:t>
      </w:r>
      <w:proofErr w:type="spellEnd"/>
      <w:r w:rsidRPr="00465DD3">
        <w:rPr>
          <w:rFonts w:ascii="Arial" w:hAnsi="Arial" w:cs="Arial"/>
          <w:sz w:val="22"/>
        </w:rPr>
        <w:t xml:space="preserve">, G., </w:t>
      </w:r>
      <w:proofErr w:type="spellStart"/>
      <w:r w:rsidRPr="00465DD3">
        <w:rPr>
          <w:rFonts w:ascii="Arial" w:hAnsi="Arial" w:cs="Arial"/>
          <w:sz w:val="22"/>
        </w:rPr>
        <w:t>Bonacaro</w:t>
      </w:r>
      <w:proofErr w:type="spellEnd"/>
      <w:r w:rsidRPr="00465DD3">
        <w:rPr>
          <w:rFonts w:ascii="Arial" w:hAnsi="Arial" w:cs="Arial"/>
          <w:sz w:val="22"/>
        </w:rPr>
        <w:t xml:space="preserve">, A. and </w:t>
      </w:r>
      <w:proofErr w:type="spellStart"/>
      <w:r w:rsidRPr="00465DD3">
        <w:rPr>
          <w:rFonts w:ascii="Arial" w:hAnsi="Arial" w:cs="Arial"/>
          <w:sz w:val="22"/>
        </w:rPr>
        <w:t>Sarli</w:t>
      </w:r>
      <w:proofErr w:type="spellEnd"/>
      <w:r w:rsidRPr="00465DD3">
        <w:rPr>
          <w:rFonts w:ascii="Arial" w:hAnsi="Arial" w:cs="Arial"/>
          <w:sz w:val="22"/>
        </w:rPr>
        <w:t xml:space="preserve">, L. (2025). Healthcare professional perspective on barriers and facilitators of multidisciplinary team working in acute care setting: a systematic review and meta-synthesis. </w:t>
      </w:r>
      <w:r w:rsidRPr="00465DD3">
        <w:rPr>
          <w:rFonts w:ascii="Arial" w:hAnsi="Arial" w:cs="Arial"/>
          <w:i/>
          <w:iCs/>
          <w:sz w:val="22"/>
        </w:rPr>
        <w:t>BMJ open</w:t>
      </w:r>
      <w:r w:rsidRPr="00465DD3">
        <w:rPr>
          <w:rFonts w:ascii="Arial" w:hAnsi="Arial" w:cs="Arial"/>
          <w:sz w:val="22"/>
        </w:rPr>
        <w:t xml:space="preserve">, 15(3). </w:t>
      </w:r>
      <w:proofErr w:type="spellStart"/>
      <w:r w:rsidRPr="00465DD3">
        <w:rPr>
          <w:rFonts w:ascii="Arial" w:hAnsi="Arial" w:cs="Arial"/>
          <w:sz w:val="22"/>
        </w:rPr>
        <w:t>doi</w:t>
      </w:r>
      <w:proofErr w:type="spellEnd"/>
      <w:r w:rsidRPr="00465DD3">
        <w:rPr>
          <w:rFonts w:ascii="Arial" w:hAnsi="Arial" w:cs="Arial"/>
          <w:sz w:val="22"/>
        </w:rPr>
        <w:t>:</w:t>
      </w:r>
      <w:r>
        <w:rPr>
          <w:rFonts w:ascii="Arial" w:hAnsi="Arial" w:cs="Arial"/>
          <w:sz w:val="22"/>
        </w:rPr>
        <w:t xml:space="preserve"> </w:t>
      </w:r>
      <w:hyperlink r:id="rId21" w:history="1">
        <w:r w:rsidRPr="00F94190">
          <w:rPr>
            <w:rStyle w:val="Hypertextovodkaz"/>
            <w:rFonts w:ascii="Arial" w:hAnsi="Arial" w:cs="Arial"/>
            <w:sz w:val="22"/>
          </w:rPr>
          <w:t>https://doi.org/10.1136/bmjopen-2024-087268</w:t>
        </w:r>
      </w:hyperlink>
      <w:r w:rsidRPr="00465DD3">
        <w:rPr>
          <w:rFonts w:ascii="Arial" w:hAnsi="Arial" w:cs="Arial"/>
          <w:sz w:val="22"/>
        </w:rPr>
        <w:t>.</w:t>
      </w:r>
      <w:r>
        <w:rPr>
          <w:rFonts w:ascii="Arial" w:hAnsi="Arial" w:cs="Arial"/>
          <w:sz w:val="22"/>
        </w:rPr>
        <w:t xml:space="preserve"> </w:t>
      </w:r>
    </w:p>
    <w:p w14:paraId="2F2C1A05" w14:textId="77777777" w:rsidR="00465DD3" w:rsidRDefault="00465DD3" w:rsidP="00403816">
      <w:pPr>
        <w:ind w:left="720" w:hanging="720"/>
        <w:jc w:val="both"/>
        <w:rPr>
          <w:rFonts w:ascii="Arial" w:hAnsi="Arial" w:cs="Arial"/>
          <w:sz w:val="22"/>
          <w:szCs w:val="22"/>
          <w:lang w:val="en-IN"/>
        </w:rPr>
      </w:pPr>
      <w:r w:rsidRPr="003F68A6">
        <w:rPr>
          <w:rFonts w:ascii="Arial" w:hAnsi="Arial" w:cs="Arial"/>
          <w:sz w:val="22"/>
          <w:szCs w:val="22"/>
          <w:lang w:val="en-IN"/>
        </w:rPr>
        <w:t xml:space="preserve">Usc.edu.au. (2025). </w:t>
      </w:r>
      <w:r w:rsidRPr="003F68A6">
        <w:rPr>
          <w:rFonts w:ascii="Arial" w:hAnsi="Arial" w:cs="Arial"/>
          <w:i/>
          <w:iCs/>
          <w:sz w:val="22"/>
          <w:szCs w:val="22"/>
          <w:lang w:val="en-IN"/>
        </w:rPr>
        <w:t>Research Portal</w:t>
      </w:r>
      <w:r w:rsidRPr="003F68A6">
        <w:rPr>
          <w:rFonts w:ascii="Arial" w:hAnsi="Arial" w:cs="Arial"/>
          <w:sz w:val="22"/>
          <w:szCs w:val="22"/>
          <w:lang w:val="en-IN"/>
        </w:rPr>
        <w:t xml:space="preserve">. Available at: </w:t>
      </w:r>
      <w:hyperlink r:id="rId22" w:history="1">
        <w:r>
          <w:rPr>
            <w:rStyle w:val="Hypertextovodkaz"/>
            <w:rFonts w:ascii="Arial" w:hAnsi="Arial" w:cs="Arial"/>
            <w:b/>
            <w:sz w:val="22"/>
            <w:szCs w:val="22"/>
            <w:lang w:val="en-IN"/>
          </w:rPr>
          <w:t xml:space="preserve"> https</w:t>
        </w:r>
        <w:r w:rsidRPr="003F68A6">
          <w:rPr>
            <w:rStyle w:val="Hypertextovodkaz"/>
            <w:rFonts w:ascii="Arial" w:hAnsi="Arial" w:cs="Arial"/>
            <w:b/>
            <w:sz w:val="22"/>
            <w:szCs w:val="22"/>
            <w:lang w:val="en-IN"/>
          </w:rPr>
          <w:t>://research.usc.edu.au/esploro/outputs/graduate/Perspectives-of-health-professionals-on-providing/991127506102621</w:t>
        </w:r>
      </w:hyperlink>
      <w:r w:rsidRPr="003F68A6">
        <w:rPr>
          <w:rFonts w:ascii="Arial" w:hAnsi="Arial" w:cs="Arial"/>
          <w:sz w:val="22"/>
          <w:szCs w:val="22"/>
          <w:lang w:val="en-IN"/>
        </w:rPr>
        <w:t xml:space="preserve">. </w:t>
      </w:r>
    </w:p>
    <w:p w14:paraId="49EF1060" w14:textId="77777777" w:rsidR="00465DD3" w:rsidRPr="003F68A6" w:rsidRDefault="00465DD3" w:rsidP="00403816">
      <w:pPr>
        <w:ind w:left="720" w:hanging="720"/>
        <w:jc w:val="both"/>
        <w:rPr>
          <w:rFonts w:ascii="Arial" w:hAnsi="Arial" w:cs="Arial"/>
          <w:sz w:val="22"/>
          <w:szCs w:val="22"/>
          <w:lang w:val="en-IN"/>
        </w:rPr>
      </w:pPr>
    </w:p>
    <w:p w14:paraId="7354158E" w14:textId="77777777" w:rsidR="006953FA" w:rsidRPr="003F68A6" w:rsidRDefault="006953FA" w:rsidP="003F68A6">
      <w:pPr>
        <w:spacing w:line="360" w:lineRule="auto"/>
        <w:jc w:val="both"/>
        <w:rPr>
          <w:rFonts w:ascii="Arial" w:hAnsi="Arial" w:cs="Arial"/>
          <w:sz w:val="22"/>
          <w:szCs w:val="22"/>
        </w:rPr>
      </w:pPr>
    </w:p>
    <w:sectPr w:rsidR="006953FA" w:rsidRPr="003F68A6">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4CD88B" w14:textId="77777777" w:rsidR="007163E0" w:rsidRDefault="007163E0" w:rsidP="004D04FA">
      <w:r>
        <w:separator/>
      </w:r>
    </w:p>
  </w:endnote>
  <w:endnote w:type="continuationSeparator" w:id="0">
    <w:p w14:paraId="78785A90" w14:textId="77777777" w:rsidR="007163E0" w:rsidRDefault="007163E0" w:rsidP="004D04F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25753917"/>
      <w:docPartObj>
        <w:docPartGallery w:val="Page Numbers (Bottom of Page)"/>
        <w:docPartUnique/>
      </w:docPartObj>
    </w:sdtPr>
    <w:sdtEndPr>
      <w:rPr>
        <w:noProof/>
      </w:rPr>
    </w:sdtEndPr>
    <w:sdtContent>
      <w:p w14:paraId="2C90EA9F" w14:textId="77777777" w:rsidR="00757D29" w:rsidRDefault="00757D29">
        <w:pPr>
          <w:pStyle w:val="Zpat"/>
          <w:jc w:val="center"/>
        </w:pPr>
        <w:r>
          <w:fldChar w:fldCharType="begin"/>
        </w:r>
        <w:r>
          <w:instrText xml:space="preserve"> PAGE   \* MERGEFORMAT </w:instrText>
        </w:r>
        <w:r>
          <w:fldChar w:fldCharType="separate"/>
        </w:r>
        <w:r w:rsidR="004C11DA">
          <w:rPr>
            <w:noProof/>
          </w:rPr>
          <w:t>10</w:t>
        </w:r>
        <w:r>
          <w:rPr>
            <w:noProof/>
          </w:rPr>
          <w:fldChar w:fldCharType="end"/>
        </w:r>
      </w:p>
    </w:sdtContent>
  </w:sdt>
  <w:p w14:paraId="4E858FE8" w14:textId="77777777" w:rsidR="004D04FA" w:rsidRDefault="004D04FA">
    <w:pPr>
      <w:pStyle w:val="Zpa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3372A8" w14:textId="77777777" w:rsidR="007163E0" w:rsidRDefault="007163E0" w:rsidP="004D04FA">
      <w:r>
        <w:separator/>
      </w:r>
    </w:p>
  </w:footnote>
  <w:footnote w:type="continuationSeparator" w:id="0">
    <w:p w14:paraId="41967683" w14:textId="77777777" w:rsidR="007163E0" w:rsidRDefault="007163E0" w:rsidP="004D04F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pStyle w:val="Nadpis2"/>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1" w15:restartNumberingAfterBreak="0">
    <w:nsid w:val="473A2D9A"/>
    <w:multiLevelType w:val="hybridMultilevel"/>
    <w:tmpl w:val="6EE23A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68575375">
    <w:abstractNumId w:val="0"/>
  </w:num>
  <w:num w:numId="2" w16cid:durableId="6641799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hyphenationZone w:val="425"/>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MjE0tzQyNTAyMTcyNTdR0lEKTi0uzszPAykwrAUAyRWOUCwAAAA="/>
  </w:docVars>
  <w:rsids>
    <w:rsidRoot w:val="00D56A0E"/>
    <w:rsid w:val="00077CB7"/>
    <w:rsid w:val="000D0948"/>
    <w:rsid w:val="000E2331"/>
    <w:rsid w:val="00156EEE"/>
    <w:rsid w:val="002E122D"/>
    <w:rsid w:val="00306DCB"/>
    <w:rsid w:val="003340FF"/>
    <w:rsid w:val="003F68A6"/>
    <w:rsid w:val="00403816"/>
    <w:rsid w:val="00434A33"/>
    <w:rsid w:val="00465DD3"/>
    <w:rsid w:val="004C11DA"/>
    <w:rsid w:val="004D04FA"/>
    <w:rsid w:val="0052262F"/>
    <w:rsid w:val="00692BFA"/>
    <w:rsid w:val="006953FA"/>
    <w:rsid w:val="006C1781"/>
    <w:rsid w:val="007163E0"/>
    <w:rsid w:val="0072753B"/>
    <w:rsid w:val="00757D29"/>
    <w:rsid w:val="007755E5"/>
    <w:rsid w:val="007E165A"/>
    <w:rsid w:val="007E493E"/>
    <w:rsid w:val="007F3016"/>
    <w:rsid w:val="00814343"/>
    <w:rsid w:val="00883A2A"/>
    <w:rsid w:val="008E1425"/>
    <w:rsid w:val="00974F68"/>
    <w:rsid w:val="00AC05AF"/>
    <w:rsid w:val="00AE0325"/>
    <w:rsid w:val="00B322AA"/>
    <w:rsid w:val="00B335BB"/>
    <w:rsid w:val="00B73768"/>
    <w:rsid w:val="00B7604F"/>
    <w:rsid w:val="00BC42AF"/>
    <w:rsid w:val="00C20393"/>
    <w:rsid w:val="00C3515F"/>
    <w:rsid w:val="00C615ED"/>
    <w:rsid w:val="00C74A0E"/>
    <w:rsid w:val="00CC1284"/>
    <w:rsid w:val="00D25121"/>
    <w:rsid w:val="00D56A0E"/>
    <w:rsid w:val="00E91974"/>
    <w:rsid w:val="00EB0997"/>
    <w:rsid w:val="00F3266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19BC46A"/>
  <w15:chartTrackingRefBased/>
  <w15:docId w15:val="{EEE4B87C-3568-43CA-9873-0CDA42E3D1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ln">
    <w:name w:val="Normal"/>
    <w:qFormat/>
    <w:rsid w:val="00D56A0E"/>
    <w:pPr>
      <w:spacing w:after="0" w:line="240" w:lineRule="auto"/>
    </w:pPr>
    <w:rPr>
      <w:rFonts w:ascii="Times New Roman" w:eastAsia="Times New Roman" w:hAnsi="Times New Roman" w:cs="Times New Roman"/>
      <w:sz w:val="20"/>
      <w:szCs w:val="20"/>
      <w:lang w:val="en-GB" w:eastAsia="en-GB"/>
    </w:rPr>
  </w:style>
  <w:style w:type="paragraph" w:styleId="Nadpis1">
    <w:name w:val="heading 1"/>
    <w:basedOn w:val="Normln"/>
    <w:next w:val="Normln"/>
    <w:link w:val="Nadpis1Char"/>
    <w:uiPriority w:val="9"/>
    <w:qFormat/>
    <w:rsid w:val="00156EEE"/>
    <w:pPr>
      <w:keepNext/>
      <w:keepLines/>
      <w:spacing w:before="240" w:line="360" w:lineRule="auto"/>
      <w:jc w:val="both"/>
      <w:outlineLvl w:val="0"/>
    </w:pPr>
    <w:rPr>
      <w:rFonts w:ascii="Arial" w:eastAsiaTheme="majorEastAsia" w:hAnsi="Arial" w:cstheme="majorBidi"/>
      <w:b/>
      <w:sz w:val="24"/>
      <w:szCs w:val="32"/>
    </w:rPr>
  </w:style>
  <w:style w:type="paragraph" w:styleId="Nadpis2">
    <w:name w:val="heading 2"/>
    <w:basedOn w:val="Normln"/>
    <w:next w:val="Normln"/>
    <w:link w:val="Nadpis2Char"/>
    <w:qFormat/>
    <w:rsid w:val="006C1781"/>
    <w:pPr>
      <w:keepNext/>
      <w:keepLines/>
      <w:numPr>
        <w:ilvl w:val="1"/>
        <w:numId w:val="1"/>
      </w:numPr>
      <w:suppressAutoHyphens/>
      <w:spacing w:before="113" w:line="360" w:lineRule="auto"/>
      <w:jc w:val="both"/>
      <w:outlineLvl w:val="1"/>
    </w:pPr>
    <w:rPr>
      <w:b/>
      <w:bCs/>
      <w:color w:val="000000"/>
      <w:sz w:val="24"/>
      <w:szCs w:val="26"/>
      <w:lang w:eastAsia="ar-SA"/>
    </w:rPr>
  </w:style>
  <w:style w:type="character" w:default="1" w:styleId="Standardnpsmoodstavce">
    <w:name w:val="Default Paragraph Font"/>
    <w:uiPriority w:val="1"/>
    <w:semiHidden/>
    <w:unhideWhenUsed/>
  </w:style>
  <w:style w:type="table" w:default="1" w:styleId="Normlntabulka">
    <w:name w:val="Normal Table"/>
    <w:uiPriority w:val="99"/>
    <w:semiHidden/>
    <w:unhideWhenUsed/>
    <w:tblPr>
      <w:tblInd w:w="0" w:type="dxa"/>
      <w:tblCellMar>
        <w:top w:w="0" w:type="dxa"/>
        <w:left w:w="108" w:type="dxa"/>
        <w:bottom w:w="0" w:type="dxa"/>
        <w:right w:w="108" w:type="dxa"/>
      </w:tblCellMar>
    </w:tblPr>
  </w:style>
  <w:style w:type="numbering" w:default="1" w:styleId="Bezseznamu">
    <w:name w:val="No List"/>
    <w:uiPriority w:val="99"/>
    <w:semiHidden/>
    <w:unhideWhenUsed/>
  </w:style>
  <w:style w:type="character" w:customStyle="1" w:styleId="Nadpis2Char">
    <w:name w:val="Nadpis 2 Char"/>
    <w:basedOn w:val="Standardnpsmoodstavce"/>
    <w:link w:val="Nadpis2"/>
    <w:rsid w:val="006C1781"/>
    <w:rPr>
      <w:rFonts w:ascii="Times New Roman" w:eastAsia="Times New Roman" w:hAnsi="Times New Roman" w:cs="Times New Roman"/>
      <w:b/>
      <w:bCs/>
      <w:color w:val="000000"/>
      <w:sz w:val="24"/>
      <w:szCs w:val="26"/>
      <w:lang w:val="en-GB" w:eastAsia="ar-SA"/>
    </w:rPr>
  </w:style>
  <w:style w:type="paragraph" w:styleId="Podnadpis">
    <w:name w:val="Subtitle"/>
    <w:basedOn w:val="Normln"/>
    <w:next w:val="Normln"/>
    <w:link w:val="PodnadpisChar"/>
    <w:uiPriority w:val="11"/>
    <w:qFormat/>
    <w:rsid w:val="00D56A0E"/>
    <w:pPr>
      <w:numPr>
        <w:ilvl w:val="1"/>
      </w:numPr>
    </w:pPr>
    <w:rPr>
      <w:rFonts w:eastAsiaTheme="minorEastAsia"/>
      <w:color w:val="5A5A5A" w:themeColor="text1" w:themeTint="A5"/>
      <w:spacing w:val="15"/>
    </w:rPr>
  </w:style>
  <w:style w:type="character" w:customStyle="1" w:styleId="PodnadpisChar">
    <w:name w:val="Podnadpis Char"/>
    <w:basedOn w:val="Standardnpsmoodstavce"/>
    <w:link w:val="Podnadpis"/>
    <w:uiPriority w:val="11"/>
    <w:rsid w:val="00D56A0E"/>
    <w:rPr>
      <w:rFonts w:eastAsiaTheme="minorEastAsia"/>
      <w:color w:val="5A5A5A" w:themeColor="text1" w:themeTint="A5"/>
      <w:spacing w:val="15"/>
    </w:rPr>
  </w:style>
  <w:style w:type="character" w:customStyle="1" w:styleId="Nadpis1Char">
    <w:name w:val="Nadpis 1 Char"/>
    <w:basedOn w:val="Standardnpsmoodstavce"/>
    <w:link w:val="Nadpis1"/>
    <w:uiPriority w:val="9"/>
    <w:rsid w:val="00156EEE"/>
    <w:rPr>
      <w:rFonts w:ascii="Arial" w:eastAsiaTheme="majorEastAsia" w:hAnsi="Arial" w:cstheme="majorBidi"/>
      <w:b/>
      <w:sz w:val="24"/>
      <w:szCs w:val="32"/>
      <w:lang w:val="en-GB" w:eastAsia="en-GB"/>
    </w:rPr>
  </w:style>
  <w:style w:type="paragraph" w:styleId="Nadpisobsahu">
    <w:name w:val="TOC Heading"/>
    <w:basedOn w:val="Nadpis1"/>
    <w:next w:val="Normln"/>
    <w:uiPriority w:val="39"/>
    <w:unhideWhenUsed/>
    <w:qFormat/>
    <w:rsid w:val="00C20393"/>
    <w:pPr>
      <w:spacing w:line="259" w:lineRule="auto"/>
      <w:outlineLvl w:val="9"/>
    </w:pPr>
    <w:rPr>
      <w:lang w:val="en-US" w:eastAsia="en-US"/>
    </w:rPr>
  </w:style>
  <w:style w:type="paragraph" w:styleId="Obsah1">
    <w:name w:val="toc 1"/>
    <w:basedOn w:val="Normln"/>
    <w:next w:val="Normln"/>
    <w:autoRedefine/>
    <w:uiPriority w:val="39"/>
    <w:unhideWhenUsed/>
    <w:rsid w:val="00C20393"/>
    <w:pPr>
      <w:spacing w:after="100"/>
    </w:pPr>
  </w:style>
  <w:style w:type="paragraph" w:styleId="Obsah2">
    <w:name w:val="toc 2"/>
    <w:basedOn w:val="Normln"/>
    <w:next w:val="Normln"/>
    <w:autoRedefine/>
    <w:uiPriority w:val="39"/>
    <w:unhideWhenUsed/>
    <w:rsid w:val="00C20393"/>
    <w:pPr>
      <w:spacing w:after="100"/>
      <w:ind w:left="200"/>
    </w:pPr>
  </w:style>
  <w:style w:type="character" w:styleId="Hypertextovodkaz">
    <w:name w:val="Hyperlink"/>
    <w:basedOn w:val="Standardnpsmoodstavce"/>
    <w:uiPriority w:val="99"/>
    <w:unhideWhenUsed/>
    <w:rsid w:val="00C20393"/>
    <w:rPr>
      <w:color w:val="0563C1" w:themeColor="hyperlink"/>
      <w:u w:val="single"/>
    </w:rPr>
  </w:style>
  <w:style w:type="character" w:styleId="Sledovanodkaz">
    <w:name w:val="FollowedHyperlink"/>
    <w:basedOn w:val="Standardnpsmoodstavce"/>
    <w:uiPriority w:val="99"/>
    <w:semiHidden/>
    <w:unhideWhenUsed/>
    <w:rsid w:val="003340FF"/>
    <w:rPr>
      <w:color w:val="954F72" w:themeColor="followedHyperlink"/>
      <w:u w:val="single"/>
    </w:rPr>
  </w:style>
  <w:style w:type="paragraph" w:styleId="Zhlav">
    <w:name w:val="header"/>
    <w:basedOn w:val="Normln"/>
    <w:link w:val="ZhlavChar"/>
    <w:uiPriority w:val="99"/>
    <w:unhideWhenUsed/>
    <w:rsid w:val="004D04FA"/>
    <w:pPr>
      <w:tabs>
        <w:tab w:val="center" w:pos="4680"/>
        <w:tab w:val="right" w:pos="9360"/>
      </w:tabs>
    </w:pPr>
  </w:style>
  <w:style w:type="character" w:customStyle="1" w:styleId="ZhlavChar">
    <w:name w:val="Záhlaví Char"/>
    <w:basedOn w:val="Standardnpsmoodstavce"/>
    <w:link w:val="Zhlav"/>
    <w:uiPriority w:val="99"/>
    <w:rsid w:val="004D04FA"/>
    <w:rPr>
      <w:rFonts w:ascii="Times New Roman" w:eastAsia="Times New Roman" w:hAnsi="Times New Roman" w:cs="Times New Roman"/>
      <w:sz w:val="20"/>
      <w:szCs w:val="20"/>
      <w:lang w:val="en-GB" w:eastAsia="en-GB"/>
    </w:rPr>
  </w:style>
  <w:style w:type="paragraph" w:styleId="Zpat">
    <w:name w:val="footer"/>
    <w:basedOn w:val="Normln"/>
    <w:link w:val="ZpatChar"/>
    <w:uiPriority w:val="99"/>
    <w:unhideWhenUsed/>
    <w:rsid w:val="004D04FA"/>
    <w:pPr>
      <w:tabs>
        <w:tab w:val="center" w:pos="4680"/>
        <w:tab w:val="right" w:pos="9360"/>
      </w:tabs>
    </w:pPr>
  </w:style>
  <w:style w:type="character" w:customStyle="1" w:styleId="ZpatChar">
    <w:name w:val="Zápatí Char"/>
    <w:basedOn w:val="Standardnpsmoodstavce"/>
    <w:link w:val="Zpat"/>
    <w:uiPriority w:val="99"/>
    <w:rsid w:val="004D04FA"/>
    <w:rPr>
      <w:rFonts w:ascii="Times New Roman" w:eastAsia="Times New Roman" w:hAnsi="Times New Roman" w:cs="Times New Roman"/>
      <w:sz w:val="20"/>
      <w:szCs w:val="20"/>
      <w:lang w:val="en-GB" w:eastAsia="en-GB"/>
    </w:rPr>
  </w:style>
  <w:style w:type="paragraph" w:styleId="Odstavecseseznamem">
    <w:name w:val="List Paragraph"/>
    <w:basedOn w:val="Normln"/>
    <w:uiPriority w:val="34"/>
    <w:qFormat/>
    <w:rsid w:val="00B7604F"/>
    <w:pPr>
      <w:ind w:left="720"/>
      <w:contextualSpacing/>
    </w:pPr>
  </w:style>
  <w:style w:type="paragraph" w:styleId="Normlnweb">
    <w:name w:val="Normal (Web)"/>
    <w:basedOn w:val="Normln"/>
    <w:uiPriority w:val="99"/>
    <w:semiHidden/>
    <w:unhideWhenUsed/>
    <w:rsid w:val="00465DD3"/>
    <w:pPr>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375830">
      <w:bodyDiv w:val="1"/>
      <w:marLeft w:val="0"/>
      <w:marRight w:val="0"/>
      <w:marTop w:val="0"/>
      <w:marBottom w:val="0"/>
      <w:divBdr>
        <w:top w:val="none" w:sz="0" w:space="0" w:color="auto"/>
        <w:left w:val="none" w:sz="0" w:space="0" w:color="auto"/>
        <w:bottom w:val="none" w:sz="0" w:space="0" w:color="auto"/>
        <w:right w:val="none" w:sz="0" w:space="0" w:color="auto"/>
      </w:divBdr>
    </w:div>
    <w:div w:id="253830801">
      <w:bodyDiv w:val="1"/>
      <w:marLeft w:val="0"/>
      <w:marRight w:val="0"/>
      <w:marTop w:val="0"/>
      <w:marBottom w:val="0"/>
      <w:divBdr>
        <w:top w:val="none" w:sz="0" w:space="0" w:color="auto"/>
        <w:left w:val="none" w:sz="0" w:space="0" w:color="auto"/>
        <w:bottom w:val="none" w:sz="0" w:space="0" w:color="auto"/>
        <w:right w:val="none" w:sz="0" w:space="0" w:color="auto"/>
      </w:divBdr>
    </w:div>
    <w:div w:id="433982009">
      <w:bodyDiv w:val="1"/>
      <w:marLeft w:val="0"/>
      <w:marRight w:val="0"/>
      <w:marTop w:val="0"/>
      <w:marBottom w:val="0"/>
      <w:divBdr>
        <w:top w:val="none" w:sz="0" w:space="0" w:color="auto"/>
        <w:left w:val="none" w:sz="0" w:space="0" w:color="auto"/>
        <w:bottom w:val="none" w:sz="0" w:space="0" w:color="auto"/>
        <w:right w:val="none" w:sz="0" w:space="0" w:color="auto"/>
      </w:divBdr>
    </w:div>
    <w:div w:id="495077433">
      <w:bodyDiv w:val="1"/>
      <w:marLeft w:val="0"/>
      <w:marRight w:val="0"/>
      <w:marTop w:val="0"/>
      <w:marBottom w:val="0"/>
      <w:divBdr>
        <w:top w:val="none" w:sz="0" w:space="0" w:color="auto"/>
        <w:left w:val="none" w:sz="0" w:space="0" w:color="auto"/>
        <w:bottom w:val="none" w:sz="0" w:space="0" w:color="auto"/>
        <w:right w:val="none" w:sz="0" w:space="0" w:color="auto"/>
      </w:divBdr>
    </w:div>
    <w:div w:id="499809120">
      <w:bodyDiv w:val="1"/>
      <w:marLeft w:val="0"/>
      <w:marRight w:val="0"/>
      <w:marTop w:val="0"/>
      <w:marBottom w:val="0"/>
      <w:divBdr>
        <w:top w:val="none" w:sz="0" w:space="0" w:color="auto"/>
        <w:left w:val="none" w:sz="0" w:space="0" w:color="auto"/>
        <w:bottom w:val="none" w:sz="0" w:space="0" w:color="auto"/>
        <w:right w:val="none" w:sz="0" w:space="0" w:color="auto"/>
      </w:divBdr>
    </w:div>
    <w:div w:id="634870528">
      <w:bodyDiv w:val="1"/>
      <w:marLeft w:val="0"/>
      <w:marRight w:val="0"/>
      <w:marTop w:val="0"/>
      <w:marBottom w:val="0"/>
      <w:divBdr>
        <w:top w:val="none" w:sz="0" w:space="0" w:color="auto"/>
        <w:left w:val="none" w:sz="0" w:space="0" w:color="auto"/>
        <w:bottom w:val="none" w:sz="0" w:space="0" w:color="auto"/>
        <w:right w:val="none" w:sz="0" w:space="0" w:color="auto"/>
      </w:divBdr>
    </w:div>
    <w:div w:id="718553290">
      <w:bodyDiv w:val="1"/>
      <w:marLeft w:val="0"/>
      <w:marRight w:val="0"/>
      <w:marTop w:val="0"/>
      <w:marBottom w:val="0"/>
      <w:divBdr>
        <w:top w:val="none" w:sz="0" w:space="0" w:color="auto"/>
        <w:left w:val="none" w:sz="0" w:space="0" w:color="auto"/>
        <w:bottom w:val="none" w:sz="0" w:space="0" w:color="auto"/>
        <w:right w:val="none" w:sz="0" w:space="0" w:color="auto"/>
      </w:divBdr>
      <w:divsChild>
        <w:div w:id="58596001">
          <w:marLeft w:val="0"/>
          <w:marRight w:val="0"/>
          <w:marTop w:val="0"/>
          <w:marBottom w:val="0"/>
          <w:divBdr>
            <w:top w:val="none" w:sz="0" w:space="0" w:color="auto"/>
            <w:left w:val="none" w:sz="0" w:space="0" w:color="auto"/>
            <w:bottom w:val="none" w:sz="0" w:space="0" w:color="auto"/>
            <w:right w:val="none" w:sz="0" w:space="0" w:color="auto"/>
          </w:divBdr>
        </w:div>
      </w:divsChild>
    </w:div>
    <w:div w:id="863396902">
      <w:bodyDiv w:val="1"/>
      <w:marLeft w:val="0"/>
      <w:marRight w:val="0"/>
      <w:marTop w:val="0"/>
      <w:marBottom w:val="0"/>
      <w:divBdr>
        <w:top w:val="none" w:sz="0" w:space="0" w:color="auto"/>
        <w:left w:val="none" w:sz="0" w:space="0" w:color="auto"/>
        <w:bottom w:val="none" w:sz="0" w:space="0" w:color="auto"/>
        <w:right w:val="none" w:sz="0" w:space="0" w:color="auto"/>
      </w:divBdr>
    </w:div>
    <w:div w:id="916745373">
      <w:bodyDiv w:val="1"/>
      <w:marLeft w:val="0"/>
      <w:marRight w:val="0"/>
      <w:marTop w:val="0"/>
      <w:marBottom w:val="0"/>
      <w:divBdr>
        <w:top w:val="none" w:sz="0" w:space="0" w:color="auto"/>
        <w:left w:val="none" w:sz="0" w:space="0" w:color="auto"/>
        <w:bottom w:val="none" w:sz="0" w:space="0" w:color="auto"/>
        <w:right w:val="none" w:sz="0" w:space="0" w:color="auto"/>
      </w:divBdr>
    </w:div>
    <w:div w:id="1007752923">
      <w:bodyDiv w:val="1"/>
      <w:marLeft w:val="0"/>
      <w:marRight w:val="0"/>
      <w:marTop w:val="0"/>
      <w:marBottom w:val="0"/>
      <w:divBdr>
        <w:top w:val="none" w:sz="0" w:space="0" w:color="auto"/>
        <w:left w:val="none" w:sz="0" w:space="0" w:color="auto"/>
        <w:bottom w:val="none" w:sz="0" w:space="0" w:color="auto"/>
        <w:right w:val="none" w:sz="0" w:space="0" w:color="auto"/>
      </w:divBdr>
    </w:div>
    <w:div w:id="1060518166">
      <w:bodyDiv w:val="1"/>
      <w:marLeft w:val="0"/>
      <w:marRight w:val="0"/>
      <w:marTop w:val="0"/>
      <w:marBottom w:val="0"/>
      <w:divBdr>
        <w:top w:val="none" w:sz="0" w:space="0" w:color="auto"/>
        <w:left w:val="none" w:sz="0" w:space="0" w:color="auto"/>
        <w:bottom w:val="none" w:sz="0" w:space="0" w:color="auto"/>
        <w:right w:val="none" w:sz="0" w:space="0" w:color="auto"/>
      </w:divBdr>
    </w:div>
    <w:div w:id="1139149237">
      <w:bodyDiv w:val="1"/>
      <w:marLeft w:val="0"/>
      <w:marRight w:val="0"/>
      <w:marTop w:val="0"/>
      <w:marBottom w:val="0"/>
      <w:divBdr>
        <w:top w:val="none" w:sz="0" w:space="0" w:color="auto"/>
        <w:left w:val="none" w:sz="0" w:space="0" w:color="auto"/>
        <w:bottom w:val="none" w:sz="0" w:space="0" w:color="auto"/>
        <w:right w:val="none" w:sz="0" w:space="0" w:color="auto"/>
      </w:divBdr>
    </w:div>
    <w:div w:id="1308509618">
      <w:bodyDiv w:val="1"/>
      <w:marLeft w:val="0"/>
      <w:marRight w:val="0"/>
      <w:marTop w:val="0"/>
      <w:marBottom w:val="0"/>
      <w:divBdr>
        <w:top w:val="none" w:sz="0" w:space="0" w:color="auto"/>
        <w:left w:val="none" w:sz="0" w:space="0" w:color="auto"/>
        <w:bottom w:val="none" w:sz="0" w:space="0" w:color="auto"/>
        <w:right w:val="none" w:sz="0" w:space="0" w:color="auto"/>
      </w:divBdr>
      <w:divsChild>
        <w:div w:id="817109526">
          <w:marLeft w:val="0"/>
          <w:marRight w:val="0"/>
          <w:marTop w:val="0"/>
          <w:marBottom w:val="0"/>
          <w:divBdr>
            <w:top w:val="none" w:sz="0" w:space="0" w:color="auto"/>
            <w:left w:val="none" w:sz="0" w:space="0" w:color="auto"/>
            <w:bottom w:val="none" w:sz="0" w:space="0" w:color="auto"/>
            <w:right w:val="none" w:sz="0" w:space="0" w:color="auto"/>
          </w:divBdr>
        </w:div>
      </w:divsChild>
    </w:div>
    <w:div w:id="1367097262">
      <w:bodyDiv w:val="1"/>
      <w:marLeft w:val="0"/>
      <w:marRight w:val="0"/>
      <w:marTop w:val="0"/>
      <w:marBottom w:val="0"/>
      <w:divBdr>
        <w:top w:val="none" w:sz="0" w:space="0" w:color="auto"/>
        <w:left w:val="none" w:sz="0" w:space="0" w:color="auto"/>
        <w:bottom w:val="none" w:sz="0" w:space="0" w:color="auto"/>
        <w:right w:val="none" w:sz="0" w:space="0" w:color="auto"/>
      </w:divBdr>
    </w:div>
    <w:div w:id="1471315227">
      <w:bodyDiv w:val="1"/>
      <w:marLeft w:val="0"/>
      <w:marRight w:val="0"/>
      <w:marTop w:val="0"/>
      <w:marBottom w:val="0"/>
      <w:divBdr>
        <w:top w:val="none" w:sz="0" w:space="0" w:color="auto"/>
        <w:left w:val="none" w:sz="0" w:space="0" w:color="auto"/>
        <w:bottom w:val="none" w:sz="0" w:space="0" w:color="auto"/>
        <w:right w:val="none" w:sz="0" w:space="0" w:color="auto"/>
      </w:divBdr>
    </w:div>
    <w:div w:id="1757743288">
      <w:bodyDiv w:val="1"/>
      <w:marLeft w:val="0"/>
      <w:marRight w:val="0"/>
      <w:marTop w:val="0"/>
      <w:marBottom w:val="0"/>
      <w:divBdr>
        <w:top w:val="none" w:sz="0" w:space="0" w:color="auto"/>
        <w:left w:val="none" w:sz="0" w:space="0" w:color="auto"/>
        <w:bottom w:val="none" w:sz="0" w:space="0" w:color="auto"/>
        <w:right w:val="none" w:sz="0" w:space="0" w:color="auto"/>
      </w:divBdr>
      <w:divsChild>
        <w:div w:id="1071199889">
          <w:marLeft w:val="0"/>
          <w:marRight w:val="0"/>
          <w:marTop w:val="0"/>
          <w:marBottom w:val="0"/>
          <w:divBdr>
            <w:top w:val="none" w:sz="0" w:space="0" w:color="auto"/>
            <w:left w:val="none" w:sz="0" w:space="0" w:color="auto"/>
            <w:bottom w:val="none" w:sz="0" w:space="0" w:color="auto"/>
            <w:right w:val="none" w:sz="0" w:space="0" w:color="auto"/>
          </w:divBdr>
        </w:div>
      </w:divsChild>
    </w:div>
    <w:div w:id="1758210596">
      <w:bodyDiv w:val="1"/>
      <w:marLeft w:val="0"/>
      <w:marRight w:val="0"/>
      <w:marTop w:val="0"/>
      <w:marBottom w:val="0"/>
      <w:divBdr>
        <w:top w:val="none" w:sz="0" w:space="0" w:color="auto"/>
        <w:left w:val="none" w:sz="0" w:space="0" w:color="auto"/>
        <w:bottom w:val="none" w:sz="0" w:space="0" w:color="auto"/>
        <w:right w:val="none" w:sz="0" w:space="0" w:color="auto"/>
      </w:divBdr>
    </w:div>
    <w:div w:id="1773234371">
      <w:bodyDiv w:val="1"/>
      <w:marLeft w:val="0"/>
      <w:marRight w:val="0"/>
      <w:marTop w:val="0"/>
      <w:marBottom w:val="0"/>
      <w:divBdr>
        <w:top w:val="none" w:sz="0" w:space="0" w:color="auto"/>
        <w:left w:val="none" w:sz="0" w:space="0" w:color="auto"/>
        <w:bottom w:val="none" w:sz="0" w:space="0" w:color="auto"/>
        <w:right w:val="none" w:sz="0" w:space="0" w:color="auto"/>
      </w:divBdr>
      <w:divsChild>
        <w:div w:id="2018576928">
          <w:marLeft w:val="0"/>
          <w:marRight w:val="0"/>
          <w:marTop w:val="0"/>
          <w:marBottom w:val="0"/>
          <w:divBdr>
            <w:top w:val="none" w:sz="0" w:space="0" w:color="auto"/>
            <w:left w:val="none" w:sz="0" w:space="0" w:color="auto"/>
            <w:bottom w:val="none" w:sz="0" w:space="0" w:color="auto"/>
            <w:right w:val="none" w:sz="0" w:space="0" w:color="auto"/>
          </w:divBdr>
        </w:div>
      </w:divsChild>
    </w:div>
    <w:div w:id="1873229395">
      <w:bodyDiv w:val="1"/>
      <w:marLeft w:val="0"/>
      <w:marRight w:val="0"/>
      <w:marTop w:val="0"/>
      <w:marBottom w:val="0"/>
      <w:divBdr>
        <w:top w:val="none" w:sz="0" w:space="0" w:color="auto"/>
        <w:left w:val="none" w:sz="0" w:space="0" w:color="auto"/>
        <w:bottom w:val="none" w:sz="0" w:space="0" w:color="auto"/>
        <w:right w:val="none" w:sz="0" w:space="0" w:color="auto"/>
      </w:divBdr>
    </w:div>
    <w:div w:id="1915894560">
      <w:bodyDiv w:val="1"/>
      <w:marLeft w:val="0"/>
      <w:marRight w:val="0"/>
      <w:marTop w:val="0"/>
      <w:marBottom w:val="0"/>
      <w:divBdr>
        <w:top w:val="none" w:sz="0" w:space="0" w:color="auto"/>
        <w:left w:val="none" w:sz="0" w:space="0" w:color="auto"/>
        <w:bottom w:val="none" w:sz="0" w:space="0" w:color="auto"/>
        <w:right w:val="none" w:sz="0" w:space="0" w:color="auto"/>
      </w:divBdr>
    </w:div>
    <w:div w:id="1921477393">
      <w:bodyDiv w:val="1"/>
      <w:marLeft w:val="0"/>
      <w:marRight w:val="0"/>
      <w:marTop w:val="0"/>
      <w:marBottom w:val="0"/>
      <w:divBdr>
        <w:top w:val="none" w:sz="0" w:space="0" w:color="auto"/>
        <w:left w:val="none" w:sz="0" w:space="0" w:color="auto"/>
        <w:bottom w:val="none" w:sz="0" w:space="0" w:color="auto"/>
        <w:right w:val="none" w:sz="0" w:space="0" w:color="auto"/>
      </w:divBdr>
    </w:div>
    <w:div w:id="1978603689">
      <w:bodyDiv w:val="1"/>
      <w:marLeft w:val="0"/>
      <w:marRight w:val="0"/>
      <w:marTop w:val="0"/>
      <w:marBottom w:val="0"/>
      <w:divBdr>
        <w:top w:val="none" w:sz="0" w:space="0" w:color="auto"/>
        <w:left w:val="none" w:sz="0" w:space="0" w:color="auto"/>
        <w:bottom w:val="none" w:sz="0" w:space="0" w:color="auto"/>
        <w:right w:val="none" w:sz="0" w:space="0" w:color="auto"/>
      </w:divBdr>
    </w:div>
    <w:div w:id="2044400015">
      <w:bodyDiv w:val="1"/>
      <w:marLeft w:val="0"/>
      <w:marRight w:val="0"/>
      <w:marTop w:val="0"/>
      <w:marBottom w:val="0"/>
      <w:divBdr>
        <w:top w:val="none" w:sz="0" w:space="0" w:color="auto"/>
        <w:left w:val="none" w:sz="0" w:space="0" w:color="auto"/>
        <w:bottom w:val="none" w:sz="0" w:space="0" w:color="auto"/>
        <w:right w:val="none" w:sz="0" w:space="0" w:color="auto"/>
      </w:divBdr>
      <w:divsChild>
        <w:div w:id="1548445456">
          <w:marLeft w:val="0"/>
          <w:marRight w:val="0"/>
          <w:marTop w:val="0"/>
          <w:marBottom w:val="0"/>
          <w:divBdr>
            <w:top w:val="none" w:sz="0" w:space="0" w:color="auto"/>
            <w:left w:val="none" w:sz="0" w:space="0" w:color="auto"/>
            <w:bottom w:val="none" w:sz="0" w:space="0" w:color="auto"/>
            <w:right w:val="none" w:sz="0" w:space="0" w:color="auto"/>
          </w:divBdr>
        </w:div>
      </w:divsChild>
    </w:div>
    <w:div w:id="2072997030">
      <w:bodyDiv w:val="1"/>
      <w:marLeft w:val="0"/>
      <w:marRight w:val="0"/>
      <w:marTop w:val="0"/>
      <w:marBottom w:val="0"/>
      <w:divBdr>
        <w:top w:val="none" w:sz="0" w:space="0" w:color="auto"/>
        <w:left w:val="none" w:sz="0" w:space="0" w:color="auto"/>
        <w:bottom w:val="none" w:sz="0" w:space="0" w:color="auto"/>
        <w:right w:val="none" w:sz="0" w:space="0" w:color="auto"/>
      </w:divBdr>
    </w:div>
    <w:div w:id="2081513540">
      <w:bodyDiv w:val="1"/>
      <w:marLeft w:val="0"/>
      <w:marRight w:val="0"/>
      <w:marTop w:val="0"/>
      <w:marBottom w:val="0"/>
      <w:divBdr>
        <w:top w:val="none" w:sz="0" w:space="0" w:color="auto"/>
        <w:left w:val="none" w:sz="0" w:space="0" w:color="auto"/>
        <w:bottom w:val="none" w:sz="0" w:space="0" w:color="auto"/>
        <w:right w:val="none" w:sz="0" w:space="0" w:color="auto"/>
      </w:divBdr>
    </w:div>
    <w:div w:id="21317006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93/jamiaopen/ooaa044" TargetMode="External"/><Relationship Id="rId13" Type="http://schemas.openxmlformats.org/officeDocument/2006/relationships/hyperlink" Target="https://doi.org/10.1177/09697330231215951" TargetMode="External"/><Relationship Id="rId18" Type="http://schemas.openxmlformats.org/officeDocument/2006/relationships/hyperlink" Target="https://doi.org/10.1016/j.pec.2020.09.030" TargetMode="External"/><Relationship Id="rId3" Type="http://schemas.openxmlformats.org/officeDocument/2006/relationships/styles" Target="styles.xml"/><Relationship Id="rId21" Type="http://schemas.openxmlformats.org/officeDocument/2006/relationships/hyperlink" Target="https://doi.org/10.1136/bmjopen-2024-087268" TargetMode="External"/><Relationship Id="rId7" Type="http://schemas.openxmlformats.org/officeDocument/2006/relationships/endnotes" Target="endnotes.xml"/><Relationship Id="rId12" Type="http://schemas.openxmlformats.org/officeDocument/2006/relationships/hyperlink" Target="https://doi.org/10.1177/13563890221096178" TargetMode="External"/><Relationship Id="rId17" Type="http://schemas.openxmlformats.org/officeDocument/2006/relationships/hyperlink" Target="https://doi.org/10.1177/17449871241281428"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oi.org/10.1111/hex.13470" TargetMode="External"/><Relationship Id="rId20" Type="http://schemas.openxmlformats.org/officeDocument/2006/relationships/hyperlink" Target="https://doi.org/10.1108/978-1-80071-743-52022100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353/cpr.2021.0024"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1136/bmjgh-2023-012906" TargetMode="External"/><Relationship Id="rId23" Type="http://schemas.openxmlformats.org/officeDocument/2006/relationships/footer" Target="footer1.xml"/><Relationship Id="rId10" Type="http://schemas.openxmlformats.org/officeDocument/2006/relationships/hyperlink" Target="https://doi.org/10.1177/13558196251349363" TargetMode="External"/><Relationship Id="rId19" Type="http://schemas.openxmlformats.org/officeDocument/2006/relationships/hyperlink" Target="https://doi.org/10.1111/hsc.13221" TargetMode="External"/><Relationship Id="rId4" Type="http://schemas.openxmlformats.org/officeDocument/2006/relationships/settings" Target="settings.xml"/><Relationship Id="rId9" Type="http://schemas.openxmlformats.org/officeDocument/2006/relationships/hyperlink" Target="https://doi.org/10.1177/08404704221078975" TargetMode="External"/><Relationship Id="rId14" Type="http://schemas.openxmlformats.org/officeDocument/2006/relationships/hyperlink" Target="https://doi.org/10.1016/j.pec.2014.08.021" TargetMode="External"/><Relationship Id="rId22" Type="http://schemas.openxmlformats.org/officeDocument/2006/relationships/hyperlink" Target="https://research.usc.edu.au/esploro/outputs/graduate/Perspectives-of-health-professionals-on-providing/99112750610262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8CF15C-620F-48AE-981A-7ED616A5334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3361</Words>
  <Characters>19833</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Karin Tokarova (2414165)</cp:lastModifiedBy>
  <cp:revision>2</cp:revision>
  <dcterms:created xsi:type="dcterms:W3CDTF">2026-05-29T19:41:00Z</dcterms:created>
  <dcterms:modified xsi:type="dcterms:W3CDTF">2026-05-29T19:41:00Z</dcterms:modified>
</cp:coreProperties>
</file>